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color w:val="000000"/>
          <w:spacing w:val="0"/>
          <w:position w:val="0"/>
          <w:sz w:val="36"/>
          <w:shd w:fill="auto" w:val="clear"/>
        </w:rPr>
      </w:pPr>
      <w:r>
        <w:rPr>
          <w:rFonts w:ascii="Times New Roman" w:hAnsi="Times New Roman" w:cs="Times New Roman" w:eastAsia="Times New Roman"/>
          <w:color w:val="000000"/>
          <w:spacing w:val="0"/>
          <w:position w:val="0"/>
          <w:sz w:val="36"/>
          <w:shd w:fill="auto" w:val="clear"/>
        </w:rPr>
        <w:t xml:space="preserve">Management Accounting</w:t>
      </w:r>
    </w:p>
    <w:p>
      <w:pPr>
        <w:spacing w:before="0" w:after="0" w:line="360"/>
        <w:ind w:right="0" w:left="0" w:firstLine="0"/>
        <w:jc w:val="center"/>
        <w:rPr>
          <w:rFonts w:ascii="Times New Roman" w:hAnsi="Times New Roman" w:cs="Times New Roman" w:eastAsia="Times New Roman"/>
          <w:color w:val="000000"/>
          <w:spacing w:val="0"/>
          <w:position w:val="0"/>
          <w:sz w:val="36"/>
          <w:shd w:fill="auto" w:val="clear"/>
        </w:rPr>
      </w:pPr>
      <w:r>
        <w:rPr>
          <w:rFonts w:ascii="Times New Roman" w:hAnsi="Times New Roman" w:cs="Times New Roman" w:eastAsia="Times New Roman"/>
          <w:color w:val="000000"/>
          <w:spacing w:val="0"/>
          <w:position w:val="0"/>
          <w:sz w:val="36"/>
          <w:shd w:fill="auto" w:val="clear"/>
        </w:rPr>
        <w:t xml:space="preserve">(LCBB5002)</w:t>
      </w:r>
    </w:p>
    <w:p>
      <w:pPr>
        <w:spacing w:before="0" w:after="0" w:line="360"/>
        <w:ind w:right="0" w:left="0" w:firstLine="0"/>
        <w:jc w:val="center"/>
        <w:rPr>
          <w:rFonts w:ascii="Times New Roman" w:hAnsi="Times New Roman" w:cs="Times New Roman" w:eastAsia="Times New Roman"/>
          <w:color w:val="000000"/>
          <w:spacing w:val="0"/>
          <w:position w:val="0"/>
          <w:sz w:val="36"/>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36"/>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36"/>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36"/>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36"/>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0000FF"/>
          <w:spacing w:val="0"/>
          <w:position w:val="0"/>
          <w:sz w:val="36"/>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FF"/>
          <w:spacing w:val="-10"/>
          <w:position w:val="0"/>
          <w:sz w:val="36"/>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center"/>
        <w:rPr>
          <w:rFonts w:ascii="Times New Roman" w:hAnsi="Times New Roman" w:cs="Times New Roman" w:eastAsia="Times New Roman"/>
          <w:b/>
          <w:i/>
          <w:color w:val="E36C0A"/>
          <w:spacing w:val="0"/>
          <w:position w:val="0"/>
          <w:sz w:val="32"/>
          <w:u w:val="single"/>
          <w:shd w:fill="auto" w:val="clear"/>
        </w:rPr>
      </w:pPr>
    </w:p>
    <w:p>
      <w:pPr>
        <w:keepNext w:val="true"/>
        <w:keepLines w:val="true"/>
        <w:spacing w:before="240" w:after="0" w:line="360"/>
        <w:ind w:right="0" w:left="0" w:firstLine="0"/>
        <w:jc w:val="center"/>
        <w:rPr>
          <w:rFonts w:ascii="Times New Roman" w:hAnsi="Times New Roman" w:cs="Times New Roman" w:eastAsia="Times New Roman"/>
          <w:b/>
          <w:i/>
          <w:color w:val="E36C0A"/>
          <w:spacing w:val="0"/>
          <w:position w:val="0"/>
          <w:sz w:val="32"/>
          <w:u w:val="single"/>
          <w:shd w:fill="auto" w:val="clear"/>
        </w:rPr>
      </w:pPr>
      <w:r>
        <w:rPr>
          <w:rFonts w:ascii="Times New Roman" w:hAnsi="Times New Roman" w:cs="Times New Roman" w:eastAsia="Times New Roman"/>
          <w:b/>
          <w:i/>
          <w:color w:val="E36C0A"/>
          <w:spacing w:val="0"/>
          <w:position w:val="0"/>
          <w:sz w:val="32"/>
          <w:u w:val="single"/>
          <w:shd w:fill="auto" w:val="clear"/>
        </w:rPr>
        <w:t xml:space="preserve">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Managerial accounting is the practise of preparing monetary reviews solely for the consumption of upper-level management, who can then use this information to inform strategic decision-making (Atkinson, 2016). Management accounting is a systematic approach for controlling the price of enterprise growth. It is a decision-making system that systematically analyses strategies for enhancing productivity, conducting internal audits, managing performance, and different comparable activities so that plans for typical expansion and operational improvement can be implemented more effectively. This document is divided into two parts. The article starts with directions on how to assemble Amana, Ltd.'s 2020 month-to-month management report. The second section suggests selections for Mr. Amana, like putting up his very own web-based commercial enterprise and selling on Amazon.</w:t>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center"/>
        <w:rPr>
          <w:rFonts w:ascii="Times New Roman" w:hAnsi="Times New Roman" w:cs="Times New Roman" w:eastAsia="Times New Roman"/>
          <w:b/>
          <w:i/>
          <w:color w:val="E36C0A"/>
          <w:spacing w:val="0"/>
          <w:position w:val="0"/>
          <w:sz w:val="32"/>
          <w:u w:val="single"/>
          <w:shd w:fill="auto" w:val="clear"/>
        </w:rPr>
      </w:pPr>
      <w:r>
        <w:rPr>
          <w:rFonts w:ascii="Times New Roman" w:hAnsi="Times New Roman" w:cs="Times New Roman" w:eastAsia="Times New Roman"/>
          <w:b/>
          <w:i/>
          <w:color w:val="E36C0A"/>
          <w:spacing w:val="0"/>
          <w:position w:val="0"/>
          <w:sz w:val="32"/>
          <w:u w:val="single"/>
          <w:shd w:fill="auto" w:val="clear"/>
        </w:rPr>
        <w:t xml:space="preserve">PART A</w:t>
      </w:r>
    </w:p>
    <w:p>
      <w:pPr>
        <w:keepNext w:val="true"/>
        <w:keepLines w:val="true"/>
        <w:spacing w:before="40" w:after="0" w:line="360"/>
        <w:ind w:right="0" w:left="0" w:firstLine="0"/>
        <w:jc w:val="both"/>
        <w:rPr>
          <w:rFonts w:ascii="Times New Roman" w:hAnsi="Times New Roman" w:cs="Times New Roman" w:eastAsia="Times New Roman"/>
          <w:b/>
          <w:i/>
          <w:color w:val="548DD4"/>
          <w:spacing w:val="0"/>
          <w:position w:val="0"/>
          <w:sz w:val="28"/>
          <w:shd w:fill="auto" w:val="clear"/>
        </w:rPr>
      </w:pPr>
      <w:r>
        <w:rPr>
          <w:rFonts w:ascii="Times New Roman" w:hAnsi="Times New Roman" w:cs="Times New Roman" w:eastAsia="Times New Roman"/>
          <w:b/>
          <w:i/>
          <w:color w:val="548DD4"/>
          <w:spacing w:val="0"/>
          <w:position w:val="0"/>
          <w:sz w:val="28"/>
          <w:shd w:fill="auto" w:val="clear"/>
        </w:rPr>
        <w:t xml:space="preserve">(i) Preparation of the monthly control report showing original budget, flexed budget, and variances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Monthly Control Report:</w:t>
      </w:r>
      <w:r>
        <w:rPr>
          <w:rFonts w:ascii="Times New Roman" w:hAnsi="Times New Roman" w:cs="Times New Roman" w:eastAsia="Times New Roman"/>
          <w:color w:val="auto"/>
          <w:spacing w:val="0"/>
          <w:position w:val="0"/>
          <w:sz w:val="24"/>
          <w:shd w:fill="auto" w:val="clear"/>
        </w:rPr>
        <w:t xml:space="preserve"> The monthly control report summarises the company's things to do and outcomes from the preceding month (Brigham, 2021). Sales, expenses, and profit/loss figures, as well as a breakdown of product or service sales, are all provided. A comparison of proper results to projected values is additionally given in the report. For management, this capacity means rapidly figuring out troubles and chances for growth.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Flex Budget:</w:t>
      </w:r>
      <w:r>
        <w:rPr>
          <w:rFonts w:ascii="Times New Roman" w:hAnsi="Times New Roman" w:cs="Times New Roman" w:eastAsia="Times New Roman"/>
          <w:color w:val="auto"/>
          <w:spacing w:val="0"/>
          <w:position w:val="0"/>
          <w:sz w:val="24"/>
          <w:shd w:fill="auto" w:val="clear"/>
        </w:rPr>
        <w:t xml:space="preserve"> Budgets would possibly be adjusted if true consequences were higher or worse than projected (Burney, 2013). Businesses may additionally locate "spots" where they are underperforming or exceeding their competitors. Overall, flexed budgeting is a more unique technique of commercial enterprise planning considering the fact that it accounts for both high-quality and terrible adjustments in profits and expenses. With a flexed budget, one can adjust your income and outlays in response to minor or major positive or negative developments. Companies can determine their overall performance and identify areas of weakness or strength. Overall, flexed budgeting is a more reliable technique of commercial enterprise planning considering that it takes into account both fine and terrible modifications in profits and expenses.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Budget variance:</w:t>
      </w:r>
      <w:r>
        <w:rPr>
          <w:rFonts w:ascii="Times New Roman" w:hAnsi="Times New Roman" w:cs="Times New Roman" w:eastAsia="Times New Roman"/>
          <w:color w:val="auto"/>
          <w:spacing w:val="0"/>
          <w:position w:val="0"/>
          <w:sz w:val="24"/>
          <w:shd w:fill="auto" w:val="clear"/>
        </w:rPr>
        <w:t xml:space="preserve"> A company's accounting discrepancies are determined via variance analysis (Dawkins, 2007). A high-quality price range variance represents surpluses or gains, whereas a bad financial range variance displays deficits or losses. The most regular motives for price range overruns consist of surprising events, human error, and unmet expectations. It is possible for errors to be made at some stage in the budgeting process, such as mistaken assumptions or the use of mistaken math.</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226"/>
        <w:gridCol w:w="809"/>
        <w:gridCol w:w="929"/>
        <w:gridCol w:w="907"/>
        <w:gridCol w:w="907"/>
        <w:gridCol w:w="984"/>
        <w:gridCol w:w="1302"/>
        <w:gridCol w:w="984"/>
        <w:gridCol w:w="1302"/>
      </w:tblGrid>
      <w:tr>
        <w:trPr>
          <w:trHeight w:val="960" w:hRule="auto"/>
          <w:jc w:val="left"/>
        </w:trPr>
        <w:tc>
          <w:tcPr>
            <w:tcW w:w="1226" w:type="dxa"/>
            <w:tcBorders>
              <w:top w:val="single" w:color="000000" w:sz="8"/>
              <w:left w:val="single" w:color="000000" w:sz="8"/>
              <w:bottom w:val="single" w:color="000000" w:sz="8"/>
              <w:right w:val="single" w:color="000000" w:sz="8"/>
            </w:tcBorders>
            <w:shd w:color="000000" w:fill="dbe5f1"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 </w:t>
            </w:r>
          </w:p>
        </w:tc>
        <w:tc>
          <w:tcPr>
            <w:tcW w:w="809" w:type="dxa"/>
            <w:tcBorders>
              <w:top w:val="single" w:color="000000" w:sz="8"/>
              <w:left w:val="single" w:color="000000" w:sz="0"/>
              <w:bottom w:val="single" w:color="000000" w:sz="8"/>
              <w:right w:val="single" w:color="000000" w:sz="8"/>
            </w:tcBorders>
            <w:shd w:color="000000" w:fill="dbe5f1"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Cost per unit</w:t>
            </w:r>
          </w:p>
        </w:tc>
        <w:tc>
          <w:tcPr>
            <w:tcW w:w="929" w:type="dxa"/>
            <w:tcBorders>
              <w:top w:val="single" w:color="000000" w:sz="8"/>
              <w:left w:val="single" w:color="000000" w:sz="0"/>
              <w:bottom w:val="single" w:color="000000" w:sz="8"/>
              <w:right w:val="single" w:color="000000" w:sz="8"/>
            </w:tcBorders>
            <w:shd w:color="000000" w:fill="dbe5f1"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Original (£)</w:t>
            </w:r>
          </w:p>
        </w:tc>
        <w:tc>
          <w:tcPr>
            <w:tcW w:w="907" w:type="dxa"/>
            <w:tcBorders>
              <w:top w:val="single" w:color="000000" w:sz="8"/>
              <w:left w:val="single" w:color="000000" w:sz="0"/>
              <w:bottom w:val="single" w:color="000000" w:sz="8"/>
              <w:right w:val="single" w:color="000000" w:sz="8"/>
            </w:tcBorders>
            <w:shd w:color="000000" w:fill="dbe5f1"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Flexed (£)</w:t>
            </w:r>
          </w:p>
        </w:tc>
        <w:tc>
          <w:tcPr>
            <w:tcW w:w="907" w:type="dxa"/>
            <w:tcBorders>
              <w:top w:val="single" w:color="000000" w:sz="8"/>
              <w:left w:val="single" w:color="000000" w:sz="0"/>
              <w:bottom w:val="single" w:color="000000" w:sz="8"/>
              <w:right w:val="single" w:color="000000" w:sz="8"/>
            </w:tcBorders>
            <w:shd w:color="000000" w:fill="dbe5f1"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Actual (£)</w:t>
            </w:r>
          </w:p>
        </w:tc>
        <w:tc>
          <w:tcPr>
            <w:tcW w:w="984" w:type="dxa"/>
            <w:tcBorders>
              <w:top w:val="single" w:color="000000" w:sz="8"/>
              <w:left w:val="single" w:color="000000" w:sz="0"/>
              <w:bottom w:val="single" w:color="000000" w:sz="8"/>
              <w:right w:val="single" w:color="000000" w:sz="8"/>
            </w:tcBorders>
            <w:shd w:color="000000" w:fill="dbe5f1"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Variance From Original</w:t>
            </w:r>
          </w:p>
        </w:tc>
        <w:tc>
          <w:tcPr>
            <w:tcW w:w="1302" w:type="dxa"/>
            <w:tcBorders>
              <w:top w:val="single" w:color="000000" w:sz="8"/>
              <w:left w:val="single" w:color="000000" w:sz="0"/>
              <w:bottom w:val="single" w:color="000000" w:sz="8"/>
              <w:right w:val="single" w:color="000000" w:sz="8"/>
            </w:tcBorders>
            <w:shd w:color="000000" w:fill="dbe5f1"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Condition in Original</w:t>
            </w:r>
          </w:p>
        </w:tc>
        <w:tc>
          <w:tcPr>
            <w:tcW w:w="984" w:type="dxa"/>
            <w:tcBorders>
              <w:top w:val="single" w:color="000000" w:sz="8"/>
              <w:left w:val="single" w:color="000000" w:sz="0"/>
              <w:bottom w:val="single" w:color="000000" w:sz="8"/>
              <w:right w:val="single" w:color="000000" w:sz="8"/>
            </w:tcBorders>
            <w:shd w:color="000000" w:fill="dbe5f1"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Variance From</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Flexed </w:t>
            </w:r>
          </w:p>
        </w:tc>
        <w:tc>
          <w:tcPr>
            <w:tcW w:w="1302" w:type="dxa"/>
            <w:tcBorders>
              <w:top w:val="single" w:color="000000" w:sz="8"/>
              <w:left w:val="single" w:color="000000" w:sz="0"/>
              <w:bottom w:val="single" w:color="000000" w:sz="8"/>
              <w:right w:val="single" w:color="000000" w:sz="8"/>
            </w:tcBorders>
            <w:shd w:color="000000" w:fill="dbe5f1"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Condition in Flexed</w:t>
            </w:r>
          </w:p>
        </w:tc>
      </w:tr>
      <w:tr>
        <w:trPr>
          <w:trHeight w:val="645"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Units</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80000</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Nil</w:t>
            </w:r>
          </w:p>
        </w:tc>
      </w:tr>
      <w:tr>
        <w:trPr>
          <w:trHeight w:val="645"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Selling price</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r>
      <w:tr>
        <w:trPr>
          <w:trHeight w:val="645"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Revenue</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1600000</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900000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r>
      <w:tr>
        <w:trPr>
          <w:trHeight w:val="645"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Variable cost</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r>
      <w:tr>
        <w:trPr>
          <w:trHeight w:val="645"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Materials</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280000</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80000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r>
      <w:tr>
        <w:trPr>
          <w:trHeight w:val="645"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Labour</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320000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440000</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120000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r>
      <w:tr>
        <w:trPr>
          <w:trHeight w:val="645"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Overheads</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150</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120000</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Favourable</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Nil</w:t>
            </w:r>
          </w:p>
        </w:tc>
      </w:tr>
      <w:tr>
        <w:trPr>
          <w:trHeight w:val="645"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Contribution</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17</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1700000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1360000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760000</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940000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600000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r>
      <w:tr>
        <w:trPr>
          <w:trHeight w:val="960"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Fixed Overheads</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r>
      <w:tr>
        <w:trPr>
          <w:trHeight w:val="645"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Warehouse Rental</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200000</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170000</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Favourable</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Favourable</w:t>
            </w:r>
          </w:p>
        </w:tc>
      </w:tr>
      <w:tr>
        <w:trPr>
          <w:trHeight w:val="645"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Insurance</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100000</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100000</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Nil</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Nil</w:t>
            </w:r>
          </w:p>
        </w:tc>
      </w:tr>
      <w:tr>
        <w:trPr>
          <w:trHeight w:val="1590"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Fulltime Warehouse Supervisor Salary</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50000</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35000</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Favourable</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Favourable</w:t>
            </w:r>
          </w:p>
        </w:tc>
      </w:tr>
      <w:tr>
        <w:trPr>
          <w:trHeight w:val="645" w:hRule="auto"/>
          <w:jc w:val="left"/>
        </w:trPr>
        <w:tc>
          <w:tcPr>
            <w:tcW w:w="1226" w:type="dxa"/>
            <w:tcBorders>
              <w:top w:val="single" w:color="000000" w:sz="0"/>
              <w:left w:val="single" w:color="000000" w:sz="8"/>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Profit</w:t>
            </w:r>
          </w:p>
        </w:tc>
        <w:tc>
          <w:tcPr>
            <w:tcW w:w="80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 </w:t>
            </w:r>
          </w:p>
        </w:tc>
        <w:tc>
          <w:tcPr>
            <w:tcW w:w="929"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1350000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1010000</w:t>
            </w:r>
          </w:p>
        </w:tc>
        <w:tc>
          <w:tcPr>
            <w:tcW w:w="907"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455000</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895000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c>
          <w:tcPr>
            <w:tcW w:w="984"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555000</w:t>
            </w:r>
          </w:p>
        </w:tc>
        <w:tc>
          <w:tcPr>
            <w:tcW w:w="1302" w:type="dxa"/>
            <w:tcBorders>
              <w:top w:val="single" w:color="000000" w:sz="0"/>
              <w:left w:val="single" w:color="000000" w:sz="0"/>
              <w:bottom w:val="single" w:color="000000" w:sz="8"/>
              <w:right w:val="single" w:color="000000" w:sz="8"/>
            </w:tcBorders>
            <w:shd w:color="auto" w:fill="auto" w:val="clear"/>
            <w:tcMar>
              <w:left w:w="108" w:type="dxa"/>
              <w:right w:w="108" w:type="dxa"/>
            </w:tcMar>
            <w:vAlign w:val="center"/>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Unfavourable</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 w:after="0" w:line="360"/>
        <w:ind w:right="0" w:left="0" w:firstLine="0"/>
        <w:jc w:val="both"/>
        <w:rPr>
          <w:rFonts w:ascii="Times New Roman" w:hAnsi="Times New Roman" w:cs="Times New Roman" w:eastAsia="Times New Roman"/>
          <w:b/>
          <w:i/>
          <w:color w:val="548DD4"/>
          <w:spacing w:val="0"/>
          <w:position w:val="0"/>
          <w:sz w:val="28"/>
          <w:shd w:fill="auto" w:val="clear"/>
        </w:rPr>
      </w:pPr>
      <w:r>
        <w:rPr>
          <w:rFonts w:ascii="Times New Roman" w:hAnsi="Times New Roman" w:cs="Times New Roman" w:eastAsia="Times New Roman"/>
          <w:b/>
          <w:i/>
          <w:color w:val="548DD4"/>
          <w:spacing w:val="0"/>
          <w:position w:val="0"/>
          <w:sz w:val="28"/>
          <w:shd w:fill="auto" w:val="clear"/>
        </w:rPr>
        <w:t xml:space="preserve">(ii) Using the control report prepared in (i) above, preparation of a report on Amana’s performance during the year 2020.</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Performance Report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employs the commonly used concept of a controlling report, which is primarily based on the basic accounting approach to costing a business's performances, to become aware of the areas of overall performance in which extra-stringent manipulative measures are required (Horngren, 2020). Amana’s sales have plummeted as people are less likely to move due to the COVID-19 pandemic. While Amana Ltd. expected a £100,000 profit on a £100,000 income, they apparently made £80,000 after covering a bunch of expenses. Selling costs decreased from £25 to £20, while unit costs increased significantly, including substances (up to £2.50 to £280,000) and labour (up to £4 to £440 000). Fees increase by 10% for loitering in a business. They lost a total of £760,000 because of this (budget versus reality). Insurance was the only other recurring expense, and it went from £100,000 to £170,000 while the warehouse lease remained the same. Earnings for full-time warehouse supervisors will drop from £50,000 to £35,000, a 20% reduction. The company's adjustable price range was once more unique than their initial estimate, as it was able to offer souvenirs at a lower price while continuing to sell the same type of gadgets. In the real world, Amana struggles. The increase in unit revenue is no longer accompanied by a decrease in costs. Recurring expenses are limited. Overall, revenue was lower than expected. Since Amana Ltd. is not as exciting as it once was, the company's management will have to rethink its revenue and value techniques in the future. The tourism business is no longer relevant to Amana Ltd.'s products; instead, the business enterprise should focus on meeting the needs of its customers. The agency needs to reduce unit costs and explore different funding channels. Amana Ltd. may need to limit the fee if visitors need to continue buying souvenirs. Amana Ltd. can also be purchased for £20 today, but employers expect them to get £25. This means a standard loss of £760,000. The main reasons for this shortfall are the increase in raw material prices, wages, and various operating expenses. Amana Co., Ltd. can avert these declines by focusing on buyer needs rather than the strategic positioning of domestic industries such as tourism. They want to reduce unit costs and find cheaper suppliers for the required substances. If Amana Ltd. wants to continue to make money from memorabilia sales, the organisation may also need to limit fees in general. Employers may also consider diversifying into independent markets to create new currencies (Kaplan, 2015). General tourism and Amana Ltd. have been particularly affected by the COVID-19 pandemic, but there is still room for fascination if the right changes are made.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 w:after="0" w:line="360"/>
        <w:ind w:right="0" w:left="0" w:firstLine="0"/>
        <w:jc w:val="both"/>
        <w:rPr>
          <w:rFonts w:ascii="Times New Roman" w:hAnsi="Times New Roman" w:cs="Times New Roman" w:eastAsia="Times New Roman"/>
          <w:b/>
          <w:i/>
          <w:color w:val="548DD4"/>
          <w:spacing w:val="0"/>
          <w:position w:val="0"/>
          <w:sz w:val="28"/>
          <w:shd w:fill="auto" w:val="clear"/>
        </w:rPr>
      </w:pPr>
      <w:r>
        <w:rPr>
          <w:rFonts w:ascii="Times New Roman" w:hAnsi="Times New Roman" w:cs="Times New Roman" w:eastAsia="Times New Roman"/>
          <w:b/>
          <w:i/>
          <w:color w:val="548DD4"/>
          <w:spacing w:val="0"/>
          <w:position w:val="0"/>
          <w:sz w:val="28"/>
          <w:shd w:fill="auto" w:val="clear"/>
        </w:rPr>
        <w:t xml:space="preserve">(iii) Recommendations to Amana’s CEO on areas of improvement.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modern approach to accounting, it is typically understood that the company's management should launch a formidable plan for the company's future growth by way of formulating techniques that will make certain the company's top-of-the line expansion, while additionally making sure that its overall performance and viability are structured in a way that ensures their long-term viability (Olive, 2012). Significant adjustments have been discovered in relation to modern-day finance initiatives and the true overall performance extent of business, indicating that modern administration of the commercial enterprise ought to provoke a supportive manipulation concerning product pricing that desires to be managed in order for tremendous sustainability to effectively formulate. They want to reassess the future revenue and fee structure of Amana Ltd. due to the fact that the business enterprise is no longer as worthwhile as it used to be in preceding years. Amana Ltd. should prioritise meeting consumer demand over stocking shelves in a business like tourism (Kaplan, 2015). The commercial enterprise ought to reduce unit fees and discover new avenues for obtaining imperative substances and capital.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is tasked with now not only keeping secure product prices, but additionally growing the price of these expenditures in the marketplace, all in an effort to make sure that the typical operational increase and overall performance accountability of every employer are well-supported. Management must also significantly expand the overall scope of marketing and manufacturing in order to keep up with the market's rapid expansion and, as a result, launch the standard productive performances, which include a significant increase in both the demand for and supply of goods and services (Seal, 2014). Current commercial enterprise administration must also pay attention to the advertising structure, as well as the advertising development and commercial enterprise promotional points that are frequently started for managing optimised development, as well as the organization's accountability efforts. By realising this needed potential and generally improving management, operations can better support the advertising department in its efforts to grow both its business and its market share.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light of current advertising efforts, company management should also consider the effect of the aggressive advertising environment on their operations, which can also be monitored through checks and balances. Management must also focus on the overall performance of the business in order to structure growth effectively (Atkinson, 2016). Due to the lockdown, the organisation has encountered many issues that have severely affected its ability to bring out even the most critical elements of its operations. For a fundamental growth approach that takes operational responsibility into account, central governance must now focus on organisational skills such as job optimization. The adoption of the aforementioned sustainability initiatives enables environmentally friendly management and provides a recipe for the company's essential operational growth.</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center"/>
        <w:rPr>
          <w:rFonts w:ascii="Times New Roman" w:hAnsi="Times New Roman" w:cs="Times New Roman" w:eastAsia="Times New Roman"/>
          <w:b/>
          <w:i/>
          <w:color w:val="E36C0A"/>
          <w:spacing w:val="0"/>
          <w:position w:val="0"/>
          <w:sz w:val="32"/>
          <w:u w:val="single"/>
          <w:shd w:fill="auto" w:val="clear"/>
        </w:rPr>
      </w:pPr>
      <w:r>
        <w:rPr>
          <w:rFonts w:ascii="Times New Roman" w:hAnsi="Times New Roman" w:cs="Times New Roman" w:eastAsia="Times New Roman"/>
          <w:b/>
          <w:i/>
          <w:color w:val="E36C0A"/>
          <w:spacing w:val="0"/>
          <w:position w:val="0"/>
          <w:sz w:val="32"/>
          <w:u w:val="single"/>
          <w:shd w:fill="auto" w:val="clear"/>
        </w:rPr>
        <w:t xml:space="preserve">PART B</w:t>
      </w:r>
    </w:p>
    <w:p>
      <w:pPr>
        <w:keepNext w:val="true"/>
        <w:keepLines w:val="true"/>
        <w:spacing w:before="40" w:after="0" w:line="360"/>
        <w:ind w:right="0" w:left="0" w:firstLine="0"/>
        <w:jc w:val="both"/>
        <w:rPr>
          <w:rFonts w:ascii="Times New Roman" w:hAnsi="Times New Roman" w:cs="Times New Roman" w:eastAsia="Times New Roman"/>
          <w:b/>
          <w:i/>
          <w:color w:val="548DD4"/>
          <w:spacing w:val="0"/>
          <w:position w:val="0"/>
          <w:sz w:val="28"/>
          <w:shd w:fill="auto" w:val="clear"/>
        </w:rPr>
      </w:pPr>
      <w:r>
        <w:rPr>
          <w:rFonts w:ascii="Times New Roman" w:hAnsi="Times New Roman" w:cs="Times New Roman" w:eastAsia="Times New Roman"/>
          <w:b/>
          <w:i/>
          <w:color w:val="548DD4"/>
          <w:spacing w:val="0"/>
          <w:position w:val="0"/>
          <w:sz w:val="28"/>
          <w:shd w:fill="auto" w:val="clear"/>
        </w:rPr>
        <w:t xml:space="preserve">An analysis of Mr Amana’s decision to go online and advise if they should set up their own online shop or sell on Amazon.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Basic "incremental budgeting" procedures are used to represent the revised or improved structure of regular budgeting strategy, with the assistance of which typical monetary performances, such as the improvement of commercial enterprise working accountability, are evaluated in a comprehensive manner (Brigham, 2021). This is accomplished in accordance with the common ideas provided under costing. In contrast, incremental evaluation as practised is defined as a desire-making method primarily used to launch an essential differentiation approach associated with a price formula, with the renovation of which typical increases such as running tendencies are formulated. Significant growth efforts, such as the evaluation of the enterprise's monetary statistics in particular, that present sustainable growth and working improvement methods in a high-quality order should be initiated with the aid of management at some point in the protection of enterprise incremental analysis.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the data at hand, it is clear that Mr. Amana, the company's owner, plans to launch an online enterprise engagement method soon, with a focal point on setting up and preserving a systematic approach to monitoring the company's success. Currently, administration is focusing on increasing the stage of enterprise earnings efforts by exceptionally utilising the "Brighton, Birmingham metropolis centre, and Manchester metropolis centre branches," which are the places where the majority of the enterprise was once formulated at the beginning. The administration can better coordinate the company's operations all around thanks to the implementation of online buying and selling initiatives (Burney, 2013). The administration has settled on two primary options for kicking off this strategy, one of which includes going for walks on-line and buying and selling integers with the useful resource of one's personal net formulation, and the other particularly involving the resource of third-party engagement. Management specifically launched the price evaluation approach in order to practise a preferred level of assessment between these two alternatives.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If the administration decides to put into effect an alternative plan, which entails processing online buying and selling efforts with the backing of its personal internet site, it will incur giant costs associated with cutting-edge enterprise activities (Dawkins, 2007). Some of these fees mirror the services provided.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7555"/>
        <w:gridCol w:w="1795"/>
      </w:tblGrid>
      <w:tr>
        <w:trPr>
          <w:trHeight w:val="1" w:hRule="atLeast"/>
          <w:jc w:val="left"/>
        </w:trPr>
        <w:tc>
          <w:tcPr>
            <w:tcW w:w="7555" w:type="dxa"/>
            <w:tcBorders>
              <w:top w:val="single" w:color="000000" w:sz="4"/>
              <w:left w:val="single" w:color="000000" w:sz="4"/>
              <w:bottom w:val="single" w:color="000000" w:sz="4"/>
              <w:right w:val="single" w:color="000000" w:sz="4"/>
            </w:tcBorders>
            <w:shd w:color="auto" w:fill="dbe5f1"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Particulars</w:t>
            </w:r>
          </w:p>
        </w:tc>
        <w:tc>
          <w:tcPr>
            <w:tcW w:w="1795" w:type="dxa"/>
            <w:tcBorders>
              <w:top w:val="single" w:color="000000" w:sz="4"/>
              <w:left w:val="single" w:color="000000" w:sz="4"/>
              <w:bottom w:val="single" w:color="000000" w:sz="4"/>
              <w:right w:val="single" w:color="000000" w:sz="4"/>
            </w:tcBorders>
            <w:shd w:color="auto" w:fill="dbe5f1"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Amount (£)</w:t>
            </w:r>
          </w:p>
        </w:tc>
      </w:tr>
      <w:tr>
        <w:trPr>
          <w:trHeight w:val="1" w:hRule="atLeast"/>
          <w:jc w:val="left"/>
        </w:trPr>
        <w:tc>
          <w:tcPr>
            <w:tcW w:w="7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Cost of setting up delivery network</w:t>
            </w:r>
          </w:p>
        </w:tc>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150000</w:t>
            </w:r>
          </w:p>
        </w:tc>
      </w:tr>
      <w:tr>
        <w:trPr>
          <w:trHeight w:val="1" w:hRule="atLeast"/>
          <w:jc w:val="left"/>
        </w:trPr>
        <w:tc>
          <w:tcPr>
            <w:tcW w:w="7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Cost of upgrading current website to handle large volume of sales</w:t>
            </w:r>
          </w:p>
        </w:tc>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50000</w:t>
            </w:r>
          </w:p>
        </w:tc>
      </w:tr>
      <w:tr>
        <w:trPr>
          <w:trHeight w:val="1" w:hRule="atLeast"/>
          <w:jc w:val="left"/>
        </w:trPr>
        <w:tc>
          <w:tcPr>
            <w:tcW w:w="7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Salary of full time IT programmer</w:t>
            </w:r>
          </w:p>
        </w:tc>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35000</w:t>
            </w:r>
          </w:p>
        </w:tc>
      </w:tr>
      <w:tr>
        <w:trPr>
          <w:trHeight w:val="1" w:hRule="atLeast"/>
          <w:jc w:val="left"/>
        </w:trPr>
        <w:tc>
          <w:tcPr>
            <w:tcW w:w="7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Total cost</w:t>
            </w:r>
          </w:p>
        </w:tc>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235000</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the initiated computed approach, it is abundantly clear that the managerial branch of this enterprise permits this option, so the enterprise desires to grant approximately £23500 as a total expenditure, collectively with the hiring of shipping networking, internet site handling, and revenue performance primarily (Horngren, 2020). The cutting-edge working method, in conjunction with the company's normal overall performance level, is delivering a large number of growth initiatives that have a significant influence on long-term commercial enterprise administration.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contrast, if the enterprise opts for the second option, which includes enlisting the assistance of a 1/3 birthday celebration such as Amazon, it will have to shell out nearly £50,000 in "Amazon fulfilment fees" to kick off the company's online marketing efforts (Kaplan, 2015). Because of the "high levels of competition between Amana Souvenirs and other marketers on these platforms, a large or guaranteed income quantity of 65,000 devices can effectively be initiated on Amazon that is commonly initiated in order to control the potentiality method together with marketing enhancement," the implementation of these initiatives can also entitle the basic quantity of commercial enterprise to work boom in a sustainable manner.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the aforementioned benefits can be realised through the presence of third-party online purchasing and selling initiatives, a significant amount of mission can also be associated with the lack of a controlling strategy over pricing and returning policies, particularly the method by which the familiar running development can't be initiated in a supportive and non-specific manner. Mr. Amana may also think about transferring Amana Ltd. to a specialised online retailer when he has radically improved product cognizance in the goal market for the first 1-2 years. Mr. Amana desires to supply Amazon with an attempt for at least a year or two, while keeping all the caveats in mind. There is no doubt that it will face stiff opposition in this vendor category (Olive, 2012). Despite this, it will supply Mr. Amana with correct facts on the stage of acceptance of the merchandise in the focused markets, permitting him to regulate advertising techniques over time to increase manufacturer awareness and patron loyalty. After Mr. Amana has spent the first year or two aggressively advertising Amana souvenirs in the target market, he may also figure out how to shift the company's income to a dedicated e-commerce website.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Given the current state of the world, the vast majority of organisations have begun systematically engaging in online trade. To ensure that this style continues unabated, a sustainable familiar accounting development, which consists of the format of commercial enterprise operations, should be implemented. Similarly, maintaining such a running method can provide the primary benefit of running sustainability, which is related to the overall performance and administration improvement of the association in a beneficial manner (Seal, 2014). In addition to that pricing strategy, the ordinary quantity of commercial enterprise productivity enhancement performances can also be begun in a sustainable manner if the administration launches the 1/3 birthday celebration web buying and selling initiatives in a systematic manner. Retail behemoths such as Tesco, ASDA, and Sainsbury's have grown accustomed to the use of an online purchasing and selling overall performance method that allows for a widely widespread increase and also considers operational accounting outcomes. To supplement the primary approach to commercial enterprise operation growth, modern management must also initiate systematic growth by focusing on accountability.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current accounting advancement, if the administration of this is designed to benefit the typical commercial enterprise's overall performance, then gaining access to a commercial enterprise through online purchasing and selling initiatives can also be considered fruitful in general due to supportive promotional reasons.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center"/>
        <w:rPr>
          <w:rFonts w:ascii="Times New Roman" w:hAnsi="Times New Roman" w:cs="Times New Roman" w:eastAsia="Times New Roman"/>
          <w:b/>
          <w:i/>
          <w:color w:val="E36C0A"/>
          <w:spacing w:val="0"/>
          <w:position w:val="0"/>
          <w:sz w:val="32"/>
          <w:u w:val="single"/>
          <w:shd w:fill="auto" w:val="clear"/>
        </w:rPr>
      </w:pPr>
      <w:r>
        <w:rPr>
          <w:rFonts w:ascii="Times New Roman" w:hAnsi="Times New Roman" w:cs="Times New Roman" w:eastAsia="Times New Roman"/>
          <w:b/>
          <w:i/>
          <w:color w:val="E36C0A"/>
          <w:spacing w:val="0"/>
          <w:position w:val="0"/>
          <w:sz w:val="32"/>
          <w:u w:val="single"/>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use of this accounting concept's foundational essentiality method, which was initially designed to take care of fundamental development and working capabilities, can efficiently control a business's frequent growth and operational development. Furthermore, it is launched with the primary goal of advancing the company's general accountability activities, the success of which ultimately depends on the system of the business's consistent and sustainable growth in shape. </w:t>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center"/>
        <w:rPr>
          <w:rFonts w:ascii="Times New Roman" w:hAnsi="Times New Roman" w:cs="Times New Roman" w:eastAsia="Times New Roman"/>
          <w:b/>
          <w:i/>
          <w:color w:val="E36C0A"/>
          <w:spacing w:val="0"/>
          <w:position w:val="0"/>
          <w:sz w:val="32"/>
          <w:u w:val="single"/>
          <w:shd w:fill="auto" w:val="clear"/>
        </w:rPr>
      </w:pPr>
      <w:r>
        <w:rPr>
          <w:rFonts w:ascii="Times New Roman" w:hAnsi="Times New Roman" w:cs="Times New Roman" w:eastAsia="Times New Roman"/>
          <w:b/>
          <w:i/>
          <w:color w:val="E36C0A"/>
          <w:spacing w:val="0"/>
          <w:position w:val="0"/>
          <w:sz w:val="32"/>
          <w:u w:val="single"/>
          <w:shd w:fill="auto" w:val="clear"/>
        </w:rPr>
        <w:t xml:space="preserve">References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Atkinson, A., Kaplan, R., Matsumura, E. and Young, S., 2016. </w:t>
      </w:r>
      <w:r>
        <w:rPr>
          <w:rFonts w:ascii="Times New Roman" w:hAnsi="Times New Roman" w:cs="Times New Roman" w:eastAsia="Times New Roman"/>
          <w:i/>
          <w:color w:val="auto"/>
          <w:spacing w:val="0"/>
          <w:position w:val="0"/>
          <w:sz w:val="24"/>
          <w:shd w:fill="auto" w:val="clear"/>
        </w:rPr>
        <w:t xml:space="preserve">Management accounting</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Bart, C., Bontis, N. and Wakefield, P., 2017. </w:t>
      </w:r>
      <w:r>
        <w:rPr>
          <w:rFonts w:ascii="Times New Roman" w:hAnsi="Times New Roman" w:cs="Times New Roman" w:eastAsia="Times New Roman"/>
          <w:i/>
          <w:color w:val="auto"/>
          <w:spacing w:val="0"/>
          <w:position w:val="0"/>
          <w:sz w:val="24"/>
          <w:shd w:fill="auto" w:val="clear"/>
        </w:rPr>
        <w:t xml:space="preserve">Management decision</w:t>
      </w:r>
      <w:r>
        <w:rPr>
          <w:rFonts w:ascii="Times New Roman" w:hAnsi="Times New Roman" w:cs="Times New Roman" w:eastAsia="Times New Roman"/>
          <w:color w:val="auto"/>
          <w:spacing w:val="0"/>
          <w:position w:val="0"/>
          <w:sz w:val="24"/>
          <w:shd w:fill="auto" w:val="clear"/>
        </w:rPr>
        <w:t xml:space="preserve">. Bradford: Emerald Insight.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Brigham, R., 2021. Management accounting.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Burney, L., 2013. Advances in management accounting.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Horngren, C., Sundem, G., Burgstahler, D., Schatzberg, J., Battista, D. and Horngren, C., 2020. </w:t>
      </w:r>
      <w:r>
        <w:rPr>
          <w:rFonts w:ascii="Times New Roman" w:hAnsi="Times New Roman" w:cs="Times New Roman" w:eastAsia="Times New Roman"/>
          <w:i/>
          <w:color w:val="auto"/>
          <w:spacing w:val="0"/>
          <w:position w:val="0"/>
          <w:sz w:val="24"/>
          <w:shd w:fill="auto" w:val="clear"/>
        </w:rPr>
        <w:t xml:space="preserve">Introduction to management accounting</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Kaplan, R. and Atkinson, A., 2015. </w:t>
      </w:r>
      <w:r>
        <w:rPr>
          <w:rFonts w:ascii="Times New Roman" w:hAnsi="Times New Roman" w:cs="Times New Roman" w:eastAsia="Times New Roman"/>
          <w:i/>
          <w:color w:val="auto"/>
          <w:spacing w:val="0"/>
          <w:position w:val="0"/>
          <w:sz w:val="24"/>
          <w:shd w:fill="auto" w:val="clear"/>
        </w:rPr>
        <w:t xml:space="preserve">Advanced management accounting</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Olive, C., 2012. </w:t>
      </w:r>
      <w:r>
        <w:rPr>
          <w:rFonts w:ascii="Times New Roman" w:hAnsi="Times New Roman" w:cs="Times New Roman" w:eastAsia="Times New Roman"/>
          <w:i/>
          <w:color w:val="auto"/>
          <w:spacing w:val="0"/>
          <w:position w:val="0"/>
          <w:sz w:val="24"/>
          <w:shd w:fill="auto" w:val="clear"/>
        </w:rPr>
        <w:t xml:space="preserve">Accounting management</w:t>
      </w:r>
      <w:r>
        <w:rPr>
          <w:rFonts w:ascii="Times New Roman" w:hAnsi="Times New Roman" w:cs="Times New Roman" w:eastAsia="Times New Roman"/>
          <w:color w:val="auto"/>
          <w:spacing w:val="0"/>
          <w:position w:val="0"/>
          <w:sz w:val="24"/>
          <w:shd w:fill="auto" w:val="clear"/>
        </w:rPr>
        <w:t xml:space="preserve">. New Delhi: World Technologies.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Seal, W., Rohde, C., Garrison, R. and Noreen, E., 2014. </w:t>
      </w:r>
      <w:r>
        <w:rPr>
          <w:rFonts w:ascii="Times New Roman" w:hAnsi="Times New Roman" w:cs="Times New Roman" w:eastAsia="Times New Roman"/>
          <w:i/>
          <w:color w:val="auto"/>
          <w:spacing w:val="0"/>
          <w:position w:val="0"/>
          <w:sz w:val="24"/>
          <w:shd w:fill="auto" w:val="clear"/>
        </w:rPr>
        <w:t xml:space="preserve">Management accounting</w:t>
      </w:r>
      <w:r>
        <w:rPr>
          <w:rFonts w:ascii="Times New Roman" w:hAnsi="Times New Roman" w:cs="Times New Roman" w:eastAsia="Times New Roman"/>
          <w:color w:val="auto"/>
          <w:spacing w:val="0"/>
          <w:position w:val="0"/>
          <w:sz w:val="24"/>
          <w:shd w:fill="auto" w:val="clear"/>
        </w:rPr>
        <w:t xml:space="preserv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