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5FA43" w14:textId="77777777" w:rsidR="0048632D" w:rsidRDefault="0048632D" w:rsidP="00B000D5">
      <w:pPr>
        <w:spacing w:before="50" w:after="50" w:line="360" w:lineRule="auto"/>
      </w:pPr>
    </w:p>
    <w:p w14:paraId="661E96B5" w14:textId="77777777" w:rsidR="0048632D" w:rsidRDefault="0048632D" w:rsidP="00B000D5">
      <w:pPr>
        <w:spacing w:before="50" w:after="50" w:line="360" w:lineRule="auto"/>
      </w:pPr>
    </w:p>
    <w:p w14:paraId="4F8447AF" w14:textId="77777777" w:rsidR="00670C5E" w:rsidRPr="00670C5E" w:rsidRDefault="00670C5E" w:rsidP="00670C5E">
      <w:pPr>
        <w:spacing w:line="360" w:lineRule="auto"/>
        <w:rPr>
          <w:b/>
          <w:bCs/>
          <w:color w:val="1F3A5F"/>
          <w:sz w:val="28"/>
          <w:szCs w:val="28"/>
        </w:rPr>
      </w:pPr>
    </w:p>
    <w:p w14:paraId="20BED2F4" w14:textId="302CC7AE" w:rsidR="00670C5E" w:rsidRPr="00670C5E" w:rsidRDefault="00670C5E" w:rsidP="00670C5E">
      <w:pPr>
        <w:spacing w:line="360" w:lineRule="auto"/>
        <w:rPr>
          <w:b/>
          <w:bCs/>
          <w:color w:val="1F3A5F"/>
          <w:sz w:val="28"/>
          <w:szCs w:val="28"/>
        </w:rPr>
      </w:pPr>
      <w:r w:rsidRPr="00670C5E">
        <w:rPr>
          <w:b/>
          <w:bCs/>
          <w:noProof/>
          <w:color w:val="1F3A5F"/>
          <w:sz w:val="28"/>
          <w:szCs w:val="28"/>
        </w:rPr>
        <w:drawing>
          <wp:anchor distT="0" distB="0" distL="114300" distR="114300" simplePos="0" relativeHeight="251659264" behindDoc="1" locked="0" layoutInCell="1" allowOverlap="1" wp14:anchorId="57C22EA5" wp14:editId="11F647CA">
            <wp:simplePos x="0" y="0"/>
            <wp:positionH relativeFrom="margin">
              <wp:posOffset>1447800</wp:posOffset>
            </wp:positionH>
            <wp:positionV relativeFrom="paragraph">
              <wp:posOffset>-130175</wp:posOffset>
            </wp:positionV>
            <wp:extent cx="3086100" cy="1289685"/>
            <wp:effectExtent l="0" t="0" r="0" b="0"/>
            <wp:wrapNone/>
            <wp:docPr id="150663419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86100" cy="1289685"/>
                    </a:xfrm>
                    <a:prstGeom prst="rect">
                      <a:avLst/>
                    </a:prstGeom>
                    <a:noFill/>
                  </pic:spPr>
                </pic:pic>
              </a:graphicData>
            </a:graphic>
            <wp14:sizeRelH relativeFrom="page">
              <wp14:pctWidth>0</wp14:pctWidth>
            </wp14:sizeRelH>
            <wp14:sizeRelV relativeFrom="page">
              <wp14:pctHeight>0</wp14:pctHeight>
            </wp14:sizeRelV>
          </wp:anchor>
        </w:drawing>
      </w:r>
    </w:p>
    <w:p w14:paraId="53AF8DF7" w14:textId="77777777" w:rsidR="00670C5E" w:rsidRPr="00670C5E" w:rsidRDefault="00670C5E" w:rsidP="00670C5E">
      <w:pPr>
        <w:spacing w:line="360" w:lineRule="auto"/>
        <w:rPr>
          <w:b/>
          <w:bCs/>
          <w:color w:val="1F3A5F"/>
          <w:sz w:val="28"/>
          <w:szCs w:val="28"/>
        </w:rPr>
      </w:pPr>
    </w:p>
    <w:p w14:paraId="10E626D5" w14:textId="77777777" w:rsidR="00670C5E" w:rsidRPr="00670C5E" w:rsidRDefault="00670C5E" w:rsidP="00670C5E">
      <w:pPr>
        <w:spacing w:line="360" w:lineRule="auto"/>
        <w:rPr>
          <w:b/>
          <w:bCs/>
          <w:color w:val="1F3A5F"/>
          <w:sz w:val="28"/>
          <w:szCs w:val="28"/>
        </w:rPr>
      </w:pPr>
    </w:p>
    <w:p w14:paraId="686C74A5" w14:textId="77777777" w:rsidR="00670C5E" w:rsidRPr="00670C5E" w:rsidRDefault="00670C5E" w:rsidP="00670C5E">
      <w:pPr>
        <w:spacing w:line="360" w:lineRule="auto"/>
        <w:rPr>
          <w:b/>
          <w:bCs/>
          <w:color w:val="1F3A5F"/>
          <w:sz w:val="28"/>
          <w:szCs w:val="28"/>
        </w:rPr>
      </w:pPr>
    </w:p>
    <w:p w14:paraId="23C3D1C8" w14:textId="77777777" w:rsidR="00670C5E" w:rsidRPr="00670C5E" w:rsidRDefault="00670C5E" w:rsidP="00670C5E">
      <w:pPr>
        <w:spacing w:line="360" w:lineRule="auto"/>
        <w:rPr>
          <w:b/>
          <w:bCs/>
          <w:color w:val="1F3A5F"/>
          <w:sz w:val="28"/>
          <w:szCs w:val="28"/>
        </w:rPr>
      </w:pPr>
    </w:p>
    <w:p w14:paraId="2A53B874" w14:textId="77777777" w:rsidR="00670C5E" w:rsidRPr="00670C5E" w:rsidRDefault="00670C5E" w:rsidP="00670C5E">
      <w:pPr>
        <w:spacing w:line="360" w:lineRule="auto"/>
        <w:rPr>
          <w:b/>
          <w:bCs/>
          <w:color w:val="1F3A5F"/>
          <w:sz w:val="28"/>
          <w:szCs w:val="28"/>
        </w:rPr>
      </w:pPr>
    </w:p>
    <w:p w14:paraId="68D808F7" w14:textId="77777777" w:rsidR="00670C5E" w:rsidRPr="00670C5E" w:rsidRDefault="00670C5E" w:rsidP="00670C5E">
      <w:pPr>
        <w:pStyle w:val="Strong1"/>
        <w:spacing w:line="600" w:lineRule="auto"/>
      </w:pPr>
      <w:proofErr w:type="spellStart"/>
      <w:r w:rsidRPr="00670C5E">
        <w:t>Programme</w:t>
      </w:r>
      <w:proofErr w:type="spellEnd"/>
      <w:r w:rsidRPr="00670C5E">
        <w:t xml:space="preserve">: Master of Business Administration </w:t>
      </w:r>
    </w:p>
    <w:p w14:paraId="42DCC8DE" w14:textId="2B25D2A8" w:rsidR="00670C5E" w:rsidRPr="00670C5E" w:rsidRDefault="00670C5E" w:rsidP="00670C5E">
      <w:pPr>
        <w:pStyle w:val="Strong1"/>
        <w:spacing w:line="600" w:lineRule="auto"/>
      </w:pPr>
      <w:r w:rsidRPr="00670C5E">
        <w:t>Module: Strategic Management</w:t>
      </w:r>
    </w:p>
    <w:p w14:paraId="2B12BE06" w14:textId="056BA0FD" w:rsidR="00670C5E" w:rsidRPr="00670C5E" w:rsidRDefault="00670C5E" w:rsidP="00670C5E">
      <w:pPr>
        <w:pStyle w:val="Strong1"/>
        <w:spacing w:line="600" w:lineRule="auto"/>
      </w:pPr>
      <w:r w:rsidRPr="00670C5E">
        <w:t>Module code: LCMB70</w:t>
      </w:r>
      <w:r>
        <w:t>03</w:t>
      </w:r>
    </w:p>
    <w:p w14:paraId="344A319F" w14:textId="693C6432" w:rsidR="00670C5E" w:rsidRPr="00670C5E" w:rsidRDefault="00670C5E" w:rsidP="00670C5E">
      <w:pPr>
        <w:pStyle w:val="Strong1"/>
        <w:spacing w:line="600" w:lineRule="auto"/>
      </w:pPr>
      <w:r w:rsidRPr="00670C5E">
        <w:t>Title: Strategic Analysis of Apple Inc.</w:t>
      </w:r>
      <w:r>
        <w:t xml:space="preserve"> </w:t>
      </w:r>
      <w:r w:rsidRPr="00670C5E">
        <w:t>Competitive Advantage, Sustainability and Strategic Renewal</w:t>
      </w:r>
    </w:p>
    <w:p w14:paraId="5F4AF05F" w14:textId="6A6803A0" w:rsidR="00670C5E" w:rsidRPr="00670C5E" w:rsidRDefault="00670C5E" w:rsidP="00670C5E">
      <w:pPr>
        <w:pStyle w:val="Strong1"/>
        <w:spacing w:line="600" w:lineRule="auto"/>
      </w:pPr>
      <w:r w:rsidRPr="00670C5E">
        <w:t xml:space="preserve">Lecturer: </w:t>
      </w:r>
      <w:proofErr w:type="spellStart"/>
      <w:r w:rsidRPr="00670C5E">
        <w:t>Zulf</w:t>
      </w:r>
      <w:proofErr w:type="spellEnd"/>
      <w:r w:rsidRPr="00670C5E">
        <w:t xml:space="preserve"> Khan</w:t>
      </w:r>
    </w:p>
    <w:p w14:paraId="58F45D21" w14:textId="77777777" w:rsidR="00670C5E" w:rsidRPr="00670C5E" w:rsidRDefault="00670C5E" w:rsidP="00670C5E">
      <w:pPr>
        <w:pStyle w:val="Strong1"/>
        <w:spacing w:line="600" w:lineRule="auto"/>
      </w:pPr>
      <w:r w:rsidRPr="00670C5E">
        <w:t xml:space="preserve">Student Name: Nihar </w:t>
      </w:r>
      <w:proofErr w:type="spellStart"/>
      <w:r w:rsidRPr="00670C5E">
        <w:t>Rameshbhai</w:t>
      </w:r>
      <w:proofErr w:type="spellEnd"/>
      <w:r w:rsidRPr="00670C5E">
        <w:t xml:space="preserve"> Devani</w:t>
      </w:r>
    </w:p>
    <w:p w14:paraId="31A5950E" w14:textId="77777777" w:rsidR="00670C5E" w:rsidRPr="00670C5E" w:rsidRDefault="00670C5E" w:rsidP="00670C5E">
      <w:pPr>
        <w:pStyle w:val="Strong1"/>
        <w:spacing w:line="600" w:lineRule="auto"/>
      </w:pPr>
      <w:r w:rsidRPr="00670C5E">
        <w:t>Student ID: 2439635</w:t>
      </w:r>
    </w:p>
    <w:p w14:paraId="3853FA4D" w14:textId="4772816A" w:rsidR="00670C5E" w:rsidRPr="00670C5E" w:rsidRDefault="00670C5E" w:rsidP="00670C5E">
      <w:pPr>
        <w:pStyle w:val="Strong1"/>
        <w:spacing w:line="600" w:lineRule="auto"/>
      </w:pPr>
      <w:r w:rsidRPr="00670C5E">
        <w:t>Submission Date: 01 April 2026</w:t>
      </w:r>
    </w:p>
    <w:p w14:paraId="07B7F341" w14:textId="77777777" w:rsidR="0048632D" w:rsidRDefault="00000000" w:rsidP="00B000D5">
      <w:pPr>
        <w:spacing w:line="360" w:lineRule="auto"/>
      </w:pPr>
      <w:r>
        <w:br w:type="page"/>
      </w:r>
    </w:p>
    <w:sdt>
      <w:sdtPr>
        <w:rPr>
          <w:rFonts w:ascii="Arial" w:eastAsia="Arial" w:hAnsi="Arial" w:cs="Arial"/>
          <w:color w:val="auto"/>
          <w:sz w:val="24"/>
          <w:szCs w:val="24"/>
        </w:rPr>
        <w:id w:val="467168470"/>
        <w:docPartObj>
          <w:docPartGallery w:val="Table of Contents"/>
          <w:docPartUnique/>
        </w:docPartObj>
      </w:sdtPr>
      <w:sdtEndPr>
        <w:rPr>
          <w:b/>
          <w:bCs/>
          <w:noProof/>
        </w:rPr>
      </w:sdtEndPr>
      <w:sdtContent>
        <w:p w14:paraId="72605160" w14:textId="39E8DC33" w:rsidR="00670C5E" w:rsidRDefault="00670C5E" w:rsidP="00DF6F56">
          <w:pPr>
            <w:pStyle w:val="TOCHeading"/>
            <w:spacing w:line="360" w:lineRule="auto"/>
          </w:pPr>
          <w:r>
            <w:t>Table of Contents</w:t>
          </w:r>
        </w:p>
        <w:p w14:paraId="404998FE" w14:textId="76DDDD48" w:rsidR="00670C5E" w:rsidRDefault="00670C5E" w:rsidP="00DF6F56">
          <w:pPr>
            <w:pStyle w:val="TOC1"/>
            <w:tabs>
              <w:tab w:val="right" w:leader="dot" w:pos="9016"/>
            </w:tabs>
            <w:spacing w:line="360" w:lineRule="auto"/>
            <w:rPr>
              <w:noProof/>
            </w:rPr>
          </w:pPr>
          <w:r>
            <w:fldChar w:fldCharType="begin"/>
          </w:r>
          <w:r>
            <w:instrText xml:space="preserve"> TOC \o "1-3" \h \z \u </w:instrText>
          </w:r>
          <w:r>
            <w:fldChar w:fldCharType="separate"/>
          </w:r>
          <w:hyperlink w:anchor="_Toc225898212" w:history="1">
            <w:r w:rsidRPr="00FC138E">
              <w:rPr>
                <w:rStyle w:val="Hyperlink"/>
                <w:noProof/>
              </w:rPr>
              <w:t>1.0 Organisational Context and Overview</w:t>
            </w:r>
            <w:r>
              <w:rPr>
                <w:noProof/>
                <w:webHidden/>
              </w:rPr>
              <w:tab/>
            </w:r>
            <w:r>
              <w:rPr>
                <w:noProof/>
                <w:webHidden/>
              </w:rPr>
              <w:fldChar w:fldCharType="begin"/>
            </w:r>
            <w:r>
              <w:rPr>
                <w:noProof/>
                <w:webHidden/>
              </w:rPr>
              <w:instrText xml:space="preserve"> PAGEREF _Toc225898212 \h </w:instrText>
            </w:r>
            <w:r>
              <w:rPr>
                <w:noProof/>
                <w:webHidden/>
              </w:rPr>
            </w:r>
            <w:r>
              <w:rPr>
                <w:noProof/>
                <w:webHidden/>
              </w:rPr>
              <w:fldChar w:fldCharType="separate"/>
            </w:r>
            <w:r>
              <w:rPr>
                <w:noProof/>
                <w:webHidden/>
              </w:rPr>
              <w:t>2</w:t>
            </w:r>
            <w:r>
              <w:rPr>
                <w:noProof/>
                <w:webHidden/>
              </w:rPr>
              <w:fldChar w:fldCharType="end"/>
            </w:r>
          </w:hyperlink>
        </w:p>
        <w:p w14:paraId="627F1F0A" w14:textId="7E3620D1" w:rsidR="00670C5E" w:rsidRDefault="00670C5E" w:rsidP="00DF6F56">
          <w:pPr>
            <w:pStyle w:val="TOC2"/>
            <w:tabs>
              <w:tab w:val="right" w:leader="dot" w:pos="9016"/>
            </w:tabs>
            <w:spacing w:line="360" w:lineRule="auto"/>
            <w:rPr>
              <w:noProof/>
            </w:rPr>
          </w:pPr>
          <w:hyperlink w:anchor="_Toc225898213" w:history="1">
            <w:r w:rsidRPr="00FC138E">
              <w:rPr>
                <w:rStyle w:val="Hyperlink"/>
                <w:noProof/>
              </w:rPr>
              <w:t>1.1 Company Overview and Historical Perspective</w:t>
            </w:r>
            <w:r>
              <w:rPr>
                <w:noProof/>
                <w:webHidden/>
              </w:rPr>
              <w:tab/>
            </w:r>
            <w:r>
              <w:rPr>
                <w:noProof/>
                <w:webHidden/>
              </w:rPr>
              <w:fldChar w:fldCharType="begin"/>
            </w:r>
            <w:r>
              <w:rPr>
                <w:noProof/>
                <w:webHidden/>
              </w:rPr>
              <w:instrText xml:space="preserve"> PAGEREF _Toc225898213 \h </w:instrText>
            </w:r>
            <w:r>
              <w:rPr>
                <w:noProof/>
                <w:webHidden/>
              </w:rPr>
            </w:r>
            <w:r>
              <w:rPr>
                <w:noProof/>
                <w:webHidden/>
              </w:rPr>
              <w:fldChar w:fldCharType="separate"/>
            </w:r>
            <w:r>
              <w:rPr>
                <w:noProof/>
                <w:webHidden/>
              </w:rPr>
              <w:t>2</w:t>
            </w:r>
            <w:r>
              <w:rPr>
                <w:noProof/>
                <w:webHidden/>
              </w:rPr>
              <w:fldChar w:fldCharType="end"/>
            </w:r>
          </w:hyperlink>
        </w:p>
        <w:p w14:paraId="41D6A982" w14:textId="7D70C28E" w:rsidR="00670C5E" w:rsidRDefault="00670C5E" w:rsidP="00DF6F56">
          <w:pPr>
            <w:pStyle w:val="TOC2"/>
            <w:tabs>
              <w:tab w:val="right" w:leader="dot" w:pos="9016"/>
            </w:tabs>
            <w:spacing w:line="360" w:lineRule="auto"/>
            <w:rPr>
              <w:noProof/>
            </w:rPr>
          </w:pPr>
          <w:hyperlink w:anchor="_Toc225898214" w:history="1">
            <w:r w:rsidRPr="00FC138E">
              <w:rPr>
                <w:rStyle w:val="Hyperlink"/>
                <w:noProof/>
              </w:rPr>
              <w:t>2.1 External Environment: PESTEL Analysis</w:t>
            </w:r>
            <w:r>
              <w:rPr>
                <w:noProof/>
                <w:webHidden/>
              </w:rPr>
              <w:tab/>
            </w:r>
            <w:r>
              <w:rPr>
                <w:noProof/>
                <w:webHidden/>
              </w:rPr>
              <w:fldChar w:fldCharType="begin"/>
            </w:r>
            <w:r>
              <w:rPr>
                <w:noProof/>
                <w:webHidden/>
              </w:rPr>
              <w:instrText xml:space="preserve"> PAGEREF _Toc225898214 \h </w:instrText>
            </w:r>
            <w:r>
              <w:rPr>
                <w:noProof/>
                <w:webHidden/>
              </w:rPr>
            </w:r>
            <w:r>
              <w:rPr>
                <w:noProof/>
                <w:webHidden/>
              </w:rPr>
              <w:fldChar w:fldCharType="separate"/>
            </w:r>
            <w:r>
              <w:rPr>
                <w:noProof/>
                <w:webHidden/>
              </w:rPr>
              <w:t>4</w:t>
            </w:r>
            <w:r>
              <w:rPr>
                <w:noProof/>
                <w:webHidden/>
              </w:rPr>
              <w:fldChar w:fldCharType="end"/>
            </w:r>
          </w:hyperlink>
        </w:p>
        <w:p w14:paraId="6331C920" w14:textId="07F6B39E" w:rsidR="00670C5E" w:rsidRDefault="00670C5E" w:rsidP="00DF6F56">
          <w:pPr>
            <w:pStyle w:val="TOC3"/>
            <w:tabs>
              <w:tab w:val="right" w:leader="dot" w:pos="9016"/>
            </w:tabs>
            <w:spacing w:line="360" w:lineRule="auto"/>
            <w:rPr>
              <w:noProof/>
            </w:rPr>
          </w:pPr>
          <w:hyperlink w:anchor="_Toc225898215" w:history="1">
            <w:r w:rsidRPr="00FC138E">
              <w:rPr>
                <w:rStyle w:val="Hyperlink"/>
                <w:noProof/>
              </w:rPr>
              <w:t>Political Factors</w:t>
            </w:r>
            <w:r>
              <w:rPr>
                <w:noProof/>
                <w:webHidden/>
              </w:rPr>
              <w:tab/>
            </w:r>
            <w:r>
              <w:rPr>
                <w:noProof/>
                <w:webHidden/>
              </w:rPr>
              <w:fldChar w:fldCharType="begin"/>
            </w:r>
            <w:r>
              <w:rPr>
                <w:noProof/>
                <w:webHidden/>
              </w:rPr>
              <w:instrText xml:space="preserve"> PAGEREF _Toc225898215 \h </w:instrText>
            </w:r>
            <w:r>
              <w:rPr>
                <w:noProof/>
                <w:webHidden/>
              </w:rPr>
            </w:r>
            <w:r>
              <w:rPr>
                <w:noProof/>
                <w:webHidden/>
              </w:rPr>
              <w:fldChar w:fldCharType="separate"/>
            </w:r>
            <w:r>
              <w:rPr>
                <w:noProof/>
                <w:webHidden/>
              </w:rPr>
              <w:t>4</w:t>
            </w:r>
            <w:r>
              <w:rPr>
                <w:noProof/>
                <w:webHidden/>
              </w:rPr>
              <w:fldChar w:fldCharType="end"/>
            </w:r>
          </w:hyperlink>
        </w:p>
        <w:p w14:paraId="07FDB5DB" w14:textId="4C007F3F" w:rsidR="00670C5E" w:rsidRDefault="00670C5E" w:rsidP="00DF6F56">
          <w:pPr>
            <w:pStyle w:val="TOC2"/>
            <w:tabs>
              <w:tab w:val="right" w:leader="dot" w:pos="9016"/>
            </w:tabs>
            <w:spacing w:line="360" w:lineRule="auto"/>
            <w:rPr>
              <w:noProof/>
            </w:rPr>
          </w:pPr>
          <w:hyperlink w:anchor="_Toc225898216" w:history="1">
            <w:r w:rsidRPr="00FC138E">
              <w:rPr>
                <w:rStyle w:val="Hyperlink"/>
                <w:noProof/>
              </w:rPr>
              <w:t>4.1 Financial Perspective</w:t>
            </w:r>
            <w:r>
              <w:rPr>
                <w:noProof/>
                <w:webHidden/>
              </w:rPr>
              <w:tab/>
            </w:r>
            <w:r>
              <w:rPr>
                <w:noProof/>
                <w:webHidden/>
              </w:rPr>
              <w:fldChar w:fldCharType="begin"/>
            </w:r>
            <w:r>
              <w:rPr>
                <w:noProof/>
                <w:webHidden/>
              </w:rPr>
              <w:instrText xml:space="preserve"> PAGEREF _Toc225898216 \h </w:instrText>
            </w:r>
            <w:r>
              <w:rPr>
                <w:noProof/>
                <w:webHidden/>
              </w:rPr>
            </w:r>
            <w:r>
              <w:rPr>
                <w:noProof/>
                <w:webHidden/>
              </w:rPr>
              <w:fldChar w:fldCharType="separate"/>
            </w:r>
            <w:r>
              <w:rPr>
                <w:noProof/>
                <w:webHidden/>
              </w:rPr>
              <w:t>12</w:t>
            </w:r>
            <w:r>
              <w:rPr>
                <w:noProof/>
                <w:webHidden/>
              </w:rPr>
              <w:fldChar w:fldCharType="end"/>
            </w:r>
          </w:hyperlink>
        </w:p>
        <w:p w14:paraId="2B36553F" w14:textId="0DF99803" w:rsidR="00670C5E" w:rsidRDefault="00670C5E" w:rsidP="00DF6F56">
          <w:pPr>
            <w:pStyle w:val="TOC2"/>
            <w:tabs>
              <w:tab w:val="right" w:leader="dot" w:pos="9016"/>
            </w:tabs>
            <w:spacing w:line="360" w:lineRule="auto"/>
            <w:rPr>
              <w:noProof/>
            </w:rPr>
          </w:pPr>
          <w:hyperlink w:anchor="_Toc225898217" w:history="1">
            <w:r w:rsidRPr="00FC138E">
              <w:rPr>
                <w:rStyle w:val="Hyperlink"/>
                <w:noProof/>
              </w:rPr>
              <w:t>4.4 Learning and Growth Perspective</w:t>
            </w:r>
            <w:r>
              <w:rPr>
                <w:noProof/>
                <w:webHidden/>
              </w:rPr>
              <w:tab/>
            </w:r>
            <w:r>
              <w:rPr>
                <w:noProof/>
                <w:webHidden/>
              </w:rPr>
              <w:fldChar w:fldCharType="begin"/>
            </w:r>
            <w:r>
              <w:rPr>
                <w:noProof/>
                <w:webHidden/>
              </w:rPr>
              <w:instrText xml:space="preserve"> PAGEREF _Toc225898217 \h </w:instrText>
            </w:r>
            <w:r>
              <w:rPr>
                <w:noProof/>
                <w:webHidden/>
              </w:rPr>
            </w:r>
            <w:r>
              <w:rPr>
                <w:noProof/>
                <w:webHidden/>
              </w:rPr>
              <w:fldChar w:fldCharType="separate"/>
            </w:r>
            <w:r>
              <w:rPr>
                <w:noProof/>
                <w:webHidden/>
              </w:rPr>
              <w:t>13</w:t>
            </w:r>
            <w:r>
              <w:rPr>
                <w:noProof/>
                <w:webHidden/>
              </w:rPr>
              <w:fldChar w:fldCharType="end"/>
            </w:r>
          </w:hyperlink>
        </w:p>
        <w:p w14:paraId="5E711EB0" w14:textId="07D4DCD4" w:rsidR="00670C5E" w:rsidRDefault="00670C5E" w:rsidP="00DF6F56">
          <w:pPr>
            <w:pStyle w:val="TOC1"/>
            <w:tabs>
              <w:tab w:val="right" w:leader="dot" w:pos="9016"/>
            </w:tabs>
            <w:spacing w:line="360" w:lineRule="auto"/>
            <w:rPr>
              <w:noProof/>
            </w:rPr>
          </w:pPr>
          <w:hyperlink w:anchor="_Toc225898218" w:history="1">
            <w:r w:rsidRPr="00FC138E">
              <w:rPr>
                <w:rStyle w:val="Hyperlink"/>
                <w:noProof/>
              </w:rPr>
              <w:t>5.0 Strategic Choices and Implementation</w:t>
            </w:r>
            <w:r>
              <w:rPr>
                <w:noProof/>
                <w:webHidden/>
              </w:rPr>
              <w:tab/>
            </w:r>
            <w:r>
              <w:rPr>
                <w:noProof/>
                <w:webHidden/>
              </w:rPr>
              <w:fldChar w:fldCharType="begin"/>
            </w:r>
            <w:r>
              <w:rPr>
                <w:noProof/>
                <w:webHidden/>
              </w:rPr>
              <w:instrText xml:space="preserve"> PAGEREF _Toc225898218 \h </w:instrText>
            </w:r>
            <w:r>
              <w:rPr>
                <w:noProof/>
                <w:webHidden/>
              </w:rPr>
            </w:r>
            <w:r>
              <w:rPr>
                <w:noProof/>
                <w:webHidden/>
              </w:rPr>
              <w:fldChar w:fldCharType="separate"/>
            </w:r>
            <w:r>
              <w:rPr>
                <w:noProof/>
                <w:webHidden/>
              </w:rPr>
              <w:t>14</w:t>
            </w:r>
            <w:r>
              <w:rPr>
                <w:noProof/>
                <w:webHidden/>
              </w:rPr>
              <w:fldChar w:fldCharType="end"/>
            </w:r>
          </w:hyperlink>
        </w:p>
        <w:p w14:paraId="34B326BF" w14:textId="02DAFC03" w:rsidR="00670C5E" w:rsidRDefault="00670C5E" w:rsidP="00DF6F56">
          <w:pPr>
            <w:pStyle w:val="TOC2"/>
            <w:tabs>
              <w:tab w:val="right" w:leader="dot" w:pos="9016"/>
            </w:tabs>
            <w:spacing w:line="360" w:lineRule="auto"/>
            <w:rPr>
              <w:noProof/>
            </w:rPr>
          </w:pPr>
          <w:hyperlink w:anchor="_Toc225898219" w:history="1">
            <w:r w:rsidRPr="00FC138E">
              <w:rPr>
                <w:rStyle w:val="Hyperlink"/>
                <w:noProof/>
              </w:rPr>
              <w:t>5.1 Business-Level Strategy</w:t>
            </w:r>
            <w:r>
              <w:rPr>
                <w:noProof/>
                <w:webHidden/>
              </w:rPr>
              <w:tab/>
            </w:r>
            <w:r>
              <w:rPr>
                <w:noProof/>
                <w:webHidden/>
              </w:rPr>
              <w:fldChar w:fldCharType="begin"/>
            </w:r>
            <w:r>
              <w:rPr>
                <w:noProof/>
                <w:webHidden/>
              </w:rPr>
              <w:instrText xml:space="preserve"> PAGEREF _Toc225898219 \h </w:instrText>
            </w:r>
            <w:r>
              <w:rPr>
                <w:noProof/>
                <w:webHidden/>
              </w:rPr>
            </w:r>
            <w:r>
              <w:rPr>
                <w:noProof/>
                <w:webHidden/>
              </w:rPr>
              <w:fldChar w:fldCharType="separate"/>
            </w:r>
            <w:r>
              <w:rPr>
                <w:noProof/>
                <w:webHidden/>
              </w:rPr>
              <w:t>14</w:t>
            </w:r>
            <w:r>
              <w:rPr>
                <w:noProof/>
                <w:webHidden/>
              </w:rPr>
              <w:fldChar w:fldCharType="end"/>
            </w:r>
          </w:hyperlink>
        </w:p>
        <w:p w14:paraId="57E23AF0" w14:textId="50EDD1D3" w:rsidR="00670C5E" w:rsidRDefault="00670C5E" w:rsidP="00DF6F56">
          <w:pPr>
            <w:pStyle w:val="TOC2"/>
            <w:tabs>
              <w:tab w:val="right" w:leader="dot" w:pos="9016"/>
            </w:tabs>
            <w:spacing w:line="360" w:lineRule="auto"/>
            <w:rPr>
              <w:noProof/>
            </w:rPr>
          </w:pPr>
          <w:hyperlink w:anchor="_Toc225898220" w:history="1">
            <w:r w:rsidRPr="00FC138E">
              <w:rPr>
                <w:rStyle w:val="Hyperlink"/>
                <w:noProof/>
              </w:rPr>
              <w:t>5.2 Corporate-Level Strategy</w:t>
            </w:r>
            <w:r>
              <w:rPr>
                <w:noProof/>
                <w:webHidden/>
              </w:rPr>
              <w:tab/>
            </w:r>
            <w:r>
              <w:rPr>
                <w:noProof/>
                <w:webHidden/>
              </w:rPr>
              <w:fldChar w:fldCharType="begin"/>
            </w:r>
            <w:r>
              <w:rPr>
                <w:noProof/>
                <w:webHidden/>
              </w:rPr>
              <w:instrText xml:space="preserve"> PAGEREF _Toc225898220 \h </w:instrText>
            </w:r>
            <w:r>
              <w:rPr>
                <w:noProof/>
                <w:webHidden/>
              </w:rPr>
            </w:r>
            <w:r>
              <w:rPr>
                <w:noProof/>
                <w:webHidden/>
              </w:rPr>
              <w:fldChar w:fldCharType="separate"/>
            </w:r>
            <w:r>
              <w:rPr>
                <w:noProof/>
                <w:webHidden/>
              </w:rPr>
              <w:t>15</w:t>
            </w:r>
            <w:r>
              <w:rPr>
                <w:noProof/>
                <w:webHidden/>
              </w:rPr>
              <w:fldChar w:fldCharType="end"/>
            </w:r>
          </w:hyperlink>
        </w:p>
        <w:p w14:paraId="1CFBE2F4" w14:textId="20206FD4" w:rsidR="00670C5E" w:rsidRDefault="00670C5E" w:rsidP="00DF6F56">
          <w:pPr>
            <w:pStyle w:val="TOC1"/>
            <w:tabs>
              <w:tab w:val="right" w:leader="dot" w:pos="9016"/>
            </w:tabs>
            <w:spacing w:line="360" w:lineRule="auto"/>
            <w:rPr>
              <w:noProof/>
            </w:rPr>
          </w:pPr>
          <w:hyperlink w:anchor="_Toc225898221" w:history="1">
            <w:r w:rsidRPr="00FC138E">
              <w:rPr>
                <w:rStyle w:val="Hyperlink"/>
                <w:noProof/>
              </w:rPr>
              <w:t>6.0 Strategic Evaluation and Recommendations</w:t>
            </w:r>
            <w:r>
              <w:rPr>
                <w:noProof/>
                <w:webHidden/>
              </w:rPr>
              <w:tab/>
            </w:r>
            <w:r>
              <w:rPr>
                <w:noProof/>
                <w:webHidden/>
              </w:rPr>
              <w:fldChar w:fldCharType="begin"/>
            </w:r>
            <w:r>
              <w:rPr>
                <w:noProof/>
                <w:webHidden/>
              </w:rPr>
              <w:instrText xml:space="preserve"> PAGEREF _Toc225898221 \h </w:instrText>
            </w:r>
            <w:r>
              <w:rPr>
                <w:noProof/>
                <w:webHidden/>
              </w:rPr>
            </w:r>
            <w:r>
              <w:rPr>
                <w:noProof/>
                <w:webHidden/>
              </w:rPr>
              <w:fldChar w:fldCharType="separate"/>
            </w:r>
            <w:r>
              <w:rPr>
                <w:noProof/>
                <w:webHidden/>
              </w:rPr>
              <w:t>17</w:t>
            </w:r>
            <w:r>
              <w:rPr>
                <w:noProof/>
                <w:webHidden/>
              </w:rPr>
              <w:fldChar w:fldCharType="end"/>
            </w:r>
          </w:hyperlink>
        </w:p>
        <w:p w14:paraId="063E7559" w14:textId="130B1538" w:rsidR="00670C5E" w:rsidRDefault="00670C5E" w:rsidP="00DF6F56">
          <w:pPr>
            <w:pStyle w:val="TOC2"/>
            <w:tabs>
              <w:tab w:val="right" w:leader="dot" w:pos="9016"/>
            </w:tabs>
            <w:spacing w:line="360" w:lineRule="auto"/>
            <w:rPr>
              <w:noProof/>
            </w:rPr>
          </w:pPr>
          <w:hyperlink w:anchor="_Toc225898222" w:history="1">
            <w:r w:rsidRPr="00FC138E">
              <w:rPr>
                <w:rStyle w:val="Hyperlink"/>
                <w:noProof/>
              </w:rPr>
              <w:t>6.1 SWOT Analysis</w:t>
            </w:r>
            <w:r>
              <w:rPr>
                <w:noProof/>
                <w:webHidden/>
              </w:rPr>
              <w:tab/>
            </w:r>
            <w:r>
              <w:rPr>
                <w:noProof/>
                <w:webHidden/>
              </w:rPr>
              <w:fldChar w:fldCharType="begin"/>
            </w:r>
            <w:r>
              <w:rPr>
                <w:noProof/>
                <w:webHidden/>
              </w:rPr>
              <w:instrText xml:space="preserve"> PAGEREF _Toc225898222 \h </w:instrText>
            </w:r>
            <w:r>
              <w:rPr>
                <w:noProof/>
                <w:webHidden/>
              </w:rPr>
            </w:r>
            <w:r>
              <w:rPr>
                <w:noProof/>
                <w:webHidden/>
              </w:rPr>
              <w:fldChar w:fldCharType="separate"/>
            </w:r>
            <w:r>
              <w:rPr>
                <w:noProof/>
                <w:webHidden/>
              </w:rPr>
              <w:t>17</w:t>
            </w:r>
            <w:r>
              <w:rPr>
                <w:noProof/>
                <w:webHidden/>
              </w:rPr>
              <w:fldChar w:fldCharType="end"/>
            </w:r>
          </w:hyperlink>
        </w:p>
        <w:p w14:paraId="25288E7B" w14:textId="648A72E2" w:rsidR="00670C5E" w:rsidRDefault="00670C5E" w:rsidP="00DF6F56">
          <w:pPr>
            <w:pStyle w:val="TOC2"/>
            <w:tabs>
              <w:tab w:val="right" w:leader="dot" w:pos="9016"/>
            </w:tabs>
            <w:spacing w:line="360" w:lineRule="auto"/>
            <w:rPr>
              <w:noProof/>
            </w:rPr>
          </w:pPr>
          <w:hyperlink w:anchor="_Toc225898223" w:history="1">
            <w:r w:rsidRPr="00FC138E">
              <w:rPr>
                <w:rStyle w:val="Hyperlink"/>
                <w:noProof/>
              </w:rPr>
              <w:t>6.2 Ansoff Matrix Application</w:t>
            </w:r>
            <w:r>
              <w:rPr>
                <w:noProof/>
                <w:webHidden/>
              </w:rPr>
              <w:tab/>
            </w:r>
            <w:r>
              <w:rPr>
                <w:noProof/>
                <w:webHidden/>
              </w:rPr>
              <w:fldChar w:fldCharType="begin"/>
            </w:r>
            <w:r>
              <w:rPr>
                <w:noProof/>
                <w:webHidden/>
              </w:rPr>
              <w:instrText xml:space="preserve"> PAGEREF _Toc225898223 \h </w:instrText>
            </w:r>
            <w:r>
              <w:rPr>
                <w:noProof/>
                <w:webHidden/>
              </w:rPr>
            </w:r>
            <w:r>
              <w:rPr>
                <w:noProof/>
                <w:webHidden/>
              </w:rPr>
              <w:fldChar w:fldCharType="separate"/>
            </w:r>
            <w:r>
              <w:rPr>
                <w:noProof/>
                <w:webHidden/>
              </w:rPr>
              <w:t>18</w:t>
            </w:r>
            <w:r>
              <w:rPr>
                <w:noProof/>
                <w:webHidden/>
              </w:rPr>
              <w:fldChar w:fldCharType="end"/>
            </w:r>
          </w:hyperlink>
        </w:p>
        <w:p w14:paraId="1FEED289" w14:textId="2449F183" w:rsidR="00670C5E" w:rsidRDefault="00670C5E" w:rsidP="00DF6F56">
          <w:pPr>
            <w:pStyle w:val="TOC2"/>
            <w:tabs>
              <w:tab w:val="right" w:leader="dot" w:pos="9016"/>
            </w:tabs>
            <w:spacing w:line="360" w:lineRule="auto"/>
            <w:rPr>
              <w:noProof/>
            </w:rPr>
          </w:pPr>
          <w:hyperlink w:anchor="_Toc225898224" w:history="1">
            <w:r w:rsidRPr="00FC138E">
              <w:rPr>
                <w:rStyle w:val="Hyperlink"/>
                <w:noProof/>
              </w:rPr>
              <w:t>6.3 BCG Matrix Analysis</w:t>
            </w:r>
            <w:r>
              <w:rPr>
                <w:noProof/>
                <w:webHidden/>
              </w:rPr>
              <w:tab/>
            </w:r>
            <w:r>
              <w:rPr>
                <w:noProof/>
                <w:webHidden/>
              </w:rPr>
              <w:fldChar w:fldCharType="begin"/>
            </w:r>
            <w:r>
              <w:rPr>
                <w:noProof/>
                <w:webHidden/>
              </w:rPr>
              <w:instrText xml:space="preserve"> PAGEREF _Toc225898224 \h </w:instrText>
            </w:r>
            <w:r>
              <w:rPr>
                <w:noProof/>
                <w:webHidden/>
              </w:rPr>
            </w:r>
            <w:r>
              <w:rPr>
                <w:noProof/>
                <w:webHidden/>
              </w:rPr>
              <w:fldChar w:fldCharType="separate"/>
            </w:r>
            <w:r>
              <w:rPr>
                <w:noProof/>
                <w:webHidden/>
              </w:rPr>
              <w:t>19</w:t>
            </w:r>
            <w:r>
              <w:rPr>
                <w:noProof/>
                <w:webHidden/>
              </w:rPr>
              <w:fldChar w:fldCharType="end"/>
            </w:r>
          </w:hyperlink>
        </w:p>
        <w:p w14:paraId="280FA10C" w14:textId="27A9695D" w:rsidR="00670C5E" w:rsidRDefault="00670C5E" w:rsidP="00DF6F56">
          <w:pPr>
            <w:pStyle w:val="TOC2"/>
            <w:tabs>
              <w:tab w:val="right" w:leader="dot" w:pos="9016"/>
            </w:tabs>
            <w:spacing w:line="360" w:lineRule="auto"/>
            <w:rPr>
              <w:noProof/>
            </w:rPr>
          </w:pPr>
          <w:hyperlink w:anchor="_Toc225898225" w:history="1">
            <w:r w:rsidRPr="00FC138E">
              <w:rPr>
                <w:rStyle w:val="Hyperlink"/>
                <w:noProof/>
              </w:rPr>
              <w:t>6.4 Strategic Recommendations</w:t>
            </w:r>
            <w:r>
              <w:rPr>
                <w:noProof/>
                <w:webHidden/>
              </w:rPr>
              <w:tab/>
            </w:r>
            <w:r>
              <w:rPr>
                <w:noProof/>
                <w:webHidden/>
              </w:rPr>
              <w:fldChar w:fldCharType="begin"/>
            </w:r>
            <w:r>
              <w:rPr>
                <w:noProof/>
                <w:webHidden/>
              </w:rPr>
              <w:instrText xml:space="preserve"> PAGEREF _Toc225898225 \h </w:instrText>
            </w:r>
            <w:r>
              <w:rPr>
                <w:noProof/>
                <w:webHidden/>
              </w:rPr>
            </w:r>
            <w:r>
              <w:rPr>
                <w:noProof/>
                <w:webHidden/>
              </w:rPr>
              <w:fldChar w:fldCharType="separate"/>
            </w:r>
            <w:r>
              <w:rPr>
                <w:noProof/>
                <w:webHidden/>
              </w:rPr>
              <w:t>20</w:t>
            </w:r>
            <w:r>
              <w:rPr>
                <w:noProof/>
                <w:webHidden/>
              </w:rPr>
              <w:fldChar w:fldCharType="end"/>
            </w:r>
          </w:hyperlink>
        </w:p>
        <w:p w14:paraId="7AA20393" w14:textId="7AFF04A4" w:rsidR="00670C5E" w:rsidRDefault="00670C5E" w:rsidP="00DF6F56">
          <w:pPr>
            <w:pStyle w:val="TOC1"/>
            <w:tabs>
              <w:tab w:val="right" w:leader="dot" w:pos="9016"/>
            </w:tabs>
            <w:spacing w:line="360" w:lineRule="auto"/>
            <w:rPr>
              <w:noProof/>
            </w:rPr>
          </w:pPr>
          <w:hyperlink w:anchor="_Toc225898226" w:history="1">
            <w:r w:rsidRPr="00FC138E">
              <w:rPr>
                <w:rStyle w:val="Hyperlink"/>
                <w:noProof/>
              </w:rPr>
              <w:t>Reflective Account: Gibbs Reflective Cycle</w:t>
            </w:r>
            <w:r>
              <w:rPr>
                <w:noProof/>
                <w:webHidden/>
              </w:rPr>
              <w:tab/>
            </w:r>
            <w:r>
              <w:rPr>
                <w:noProof/>
                <w:webHidden/>
              </w:rPr>
              <w:fldChar w:fldCharType="begin"/>
            </w:r>
            <w:r>
              <w:rPr>
                <w:noProof/>
                <w:webHidden/>
              </w:rPr>
              <w:instrText xml:space="preserve"> PAGEREF _Toc225898226 \h </w:instrText>
            </w:r>
            <w:r>
              <w:rPr>
                <w:noProof/>
                <w:webHidden/>
              </w:rPr>
            </w:r>
            <w:r>
              <w:rPr>
                <w:noProof/>
                <w:webHidden/>
              </w:rPr>
              <w:fldChar w:fldCharType="separate"/>
            </w:r>
            <w:r>
              <w:rPr>
                <w:noProof/>
                <w:webHidden/>
              </w:rPr>
              <w:t>22</w:t>
            </w:r>
            <w:r>
              <w:rPr>
                <w:noProof/>
                <w:webHidden/>
              </w:rPr>
              <w:fldChar w:fldCharType="end"/>
            </w:r>
          </w:hyperlink>
        </w:p>
        <w:p w14:paraId="347023C7" w14:textId="5C170056" w:rsidR="00670C5E" w:rsidRDefault="00670C5E" w:rsidP="00DF6F56">
          <w:pPr>
            <w:pStyle w:val="TOC2"/>
            <w:tabs>
              <w:tab w:val="right" w:leader="dot" w:pos="9016"/>
            </w:tabs>
            <w:spacing w:line="360" w:lineRule="auto"/>
            <w:rPr>
              <w:noProof/>
            </w:rPr>
          </w:pPr>
          <w:hyperlink w:anchor="_Toc225898227" w:history="1">
            <w:r w:rsidRPr="00FC138E">
              <w:rPr>
                <w:rStyle w:val="Hyperlink"/>
                <w:noProof/>
              </w:rPr>
              <w:t>Description</w:t>
            </w:r>
            <w:r>
              <w:rPr>
                <w:noProof/>
                <w:webHidden/>
              </w:rPr>
              <w:tab/>
            </w:r>
            <w:r>
              <w:rPr>
                <w:noProof/>
                <w:webHidden/>
              </w:rPr>
              <w:fldChar w:fldCharType="begin"/>
            </w:r>
            <w:r>
              <w:rPr>
                <w:noProof/>
                <w:webHidden/>
              </w:rPr>
              <w:instrText xml:space="preserve"> PAGEREF _Toc225898227 \h </w:instrText>
            </w:r>
            <w:r>
              <w:rPr>
                <w:noProof/>
                <w:webHidden/>
              </w:rPr>
            </w:r>
            <w:r>
              <w:rPr>
                <w:noProof/>
                <w:webHidden/>
              </w:rPr>
              <w:fldChar w:fldCharType="separate"/>
            </w:r>
            <w:r>
              <w:rPr>
                <w:noProof/>
                <w:webHidden/>
              </w:rPr>
              <w:t>22</w:t>
            </w:r>
            <w:r>
              <w:rPr>
                <w:noProof/>
                <w:webHidden/>
              </w:rPr>
              <w:fldChar w:fldCharType="end"/>
            </w:r>
          </w:hyperlink>
        </w:p>
        <w:p w14:paraId="4D19490E" w14:textId="13520915" w:rsidR="00670C5E" w:rsidRDefault="00670C5E" w:rsidP="00DF6F56">
          <w:pPr>
            <w:pStyle w:val="TOC2"/>
            <w:tabs>
              <w:tab w:val="right" w:leader="dot" w:pos="9016"/>
            </w:tabs>
            <w:spacing w:line="360" w:lineRule="auto"/>
            <w:rPr>
              <w:noProof/>
            </w:rPr>
          </w:pPr>
          <w:hyperlink w:anchor="_Toc225898228" w:history="1">
            <w:r w:rsidRPr="00FC138E">
              <w:rPr>
                <w:rStyle w:val="Hyperlink"/>
                <w:noProof/>
              </w:rPr>
              <w:t>Feelings</w:t>
            </w:r>
            <w:r>
              <w:rPr>
                <w:noProof/>
                <w:webHidden/>
              </w:rPr>
              <w:tab/>
            </w:r>
            <w:r>
              <w:rPr>
                <w:noProof/>
                <w:webHidden/>
              </w:rPr>
              <w:fldChar w:fldCharType="begin"/>
            </w:r>
            <w:r>
              <w:rPr>
                <w:noProof/>
                <w:webHidden/>
              </w:rPr>
              <w:instrText xml:space="preserve"> PAGEREF _Toc225898228 \h </w:instrText>
            </w:r>
            <w:r>
              <w:rPr>
                <w:noProof/>
                <w:webHidden/>
              </w:rPr>
            </w:r>
            <w:r>
              <w:rPr>
                <w:noProof/>
                <w:webHidden/>
              </w:rPr>
              <w:fldChar w:fldCharType="separate"/>
            </w:r>
            <w:r>
              <w:rPr>
                <w:noProof/>
                <w:webHidden/>
              </w:rPr>
              <w:t>22</w:t>
            </w:r>
            <w:r>
              <w:rPr>
                <w:noProof/>
                <w:webHidden/>
              </w:rPr>
              <w:fldChar w:fldCharType="end"/>
            </w:r>
          </w:hyperlink>
        </w:p>
        <w:p w14:paraId="5E148E07" w14:textId="3DC8FB76" w:rsidR="00670C5E" w:rsidRDefault="00670C5E" w:rsidP="00DF6F56">
          <w:pPr>
            <w:pStyle w:val="TOC2"/>
            <w:tabs>
              <w:tab w:val="right" w:leader="dot" w:pos="9016"/>
            </w:tabs>
            <w:spacing w:line="360" w:lineRule="auto"/>
            <w:rPr>
              <w:noProof/>
            </w:rPr>
          </w:pPr>
          <w:hyperlink w:anchor="_Toc225898229" w:history="1">
            <w:r w:rsidRPr="00FC138E">
              <w:rPr>
                <w:rStyle w:val="Hyperlink"/>
                <w:noProof/>
              </w:rPr>
              <w:t>Evaluation</w:t>
            </w:r>
            <w:r>
              <w:rPr>
                <w:noProof/>
                <w:webHidden/>
              </w:rPr>
              <w:tab/>
            </w:r>
            <w:r>
              <w:rPr>
                <w:noProof/>
                <w:webHidden/>
              </w:rPr>
              <w:fldChar w:fldCharType="begin"/>
            </w:r>
            <w:r>
              <w:rPr>
                <w:noProof/>
                <w:webHidden/>
              </w:rPr>
              <w:instrText xml:space="preserve"> PAGEREF _Toc225898229 \h </w:instrText>
            </w:r>
            <w:r>
              <w:rPr>
                <w:noProof/>
                <w:webHidden/>
              </w:rPr>
            </w:r>
            <w:r>
              <w:rPr>
                <w:noProof/>
                <w:webHidden/>
              </w:rPr>
              <w:fldChar w:fldCharType="separate"/>
            </w:r>
            <w:r>
              <w:rPr>
                <w:noProof/>
                <w:webHidden/>
              </w:rPr>
              <w:t>24</w:t>
            </w:r>
            <w:r>
              <w:rPr>
                <w:noProof/>
                <w:webHidden/>
              </w:rPr>
              <w:fldChar w:fldCharType="end"/>
            </w:r>
          </w:hyperlink>
        </w:p>
        <w:p w14:paraId="55998A9E" w14:textId="286E56B3" w:rsidR="00670C5E" w:rsidRDefault="00670C5E" w:rsidP="00DF6F56">
          <w:pPr>
            <w:pStyle w:val="TOC2"/>
            <w:tabs>
              <w:tab w:val="right" w:leader="dot" w:pos="9016"/>
            </w:tabs>
            <w:spacing w:line="360" w:lineRule="auto"/>
            <w:rPr>
              <w:noProof/>
            </w:rPr>
          </w:pPr>
          <w:hyperlink w:anchor="_Toc225898230" w:history="1">
            <w:r w:rsidRPr="00FC138E">
              <w:rPr>
                <w:rStyle w:val="Hyperlink"/>
                <w:noProof/>
              </w:rPr>
              <w:t>Conclusion</w:t>
            </w:r>
            <w:r>
              <w:rPr>
                <w:noProof/>
                <w:webHidden/>
              </w:rPr>
              <w:tab/>
            </w:r>
            <w:r>
              <w:rPr>
                <w:noProof/>
                <w:webHidden/>
              </w:rPr>
              <w:fldChar w:fldCharType="begin"/>
            </w:r>
            <w:r>
              <w:rPr>
                <w:noProof/>
                <w:webHidden/>
              </w:rPr>
              <w:instrText xml:space="preserve"> PAGEREF _Toc225898230 \h </w:instrText>
            </w:r>
            <w:r>
              <w:rPr>
                <w:noProof/>
                <w:webHidden/>
              </w:rPr>
            </w:r>
            <w:r>
              <w:rPr>
                <w:noProof/>
                <w:webHidden/>
              </w:rPr>
              <w:fldChar w:fldCharType="separate"/>
            </w:r>
            <w:r>
              <w:rPr>
                <w:noProof/>
                <w:webHidden/>
              </w:rPr>
              <w:t>25</w:t>
            </w:r>
            <w:r>
              <w:rPr>
                <w:noProof/>
                <w:webHidden/>
              </w:rPr>
              <w:fldChar w:fldCharType="end"/>
            </w:r>
          </w:hyperlink>
        </w:p>
        <w:p w14:paraId="741ED04D" w14:textId="2C00E89F" w:rsidR="00670C5E" w:rsidRDefault="00670C5E" w:rsidP="00DF6F56">
          <w:pPr>
            <w:spacing w:line="360" w:lineRule="auto"/>
          </w:pPr>
          <w:r>
            <w:rPr>
              <w:b/>
              <w:bCs/>
              <w:noProof/>
            </w:rPr>
            <w:fldChar w:fldCharType="end"/>
          </w:r>
        </w:p>
      </w:sdtContent>
    </w:sdt>
    <w:p w14:paraId="6663A5CA" w14:textId="77777777" w:rsidR="00670C5E" w:rsidRDefault="00670C5E" w:rsidP="00DF6F56">
      <w:pPr>
        <w:spacing w:before="200" w:after="280" w:line="360" w:lineRule="auto"/>
        <w:jc w:val="center"/>
        <w:rPr>
          <w:b/>
          <w:bCs/>
          <w:color w:val="1F3A5F"/>
          <w:sz w:val="30"/>
          <w:szCs w:val="30"/>
        </w:rPr>
      </w:pPr>
    </w:p>
    <w:p w14:paraId="7443FFE3" w14:textId="77777777" w:rsidR="00670C5E" w:rsidRDefault="00670C5E" w:rsidP="00B000D5">
      <w:pPr>
        <w:spacing w:before="200" w:after="280" w:line="360" w:lineRule="auto"/>
        <w:jc w:val="center"/>
        <w:rPr>
          <w:b/>
          <w:bCs/>
          <w:color w:val="1F3A5F"/>
          <w:sz w:val="30"/>
          <w:szCs w:val="30"/>
        </w:rPr>
      </w:pPr>
    </w:p>
    <w:p w14:paraId="33ACDA8B" w14:textId="77777777" w:rsidR="00670C5E" w:rsidRDefault="00670C5E" w:rsidP="00B000D5">
      <w:pPr>
        <w:spacing w:before="200" w:after="280" w:line="360" w:lineRule="auto"/>
        <w:jc w:val="center"/>
        <w:rPr>
          <w:b/>
          <w:bCs/>
          <w:color w:val="1F3A5F"/>
          <w:sz w:val="30"/>
          <w:szCs w:val="30"/>
        </w:rPr>
      </w:pPr>
    </w:p>
    <w:p w14:paraId="14A51144" w14:textId="77777777" w:rsidR="00670C5E" w:rsidRDefault="00670C5E" w:rsidP="00DE2DAC">
      <w:pPr>
        <w:spacing w:before="200" w:after="280" w:line="360" w:lineRule="auto"/>
        <w:rPr>
          <w:b/>
          <w:bCs/>
          <w:color w:val="1F3A5F"/>
          <w:sz w:val="30"/>
          <w:szCs w:val="30"/>
        </w:rPr>
      </w:pPr>
    </w:p>
    <w:p w14:paraId="6FD397D0" w14:textId="46C5283A" w:rsidR="0048632D" w:rsidRDefault="00000000" w:rsidP="00B000D5">
      <w:pPr>
        <w:spacing w:before="200" w:after="280" w:line="360" w:lineRule="auto"/>
        <w:jc w:val="center"/>
      </w:pPr>
      <w:r>
        <w:rPr>
          <w:b/>
          <w:bCs/>
          <w:color w:val="1F3A5F"/>
          <w:sz w:val="30"/>
          <w:szCs w:val="30"/>
        </w:rPr>
        <w:lastRenderedPageBreak/>
        <w:t>SECTION 1: STRATEGIC ANALYSIS</w:t>
      </w:r>
    </w:p>
    <w:p w14:paraId="2373F2B0" w14:textId="77777777" w:rsidR="0048632D" w:rsidRDefault="00000000" w:rsidP="00B000D5">
      <w:pPr>
        <w:pStyle w:val="Heading1"/>
        <w:spacing w:line="360" w:lineRule="auto"/>
      </w:pPr>
      <w:bookmarkStart w:id="0" w:name="_Toc225898212"/>
      <w:r>
        <w:t xml:space="preserve">1.0 </w:t>
      </w:r>
      <w:proofErr w:type="spellStart"/>
      <w:r>
        <w:t>Organisational</w:t>
      </w:r>
      <w:proofErr w:type="spellEnd"/>
      <w:r>
        <w:t xml:space="preserve"> Context and Overview</w:t>
      </w:r>
      <w:bookmarkEnd w:id="0"/>
    </w:p>
    <w:p w14:paraId="3232019C" w14:textId="77777777" w:rsidR="0048632D" w:rsidRDefault="00000000" w:rsidP="00B000D5">
      <w:pPr>
        <w:pStyle w:val="Heading2"/>
        <w:spacing w:line="360" w:lineRule="auto"/>
      </w:pPr>
      <w:bookmarkStart w:id="1" w:name="_Toc225898213"/>
      <w:r>
        <w:t>1.1 Company Overview and Historical Perspective</w:t>
      </w:r>
      <w:bookmarkEnd w:id="1"/>
    </w:p>
    <w:p w14:paraId="01594AFF" w14:textId="77777777" w:rsidR="00DA69FD" w:rsidRDefault="00460557" w:rsidP="00B000D5">
      <w:pPr>
        <w:spacing w:before="100" w:after="100" w:line="360" w:lineRule="auto"/>
        <w:jc w:val="both"/>
      </w:pPr>
      <w:r w:rsidRPr="00460557">
        <w:t>Steve Jobs, Steve Wozniak, and Ronald Wayne started Apple Inc. in a garage in Cupertino, California, in 1976. It grew to become one of the most valuable companies in history (Isaacson, 2011). But that journey was anything but easy. It's easy to forget that Apple almost went bankrupt in 1997 when you look at how well they're doing now. Jobs's return that year and the decisions about products that came after the iMac, iPod, iPhone, and iPad completely changed the company (</w:t>
      </w:r>
      <w:proofErr w:type="spellStart"/>
      <w:r w:rsidRPr="00460557">
        <w:t>Yoffie</w:t>
      </w:r>
      <w:proofErr w:type="spellEnd"/>
      <w:r w:rsidRPr="00460557">
        <w:t xml:space="preserve"> and Cusumano, 2015). Still, that episode is important from a strategic point of view because it shows that even the most well-known brands can lose their way when they stop focusing on what they do best. </w:t>
      </w:r>
    </w:p>
    <w:p w14:paraId="3DFD6FB5" w14:textId="77777777" w:rsidR="00DA69FD" w:rsidRDefault="00460557" w:rsidP="00B000D5">
      <w:pPr>
        <w:spacing w:before="100" w:after="100" w:line="360" w:lineRule="auto"/>
        <w:jc w:val="both"/>
      </w:pPr>
      <w:r w:rsidRPr="00460557">
        <w:br/>
        <w:t>Apple's goal today is to make the best possible experience for users through its hardware, software, and services. Collins and Porras (1996) would call this a core ideology, which is a set of beliefs that go beyond just one product. In practice, this means vertical integration, high prices, and an ecosystem that is really hard to leave. In the fiscal year 2023, Apple made about $383 billion. The Services division, which includes the App Store, Apple Music, iCloud, Apple TV+, and Apple Pay, made $85.2 billion with gross margins over 70% (Apple Inc., 2023b). Apple is purposefully moving toward services, and this is important because it makes the company less dependent on whether or not people upgrade their phones this year or next.</w:t>
      </w:r>
    </w:p>
    <w:p w14:paraId="51FE6FFC" w14:textId="599ED926" w:rsidR="00460557" w:rsidRPr="00460557" w:rsidRDefault="00460557" w:rsidP="00B000D5">
      <w:pPr>
        <w:spacing w:before="100" w:after="100" w:line="360" w:lineRule="auto"/>
        <w:jc w:val="both"/>
      </w:pPr>
      <w:r w:rsidRPr="00460557">
        <w:br/>
        <w:t>The company's products fall into five groups: iPhones, Macs, iPads, wearables and accessories, and services. The BCG analysis in Section 6 will really look at whether that breadth is a coherent ecosystem or a bunch of assets that make it hard to focus on strategy.</w:t>
      </w:r>
    </w:p>
    <w:p w14:paraId="7D88F4E6" w14:textId="0EC9F480" w:rsidR="0048632D" w:rsidRDefault="00000000" w:rsidP="00B000D5">
      <w:pPr>
        <w:spacing w:before="100" w:after="100" w:line="360" w:lineRule="auto"/>
        <w:jc w:val="both"/>
      </w:pPr>
      <w:r>
        <w:rPr>
          <w:b/>
          <w:bCs/>
          <w:color w:val="2E4057"/>
          <w:sz w:val="26"/>
          <w:szCs w:val="26"/>
        </w:rPr>
        <w:t>1.2 Industry, Competitors, and Market Position</w:t>
      </w:r>
    </w:p>
    <w:p w14:paraId="0BF4E5AF" w14:textId="77777777" w:rsidR="00DA69FD" w:rsidRDefault="00460557" w:rsidP="00B000D5">
      <w:pPr>
        <w:spacing w:before="100" w:after="100" w:line="360" w:lineRule="auto"/>
        <w:jc w:val="both"/>
      </w:pPr>
      <w:r w:rsidRPr="00460557">
        <w:t xml:space="preserve">Apple is in the middle of consumer electronics, software platforms, and digital services. These three industries have very different ways of competing, which makes it hard to </w:t>
      </w:r>
      <w:r w:rsidRPr="00460557">
        <w:lastRenderedPageBreak/>
        <w:t>figure out how to position yourself strategically. The smartphone market is mostly full in North America and Europe, but it is still growing in South Asia, Africa, and Latin America (IDC, 2024). Apple's share of the global smartphone market is about 18%, which isn't very large. But here's what makes the picture interesting: Apple makes about 85% of all the money made by smartphone companies around the world (Counterpoint Research, 2023). The difference between share and profitability is the best example of what premium positioning can do and how much it costs in terms of volume ceiling.</w:t>
      </w:r>
    </w:p>
    <w:p w14:paraId="2AE2AB01" w14:textId="52DD3988" w:rsidR="00460557" w:rsidRPr="00460557" w:rsidRDefault="00460557" w:rsidP="00B000D5">
      <w:pPr>
        <w:spacing w:before="100" w:after="100" w:line="360" w:lineRule="auto"/>
        <w:jc w:val="both"/>
      </w:pPr>
      <w:r w:rsidRPr="00460557">
        <w:t xml:space="preserve"> </w:t>
      </w:r>
      <w:r w:rsidRPr="00460557">
        <w:br/>
        <w:t>Samsung is the main competitor in hardware, Alphabet (Google) is the main competitor in Android and Pixel, Microsoft is the main competitor in enterprise and AI, and a growing number of Chinese manufacturers like Huawei, Xiaomi, and OPPO are competing hard on price-to-specification in emerging markets (Gartner, 2023). Porter's (1980) five forces framework is useful here: there is a lot of competition among high-end manufacturers; buyers are gaining power as they wait longer to replace their products; suppliers have a lot of power because Apple relies on TSMC; new entrants at the high-end face high brand barriers; and substitutes in wearables and streaming are becoming more popular. This structure rewards differentiation but makes it really dangerous to rely on just one supplier. This is a tension that runs through the rest of this analysis.</w:t>
      </w:r>
    </w:p>
    <w:p w14:paraId="06D1F44B" w14:textId="77777777" w:rsidR="00B000D5" w:rsidRDefault="00B000D5" w:rsidP="00B000D5">
      <w:pPr>
        <w:spacing w:before="100" w:after="100" w:line="360" w:lineRule="auto"/>
        <w:jc w:val="both"/>
        <w:rPr>
          <w:b/>
          <w:bCs/>
          <w:color w:val="1F3A5F"/>
          <w:sz w:val="28"/>
          <w:szCs w:val="28"/>
        </w:rPr>
      </w:pPr>
    </w:p>
    <w:p w14:paraId="67241E23" w14:textId="77777777" w:rsidR="00B000D5" w:rsidRDefault="00B000D5" w:rsidP="00B000D5">
      <w:pPr>
        <w:spacing w:before="100" w:after="100" w:line="360" w:lineRule="auto"/>
        <w:jc w:val="both"/>
        <w:rPr>
          <w:b/>
          <w:bCs/>
          <w:color w:val="1F3A5F"/>
          <w:sz w:val="28"/>
          <w:szCs w:val="28"/>
        </w:rPr>
      </w:pPr>
    </w:p>
    <w:p w14:paraId="2B97B34A" w14:textId="77777777" w:rsidR="00B000D5" w:rsidRDefault="00B000D5" w:rsidP="00B000D5">
      <w:pPr>
        <w:spacing w:before="100" w:after="100" w:line="360" w:lineRule="auto"/>
        <w:jc w:val="both"/>
        <w:rPr>
          <w:b/>
          <w:bCs/>
          <w:color w:val="1F3A5F"/>
          <w:sz w:val="28"/>
          <w:szCs w:val="28"/>
        </w:rPr>
      </w:pPr>
    </w:p>
    <w:p w14:paraId="43AF690E" w14:textId="77777777" w:rsidR="00B000D5" w:rsidRDefault="00B000D5" w:rsidP="00B000D5">
      <w:pPr>
        <w:spacing w:before="100" w:after="100" w:line="360" w:lineRule="auto"/>
        <w:jc w:val="both"/>
        <w:rPr>
          <w:b/>
          <w:bCs/>
          <w:color w:val="1F3A5F"/>
          <w:sz w:val="28"/>
          <w:szCs w:val="28"/>
        </w:rPr>
      </w:pPr>
    </w:p>
    <w:p w14:paraId="24FF22CE" w14:textId="77777777" w:rsidR="00B000D5" w:rsidRDefault="00B000D5" w:rsidP="00B000D5">
      <w:pPr>
        <w:spacing w:before="100" w:after="100" w:line="360" w:lineRule="auto"/>
        <w:jc w:val="both"/>
        <w:rPr>
          <w:b/>
          <w:bCs/>
          <w:color w:val="1F3A5F"/>
          <w:sz w:val="28"/>
          <w:szCs w:val="28"/>
        </w:rPr>
      </w:pPr>
    </w:p>
    <w:p w14:paraId="3A3DB121" w14:textId="77777777" w:rsidR="00B000D5" w:rsidRDefault="00B000D5" w:rsidP="00B000D5">
      <w:pPr>
        <w:spacing w:before="100" w:after="100" w:line="360" w:lineRule="auto"/>
        <w:jc w:val="both"/>
        <w:rPr>
          <w:b/>
          <w:bCs/>
          <w:color w:val="1F3A5F"/>
          <w:sz w:val="28"/>
          <w:szCs w:val="28"/>
        </w:rPr>
      </w:pPr>
    </w:p>
    <w:p w14:paraId="6844614F" w14:textId="77777777" w:rsidR="00B000D5" w:rsidRDefault="00B000D5" w:rsidP="00B000D5">
      <w:pPr>
        <w:spacing w:before="100" w:after="100" w:line="360" w:lineRule="auto"/>
        <w:jc w:val="both"/>
        <w:rPr>
          <w:b/>
          <w:bCs/>
          <w:color w:val="1F3A5F"/>
          <w:sz w:val="28"/>
          <w:szCs w:val="28"/>
        </w:rPr>
      </w:pPr>
    </w:p>
    <w:p w14:paraId="582CFA48" w14:textId="77777777" w:rsidR="00B000D5" w:rsidRDefault="00B000D5" w:rsidP="00B000D5">
      <w:pPr>
        <w:spacing w:before="100" w:after="100" w:line="360" w:lineRule="auto"/>
        <w:jc w:val="both"/>
        <w:rPr>
          <w:b/>
          <w:bCs/>
          <w:color w:val="1F3A5F"/>
          <w:sz w:val="28"/>
          <w:szCs w:val="28"/>
        </w:rPr>
      </w:pPr>
    </w:p>
    <w:p w14:paraId="7D6BE3C1" w14:textId="77777777" w:rsidR="00B000D5" w:rsidRDefault="00B000D5" w:rsidP="00B000D5">
      <w:pPr>
        <w:spacing w:before="100" w:after="100" w:line="360" w:lineRule="auto"/>
        <w:jc w:val="both"/>
        <w:rPr>
          <w:b/>
          <w:bCs/>
          <w:color w:val="1F3A5F"/>
          <w:sz w:val="28"/>
          <w:szCs w:val="28"/>
        </w:rPr>
      </w:pPr>
    </w:p>
    <w:p w14:paraId="6DF4CA8E" w14:textId="3D944D72" w:rsidR="0048632D" w:rsidRDefault="00000000" w:rsidP="00B000D5">
      <w:pPr>
        <w:spacing w:before="100" w:after="100" w:line="360" w:lineRule="auto"/>
        <w:jc w:val="both"/>
      </w:pPr>
      <w:r>
        <w:rPr>
          <w:b/>
          <w:bCs/>
          <w:color w:val="1F3A5F"/>
          <w:sz w:val="28"/>
          <w:szCs w:val="28"/>
        </w:rPr>
        <w:lastRenderedPageBreak/>
        <w:t>2.0 External and Internal Environment Analysis</w:t>
      </w:r>
    </w:p>
    <w:p w14:paraId="630B92DC" w14:textId="77777777" w:rsidR="0048632D" w:rsidRDefault="00000000" w:rsidP="00B000D5">
      <w:pPr>
        <w:pStyle w:val="Heading2"/>
        <w:spacing w:line="360" w:lineRule="auto"/>
      </w:pPr>
      <w:bookmarkStart w:id="2" w:name="_Toc225898214"/>
      <w:r>
        <w:t>2.1 External Environment: PESTEL Analysis</w:t>
      </w:r>
      <w:bookmarkEnd w:id="2"/>
    </w:p>
    <w:p w14:paraId="4E0DE3B4" w14:textId="77777777" w:rsidR="0048632D" w:rsidRDefault="00000000" w:rsidP="00B000D5">
      <w:pPr>
        <w:spacing w:before="100" w:after="100" w:line="360" w:lineRule="auto"/>
        <w:jc w:val="both"/>
      </w:pPr>
      <w:r>
        <w:t>A PESTEL analysis is most useful when it goes beyond listing factors and asks what each one actually means for strategy (Johnson, Scholes and Whittington, 2017). The six factors below are therefore treated as strategic questions rather than background descriptions.</w:t>
      </w:r>
    </w:p>
    <w:p w14:paraId="05E54BCF" w14:textId="77777777" w:rsidR="0048632D" w:rsidRDefault="00000000" w:rsidP="00B000D5">
      <w:pPr>
        <w:pStyle w:val="Heading3"/>
        <w:spacing w:line="360" w:lineRule="auto"/>
      </w:pPr>
      <w:bookmarkStart w:id="3" w:name="_Toc225898215"/>
      <w:r>
        <w:t>Political Factors</w:t>
      </w:r>
      <w:bookmarkEnd w:id="3"/>
    </w:p>
    <w:p w14:paraId="7D3B2FA8" w14:textId="77777777" w:rsidR="00DA69FD" w:rsidRDefault="00460557" w:rsidP="00B000D5">
      <w:pPr>
        <w:spacing w:before="100" w:after="100" w:line="360" w:lineRule="auto"/>
        <w:jc w:val="both"/>
      </w:pPr>
      <w:r w:rsidRPr="00460557">
        <w:t xml:space="preserve">The most dangerous political risk for Apple is the US–China geopolitical friction. Export control rules and China's responses to semiconductor technologies have made a supply chain that Apple spent twenty years improving less stable (US Department of Commerce, 2023). The strategic implication is uncomfortable: the operational efficiency that China manufacturing delivered has become a liability when geopolitical conditions change. Apple is starting to diversify its production, and about 14% of iPhones are now made in India. However, the speed at which this is happening may still not be fast enough to fully understand the threat (Financial Times, 2024). </w:t>
      </w:r>
      <w:proofErr w:type="spellStart"/>
      <w:r w:rsidRPr="00460557">
        <w:t>Boddewyn</w:t>
      </w:r>
      <w:proofErr w:type="spellEnd"/>
      <w:r w:rsidRPr="00460557">
        <w:t xml:space="preserve"> and Brewer (1994) contend that multinationals need to cultivate proactive political risk management strategies instead of responding post-disruption. Apple seems to be taking longer to learn this lesson than the world needs it to. </w:t>
      </w:r>
    </w:p>
    <w:p w14:paraId="5CEFEE8E" w14:textId="3EB33D15" w:rsidR="00460557" w:rsidRPr="00460557" w:rsidRDefault="00460557" w:rsidP="00B000D5">
      <w:pPr>
        <w:spacing w:before="100" w:after="100" w:line="360" w:lineRule="auto"/>
        <w:jc w:val="both"/>
      </w:pPr>
      <w:r w:rsidRPr="00460557">
        <w:br/>
        <w:t>The EU's Digital Markets Act, which goes into effect in 2024, calls Apple a "gatekeeper" and says that iOS must be able to connect to payment processors and app stores from other companies (European Commission, 2022). This goes right after Apple's integrated ecosystem, which is what gives it the most competitive edge. The US DOJ's antitrust lawsuit from March 2024 adds to this regulatory pressure at home. These actions could force Apple to change the way it makes money from its platform, and no amount of new product development will be able to easily make up for that.</w:t>
      </w:r>
    </w:p>
    <w:p w14:paraId="4D895B03" w14:textId="7B9F9A92" w:rsidR="0048632D" w:rsidRDefault="00000000" w:rsidP="00B000D5">
      <w:pPr>
        <w:spacing w:before="100" w:after="100" w:line="360" w:lineRule="auto"/>
        <w:jc w:val="both"/>
      </w:pPr>
      <w:r>
        <w:rPr>
          <w:b/>
          <w:bCs/>
          <w:color w:val="3A5275"/>
        </w:rPr>
        <w:t>Economic Factors</w:t>
      </w:r>
    </w:p>
    <w:p w14:paraId="3A17A0BF" w14:textId="77777777" w:rsidR="00DA69FD" w:rsidRDefault="00FB6353" w:rsidP="00B000D5">
      <w:pPr>
        <w:spacing w:before="100" w:after="100" w:line="360" w:lineRule="auto"/>
        <w:jc w:val="both"/>
      </w:pPr>
      <w:r w:rsidRPr="00FB6353">
        <w:t xml:space="preserve">In 2022 and 2023, inflation and higher interest rates made it harder for people to spend money, especially on high-end electronics (Bank of England, 2023). Apple kept the average selling price of the iPhone above $800 during this time, which shows that people really did lock into the ecosystem; they didn't switch, they just waited longer to </w:t>
      </w:r>
      <w:r w:rsidRPr="00FB6353">
        <w:lastRenderedPageBreak/>
        <w:t xml:space="preserve">upgrade. That is very impressive in business. But it also means there is a risk: longer replacement cycles mean less money in the short term, and sometimes people who wait too long find that Android alternatives have closed the gap more than they thought they would. Changes in currency also make things more complicated. A strong dollar makes reported earnings look bad, even though the business is doing well (Apple Inc., 2023b). This is because 57% of revenue comes from outside the US. </w:t>
      </w:r>
    </w:p>
    <w:p w14:paraId="2A16802D" w14:textId="62A048D9" w:rsidR="00FB6353" w:rsidRPr="00FB6353" w:rsidRDefault="00FB6353" w:rsidP="00B000D5">
      <w:pPr>
        <w:spacing w:before="100" w:after="100" w:line="360" w:lineRule="auto"/>
        <w:jc w:val="both"/>
      </w:pPr>
      <w:r w:rsidRPr="00FB6353">
        <w:br/>
        <w:t>India's middle class is expected to grow to more than 500 million people by 2030 (World Bank, 2023), and Apple only gets a small part of that market right now. Apple's most important long-term decision for increasing revenue may be getting India right.</w:t>
      </w:r>
    </w:p>
    <w:p w14:paraId="38E1FB40" w14:textId="3C400D3F" w:rsidR="0048632D" w:rsidRDefault="00000000" w:rsidP="00B000D5">
      <w:pPr>
        <w:spacing w:before="100" w:after="100" w:line="360" w:lineRule="auto"/>
        <w:jc w:val="both"/>
      </w:pPr>
      <w:r>
        <w:rPr>
          <w:b/>
          <w:bCs/>
          <w:color w:val="3A5275"/>
        </w:rPr>
        <w:t>Social Factors</w:t>
      </w:r>
    </w:p>
    <w:p w14:paraId="5BA6EFFD" w14:textId="34399567" w:rsidR="005C7FCD" w:rsidRPr="005C7FCD" w:rsidRDefault="005C7FCD" w:rsidP="00B000D5">
      <w:pPr>
        <w:spacing w:before="100" w:after="100" w:line="360" w:lineRule="auto"/>
        <w:jc w:val="both"/>
      </w:pPr>
      <w:r w:rsidRPr="005C7FCD">
        <w:t xml:space="preserve">Apple has used this change to set itself apart from other companies, as people are becoming more concerned about their data privacy. The App Tracking Transparency framework, on-device processing through Apple Intelligence, and consistent privacy-first marketing address a concern that 79% of US adults report holding (Pew Research Center, 2023). That said, it would be foolish to believe everything Apple says about privacy. Apple makes a lot of money from ads on the App Store, which is a business model that relies on targeting data. Regulators and scholars have both noticed the conflict between real privacy concerns and business interests (Stucke and </w:t>
      </w:r>
      <w:proofErr w:type="spellStart"/>
      <w:r w:rsidRPr="005C7FCD">
        <w:t>Grunes</w:t>
      </w:r>
      <w:proofErr w:type="spellEnd"/>
      <w:r w:rsidRPr="005C7FCD">
        <w:t>, 2016). The social factor is real, and the strategic response is partly real and partly opportunistic.</w:t>
      </w:r>
    </w:p>
    <w:p w14:paraId="0D02154A" w14:textId="2E519421" w:rsidR="0048632D" w:rsidRDefault="00000000" w:rsidP="00B000D5">
      <w:pPr>
        <w:spacing w:before="100" w:after="100" w:line="360" w:lineRule="auto"/>
        <w:jc w:val="both"/>
      </w:pPr>
      <w:r>
        <w:rPr>
          <w:b/>
          <w:bCs/>
          <w:color w:val="3A5275"/>
        </w:rPr>
        <w:t>Technological Factors</w:t>
      </w:r>
    </w:p>
    <w:p w14:paraId="55E3CC93" w14:textId="50C9E240" w:rsidR="00D46247" w:rsidRPr="00D46247" w:rsidRDefault="00D46247" w:rsidP="00B000D5">
      <w:pPr>
        <w:spacing w:before="100" w:after="100" w:line="360" w:lineRule="auto"/>
        <w:jc w:val="both"/>
      </w:pPr>
      <w:r w:rsidRPr="00D46247">
        <w:t xml:space="preserve">Generative AI is the technology that is causing the most trouble for Apple right now. Apple's on-device processing method, which uses Apple Silicon and Private Cloud Compute, is both technically advanced and better for privacy. The issue is speed. Apple Intelligence came out later and has fewer features than Google's Gemini integration across Android or Microsoft's Copilot embedding across its ecosystem (The Verge, 2024). This gap won't last forever, and Apple's hardware advantage for AI inference is real. But the AI race rewards speed in a way that Apple's culture of taking its time and making sure everything is perfect before shipping is not naturally suited to. Davenport and </w:t>
      </w:r>
      <w:proofErr w:type="spellStart"/>
      <w:r w:rsidRPr="00D46247">
        <w:t>Ronanki</w:t>
      </w:r>
      <w:proofErr w:type="spellEnd"/>
      <w:r w:rsidRPr="00D46247">
        <w:t xml:space="preserve"> (2018) say that adding computational power to the core architecture of a product gives it a long-lasting edge. Apple has built the right </w:t>
      </w:r>
      <w:r w:rsidRPr="00D46247">
        <w:lastRenderedPageBreak/>
        <w:t>infrastructure. The only question is whether it can roll out features fast enough to make a difference in the market.</w:t>
      </w:r>
    </w:p>
    <w:p w14:paraId="64630B2A" w14:textId="1F2BFFA4" w:rsidR="0048632D" w:rsidRDefault="00000000" w:rsidP="00B000D5">
      <w:pPr>
        <w:spacing w:before="100" w:after="100" w:line="360" w:lineRule="auto"/>
        <w:jc w:val="both"/>
      </w:pPr>
      <w:r>
        <w:rPr>
          <w:b/>
          <w:bCs/>
          <w:color w:val="3A5275"/>
        </w:rPr>
        <w:t>Environmental Factors</w:t>
      </w:r>
    </w:p>
    <w:p w14:paraId="6460FC33" w14:textId="40847BE7" w:rsidR="00C14D48" w:rsidRPr="00C14D48" w:rsidRDefault="00C14D48" w:rsidP="00B000D5">
      <w:pPr>
        <w:spacing w:before="100" w:after="100" w:line="360" w:lineRule="auto"/>
        <w:jc w:val="both"/>
      </w:pPr>
      <w:r w:rsidRPr="00C14D48">
        <w:t>Apple's promise to be carbon neutral by 2030, which includes emissions from its supply chain (Scope 3), is one of the most ambitious in the consumer electronics industry (Apple Environmental Progress Report, 2023). The iPhone 15 and Apple Watch Series 9 are both already certified as carbon-neutral. The Supplier Clean Energy Program has helped more than 320 manufacturers switch to renewable energy. These are real promises that can be measured. But the issue of repairability is still not clear. Apple's design choices, such as using adhesive bonding, proprietary fixings, and software-based parts pairing, make it hard for people to fix their own devices. This shortens the lifespan of the devices and goes against the idea of a circular economy (iFixit, 2023). The partial Right to Repair concession in 2023 recognized this conflict but did not completely fix it. Porter and Kramer (2011) would call this a failure of shared values: when business interests and commitments to sustainability clash, business interests usually win.</w:t>
      </w:r>
    </w:p>
    <w:p w14:paraId="6F5CD9A1" w14:textId="77B812BD" w:rsidR="0048632D" w:rsidRDefault="00000000" w:rsidP="00B000D5">
      <w:pPr>
        <w:spacing w:before="100" w:after="100" w:line="360" w:lineRule="auto"/>
        <w:jc w:val="both"/>
      </w:pPr>
      <w:r>
        <w:rPr>
          <w:b/>
          <w:bCs/>
          <w:color w:val="3A5275"/>
        </w:rPr>
        <w:t>Legal Factors</w:t>
      </w:r>
    </w:p>
    <w:p w14:paraId="3AB7C829" w14:textId="1768DCF8" w:rsidR="0047627A" w:rsidRPr="0047627A" w:rsidRDefault="0047627A" w:rsidP="00B000D5">
      <w:pPr>
        <w:spacing w:before="100" w:after="100" w:line="360" w:lineRule="auto"/>
        <w:jc w:val="both"/>
      </w:pPr>
      <w:r w:rsidRPr="0047627A">
        <w:t>Apple does business in 170 different regulatory areas, each with its own rules for data protection, product safety, and competition (Information Commissioner's Office, 2023). The DOJ lawsuit, the EU DMA enforcement, and the UK CMA investigations are all part of a global regulatory movement that sees platform gatekeepers as structurally anticompetitive. You can't just react to compliance issues anymore. Apple has more than 70,000 patents (USPTO, 2023), which protects them from competition but also means they have to deal with a lot of lawsuits all the time. The overall legal risk profile has gone up a lot in the last three years, and it won't go down without a more proactive approach to regulatory engagement.</w:t>
      </w:r>
    </w:p>
    <w:p w14:paraId="5C0F699A" w14:textId="3786A34A" w:rsidR="0048632D" w:rsidRDefault="00000000" w:rsidP="00B000D5">
      <w:pPr>
        <w:spacing w:before="100" w:after="100" w:line="360" w:lineRule="auto"/>
        <w:jc w:val="both"/>
      </w:pPr>
      <w:r>
        <w:rPr>
          <w:b/>
          <w:bCs/>
          <w:color w:val="2E4057"/>
          <w:sz w:val="26"/>
          <w:szCs w:val="26"/>
        </w:rPr>
        <w:t>2.2 Critical Success Factors and Strategic Challenges</w:t>
      </w:r>
    </w:p>
    <w:p w14:paraId="24DD0D37" w14:textId="641A4BFF" w:rsidR="00D94F8A" w:rsidRPr="00D94F8A" w:rsidRDefault="00D94F8A" w:rsidP="00B000D5">
      <w:pPr>
        <w:spacing w:before="100" w:after="100" w:line="360" w:lineRule="auto"/>
        <w:jc w:val="both"/>
      </w:pPr>
      <w:r w:rsidRPr="00D94F8A">
        <w:t xml:space="preserve">Four key success factors stand out from the PESTEL analysis. First, ecosystem coherence is what sets Apple's integrated architecture apart from the rest. It must be protected even though regulatory pressure calls for selective openness. Second, the speed of AI delivery—the speed at which Apple Intelligence features come out compared to Google and Samsung—will play a bigger role in whether or not people </w:t>
      </w:r>
      <w:r w:rsidRPr="00D94F8A">
        <w:lastRenderedPageBreak/>
        <w:t>want to upgrade. Third, TSMC and China's concentration in the supply chain is a strategic weakness that needs to be fixed right away. Fourth, adapting to the requirements of the DMA and DOJ without breaking down the ecosystem's business logic requires strategic flexibility that Apple's culture has not always valued. The biggest strategic problem is that all four need to be dealt with at the same time and are all urgent.</w:t>
      </w:r>
    </w:p>
    <w:p w14:paraId="4B8E9FFE" w14:textId="4F50C3EE" w:rsidR="0048632D" w:rsidRDefault="00000000" w:rsidP="00B000D5">
      <w:pPr>
        <w:spacing w:before="100" w:after="100" w:line="360" w:lineRule="auto"/>
        <w:jc w:val="both"/>
      </w:pPr>
      <w:r>
        <w:rPr>
          <w:b/>
          <w:bCs/>
          <w:color w:val="2E4057"/>
          <w:sz w:val="26"/>
          <w:szCs w:val="26"/>
        </w:rPr>
        <w:t>2.3 Internal Environment: Resources, Capabilities, and Core Competencies</w:t>
      </w:r>
    </w:p>
    <w:p w14:paraId="4BBC5EC1" w14:textId="77777777" w:rsidR="00DA69FD" w:rsidRDefault="00D94F8A" w:rsidP="00B000D5">
      <w:pPr>
        <w:spacing w:before="100" w:after="100" w:line="360" w:lineRule="auto"/>
        <w:jc w:val="both"/>
      </w:pPr>
      <w:r w:rsidRPr="00D94F8A">
        <w:t xml:space="preserve">Barney's (1991) resource-based view says that a company can keep its competitive edge if it has resources that are valuable, rare, hard to copy, and well-organized. If you look at Apple's resources honestly instead of with admiration, you'll see that they have real long-term advantages as well as areas where the competition is closing in on them faster than most people realize. </w:t>
      </w:r>
    </w:p>
    <w:p w14:paraId="58BF2C1A" w14:textId="77777777" w:rsidR="00DA69FD" w:rsidRDefault="00D94F8A" w:rsidP="00B000D5">
      <w:pPr>
        <w:spacing w:before="100" w:after="100" w:line="360" w:lineRule="auto"/>
        <w:jc w:val="both"/>
      </w:pPr>
      <w:r w:rsidRPr="00D94F8A">
        <w:br/>
        <w:t xml:space="preserve">At the end of fiscal year 2023, Apple had $162 billion in cash and marketable securities (Apple Inc., 2023b), which gave them a lot of money to spend on research and development, acquisitions, and shareholder returns. More than 500 retail stores around the world act as both distribution channels and places where customers can experience the brand. But the intangible resources are more important. Interbrand says that the Apple brand is worth $880 billion (2023). Having more than 70,000 patents (USPTO, 2023) in an intellectual property portfolio gives you competitive protection. And with 34 million registered developers, the iOS ecosystem becomes more valuable over time, making it harder for competitors to copy. </w:t>
      </w:r>
    </w:p>
    <w:p w14:paraId="3BACA111" w14:textId="148BF83E" w:rsidR="00D94F8A" w:rsidRPr="00D94F8A" w:rsidRDefault="00D94F8A" w:rsidP="00B000D5">
      <w:pPr>
        <w:spacing w:before="100" w:after="100" w:line="360" w:lineRule="auto"/>
        <w:jc w:val="both"/>
      </w:pPr>
      <w:r w:rsidRPr="00D94F8A">
        <w:t>Prahalad and Hamel (1990) define core competencies as integrative learning that facilitates coordination across technologies and markets. Apple's most important skill is how well it combines hardware design, semiconductor engineering, software architecture, and retail experience. Other companies have tried to copy this combination but have not been able to do so.</w:t>
      </w:r>
    </w:p>
    <w:p w14:paraId="0C9305AC" w14:textId="68ABE94E" w:rsidR="0048632D" w:rsidRDefault="00000000" w:rsidP="00B000D5">
      <w:pPr>
        <w:spacing w:before="100" w:after="100" w:line="360" w:lineRule="auto"/>
        <w:jc w:val="both"/>
      </w:pPr>
      <w:r>
        <w:rPr>
          <w:b/>
          <w:bCs/>
          <w:color w:val="2E4057"/>
          <w:sz w:val="26"/>
          <w:szCs w:val="26"/>
        </w:rPr>
        <w:t>2.4 VRIO Framework Analysis</w:t>
      </w:r>
    </w:p>
    <w:p w14:paraId="514D678A" w14:textId="2F0D5F0C" w:rsidR="0048632D" w:rsidRDefault="00000000" w:rsidP="00B000D5">
      <w:pPr>
        <w:spacing w:before="100" w:after="100" w:line="360" w:lineRule="auto"/>
        <w:jc w:val="both"/>
      </w:pPr>
      <w:r>
        <w:t xml:space="preserve">The VRIO framework (Barney, 1991) distinguishes resources that generate sustained advantage from those that merely achieve competitive parity. Table 1 below maps </w:t>
      </w:r>
      <w:r>
        <w:lastRenderedPageBreak/>
        <w:t>Apple's key capabilities against these criteria and draws competitor comparisons that a purely textbook application of VRIO would miss.</w:t>
      </w:r>
    </w:p>
    <w:p w14:paraId="48235F20" w14:textId="2F04139F" w:rsidR="0048632D" w:rsidRDefault="00000000" w:rsidP="00B000D5">
      <w:pPr>
        <w:spacing w:before="60" w:after="80" w:line="360" w:lineRule="auto"/>
        <w:jc w:val="center"/>
      </w:pPr>
      <w:r>
        <w:rPr>
          <w:b/>
          <w:bCs/>
          <w:color w:val="1F3A5F"/>
          <w:sz w:val="22"/>
          <w:szCs w:val="22"/>
        </w:rPr>
        <w:t>Table 1: VRIO Framework Analysis Apple Inc.</w:t>
      </w: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33"/>
        <w:gridCol w:w="1145"/>
        <w:gridCol w:w="1065"/>
        <w:gridCol w:w="1267"/>
        <w:gridCol w:w="1329"/>
        <w:gridCol w:w="2421"/>
      </w:tblGrid>
      <w:tr w:rsidR="0048632D" w14:paraId="28A823BF" w14:textId="77777777">
        <w:trPr>
          <w:tblHeader/>
        </w:trPr>
        <w:tc>
          <w:tcPr>
            <w:tcW w:w="200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10051955" w14:textId="77777777" w:rsidR="0048632D" w:rsidRDefault="00000000" w:rsidP="00B000D5">
            <w:pPr>
              <w:spacing w:line="360" w:lineRule="auto"/>
              <w:jc w:val="center"/>
            </w:pPr>
            <w:r>
              <w:rPr>
                <w:b/>
                <w:bCs/>
                <w:color w:val="FFFFFF"/>
                <w:sz w:val="22"/>
                <w:szCs w:val="22"/>
              </w:rPr>
              <w:t>Resource / Capability</w:t>
            </w:r>
          </w:p>
        </w:tc>
        <w:tc>
          <w:tcPr>
            <w:tcW w:w="110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2EA98907" w14:textId="77777777" w:rsidR="0048632D" w:rsidRDefault="00000000" w:rsidP="00B000D5">
            <w:pPr>
              <w:spacing w:line="360" w:lineRule="auto"/>
              <w:jc w:val="center"/>
            </w:pPr>
            <w:r>
              <w:rPr>
                <w:b/>
                <w:bCs/>
                <w:color w:val="FFFFFF"/>
                <w:sz w:val="22"/>
                <w:szCs w:val="22"/>
              </w:rPr>
              <w:t>Valuable</w:t>
            </w:r>
          </w:p>
        </w:tc>
        <w:tc>
          <w:tcPr>
            <w:tcW w:w="110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38FA9F65" w14:textId="77777777" w:rsidR="0048632D" w:rsidRDefault="00000000" w:rsidP="00B000D5">
            <w:pPr>
              <w:spacing w:line="360" w:lineRule="auto"/>
              <w:jc w:val="center"/>
            </w:pPr>
            <w:r>
              <w:rPr>
                <w:b/>
                <w:bCs/>
                <w:color w:val="FFFFFF"/>
                <w:sz w:val="22"/>
                <w:szCs w:val="22"/>
              </w:rPr>
              <w:t>Rare</w:t>
            </w:r>
          </w:p>
        </w:tc>
        <w:tc>
          <w:tcPr>
            <w:tcW w:w="120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01C1B4F8" w14:textId="77777777" w:rsidR="0048632D" w:rsidRDefault="00000000" w:rsidP="00B000D5">
            <w:pPr>
              <w:spacing w:line="360" w:lineRule="auto"/>
              <w:jc w:val="center"/>
            </w:pPr>
            <w:r>
              <w:rPr>
                <w:b/>
                <w:bCs/>
                <w:color w:val="FFFFFF"/>
                <w:sz w:val="22"/>
                <w:szCs w:val="22"/>
              </w:rPr>
              <w:t>Inimitable</w:t>
            </w:r>
          </w:p>
        </w:tc>
        <w:tc>
          <w:tcPr>
            <w:tcW w:w="120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7F48484F" w14:textId="77777777" w:rsidR="0048632D" w:rsidRDefault="00000000" w:rsidP="00B000D5">
            <w:pPr>
              <w:spacing w:line="360" w:lineRule="auto"/>
              <w:jc w:val="center"/>
            </w:pPr>
            <w:proofErr w:type="spellStart"/>
            <w:r>
              <w:rPr>
                <w:b/>
                <w:bCs/>
                <w:color w:val="FFFFFF"/>
                <w:sz w:val="22"/>
                <w:szCs w:val="22"/>
              </w:rPr>
              <w:t>Organised</w:t>
            </w:r>
            <w:proofErr w:type="spellEnd"/>
          </w:p>
        </w:tc>
        <w:tc>
          <w:tcPr>
            <w:tcW w:w="256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130B0414" w14:textId="77777777" w:rsidR="0048632D" w:rsidRDefault="00000000" w:rsidP="00B000D5">
            <w:pPr>
              <w:spacing w:line="360" w:lineRule="auto"/>
              <w:jc w:val="center"/>
            </w:pPr>
            <w:r>
              <w:rPr>
                <w:b/>
                <w:bCs/>
                <w:color w:val="FFFFFF"/>
                <w:sz w:val="22"/>
                <w:szCs w:val="22"/>
              </w:rPr>
              <w:t>Competitive Implication</w:t>
            </w:r>
          </w:p>
        </w:tc>
      </w:tr>
      <w:tr w:rsidR="0048632D" w14:paraId="2642B7D0" w14:textId="77777777">
        <w:tc>
          <w:tcPr>
            <w:tcW w:w="20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5701DDE" w14:textId="77777777" w:rsidR="0048632D" w:rsidRDefault="00000000" w:rsidP="00B000D5">
            <w:pPr>
              <w:spacing w:line="360" w:lineRule="auto"/>
            </w:pPr>
            <w:r>
              <w:rPr>
                <w:sz w:val="21"/>
                <w:szCs w:val="21"/>
              </w:rPr>
              <w:t>Brand Ecosystem (Apple ID, App Store, iCloud)</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4936B26D"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267E533" w14:textId="77777777" w:rsidR="0048632D" w:rsidRDefault="00000000" w:rsidP="00B000D5">
            <w:pPr>
              <w:spacing w:line="360" w:lineRule="auto"/>
            </w:pPr>
            <w:r>
              <w:rPr>
                <w:sz w:val="21"/>
                <w:szCs w:val="21"/>
              </w:rPr>
              <w:t>Yes</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76D0BB0D" w14:textId="77777777" w:rsidR="0048632D" w:rsidRDefault="00000000" w:rsidP="00B000D5">
            <w:pPr>
              <w:spacing w:line="360" w:lineRule="auto"/>
            </w:pPr>
            <w:r>
              <w:rPr>
                <w:sz w:val="21"/>
                <w:szCs w:val="21"/>
              </w:rPr>
              <w:t>Yes</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40A4E6A5"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11312AC6" w14:textId="64BABEC2" w:rsidR="0048632D" w:rsidRDefault="00000000" w:rsidP="00B000D5">
            <w:pPr>
              <w:spacing w:line="360" w:lineRule="auto"/>
            </w:pPr>
            <w:r>
              <w:rPr>
                <w:sz w:val="21"/>
                <w:szCs w:val="21"/>
              </w:rPr>
              <w:t>Sustained Advantage ecosystem lock-in; loyalty exceeds all smartphone competitors</w:t>
            </w:r>
          </w:p>
        </w:tc>
      </w:tr>
      <w:tr w:rsidR="0048632D" w14:paraId="14857AF3"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925DC8" w14:textId="77777777" w:rsidR="0048632D" w:rsidRDefault="00000000" w:rsidP="00B000D5">
            <w:pPr>
              <w:spacing w:line="360" w:lineRule="auto"/>
            </w:pPr>
            <w:r>
              <w:rPr>
                <w:sz w:val="21"/>
                <w:szCs w:val="21"/>
              </w:rPr>
              <w:t>Proprietary Silicon (M/A-series chips)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24BCD6"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6D4F42" w14:textId="77777777" w:rsidR="0048632D" w:rsidRDefault="00000000" w:rsidP="00B000D5">
            <w:pPr>
              <w:spacing w:line="360" w:lineRule="auto"/>
            </w:pPr>
            <w:r>
              <w:rPr>
                <w:sz w:val="21"/>
                <w:szCs w:val="21"/>
              </w:rPr>
              <w:t>Yes</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8677F0" w14:textId="77777777" w:rsidR="0048632D" w:rsidRDefault="00000000" w:rsidP="00B000D5">
            <w:pPr>
              <w:spacing w:line="360" w:lineRule="auto"/>
            </w:pPr>
            <w:r>
              <w:rPr>
                <w:sz w:val="21"/>
                <w:szCs w:val="21"/>
              </w:rPr>
              <w:t>Yes</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B3E74F"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7BDB997" w14:textId="6B351202" w:rsidR="0048632D" w:rsidRDefault="00000000" w:rsidP="00B000D5">
            <w:pPr>
              <w:spacing w:line="360" w:lineRule="auto"/>
            </w:pPr>
            <w:r>
              <w:rPr>
                <w:sz w:val="21"/>
                <w:szCs w:val="21"/>
              </w:rPr>
              <w:t>Sustained Advantage 3-5 year performance-per-watt lead; no rival can match quickly</w:t>
            </w:r>
          </w:p>
        </w:tc>
      </w:tr>
      <w:tr w:rsidR="0048632D" w14:paraId="3A09BAE2" w14:textId="77777777">
        <w:tc>
          <w:tcPr>
            <w:tcW w:w="20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FCA6C61" w14:textId="77777777" w:rsidR="0048632D" w:rsidRDefault="00000000" w:rsidP="00B000D5">
            <w:pPr>
              <w:spacing w:line="360" w:lineRule="auto"/>
            </w:pPr>
            <w:r>
              <w:rPr>
                <w:sz w:val="21"/>
                <w:szCs w:val="21"/>
              </w:rPr>
              <w:t>Software–Hardware Integration (iOS/macOS)</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73ACB69A"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43E62B54" w14:textId="77777777" w:rsidR="0048632D" w:rsidRDefault="00000000" w:rsidP="00B000D5">
            <w:pPr>
              <w:spacing w:line="360" w:lineRule="auto"/>
            </w:pPr>
            <w:r>
              <w:rPr>
                <w:sz w:val="21"/>
                <w:szCs w:val="21"/>
              </w:rPr>
              <w:t>Yes</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7019193E" w14:textId="77777777" w:rsidR="0048632D" w:rsidRDefault="00000000" w:rsidP="00B000D5">
            <w:pPr>
              <w:spacing w:line="360" w:lineRule="auto"/>
            </w:pPr>
            <w:r>
              <w:rPr>
                <w:sz w:val="21"/>
                <w:szCs w:val="21"/>
              </w:rPr>
              <w:t>Yes</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0DEA56AA"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720B640A" w14:textId="6E00C864" w:rsidR="0048632D" w:rsidRDefault="00000000" w:rsidP="00B000D5">
            <w:pPr>
              <w:spacing w:line="360" w:lineRule="auto"/>
            </w:pPr>
            <w:r>
              <w:rPr>
                <w:sz w:val="21"/>
                <w:szCs w:val="21"/>
              </w:rPr>
              <w:t>Sustained Advantage architectural depth not replicable without years of investment</w:t>
            </w:r>
          </w:p>
        </w:tc>
      </w:tr>
      <w:tr w:rsidR="0048632D" w14:paraId="2C2F7915"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5355A2" w14:textId="77777777" w:rsidR="0048632D" w:rsidRDefault="00000000" w:rsidP="00B000D5">
            <w:pPr>
              <w:spacing w:line="360" w:lineRule="auto"/>
            </w:pPr>
            <w:r>
              <w:rPr>
                <w:sz w:val="21"/>
                <w:szCs w:val="21"/>
              </w:rPr>
              <w:t>Global Retail Network (500+ stores)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08E00C"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880F0A" w14:textId="77777777" w:rsidR="0048632D" w:rsidRDefault="00000000" w:rsidP="00B000D5">
            <w:pPr>
              <w:spacing w:line="360" w:lineRule="auto"/>
            </w:pPr>
            <w:r>
              <w:rPr>
                <w:sz w:val="21"/>
                <w:szCs w:val="21"/>
              </w:rPr>
              <w:t>Partial</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B5D503" w14:textId="77777777" w:rsidR="0048632D" w:rsidRDefault="00000000" w:rsidP="00B000D5">
            <w:pPr>
              <w:spacing w:line="360" w:lineRule="auto"/>
            </w:pPr>
            <w:r>
              <w:rPr>
                <w:sz w:val="21"/>
                <w:szCs w:val="21"/>
              </w:rPr>
              <w:t>Partial</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B9C0E4"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E29946A" w14:textId="2F14934C" w:rsidR="0048632D" w:rsidRDefault="00000000" w:rsidP="00B000D5">
            <w:pPr>
              <w:spacing w:line="360" w:lineRule="auto"/>
            </w:pPr>
            <w:r>
              <w:rPr>
                <w:sz w:val="21"/>
                <w:szCs w:val="21"/>
              </w:rPr>
              <w:t>Temporary Advantage Samsung and Xiaomi are building comparable physical footprints</w:t>
            </w:r>
          </w:p>
        </w:tc>
      </w:tr>
      <w:tr w:rsidR="0048632D" w14:paraId="38E31596" w14:textId="77777777">
        <w:tc>
          <w:tcPr>
            <w:tcW w:w="20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3444EB8D" w14:textId="77777777" w:rsidR="0048632D" w:rsidRDefault="00000000" w:rsidP="00B000D5">
            <w:pPr>
              <w:spacing w:line="360" w:lineRule="auto"/>
            </w:pPr>
            <w:r>
              <w:rPr>
                <w:sz w:val="21"/>
                <w:szCs w:val="21"/>
              </w:rPr>
              <w:t>R&amp;D and AI Innovation Pipeline</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30D60A8"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4341DE1B" w14:textId="77777777" w:rsidR="0048632D" w:rsidRDefault="00000000" w:rsidP="00B000D5">
            <w:pPr>
              <w:spacing w:line="360" w:lineRule="auto"/>
            </w:pPr>
            <w:r>
              <w:rPr>
                <w:sz w:val="21"/>
                <w:szCs w:val="21"/>
              </w:rPr>
              <w:t>Partial</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0F279D0" w14:textId="77777777" w:rsidR="0048632D" w:rsidRDefault="00000000" w:rsidP="00B000D5">
            <w:pPr>
              <w:spacing w:line="360" w:lineRule="auto"/>
            </w:pPr>
            <w:r>
              <w:rPr>
                <w:sz w:val="21"/>
                <w:szCs w:val="21"/>
              </w:rPr>
              <w:t>Partial</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01380FC3"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EC14E3B" w14:textId="4363A4E6" w:rsidR="0048632D" w:rsidRDefault="00000000" w:rsidP="00B000D5">
            <w:pPr>
              <w:spacing w:line="360" w:lineRule="auto"/>
            </w:pPr>
            <w:r>
              <w:rPr>
                <w:sz w:val="21"/>
                <w:szCs w:val="21"/>
              </w:rPr>
              <w:t>Temporary Advantage Google and Microsoft are closing the generative AI capability gap</w:t>
            </w:r>
          </w:p>
        </w:tc>
      </w:tr>
      <w:tr w:rsidR="0048632D" w14:paraId="038AF356"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BFECDC" w14:textId="77777777" w:rsidR="0048632D" w:rsidRDefault="00000000" w:rsidP="00B000D5">
            <w:pPr>
              <w:spacing w:line="360" w:lineRule="auto"/>
            </w:pPr>
            <w:r>
              <w:rPr>
                <w:sz w:val="21"/>
                <w:szCs w:val="21"/>
              </w:rPr>
              <w:t>Financial Resources ($162bn cash reserves)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EEBE2A"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502300A" w14:textId="77777777" w:rsidR="0048632D" w:rsidRDefault="00000000" w:rsidP="00B000D5">
            <w:pPr>
              <w:spacing w:line="360" w:lineRule="auto"/>
            </w:pPr>
            <w:r>
              <w:rPr>
                <w:sz w:val="21"/>
                <w:szCs w:val="21"/>
              </w:rPr>
              <w:t>No</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FF9E737" w14:textId="77777777" w:rsidR="0048632D" w:rsidRDefault="00000000" w:rsidP="00B000D5">
            <w:pPr>
              <w:spacing w:line="360" w:lineRule="auto"/>
            </w:pPr>
            <w:r>
              <w:rPr>
                <w:sz w:val="21"/>
                <w:szCs w:val="21"/>
              </w:rPr>
              <w:t>No</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282549"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C2B488B" w14:textId="60B9E0AC" w:rsidR="0048632D" w:rsidRDefault="00000000" w:rsidP="00B000D5">
            <w:pPr>
              <w:spacing w:line="360" w:lineRule="auto"/>
            </w:pPr>
            <w:r>
              <w:rPr>
                <w:sz w:val="21"/>
                <w:szCs w:val="21"/>
              </w:rPr>
              <w:t>Competitive Parity Microsoft and Alphabet hold comparable financial firepower</w:t>
            </w:r>
          </w:p>
        </w:tc>
      </w:tr>
      <w:tr w:rsidR="0048632D" w14:paraId="662D9592" w14:textId="77777777">
        <w:tc>
          <w:tcPr>
            <w:tcW w:w="20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04A5E0DE" w14:textId="77777777" w:rsidR="0048632D" w:rsidRDefault="00000000" w:rsidP="00B000D5">
            <w:pPr>
              <w:spacing w:line="360" w:lineRule="auto"/>
            </w:pPr>
            <w:r>
              <w:rPr>
                <w:sz w:val="21"/>
                <w:szCs w:val="21"/>
              </w:rPr>
              <w:t>Privacy-First AI Architecture</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6AB06815" w14:textId="77777777" w:rsidR="0048632D" w:rsidRDefault="00000000" w:rsidP="00B000D5">
            <w:pPr>
              <w:spacing w:line="360" w:lineRule="auto"/>
            </w:pPr>
            <w:r>
              <w:rPr>
                <w:sz w:val="21"/>
                <w:szCs w:val="21"/>
              </w:rPr>
              <w:t>Yes</w:t>
            </w:r>
          </w:p>
        </w:tc>
        <w:tc>
          <w:tcPr>
            <w:tcW w:w="11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0C95D9C1" w14:textId="77777777" w:rsidR="0048632D" w:rsidRDefault="00000000" w:rsidP="00B000D5">
            <w:pPr>
              <w:spacing w:line="360" w:lineRule="auto"/>
            </w:pPr>
            <w:r>
              <w:rPr>
                <w:sz w:val="21"/>
                <w:szCs w:val="21"/>
              </w:rPr>
              <w:t>Partial</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6BCF78B5" w14:textId="77777777" w:rsidR="0048632D" w:rsidRDefault="00000000" w:rsidP="00B000D5">
            <w:pPr>
              <w:spacing w:line="360" w:lineRule="auto"/>
            </w:pPr>
            <w:r>
              <w:rPr>
                <w:sz w:val="21"/>
                <w:szCs w:val="21"/>
              </w:rPr>
              <w:t>Partial</w:t>
            </w:r>
          </w:p>
        </w:tc>
        <w:tc>
          <w:tcPr>
            <w:tcW w:w="120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1156AF6B" w14:textId="77777777" w:rsidR="0048632D" w:rsidRDefault="00000000" w:rsidP="00B000D5">
            <w:pPr>
              <w:spacing w:line="360" w:lineRule="auto"/>
            </w:pPr>
            <w:r>
              <w:rPr>
                <w:sz w:val="21"/>
                <w:szCs w:val="21"/>
              </w:rPr>
              <w:t>Yes</w:t>
            </w:r>
          </w:p>
        </w:tc>
        <w:tc>
          <w:tcPr>
            <w:tcW w:w="256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4594527E" w14:textId="4A718072" w:rsidR="0048632D" w:rsidRDefault="00000000" w:rsidP="00B000D5">
            <w:pPr>
              <w:spacing w:line="360" w:lineRule="auto"/>
            </w:pPr>
            <w:r>
              <w:rPr>
                <w:sz w:val="21"/>
                <w:szCs w:val="21"/>
              </w:rPr>
              <w:t xml:space="preserve">Temporary Advantage differentiated now but </w:t>
            </w:r>
          </w:p>
        </w:tc>
      </w:tr>
    </w:tbl>
    <w:p w14:paraId="18CAE976" w14:textId="43A82D18" w:rsidR="00E25A16" w:rsidRPr="00E25A16" w:rsidRDefault="00E25A16" w:rsidP="00B000D5">
      <w:pPr>
        <w:spacing w:before="100" w:after="100" w:line="360" w:lineRule="auto"/>
        <w:jc w:val="both"/>
      </w:pPr>
      <w:r w:rsidRPr="00E25A16">
        <w:lastRenderedPageBreak/>
        <w:t>The table shows something important: Apple's long-term advantage is mostly in three areas: its brand ecosystem, its proprietary silicon, and the way its software and hardware work together. These are really hard to copy because they show years of investment. The R&amp;D and AI Innovation Pipeline, on the other hand, is only considered to give a temporary advantage, and that classification needs to be looked at honestly. Samsung's Galaxy AI integration and Google's Gemini features are clearly closing the gap in software capabilities. Apple's on-device processing architecture is better for privacy, but it's not so far ahead in features that it makes people feel safe. The competitive moat is real, but it's getting smaller in the AI space. This has strategic implications for upgrade motivation that will show up in iPhone sales within two to three product cycles if nothing is done about it.</w:t>
      </w:r>
    </w:p>
    <w:p w14:paraId="20593B02" w14:textId="3B6B0745" w:rsidR="0048632D" w:rsidRDefault="00000000" w:rsidP="00B000D5">
      <w:pPr>
        <w:spacing w:before="100" w:after="100" w:line="360" w:lineRule="auto"/>
        <w:jc w:val="both"/>
      </w:pPr>
      <w:r>
        <w:rPr>
          <w:b/>
          <w:bCs/>
          <w:color w:val="2E4057"/>
          <w:sz w:val="26"/>
          <w:szCs w:val="26"/>
        </w:rPr>
        <w:t>2.5 Internal Strengths and Value Chain</w:t>
      </w:r>
    </w:p>
    <w:p w14:paraId="55EB1F85" w14:textId="7E81776F" w:rsidR="00E25A16" w:rsidRPr="00E25A16" w:rsidRDefault="00E25A16" w:rsidP="00B000D5">
      <w:pPr>
        <w:spacing w:before="100" w:after="100" w:line="360" w:lineRule="auto"/>
        <w:jc w:val="both"/>
      </w:pPr>
      <w:r w:rsidRPr="00E25A16">
        <w:t>Porter's (1985) value chain analysis shows where Apple's internal activities add more value than they should. Inbound logistics component supply agreements and inventory management make the supply chain work very well. The Apple Store model for marketing and sales makes people want things that competitors can't easily copy in regular stores. Apple Inc. (2023b) says that the $29.9 billion it spends on research and development in fiscal year 2023 keeps the innovation pipeline going. Grant (2019), on the other hand, says that the strength of the value chain must be measured in a dynamic way. Apple is very good at managing the launch of hardware, but the same level of excellence does not yet apply to the speed at which it delivers AI software. The company needs to fix the structural problem that is the difference between hardware discipline and software speed.</w:t>
      </w:r>
    </w:p>
    <w:p w14:paraId="2AF87235" w14:textId="382507C9" w:rsidR="0048632D" w:rsidRDefault="00000000" w:rsidP="00B000D5">
      <w:pPr>
        <w:spacing w:before="100" w:after="100" w:line="360" w:lineRule="auto"/>
        <w:jc w:val="both"/>
      </w:pPr>
      <w:r>
        <w:rPr>
          <w:b/>
          <w:bCs/>
          <w:color w:val="1F3A5F"/>
          <w:sz w:val="28"/>
          <w:szCs w:val="28"/>
        </w:rPr>
        <w:t>3.0 CSR and Sustainability Objectives</w:t>
      </w:r>
    </w:p>
    <w:p w14:paraId="01A95A3A" w14:textId="4FD0754F" w:rsidR="0036629B" w:rsidRPr="0036629B" w:rsidRDefault="0036629B" w:rsidP="00B000D5">
      <w:pPr>
        <w:spacing w:before="100" w:after="100" w:line="360" w:lineRule="auto"/>
        <w:jc w:val="both"/>
      </w:pPr>
      <w:r w:rsidRPr="0036629B">
        <w:t>Apple's CSR framework is based on four main ideas: the environment, education, racial equity and justice, and privacy. Carroll's (1991) CSR pyramid is a helpful way to look at things. Apple fulfills its economic obligations by maintaining profitability; its legal obligations through adherence to regulations (occasionally under duress); its ethical obligations through supply chain human rights policies and commitments to a living wage; and its philanthropic obligations through the $100 million Racial Equity and Justice Initiative and educational curricula implemented in over 100 countries (Apple Inc., 2022).</w:t>
      </w:r>
    </w:p>
    <w:p w14:paraId="58F71DE3" w14:textId="77777777" w:rsidR="0036629B" w:rsidRPr="0036629B" w:rsidRDefault="0036629B" w:rsidP="00B000D5">
      <w:pPr>
        <w:spacing w:before="100" w:after="100" w:line="360" w:lineRule="auto"/>
        <w:jc w:val="both"/>
      </w:pPr>
      <w:r w:rsidRPr="0036629B">
        <w:lastRenderedPageBreak/>
        <w:t xml:space="preserve">The 2030 carbon neutrality goal for Scope 3 supply chain emissions is a big deal for the environment. The fact that the Supplier Clean Energy </w:t>
      </w:r>
      <w:proofErr w:type="spellStart"/>
      <w:r w:rsidRPr="0036629B">
        <w:t>Programme</w:t>
      </w:r>
      <w:proofErr w:type="spellEnd"/>
      <w:r w:rsidRPr="0036629B">
        <w:t xml:space="preserve"> has worked with more than 320 manufacturers shows that they are really committed to making a difference (Apple Environmental Progress Report, 2023). The fact that the iPhone 15 and Apple Watch Series 9 have been certified as carbon-neutral products shows that environmental goals are being put into action at the product level. So far, so believable.</w:t>
      </w:r>
    </w:p>
    <w:p w14:paraId="60E3318B" w14:textId="390BC985" w:rsidR="0036629B" w:rsidRPr="0036629B" w:rsidRDefault="0036629B" w:rsidP="00B000D5">
      <w:pPr>
        <w:spacing w:before="100" w:after="100" w:line="360" w:lineRule="auto"/>
        <w:jc w:val="both"/>
      </w:pPr>
      <w:r w:rsidRPr="0036629B">
        <w:t>But there is a contradiction that needs to be pointed out. Apple makes its products in such a way that it's hard and costly to fix them on your own. Pairing software parts stops third-party parts from working at their best. iFixit always gives Apple devices low scores for how easy they are to fix (iFixit, 2023). This speeds up the process of replacing things and makes more electronic waste, which is exactly the opposite of what a circular economy strategy should do. The 2023 Right to Repair concession was only partial, not full. Porter and Kramer's (2011) shared value framework makes it clear that if an organization's business strategy and sustainability goals are at odds, they haven't really combined them. Apple isn't there yet when it comes to repairability, no matter what its ads say.</w:t>
      </w:r>
    </w:p>
    <w:p w14:paraId="3447DFB2" w14:textId="77777777" w:rsidR="0036629B" w:rsidRDefault="0036629B" w:rsidP="00B000D5">
      <w:pPr>
        <w:spacing w:before="100" w:after="100" w:line="360" w:lineRule="auto"/>
        <w:jc w:val="both"/>
      </w:pPr>
      <w:r w:rsidRPr="0036629B">
        <w:t>However, there is a real alignment between sustainability and business goals in one important way. Privacy as an ethical obligation and a business differentiator creates a measurable brand premium and goodwill from regulators. Freeman's (1984) stakeholder theory posits that organizations authentically reconciling stakeholder interests cultivate more resilient reputational capital. Apple's privacy policy meets this requirement, but its repairability policy does not yet.</w:t>
      </w:r>
    </w:p>
    <w:p w14:paraId="3F338763" w14:textId="5AF641D1" w:rsidR="0048632D" w:rsidRDefault="00000000" w:rsidP="00B000D5">
      <w:pPr>
        <w:spacing w:before="100" w:after="100" w:line="360" w:lineRule="auto"/>
        <w:jc w:val="both"/>
      </w:pPr>
      <w:r>
        <w:rPr>
          <w:b/>
          <w:bCs/>
          <w:color w:val="1F3A5F"/>
          <w:sz w:val="28"/>
          <w:szCs w:val="28"/>
        </w:rPr>
        <w:t>4.0 Overall and Holistic Perspective: Balanced Scorecard Analysis</w:t>
      </w:r>
    </w:p>
    <w:p w14:paraId="57D8A404" w14:textId="37278447" w:rsidR="00BF0E7B" w:rsidRPr="00BF0E7B" w:rsidRDefault="00BF0E7B" w:rsidP="00B000D5">
      <w:pPr>
        <w:spacing w:before="100" w:after="100" w:line="360" w:lineRule="auto"/>
        <w:jc w:val="both"/>
      </w:pPr>
      <w:r w:rsidRPr="00BF0E7B">
        <w:t xml:space="preserve">Kaplan and Norton (1992) created the Balanced Scorecard to fix the problems with only measuring financial performance by adding views from customers, internal processes, and learning and growth. The strategy map idea by Kaplan and Norton (2004) is especially helpful for Apple because it makes the causal chain clear: investing in AI talent and skills (learning and growth) leads to better product delivery (internal processes), which leads to ecosystem stickiness and customer satisfaction (customer), which in turn leads to the revenue growth and margin expansion that investors expect (financial). This chain is important because it shows a real risk: if </w:t>
      </w:r>
      <w:r w:rsidRPr="00BF0E7B">
        <w:lastRenderedPageBreak/>
        <w:t>Apple's AI talent pipeline isn't strong enough, the problem spreads to all four perspectives.</w:t>
      </w:r>
    </w:p>
    <w:p w14:paraId="7171583B" w14:textId="2D191109" w:rsidR="0048632D" w:rsidRDefault="0048632D" w:rsidP="00B000D5">
      <w:pPr>
        <w:spacing w:before="100" w:after="100" w:line="360" w:lineRule="auto"/>
        <w:jc w:val="both"/>
      </w:pPr>
    </w:p>
    <w:p w14:paraId="18282FA3" w14:textId="77777777" w:rsidR="0048632D" w:rsidRDefault="00000000" w:rsidP="00B000D5">
      <w:pPr>
        <w:spacing w:before="80" w:after="80" w:line="360" w:lineRule="auto"/>
        <w:jc w:val="center"/>
      </w:pPr>
      <w:r>
        <w:rPr>
          <w:noProof/>
        </w:rPr>
        <w:drawing>
          <wp:inline distT="0" distB="0" distL="0" distR="0" wp14:anchorId="320D9264" wp14:editId="4DB5CF02">
            <wp:extent cx="5334000" cy="3657600"/>
            <wp:effectExtent l="0" t="0" r="0" b="0"/>
            <wp:docPr id="1" name="Balanced Scorecard Four Perspectives Diagram" descr="Balanced Scorecard Four Perspectives Diagram" title="Balanced Scorecard Four Perspectiv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334000" cy="3657600"/>
                    </a:xfrm>
                    <a:prstGeom prst="rect">
                      <a:avLst/>
                    </a:prstGeom>
                  </pic:spPr>
                </pic:pic>
              </a:graphicData>
            </a:graphic>
          </wp:inline>
        </w:drawing>
      </w:r>
    </w:p>
    <w:p w14:paraId="1FFA4609" w14:textId="77777777" w:rsidR="00E57D8E" w:rsidRDefault="00E57D8E" w:rsidP="00B000D5">
      <w:pPr>
        <w:pStyle w:val="Subtitle"/>
        <w:spacing w:line="360" w:lineRule="auto"/>
        <w:ind w:left="2160"/>
      </w:pPr>
      <w:r>
        <w:rPr>
          <w:rFonts w:eastAsia="Arial"/>
        </w:rPr>
        <w:t xml:space="preserve">Figure </w:t>
      </w:r>
      <w:r>
        <w:t>1</w:t>
      </w:r>
      <w:r>
        <w:rPr>
          <w:rFonts w:eastAsia="Arial"/>
        </w:rPr>
        <w:t>: Balanced Scorecard Perspectives Apple Inc.</w:t>
      </w:r>
    </w:p>
    <w:p w14:paraId="58B83CC1" w14:textId="77777777" w:rsidR="0048632D" w:rsidRDefault="00000000" w:rsidP="00B000D5">
      <w:pPr>
        <w:pStyle w:val="Subtitle"/>
        <w:spacing w:line="360" w:lineRule="auto"/>
        <w:ind w:left="2160"/>
      </w:pPr>
      <w:r>
        <w:rPr>
          <w:rFonts w:eastAsia="Arial"/>
        </w:rPr>
        <w:t>(Author, 2026; adapted from Kaplan and Norton, 1992)</w:t>
      </w:r>
    </w:p>
    <w:p w14:paraId="2EFFAF53" w14:textId="77777777" w:rsidR="0048632D" w:rsidRDefault="0048632D" w:rsidP="00B000D5">
      <w:pPr>
        <w:spacing w:before="50" w:after="50" w:line="360" w:lineRule="auto"/>
      </w:pPr>
    </w:p>
    <w:p w14:paraId="58B48932" w14:textId="77777777" w:rsidR="006205A1" w:rsidRDefault="006205A1" w:rsidP="00B000D5">
      <w:pPr>
        <w:spacing w:before="60" w:after="80" w:line="360" w:lineRule="auto"/>
        <w:jc w:val="center"/>
        <w:rPr>
          <w:b/>
          <w:bCs/>
          <w:color w:val="1F3A5F"/>
          <w:sz w:val="22"/>
          <w:szCs w:val="22"/>
        </w:rPr>
      </w:pPr>
    </w:p>
    <w:p w14:paraId="24A0A734" w14:textId="77777777" w:rsidR="00B000D5" w:rsidRDefault="00B000D5" w:rsidP="00B000D5">
      <w:pPr>
        <w:spacing w:before="60" w:after="80" w:line="360" w:lineRule="auto"/>
        <w:jc w:val="center"/>
        <w:rPr>
          <w:b/>
          <w:bCs/>
          <w:color w:val="1F3A5F"/>
          <w:sz w:val="22"/>
          <w:szCs w:val="22"/>
        </w:rPr>
      </w:pPr>
    </w:p>
    <w:p w14:paraId="73164829" w14:textId="77777777" w:rsidR="00B000D5" w:rsidRDefault="00B000D5" w:rsidP="00B000D5">
      <w:pPr>
        <w:spacing w:before="60" w:after="80" w:line="360" w:lineRule="auto"/>
        <w:jc w:val="center"/>
        <w:rPr>
          <w:b/>
          <w:bCs/>
          <w:color w:val="1F3A5F"/>
          <w:sz w:val="22"/>
          <w:szCs w:val="22"/>
        </w:rPr>
      </w:pPr>
    </w:p>
    <w:p w14:paraId="50DBC1CF" w14:textId="77777777" w:rsidR="00B000D5" w:rsidRDefault="00B000D5" w:rsidP="00B000D5">
      <w:pPr>
        <w:spacing w:before="60" w:after="80" w:line="360" w:lineRule="auto"/>
        <w:jc w:val="center"/>
        <w:rPr>
          <w:b/>
          <w:bCs/>
          <w:color w:val="1F3A5F"/>
          <w:sz w:val="22"/>
          <w:szCs w:val="22"/>
        </w:rPr>
      </w:pPr>
    </w:p>
    <w:p w14:paraId="390E1B8D" w14:textId="77777777" w:rsidR="00B000D5" w:rsidRDefault="00B000D5" w:rsidP="00B000D5">
      <w:pPr>
        <w:spacing w:before="60" w:after="80" w:line="360" w:lineRule="auto"/>
        <w:jc w:val="center"/>
        <w:rPr>
          <w:b/>
          <w:bCs/>
          <w:color w:val="1F3A5F"/>
          <w:sz w:val="22"/>
          <w:szCs w:val="22"/>
        </w:rPr>
      </w:pPr>
    </w:p>
    <w:p w14:paraId="5C63BCB7" w14:textId="77777777" w:rsidR="00B000D5" w:rsidRDefault="00B000D5" w:rsidP="00B000D5">
      <w:pPr>
        <w:spacing w:before="60" w:after="80" w:line="360" w:lineRule="auto"/>
        <w:jc w:val="center"/>
        <w:rPr>
          <w:b/>
          <w:bCs/>
          <w:color w:val="1F3A5F"/>
          <w:sz w:val="22"/>
          <w:szCs w:val="22"/>
        </w:rPr>
      </w:pPr>
    </w:p>
    <w:p w14:paraId="671BB8B6" w14:textId="77777777" w:rsidR="00B000D5" w:rsidRDefault="00B000D5" w:rsidP="00B000D5">
      <w:pPr>
        <w:spacing w:before="60" w:after="80" w:line="360" w:lineRule="auto"/>
        <w:jc w:val="center"/>
        <w:rPr>
          <w:b/>
          <w:bCs/>
          <w:color w:val="1F3A5F"/>
          <w:sz w:val="22"/>
          <w:szCs w:val="22"/>
        </w:rPr>
      </w:pPr>
    </w:p>
    <w:p w14:paraId="25B18D5C" w14:textId="77777777" w:rsidR="00B000D5" w:rsidRDefault="00B000D5" w:rsidP="00B000D5">
      <w:pPr>
        <w:spacing w:before="60" w:after="80" w:line="360" w:lineRule="auto"/>
        <w:jc w:val="center"/>
        <w:rPr>
          <w:b/>
          <w:bCs/>
          <w:color w:val="1F3A5F"/>
          <w:sz w:val="22"/>
          <w:szCs w:val="22"/>
        </w:rPr>
      </w:pPr>
    </w:p>
    <w:p w14:paraId="47B9108C" w14:textId="77777777" w:rsidR="00B000D5" w:rsidRDefault="00B000D5" w:rsidP="00B000D5">
      <w:pPr>
        <w:spacing w:before="60" w:after="80" w:line="360" w:lineRule="auto"/>
        <w:jc w:val="center"/>
        <w:rPr>
          <w:b/>
          <w:bCs/>
          <w:color w:val="1F3A5F"/>
          <w:sz w:val="22"/>
          <w:szCs w:val="22"/>
        </w:rPr>
      </w:pPr>
    </w:p>
    <w:p w14:paraId="5D7A3386" w14:textId="77777777" w:rsidR="00B000D5" w:rsidRDefault="00B000D5" w:rsidP="00B000D5">
      <w:pPr>
        <w:spacing w:before="60" w:after="80" w:line="360" w:lineRule="auto"/>
        <w:jc w:val="center"/>
        <w:rPr>
          <w:b/>
          <w:bCs/>
          <w:color w:val="1F3A5F"/>
          <w:sz w:val="22"/>
          <w:szCs w:val="22"/>
        </w:rPr>
      </w:pPr>
    </w:p>
    <w:p w14:paraId="1EB5A665" w14:textId="77777777" w:rsidR="006205A1" w:rsidRDefault="006205A1" w:rsidP="00B000D5">
      <w:pPr>
        <w:spacing w:before="60" w:after="80" w:line="360" w:lineRule="auto"/>
        <w:jc w:val="center"/>
        <w:rPr>
          <w:b/>
          <w:bCs/>
          <w:color w:val="1F3A5F"/>
          <w:sz w:val="22"/>
          <w:szCs w:val="22"/>
        </w:rPr>
      </w:pPr>
    </w:p>
    <w:p w14:paraId="701D6E97" w14:textId="3417900B" w:rsidR="0048632D" w:rsidRDefault="00000000" w:rsidP="00B000D5">
      <w:pPr>
        <w:spacing w:before="60" w:after="80" w:line="360" w:lineRule="auto"/>
        <w:jc w:val="center"/>
      </w:pPr>
      <w:r>
        <w:rPr>
          <w:b/>
          <w:bCs/>
          <w:color w:val="1F3A5F"/>
          <w:sz w:val="22"/>
          <w:szCs w:val="22"/>
        </w:rPr>
        <w:lastRenderedPageBreak/>
        <w:t>Table 2: Balanced Scorecard Apple Inc.</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50"/>
        <w:gridCol w:w="2350"/>
        <w:gridCol w:w="2050"/>
        <w:gridCol w:w="1650"/>
        <w:gridCol w:w="1560"/>
      </w:tblGrid>
      <w:tr w:rsidR="0048632D" w14:paraId="37FF4FA1" w14:textId="77777777">
        <w:trPr>
          <w:tblHeader/>
        </w:trPr>
        <w:tc>
          <w:tcPr>
            <w:tcW w:w="165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342884DA" w14:textId="77777777" w:rsidR="0048632D" w:rsidRDefault="00000000" w:rsidP="00B000D5">
            <w:pPr>
              <w:spacing w:line="360" w:lineRule="auto"/>
              <w:jc w:val="center"/>
            </w:pPr>
            <w:r>
              <w:rPr>
                <w:b/>
                <w:bCs/>
                <w:color w:val="FFFFFF"/>
                <w:sz w:val="22"/>
                <w:szCs w:val="22"/>
              </w:rPr>
              <w:t>Perspective</w:t>
            </w:r>
          </w:p>
        </w:tc>
        <w:tc>
          <w:tcPr>
            <w:tcW w:w="235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117D6B8D" w14:textId="77777777" w:rsidR="0048632D" w:rsidRDefault="00000000" w:rsidP="00B000D5">
            <w:pPr>
              <w:spacing w:line="360" w:lineRule="auto"/>
              <w:jc w:val="center"/>
            </w:pPr>
            <w:r>
              <w:rPr>
                <w:b/>
                <w:bCs/>
                <w:color w:val="FFFFFF"/>
                <w:sz w:val="22"/>
                <w:szCs w:val="22"/>
              </w:rPr>
              <w:t>Objectives</w:t>
            </w:r>
          </w:p>
        </w:tc>
        <w:tc>
          <w:tcPr>
            <w:tcW w:w="205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1393B739" w14:textId="77777777" w:rsidR="0048632D" w:rsidRDefault="00000000" w:rsidP="00B000D5">
            <w:pPr>
              <w:spacing w:line="360" w:lineRule="auto"/>
              <w:jc w:val="center"/>
            </w:pPr>
            <w:r>
              <w:rPr>
                <w:b/>
                <w:bCs/>
                <w:color w:val="FFFFFF"/>
                <w:sz w:val="22"/>
                <w:szCs w:val="22"/>
              </w:rPr>
              <w:t>KPIs</w:t>
            </w:r>
          </w:p>
        </w:tc>
        <w:tc>
          <w:tcPr>
            <w:tcW w:w="165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24E8C59F" w14:textId="77777777" w:rsidR="0048632D" w:rsidRDefault="00000000" w:rsidP="00B000D5">
            <w:pPr>
              <w:spacing w:line="360" w:lineRule="auto"/>
              <w:jc w:val="center"/>
            </w:pPr>
            <w:r>
              <w:rPr>
                <w:b/>
                <w:bCs/>
                <w:color w:val="FFFFFF"/>
                <w:sz w:val="22"/>
                <w:szCs w:val="22"/>
              </w:rPr>
              <w:t>Targets</w:t>
            </w:r>
          </w:p>
        </w:tc>
        <w:tc>
          <w:tcPr>
            <w:tcW w:w="1560" w:type="dxa"/>
            <w:tcBorders>
              <w:top w:val="single" w:sz="4" w:space="0" w:color="1F3A5F"/>
              <w:left w:val="single" w:sz="4" w:space="0" w:color="1F3A5F"/>
              <w:bottom w:val="single" w:sz="4" w:space="0" w:color="1F3A5F"/>
              <w:right w:val="single" w:sz="4" w:space="0" w:color="1F3A5F"/>
            </w:tcBorders>
            <w:shd w:val="clear" w:color="auto" w:fill="1F3A5F"/>
            <w:tcMar>
              <w:top w:w="80" w:type="dxa"/>
              <w:left w:w="120" w:type="dxa"/>
              <w:bottom w:w="80" w:type="dxa"/>
              <w:right w:w="120" w:type="dxa"/>
            </w:tcMar>
          </w:tcPr>
          <w:p w14:paraId="10F23C48" w14:textId="77777777" w:rsidR="0048632D" w:rsidRDefault="00000000" w:rsidP="00B000D5">
            <w:pPr>
              <w:spacing w:line="360" w:lineRule="auto"/>
              <w:jc w:val="center"/>
            </w:pPr>
            <w:r>
              <w:rPr>
                <w:b/>
                <w:bCs/>
                <w:color w:val="FFFFFF"/>
                <w:sz w:val="22"/>
                <w:szCs w:val="22"/>
              </w:rPr>
              <w:t>Initiatives</w:t>
            </w:r>
          </w:p>
        </w:tc>
      </w:tr>
      <w:tr w:rsidR="0048632D" w14:paraId="5F3AE56C" w14:textId="77777777">
        <w:tc>
          <w:tcPr>
            <w:tcW w:w="16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89E932D" w14:textId="77777777" w:rsidR="0048632D" w:rsidRDefault="00000000" w:rsidP="00B000D5">
            <w:pPr>
              <w:spacing w:line="360" w:lineRule="auto"/>
            </w:pPr>
            <w:r>
              <w:rPr>
                <w:sz w:val="21"/>
                <w:szCs w:val="21"/>
              </w:rPr>
              <w:t>Financial</w:t>
            </w:r>
          </w:p>
        </w:tc>
        <w:tc>
          <w:tcPr>
            <w:tcW w:w="23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6810E52" w14:textId="77777777" w:rsidR="0048632D" w:rsidRDefault="00000000" w:rsidP="00B000D5">
            <w:pPr>
              <w:spacing w:line="360" w:lineRule="auto"/>
            </w:pPr>
            <w:r>
              <w:rPr>
                <w:sz w:val="21"/>
                <w:szCs w:val="21"/>
              </w:rPr>
              <w:t xml:space="preserve">Grow Services mix; protect hardware margins; </w:t>
            </w:r>
            <w:proofErr w:type="spellStart"/>
            <w:r>
              <w:rPr>
                <w:sz w:val="21"/>
                <w:szCs w:val="21"/>
              </w:rPr>
              <w:t>maximise</w:t>
            </w:r>
            <w:proofErr w:type="spellEnd"/>
            <w:r>
              <w:rPr>
                <w:sz w:val="21"/>
                <w:szCs w:val="21"/>
              </w:rPr>
              <w:t xml:space="preserve"> FCF</w:t>
            </w:r>
          </w:p>
        </w:tc>
        <w:tc>
          <w:tcPr>
            <w:tcW w:w="20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300F4BFD" w14:textId="77777777" w:rsidR="0048632D" w:rsidRDefault="00000000" w:rsidP="00B000D5">
            <w:pPr>
              <w:spacing w:line="360" w:lineRule="auto"/>
            </w:pPr>
            <w:r>
              <w:rPr>
                <w:sz w:val="21"/>
                <w:szCs w:val="21"/>
              </w:rPr>
              <w:t>Revenue growth %; Operating margin %; FCF conversion</w:t>
            </w:r>
          </w:p>
        </w:tc>
        <w:tc>
          <w:tcPr>
            <w:tcW w:w="16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5E2E779" w14:textId="77777777" w:rsidR="0048632D" w:rsidRDefault="00000000" w:rsidP="00B000D5">
            <w:pPr>
              <w:spacing w:line="360" w:lineRule="auto"/>
            </w:pPr>
            <w:r>
              <w:rPr>
                <w:sz w:val="21"/>
                <w:szCs w:val="21"/>
              </w:rPr>
              <w:t>Services &gt;25% revenue; Op. margin &gt;30%; FCF &gt;90%</w:t>
            </w:r>
          </w:p>
        </w:tc>
        <w:tc>
          <w:tcPr>
            <w:tcW w:w="156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7CD7007E" w14:textId="77777777" w:rsidR="0048632D" w:rsidRDefault="00000000" w:rsidP="00B000D5">
            <w:pPr>
              <w:spacing w:line="360" w:lineRule="auto"/>
            </w:pPr>
            <w:r>
              <w:rPr>
                <w:sz w:val="21"/>
                <w:szCs w:val="21"/>
              </w:rPr>
              <w:t xml:space="preserve">Services </w:t>
            </w:r>
            <w:proofErr w:type="spellStart"/>
            <w:r>
              <w:rPr>
                <w:sz w:val="21"/>
                <w:szCs w:val="21"/>
              </w:rPr>
              <w:t>monetisation</w:t>
            </w:r>
            <w:proofErr w:type="spellEnd"/>
            <w:r>
              <w:rPr>
                <w:sz w:val="21"/>
                <w:szCs w:val="21"/>
              </w:rPr>
              <w:t xml:space="preserve">; buybacks; cost discipline </w:t>
            </w:r>
            <w:proofErr w:type="spellStart"/>
            <w:r>
              <w:rPr>
                <w:sz w:val="21"/>
                <w:szCs w:val="21"/>
              </w:rPr>
              <w:t>programmes</w:t>
            </w:r>
            <w:proofErr w:type="spellEnd"/>
          </w:p>
        </w:tc>
      </w:tr>
      <w:tr w:rsidR="0048632D" w14:paraId="553103BF" w14:textId="77777777">
        <w:tc>
          <w:tcPr>
            <w:tcW w:w="1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803F9E" w14:textId="77777777" w:rsidR="0048632D" w:rsidRDefault="00000000" w:rsidP="00B000D5">
            <w:pPr>
              <w:spacing w:line="360" w:lineRule="auto"/>
            </w:pPr>
            <w:r>
              <w:rPr>
                <w:sz w:val="21"/>
                <w:szCs w:val="21"/>
              </w:rPr>
              <w:t>Customer</w:t>
            </w:r>
          </w:p>
        </w:tc>
        <w:tc>
          <w:tcPr>
            <w:tcW w:w="23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0157301" w14:textId="77777777" w:rsidR="0048632D" w:rsidRDefault="00000000" w:rsidP="00B000D5">
            <w:pPr>
              <w:spacing w:line="360" w:lineRule="auto"/>
            </w:pPr>
            <w:r>
              <w:rPr>
                <w:sz w:val="21"/>
                <w:szCs w:val="21"/>
              </w:rPr>
              <w:t>Deepen ecosystem stickiness; grow installed base; strengthen NPS</w:t>
            </w:r>
          </w:p>
        </w:tc>
        <w:tc>
          <w:tcPr>
            <w:tcW w:w="20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E9C8B4" w14:textId="77777777" w:rsidR="0048632D" w:rsidRDefault="00000000" w:rsidP="00B000D5">
            <w:pPr>
              <w:spacing w:line="360" w:lineRule="auto"/>
            </w:pPr>
            <w:r>
              <w:rPr>
                <w:sz w:val="21"/>
                <w:szCs w:val="21"/>
              </w:rPr>
              <w:t>NPS score; active device base; paid subscriber count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C564F9" w14:textId="77777777" w:rsidR="0048632D" w:rsidRDefault="00000000" w:rsidP="00B000D5">
            <w:pPr>
              <w:spacing w:line="360" w:lineRule="auto"/>
            </w:pPr>
            <w:r>
              <w:rPr>
                <w:sz w:val="21"/>
                <w:szCs w:val="21"/>
              </w:rPr>
              <w:t>NPS top quartile; devices &gt;2.2B; subs &gt;1B</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BF9E83" w14:textId="77777777" w:rsidR="0048632D" w:rsidRDefault="00000000" w:rsidP="00B000D5">
            <w:pPr>
              <w:spacing w:line="360" w:lineRule="auto"/>
            </w:pPr>
            <w:r>
              <w:rPr>
                <w:sz w:val="21"/>
                <w:szCs w:val="21"/>
              </w:rPr>
              <w:t>Apple Intelligence; loyalty pricing; India retail expansion</w:t>
            </w:r>
          </w:p>
        </w:tc>
      </w:tr>
      <w:tr w:rsidR="0048632D" w14:paraId="0A950684" w14:textId="77777777">
        <w:tc>
          <w:tcPr>
            <w:tcW w:w="16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54698F67" w14:textId="77777777" w:rsidR="0048632D" w:rsidRDefault="00000000" w:rsidP="00B000D5">
            <w:pPr>
              <w:spacing w:line="360" w:lineRule="auto"/>
            </w:pPr>
            <w:r>
              <w:rPr>
                <w:sz w:val="21"/>
                <w:szCs w:val="21"/>
              </w:rPr>
              <w:t>Internal Processes</w:t>
            </w:r>
          </w:p>
        </w:tc>
        <w:tc>
          <w:tcPr>
            <w:tcW w:w="23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70AF3429" w14:textId="77777777" w:rsidR="0048632D" w:rsidRDefault="00000000" w:rsidP="00B000D5">
            <w:pPr>
              <w:spacing w:line="360" w:lineRule="auto"/>
            </w:pPr>
            <w:r>
              <w:rPr>
                <w:sz w:val="21"/>
                <w:szCs w:val="21"/>
              </w:rPr>
              <w:t>Accelerate AI delivery; de-risk supply chain; embed sustainability</w:t>
            </w:r>
          </w:p>
        </w:tc>
        <w:tc>
          <w:tcPr>
            <w:tcW w:w="20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0C710F9E" w14:textId="77777777" w:rsidR="0048632D" w:rsidRDefault="00000000" w:rsidP="00B000D5">
            <w:pPr>
              <w:spacing w:line="360" w:lineRule="auto"/>
            </w:pPr>
            <w:r>
              <w:rPr>
                <w:sz w:val="21"/>
                <w:szCs w:val="21"/>
              </w:rPr>
              <w:t>Time-to-market; geo-diversification index; Scope 3 emissions</w:t>
            </w:r>
          </w:p>
        </w:tc>
        <w:tc>
          <w:tcPr>
            <w:tcW w:w="165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6870EAA6" w14:textId="77777777" w:rsidR="0048632D" w:rsidRDefault="00000000" w:rsidP="00B000D5">
            <w:pPr>
              <w:spacing w:line="360" w:lineRule="auto"/>
            </w:pPr>
            <w:r>
              <w:rPr>
                <w:sz w:val="21"/>
                <w:szCs w:val="21"/>
              </w:rPr>
              <w:t>Annual product cycle; India = 20% production; carbon neutral 2030</w:t>
            </w:r>
          </w:p>
        </w:tc>
        <w:tc>
          <w:tcPr>
            <w:tcW w:w="1560" w:type="dxa"/>
            <w:tcBorders>
              <w:top w:val="single" w:sz="1" w:space="0" w:color="CCCCCC"/>
              <w:left w:val="single" w:sz="1" w:space="0" w:color="CCCCCC"/>
              <w:bottom w:val="single" w:sz="1" w:space="0" w:color="CCCCCC"/>
              <w:right w:val="single" w:sz="1" w:space="0" w:color="CCCCCC"/>
            </w:tcBorders>
            <w:shd w:val="clear" w:color="auto" w:fill="EEF2F8"/>
            <w:tcMar>
              <w:top w:w="80" w:type="dxa"/>
              <w:left w:w="120" w:type="dxa"/>
              <w:bottom w:w="80" w:type="dxa"/>
              <w:right w:w="120" w:type="dxa"/>
            </w:tcMar>
          </w:tcPr>
          <w:p w14:paraId="4EE6E2BB" w14:textId="77777777" w:rsidR="0048632D" w:rsidRDefault="00000000" w:rsidP="00B000D5">
            <w:pPr>
              <w:spacing w:line="360" w:lineRule="auto"/>
            </w:pPr>
            <w:r>
              <w:rPr>
                <w:sz w:val="21"/>
                <w:szCs w:val="21"/>
              </w:rPr>
              <w:t xml:space="preserve">India/Vietnam </w:t>
            </w:r>
            <w:proofErr w:type="spellStart"/>
            <w:r>
              <w:rPr>
                <w:sz w:val="21"/>
                <w:szCs w:val="21"/>
              </w:rPr>
              <w:t>mfg</w:t>
            </w:r>
            <w:proofErr w:type="spellEnd"/>
            <w:r>
              <w:rPr>
                <w:sz w:val="21"/>
                <w:szCs w:val="21"/>
              </w:rPr>
              <w:t>; TSMC Arizona; circular economy design</w:t>
            </w:r>
          </w:p>
        </w:tc>
      </w:tr>
      <w:tr w:rsidR="0048632D" w14:paraId="06F5E6D8" w14:textId="77777777">
        <w:tc>
          <w:tcPr>
            <w:tcW w:w="1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279C9F" w14:textId="77777777" w:rsidR="0048632D" w:rsidRDefault="00000000" w:rsidP="00B000D5">
            <w:pPr>
              <w:spacing w:line="360" w:lineRule="auto"/>
            </w:pPr>
            <w:r>
              <w:rPr>
                <w:sz w:val="21"/>
                <w:szCs w:val="21"/>
              </w:rPr>
              <w:t>Learning &amp; Growth</w:t>
            </w:r>
          </w:p>
        </w:tc>
        <w:tc>
          <w:tcPr>
            <w:tcW w:w="23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B028C0" w14:textId="77777777" w:rsidR="0048632D" w:rsidRDefault="00000000" w:rsidP="00B000D5">
            <w:pPr>
              <w:spacing w:line="360" w:lineRule="auto"/>
            </w:pPr>
            <w:r>
              <w:rPr>
                <w:sz w:val="21"/>
                <w:szCs w:val="21"/>
              </w:rPr>
              <w:t>Build AI/ML talent pipeline; foster agility; advance digital skills</w:t>
            </w:r>
          </w:p>
        </w:tc>
        <w:tc>
          <w:tcPr>
            <w:tcW w:w="20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180EF0" w14:textId="77777777" w:rsidR="0048632D" w:rsidRDefault="00000000" w:rsidP="00B000D5">
            <w:pPr>
              <w:spacing w:line="360" w:lineRule="auto"/>
            </w:pPr>
            <w:r>
              <w:rPr>
                <w:sz w:val="21"/>
                <w:szCs w:val="21"/>
              </w:rPr>
              <w:t xml:space="preserve">Employee engagement; AI talent ratio; training </w:t>
            </w:r>
            <w:proofErr w:type="spellStart"/>
            <w:r>
              <w:rPr>
                <w:sz w:val="21"/>
                <w:szCs w:val="21"/>
              </w:rPr>
              <w:t>hrs</w:t>
            </w:r>
            <w:proofErr w:type="spellEnd"/>
            <w:r>
              <w:rPr>
                <w:sz w:val="21"/>
                <w:szCs w:val="21"/>
              </w:rPr>
              <w:t xml:space="preserve"> per head</w:t>
            </w:r>
          </w:p>
        </w:tc>
        <w:tc>
          <w:tcPr>
            <w:tcW w:w="1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01E813" w14:textId="77777777" w:rsidR="0048632D" w:rsidRDefault="00000000" w:rsidP="00B000D5">
            <w:pPr>
              <w:spacing w:line="360" w:lineRule="auto"/>
            </w:pPr>
            <w:r>
              <w:rPr>
                <w:sz w:val="21"/>
                <w:szCs w:val="21"/>
              </w:rPr>
              <w:t xml:space="preserve">Engagement top quartile; double ML engineers; 40+ </w:t>
            </w:r>
            <w:proofErr w:type="spellStart"/>
            <w:r>
              <w:rPr>
                <w:sz w:val="21"/>
                <w:szCs w:val="21"/>
              </w:rPr>
              <w:t>hrs</w:t>
            </w:r>
            <w:proofErr w:type="spellEnd"/>
            <w:r>
              <w:rPr>
                <w:sz w:val="21"/>
                <w:szCs w:val="21"/>
              </w:rPr>
              <w:t xml:space="preserve"> pa</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310768" w14:textId="77777777" w:rsidR="0048632D" w:rsidRDefault="00000000" w:rsidP="00B000D5">
            <w:pPr>
              <w:spacing w:line="360" w:lineRule="auto"/>
            </w:pPr>
            <w:r>
              <w:rPr>
                <w:sz w:val="21"/>
                <w:szCs w:val="21"/>
              </w:rPr>
              <w:t>Apple University; AI acquisitions; DEI hiring commitments</w:t>
            </w:r>
          </w:p>
        </w:tc>
      </w:tr>
    </w:tbl>
    <w:p w14:paraId="22A59994" w14:textId="77777777" w:rsidR="0048632D" w:rsidRDefault="0048632D" w:rsidP="00B000D5">
      <w:pPr>
        <w:spacing w:before="50" w:after="50" w:line="360" w:lineRule="auto"/>
      </w:pPr>
    </w:p>
    <w:p w14:paraId="46018394" w14:textId="77777777" w:rsidR="0048632D" w:rsidRDefault="00000000" w:rsidP="00B000D5">
      <w:pPr>
        <w:pStyle w:val="Heading2"/>
        <w:spacing w:line="360" w:lineRule="auto"/>
      </w:pPr>
      <w:bookmarkStart w:id="4" w:name="_Toc225898216"/>
      <w:r>
        <w:t>4.1 Financial Perspective</w:t>
      </w:r>
      <w:bookmarkEnd w:id="4"/>
    </w:p>
    <w:p w14:paraId="253C8C8B" w14:textId="1AFBD3D5" w:rsidR="00CB77DE" w:rsidRPr="00CB77DE" w:rsidRDefault="00CB77DE" w:rsidP="00B000D5">
      <w:pPr>
        <w:spacing w:before="100" w:after="100" w:line="360" w:lineRule="auto"/>
        <w:jc w:val="both"/>
      </w:pPr>
      <w:r w:rsidRPr="00CB77DE">
        <w:t xml:space="preserve">Apple's operating margin of 29.8% for fiscal 2023 is good, but the most important thing is to change the mix of Services revenue. Services have gross margins of over 70%, while hardware has gross margins of about 36% (Apple Inc., 2023b). It's clear that the financial effect is that every percentage point of revenue that moves from hardware to services greatly increases overall profitability. The $89.2 billion that shareholders got back through buybacks and dividends in fiscal 2023 shows that the company is financially responsible. However, it does raise a good question about opportunity cost: </w:t>
      </w:r>
      <w:r w:rsidRPr="00CB77DE">
        <w:lastRenderedPageBreak/>
        <w:t>money spent on AI or health technology acquisitions might make more money in the long run than buybacks. It is possible and strategically necessary for Services to make up more than 25% of total revenue. If it doesn't happen, it would mean that the platform's monetization strategy isn't working.</w:t>
      </w:r>
    </w:p>
    <w:p w14:paraId="7C7DCA17" w14:textId="1EE87FD9" w:rsidR="0048632D" w:rsidRDefault="00000000" w:rsidP="00B000D5">
      <w:pPr>
        <w:spacing w:before="100" w:after="100" w:line="360" w:lineRule="auto"/>
        <w:jc w:val="both"/>
      </w:pPr>
      <w:r>
        <w:rPr>
          <w:b/>
          <w:bCs/>
          <w:color w:val="2E4057"/>
          <w:sz w:val="26"/>
          <w:szCs w:val="26"/>
        </w:rPr>
        <w:t>4.2 Customer Perspective</w:t>
      </w:r>
    </w:p>
    <w:p w14:paraId="7CE50720" w14:textId="7FEB97B9" w:rsidR="00A22EBB" w:rsidRPr="00A22EBB" w:rsidRDefault="00A22EBB" w:rsidP="00B000D5">
      <w:pPr>
        <w:spacing w:before="100" w:after="100" w:line="360" w:lineRule="auto"/>
        <w:jc w:val="both"/>
      </w:pPr>
      <w:r w:rsidRPr="00A22EBB">
        <w:t>Apple has more than 2.2 billion active devices in use, which is a lot, but the number itself isn't as important as what it lets people do (Apple Inc., 2023b). Every device that is turned on could be a Services subscriber. Every Services subscriber raises the costs of switching. Keller (2013) contends that brands that produce experiential resonance alongside functional performance foster loyalty that is inherently resistant to competitive targeting. Apple's NPS leadership in consumer electronics backs this up. The worry is that if Google and Samsung's generative AI features start to make daily tasks significantly easier, the experiential loyalty advantage could fade away faster than it has in the past. You can see and measure AI improvements in everyday use, but you can't see and measure chip performance improvements as easily.</w:t>
      </w:r>
    </w:p>
    <w:p w14:paraId="30AE8926" w14:textId="794F5E51" w:rsidR="0048632D" w:rsidRDefault="00000000" w:rsidP="00B000D5">
      <w:pPr>
        <w:spacing w:before="100" w:after="100" w:line="360" w:lineRule="auto"/>
        <w:jc w:val="both"/>
      </w:pPr>
      <w:r>
        <w:rPr>
          <w:b/>
          <w:bCs/>
          <w:color w:val="2E4057"/>
          <w:sz w:val="26"/>
          <w:szCs w:val="26"/>
        </w:rPr>
        <w:t>4.3 Internal Business Processes</w:t>
      </w:r>
    </w:p>
    <w:p w14:paraId="32D0397E" w14:textId="57C87912" w:rsidR="0048632D" w:rsidRDefault="00000000" w:rsidP="00B000D5">
      <w:pPr>
        <w:spacing w:before="100" w:after="100" w:line="360" w:lineRule="auto"/>
        <w:jc w:val="both"/>
      </w:pPr>
      <w:r>
        <w:t xml:space="preserve">Apple's hardware product development and launch process is a benchmark of supply chain coordination. The sustainability integration dimension carbon-neutral product certifications, renewable energy procurement shows that environmental commitments are being </w:t>
      </w:r>
      <w:proofErr w:type="spellStart"/>
      <w:r>
        <w:t>operationalised</w:t>
      </w:r>
      <w:proofErr w:type="spellEnd"/>
      <w:r>
        <w:t xml:space="preserve"> at the process level. The challenge is AI feature velocity. A failure to accelerate Apple Intelligence development will directly weaken customer experience differentiation, reduce upgrade motivation, slow iPhone revenue, and constrain the investment capacity needed to fund Vision Pro and health technology. This cascading effect across Balanced Scorecard perspectives is exactly the kind of strategic vulnerability that Kaplan and Norton's framework is designed to surface.</w:t>
      </w:r>
    </w:p>
    <w:p w14:paraId="793A6F13" w14:textId="77777777" w:rsidR="0048632D" w:rsidRDefault="00000000" w:rsidP="00B000D5">
      <w:pPr>
        <w:pStyle w:val="Heading2"/>
        <w:spacing w:line="360" w:lineRule="auto"/>
      </w:pPr>
      <w:bookmarkStart w:id="5" w:name="_Toc225898217"/>
      <w:r>
        <w:t>4.4 Learning and Growth Perspective</w:t>
      </w:r>
      <w:bookmarkEnd w:id="5"/>
    </w:p>
    <w:p w14:paraId="51C41B5B" w14:textId="40D993A9" w:rsidR="0048632D" w:rsidRDefault="00000000" w:rsidP="00B000D5">
      <w:pPr>
        <w:spacing w:before="100" w:after="100" w:line="360" w:lineRule="auto"/>
        <w:jc w:val="both"/>
      </w:pPr>
      <w:r>
        <w:t xml:space="preserve">Apple's learning and growth investment is substantial: $29.9 billion in R&amp;D (Apple Inc., 2023b), 32 AI company acquisitions from 2017 to 2023 (CB Insights, 2023), and Apple University's leadership development </w:t>
      </w:r>
      <w:proofErr w:type="spellStart"/>
      <w:r>
        <w:t>programmes</w:t>
      </w:r>
      <w:proofErr w:type="spellEnd"/>
      <w:r>
        <w:t xml:space="preserve"> that transmit the </w:t>
      </w:r>
      <w:proofErr w:type="spellStart"/>
      <w:r>
        <w:t>organisation's</w:t>
      </w:r>
      <w:proofErr w:type="spellEnd"/>
      <w:r>
        <w:t xml:space="preserve"> design philosophy. The strategic challenge is cultural. Apple's perfectionism culture </w:t>
      </w:r>
      <w:proofErr w:type="spellStart"/>
      <w:r>
        <w:t>optimises</w:t>
      </w:r>
      <w:proofErr w:type="spellEnd"/>
      <w:r>
        <w:t xml:space="preserve"> for quality over speed. The AI competitive race may require a different </w:t>
      </w:r>
      <w:r>
        <w:lastRenderedPageBreak/>
        <w:t xml:space="preserve">balance iterating faster, shipping features before they are perfect, and updating them quickly. Grant (2019) argues that competitive advantage in dynamic environments requires continuous capability reconfiguration. Whether Apple's leadership can manage this cultural shift without losing the quality discipline that defines the brand is one of the most important strategic questions the </w:t>
      </w:r>
      <w:proofErr w:type="spellStart"/>
      <w:r>
        <w:t>organisation</w:t>
      </w:r>
      <w:proofErr w:type="spellEnd"/>
      <w:r>
        <w:t xml:space="preserve"> faces.</w:t>
      </w:r>
    </w:p>
    <w:p w14:paraId="6B5A666B" w14:textId="77777777" w:rsidR="0048632D" w:rsidRDefault="00000000" w:rsidP="00B000D5">
      <w:pPr>
        <w:pStyle w:val="Heading1"/>
        <w:spacing w:line="360" w:lineRule="auto"/>
      </w:pPr>
      <w:bookmarkStart w:id="6" w:name="_Toc225898218"/>
      <w:r>
        <w:t>5.0 Strategic Choices and Implementation</w:t>
      </w:r>
      <w:bookmarkEnd w:id="6"/>
    </w:p>
    <w:p w14:paraId="06181A73" w14:textId="77777777" w:rsidR="0048632D" w:rsidRDefault="00000000" w:rsidP="00B000D5">
      <w:pPr>
        <w:pStyle w:val="Heading2"/>
        <w:spacing w:line="360" w:lineRule="auto"/>
      </w:pPr>
      <w:bookmarkStart w:id="7" w:name="_Toc225898219"/>
      <w:r>
        <w:t>5.1 Business-Level Strategy</w:t>
      </w:r>
      <w:bookmarkEnd w:id="7"/>
    </w:p>
    <w:p w14:paraId="4A09156A" w14:textId="77777777" w:rsidR="00DA69FD" w:rsidRDefault="00F13A0D" w:rsidP="00B000D5">
      <w:pPr>
        <w:spacing w:before="100" w:after="100" w:line="360" w:lineRule="auto"/>
        <w:jc w:val="both"/>
      </w:pPr>
      <w:r w:rsidRPr="00F13A0D">
        <w:t xml:space="preserve">Porter (1985) makes it clear that companies that don't choose a clear competitive position, like cost leadership, differentiation, or focus, run the risk of getting "stuck in the middle" with no way to defend their advantage. Apple's business-level strategy is differentiation, and it has been used for more than 20 years. Instead of being cheaper, products compete on how well they are designed, how well they work together, how well they fit the brand, and how much they cost. With Apple's resources and skills, this is the best choice. The risk is that in markets where the difference in functionality between premium and mid-range devices is getting smaller, and where Samsung and Xiaomi have really caught up in terms of cameras, display quality, and processing speed, it is becoming harder to justify the $300+ price difference for an iPhone based on hardware specs alone. The ecosystem premium is still there, but it needs to be strengthened all the time by features that are truly unique. </w:t>
      </w:r>
    </w:p>
    <w:p w14:paraId="3C426C68" w14:textId="77777777" w:rsidR="00DA69FD" w:rsidRDefault="00F13A0D" w:rsidP="00B000D5">
      <w:pPr>
        <w:spacing w:before="100" w:after="100" w:line="360" w:lineRule="auto"/>
        <w:jc w:val="both"/>
      </w:pPr>
      <w:r w:rsidRPr="00F13A0D">
        <w:br/>
        <w:t xml:space="preserve">A hybrid differentiation strategy for emerging markets is a good option to think about. Apple could make a dedicated line of iPhone SEs in India that would compete with Samsung and Xiaomi in the ₹40,000–60,000 range. This would mean giving up some profit per unit in exchange for growth in the number of people who own the phone, which would pay off in the long run through lifetime Services revenue. This is not a weakening of the brand; it is a decision to divide it up. </w:t>
      </w:r>
    </w:p>
    <w:p w14:paraId="77DFF241" w14:textId="5987728D" w:rsidR="00F13A0D" w:rsidRPr="00F13A0D" w:rsidRDefault="00F13A0D" w:rsidP="00B000D5">
      <w:pPr>
        <w:spacing w:before="100" w:after="100" w:line="360" w:lineRule="auto"/>
        <w:jc w:val="both"/>
      </w:pPr>
      <w:r w:rsidRPr="00F13A0D">
        <w:t xml:space="preserve">The Macan does not hurt the 911's reputation, so Porsche can sell both cars. Apple could use the same reasoning. Porter (1985) would warn that this could lead to strategic incoherence if the positioning becomes unclear. The counter-argument is that Apple's ecosystem is strong enough to keep aspirational value no matter what tier </w:t>
      </w:r>
      <w:r w:rsidRPr="00F13A0D">
        <w:lastRenderedPageBreak/>
        <w:t>someone joins. Overall, the chance to grow the market in India is too big to leave to Samsung.</w:t>
      </w:r>
    </w:p>
    <w:p w14:paraId="43BFA019" w14:textId="655DA365" w:rsidR="0048632D" w:rsidRDefault="00000000" w:rsidP="00B000D5">
      <w:pPr>
        <w:spacing w:before="100" w:after="100" w:line="360" w:lineRule="auto"/>
        <w:jc w:val="both"/>
      </w:pPr>
      <w:r>
        <w:rPr>
          <w:b/>
          <w:bCs/>
        </w:rPr>
        <w:t>Recommendation:</w:t>
      </w:r>
      <w:r>
        <w:t xml:space="preserve"> Pursue focused differentiation in developed markets whilst adopting a structured premium-accessible tier strategy in India, Indonesia, and Brazil through a </w:t>
      </w:r>
      <w:proofErr w:type="spellStart"/>
      <w:r>
        <w:t>revitalised</w:t>
      </w:r>
      <w:proofErr w:type="spellEnd"/>
      <w:r>
        <w:t xml:space="preserve"> iPhone SE line. This aligns with market development in Ansoff's (1957) matrix and avoids the false choice between premium purity and volume growth.</w:t>
      </w:r>
    </w:p>
    <w:p w14:paraId="296DA5D1" w14:textId="77777777" w:rsidR="0048632D" w:rsidRDefault="00000000" w:rsidP="00B000D5">
      <w:pPr>
        <w:pStyle w:val="Heading2"/>
        <w:spacing w:line="360" w:lineRule="auto"/>
      </w:pPr>
      <w:bookmarkStart w:id="8" w:name="_Toc225898220"/>
      <w:r>
        <w:t>5.2 Corporate-Level Strategy</w:t>
      </w:r>
      <w:bookmarkEnd w:id="8"/>
    </w:p>
    <w:p w14:paraId="6110E1A6" w14:textId="77777777" w:rsidR="00DA69FD" w:rsidRDefault="00000000" w:rsidP="00B000D5">
      <w:pPr>
        <w:spacing w:before="100" w:after="100" w:line="360" w:lineRule="auto"/>
        <w:jc w:val="both"/>
      </w:pPr>
      <w:r>
        <w:t>A</w:t>
      </w:r>
      <w:r w:rsidR="00DF5D66" w:rsidRPr="00DF5D66">
        <w:rPr>
          <w:rFonts w:ascii="Times New Roman" w:eastAsia="Times New Roman" w:hAnsi="Times New Roman" w:cs="Times New Roman"/>
        </w:rPr>
        <w:t xml:space="preserve"> </w:t>
      </w:r>
      <w:r w:rsidR="00DF5D66" w:rsidRPr="00DF5D66">
        <w:t>Apple's portfolio shows that the company is diversifying by entering the service, wearable, and health technology markets. This leverages the brand, customer relationships, and technology platforms that have already been built through devices. According to Henderson's (1979) BCG logic (see Section 6), Services is the Star that needs a lot of investment; the iPhone is the Cash Cow that pays for that investment; and Vision Pro and health technology are Question Marks that need selective development funding. This classification leads to the allocation logic.</w:t>
      </w:r>
    </w:p>
    <w:p w14:paraId="1C929A2F" w14:textId="77777777" w:rsidR="00DA69FD" w:rsidRDefault="00DF5D66" w:rsidP="00B000D5">
      <w:pPr>
        <w:spacing w:before="100" w:after="100" w:line="360" w:lineRule="auto"/>
        <w:jc w:val="both"/>
      </w:pPr>
      <w:r w:rsidRPr="00DF5D66">
        <w:t xml:space="preserve"> </w:t>
      </w:r>
      <w:r w:rsidRPr="00DF5D66">
        <w:br/>
        <w:t>Bartlett and Ghoshal (1989) call Apple's international model a transnational approach. This means that the company standardizes its products and brand positioning around the world, but makes some changes to its pricing, manufacturing footprint, and regulatory compliance in each country. The India strategy is a good example of this: global products, local manufacturing, local retail, and local financing partnerships.</w:t>
      </w:r>
    </w:p>
    <w:p w14:paraId="18773FB9" w14:textId="5FAD75F1" w:rsidR="00DA69FD" w:rsidRDefault="00DF5D66" w:rsidP="00B000D5">
      <w:pPr>
        <w:spacing w:before="100" w:after="100" w:line="360" w:lineRule="auto"/>
        <w:jc w:val="both"/>
      </w:pPr>
      <w:r w:rsidRPr="00DF5D66">
        <w:br/>
        <w:t xml:space="preserve">The most important decision for the company as a whole is how hard to work to diversify its health and financial services. Apple is in a unique position in digital health because it has 2.2 billion devices already in use, the Apple Watch's biometric capabilities, and the brand's trust capital. Campbell, Goold, and Alexander (1995) would inquire if Apple Corporate genuinely enhances these adjacent enterprises via distribution, branding, and technological integration, to which the answer is unequivocally affirmative. </w:t>
      </w:r>
    </w:p>
    <w:p w14:paraId="16B541C1" w14:textId="31D468C9" w:rsidR="00DF5D66" w:rsidRPr="00DF5D66" w:rsidRDefault="00DF5D66" w:rsidP="00B000D5">
      <w:pPr>
        <w:spacing w:before="100" w:after="100" w:line="360" w:lineRule="auto"/>
        <w:jc w:val="both"/>
      </w:pPr>
      <w:r w:rsidRPr="00DF5D66">
        <w:br/>
      </w:r>
      <w:r>
        <w:rPr>
          <w:b/>
          <w:bCs/>
        </w:rPr>
        <w:t>Recommendation:</w:t>
      </w:r>
      <w:r w:rsidRPr="00DF5D66">
        <w:t xml:space="preserve"> Within three years, Apple should buy a telehealth platform and a health data analytics company and add them to Apple Health Records. In financial services, deepening Apple Pay Later through partnerships with banks instead of </w:t>
      </w:r>
      <w:r w:rsidRPr="00DF5D66">
        <w:lastRenderedPageBreak/>
        <w:t>getting a direct banking license speeds up capability without exposing the company to too many regulations.</w:t>
      </w:r>
    </w:p>
    <w:p w14:paraId="26D5A621" w14:textId="42A853BF" w:rsidR="0048632D" w:rsidRDefault="00000000" w:rsidP="00B000D5">
      <w:pPr>
        <w:spacing w:before="100" w:after="100" w:line="360" w:lineRule="auto"/>
        <w:jc w:val="both"/>
      </w:pPr>
      <w:r>
        <w:rPr>
          <w:b/>
          <w:bCs/>
          <w:color w:val="2E4057"/>
          <w:sz w:val="26"/>
          <w:szCs w:val="26"/>
        </w:rPr>
        <w:t>5.3 Change Management and Strategic Implementation</w:t>
      </w:r>
    </w:p>
    <w:p w14:paraId="6D53104F" w14:textId="226EF074" w:rsidR="0048632D" w:rsidRDefault="00000000" w:rsidP="00B000D5">
      <w:pPr>
        <w:spacing w:before="100" w:after="100" w:line="360" w:lineRule="auto"/>
        <w:jc w:val="both"/>
      </w:pPr>
      <w:r>
        <w:t>Strategic implementation at Apple has been shaped by two significant transitions: Jobs to Cook in 2011, and the ongoing shift from hardware-centric to services-centric. Lewin's (1951) force field analysis is instructive. The driving forces for transformation are clear investor pressure to diversify, regulatory compulsion to open the platform, and the AI opportunity. The restraining forces are real too: Apple's perfectionism culture, the commercial value of ecosystem exclusivity, and the short-term profitability of the existing model. The net force is towards transformation, but the pace feels insufficient given competitor AI momentum.</w:t>
      </w:r>
    </w:p>
    <w:p w14:paraId="26A59C1D" w14:textId="150B62D7" w:rsidR="0048632D" w:rsidRDefault="00000000" w:rsidP="00B000D5">
      <w:pPr>
        <w:spacing w:before="100" w:after="100" w:line="360" w:lineRule="auto"/>
        <w:jc w:val="both"/>
      </w:pPr>
      <w:r>
        <w:t xml:space="preserve">Kotter's (1996) eight-step model helps diagnose the implementation gap. Apple has communicated urgency internally and built structural coalitions through developer partnerships. Where it falls short, as The Verge (2024) has observed, is in articulating a compelling, differentiated vision for Apple Intelligence that goes beyond matching competitor features. Mintzberg (1994) notes that strategy execution in large, complex </w:t>
      </w:r>
      <w:proofErr w:type="spellStart"/>
      <w:r>
        <w:t>organisations</w:t>
      </w:r>
      <w:proofErr w:type="spellEnd"/>
      <w:r>
        <w:t xml:space="preserve"> is always messier than strategy-making implies and Apple's culture of secrecy adds coordination costs that compound this. Tim Cook's operational discipline has served Apple brilliantly in supply chain management; whether the same management style is suited to the faster iteration demands of the AI race is a genuinely open question.</w:t>
      </w:r>
    </w:p>
    <w:p w14:paraId="529C7098" w14:textId="77777777" w:rsidR="00B000D5" w:rsidRDefault="00B000D5" w:rsidP="00B000D5">
      <w:pPr>
        <w:spacing w:before="100" w:after="100" w:line="360" w:lineRule="auto"/>
        <w:jc w:val="both"/>
      </w:pPr>
    </w:p>
    <w:p w14:paraId="2D4D93E8" w14:textId="77777777" w:rsidR="00B000D5" w:rsidRDefault="00B000D5" w:rsidP="00B000D5">
      <w:pPr>
        <w:spacing w:before="100" w:after="100" w:line="360" w:lineRule="auto"/>
        <w:jc w:val="both"/>
      </w:pPr>
    </w:p>
    <w:p w14:paraId="0E6448EA" w14:textId="77777777" w:rsidR="00B000D5" w:rsidRDefault="00B000D5" w:rsidP="00B000D5">
      <w:pPr>
        <w:spacing w:before="100" w:after="100" w:line="360" w:lineRule="auto"/>
        <w:jc w:val="both"/>
      </w:pPr>
    </w:p>
    <w:p w14:paraId="22A6A981" w14:textId="77777777" w:rsidR="00B000D5" w:rsidRDefault="00B000D5" w:rsidP="00B000D5">
      <w:pPr>
        <w:spacing w:before="100" w:after="100" w:line="360" w:lineRule="auto"/>
        <w:jc w:val="both"/>
      </w:pPr>
    </w:p>
    <w:p w14:paraId="0DC8D191" w14:textId="77777777" w:rsidR="00B000D5" w:rsidRDefault="00B000D5" w:rsidP="00B000D5">
      <w:pPr>
        <w:spacing w:before="100" w:after="100" w:line="360" w:lineRule="auto"/>
        <w:jc w:val="both"/>
      </w:pPr>
    </w:p>
    <w:p w14:paraId="155ACA6E" w14:textId="77777777" w:rsidR="00B000D5" w:rsidRDefault="00B000D5" w:rsidP="00B000D5">
      <w:pPr>
        <w:spacing w:before="100" w:after="100" w:line="360" w:lineRule="auto"/>
        <w:jc w:val="both"/>
      </w:pPr>
    </w:p>
    <w:p w14:paraId="4E919F87" w14:textId="77777777" w:rsidR="00B000D5" w:rsidRDefault="00B000D5" w:rsidP="00B000D5">
      <w:pPr>
        <w:spacing w:before="100" w:after="100" w:line="360" w:lineRule="auto"/>
        <w:jc w:val="both"/>
      </w:pPr>
    </w:p>
    <w:p w14:paraId="3254113E" w14:textId="77777777" w:rsidR="00B000D5" w:rsidRDefault="00B000D5" w:rsidP="00B000D5">
      <w:pPr>
        <w:spacing w:before="100" w:after="100" w:line="360" w:lineRule="auto"/>
        <w:jc w:val="both"/>
      </w:pPr>
    </w:p>
    <w:p w14:paraId="7B5D58DF" w14:textId="77777777" w:rsidR="00B000D5" w:rsidRDefault="00B000D5" w:rsidP="00B000D5">
      <w:pPr>
        <w:spacing w:before="100" w:after="100" w:line="360" w:lineRule="auto"/>
        <w:jc w:val="both"/>
      </w:pPr>
    </w:p>
    <w:p w14:paraId="3A62D04A" w14:textId="77777777" w:rsidR="0048632D" w:rsidRDefault="00000000" w:rsidP="00B000D5">
      <w:pPr>
        <w:pStyle w:val="Heading1"/>
        <w:spacing w:line="360" w:lineRule="auto"/>
      </w:pPr>
      <w:bookmarkStart w:id="9" w:name="_Toc225898221"/>
      <w:r>
        <w:lastRenderedPageBreak/>
        <w:t>6.0 Strategic Evaluation and Recommendations</w:t>
      </w:r>
      <w:bookmarkEnd w:id="9"/>
    </w:p>
    <w:p w14:paraId="7BDD72DB" w14:textId="77777777" w:rsidR="0048632D" w:rsidRDefault="00000000" w:rsidP="00B000D5">
      <w:pPr>
        <w:pStyle w:val="Heading2"/>
        <w:spacing w:line="360" w:lineRule="auto"/>
      </w:pPr>
      <w:bookmarkStart w:id="10" w:name="_Toc225898222"/>
      <w:r>
        <w:t>6.1 SWOT Analysis</w:t>
      </w:r>
      <w:bookmarkEnd w:id="10"/>
    </w:p>
    <w:p w14:paraId="14EBAD6F" w14:textId="1BE01887" w:rsidR="0048632D" w:rsidRDefault="00000000" w:rsidP="00B000D5">
      <w:pPr>
        <w:spacing w:before="100" w:after="100" w:line="360" w:lineRule="auto"/>
        <w:jc w:val="both"/>
      </w:pPr>
      <w:r>
        <w:t>SWOT analysis (Helms and Nixon, 2010) is most analytically useful not as a listing exercise but as a basis for cross-matrix strategic options: SO strategies use strengths to capture opportunities; ST strategies use strengths to counter threats; WO strategies address weaknesses to access opportunities; WT strategies are defensive, protecting against threats that weaknesses make more dangerous. Figure 1 and the discussion below apply this cross-matrix logic to Apple's position.</w:t>
      </w:r>
    </w:p>
    <w:p w14:paraId="306931A6" w14:textId="7987585D" w:rsidR="0048632D" w:rsidRDefault="006205A1" w:rsidP="00B000D5">
      <w:pPr>
        <w:spacing w:before="80" w:after="80" w:line="360" w:lineRule="auto"/>
        <w:jc w:val="center"/>
      </w:pPr>
      <w:r>
        <w:rPr>
          <w:noProof/>
        </w:rPr>
        <w:drawing>
          <wp:inline distT="0" distB="0" distL="0" distR="0" wp14:anchorId="5855E6A3" wp14:editId="13A5AA00">
            <wp:extent cx="4495800" cy="2528825"/>
            <wp:effectExtent l="0" t="0" r="0" b="5080"/>
            <wp:docPr id="31468654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86547" name="Picture 31468654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12863" cy="2538423"/>
                    </a:xfrm>
                    <a:prstGeom prst="rect">
                      <a:avLst/>
                    </a:prstGeom>
                  </pic:spPr>
                </pic:pic>
              </a:graphicData>
            </a:graphic>
          </wp:inline>
        </w:drawing>
      </w:r>
    </w:p>
    <w:p w14:paraId="4EA27B3B" w14:textId="1EFAE23C" w:rsidR="0048632D" w:rsidRDefault="006205A1" w:rsidP="00B000D5">
      <w:pPr>
        <w:spacing w:before="50" w:after="50" w:line="360" w:lineRule="auto"/>
        <w:ind w:left="1440"/>
      </w:pPr>
      <w:r w:rsidRPr="006205A1">
        <w:rPr>
          <w:b/>
          <w:bCs/>
        </w:rPr>
        <w:t>F</w:t>
      </w:r>
      <w:r w:rsidRPr="006205A1">
        <w:rPr>
          <w:rStyle w:val="SubtitleChar"/>
        </w:rPr>
        <w:t xml:space="preserve">igure </w:t>
      </w:r>
      <w:r w:rsidR="009A0BCF">
        <w:rPr>
          <w:rStyle w:val="SubtitleChar"/>
        </w:rPr>
        <w:t>2</w:t>
      </w:r>
      <w:r w:rsidRPr="006205A1">
        <w:rPr>
          <w:rStyle w:val="SubtitleChar"/>
        </w:rPr>
        <w:t xml:space="preserve">: SWOT ANALYSIS OF APPLE INC Source </w:t>
      </w:r>
      <w:hyperlink r:id="rId9" w:history="1">
        <w:r w:rsidR="004B1F1A" w:rsidRPr="004B1F1A">
          <w:rPr>
            <w:rStyle w:val="Hyperlink"/>
            <w:rFonts w:asciiTheme="minorHAnsi" w:eastAsiaTheme="minorEastAsia" w:hAnsiTheme="minorHAnsi" w:cstheme="minorBidi"/>
            <w:spacing w:val="15"/>
            <w:sz w:val="22"/>
            <w:szCs w:val="22"/>
          </w:rPr>
          <w:t>https://businessmodelanalyst.com/wp-content/uploads/2023/02/Apple_swot-1536x864.webp</w:t>
        </w:r>
      </w:hyperlink>
    </w:p>
    <w:p w14:paraId="4A5E5CAD" w14:textId="70DB9DA1" w:rsidR="0048632D" w:rsidRDefault="00000000" w:rsidP="00B000D5">
      <w:pPr>
        <w:spacing w:before="100" w:after="100" w:line="360" w:lineRule="auto"/>
        <w:jc w:val="both"/>
      </w:pPr>
      <w:r>
        <w:t>The most significant SO combination is deploying Apple's brand ecosystem and privacy-first AI architecture (Strengths 1 and 5) to capture the India middle-class growth opportunity (Opportunity 1) a market where Samsung and Xiaomi dominate but where Apple's aspirational brand has real traction among income-aspirant consumers. The most dangerous WT combination is Apple's TSMC manufacturing concentration weakness (Weakness 3) intersecting with the Taiwan geopolitical supply threat (Threat 3). This is not a theoretical risk; it is the highest-severity scenario in Apple's entire strategic portfolio and demands proactive mitigation rather than monitoring.</w:t>
      </w:r>
    </w:p>
    <w:p w14:paraId="4E5DB7FC" w14:textId="77777777" w:rsidR="00B000D5" w:rsidRDefault="00B000D5" w:rsidP="00B000D5">
      <w:pPr>
        <w:pStyle w:val="Heading2"/>
        <w:spacing w:line="360" w:lineRule="auto"/>
      </w:pPr>
    </w:p>
    <w:p w14:paraId="400C44AE" w14:textId="77777777" w:rsidR="00B000D5" w:rsidRDefault="00B000D5" w:rsidP="00B000D5">
      <w:pPr>
        <w:pStyle w:val="Heading2"/>
        <w:spacing w:line="360" w:lineRule="auto"/>
      </w:pPr>
    </w:p>
    <w:p w14:paraId="21163550" w14:textId="7C681576" w:rsidR="0048632D" w:rsidRDefault="00000000" w:rsidP="00B000D5">
      <w:pPr>
        <w:pStyle w:val="Heading2"/>
        <w:spacing w:line="360" w:lineRule="auto"/>
      </w:pPr>
      <w:bookmarkStart w:id="11" w:name="_Toc225898223"/>
      <w:r>
        <w:lastRenderedPageBreak/>
        <w:t>6.2 Ansoff Matrix Application</w:t>
      </w:r>
      <w:bookmarkEnd w:id="11"/>
    </w:p>
    <w:p w14:paraId="6C07F715" w14:textId="77777777" w:rsidR="0048632D" w:rsidRDefault="00000000" w:rsidP="00B000D5">
      <w:pPr>
        <w:spacing w:before="100" w:after="100" w:line="360" w:lineRule="auto"/>
        <w:jc w:val="both"/>
      </w:pPr>
      <w:r>
        <w:t>Ansoff's (1957) growth matrix provides a structured framework for evaluating strategic growth options across product and market dimensions. Figure 2 maps Apple's position across all four quadrants, with risk assessments and theoretical grounding.</w:t>
      </w:r>
    </w:p>
    <w:p w14:paraId="089EC33D" w14:textId="77777777" w:rsidR="0048632D" w:rsidRDefault="0048632D" w:rsidP="00B000D5">
      <w:pPr>
        <w:spacing w:before="50" w:after="50" w:line="360" w:lineRule="auto"/>
      </w:pPr>
    </w:p>
    <w:p w14:paraId="4DB4B022" w14:textId="3E9752AA" w:rsidR="0048632D" w:rsidRDefault="009A0BCF" w:rsidP="00B000D5">
      <w:pPr>
        <w:spacing w:before="80" w:after="80" w:line="360" w:lineRule="auto"/>
        <w:jc w:val="center"/>
      </w:pPr>
      <w:r>
        <w:rPr>
          <w:noProof/>
        </w:rPr>
        <w:drawing>
          <wp:inline distT="0" distB="0" distL="0" distR="0" wp14:anchorId="15D18B0B" wp14:editId="6F5825B2">
            <wp:extent cx="5524500" cy="3692954"/>
            <wp:effectExtent l="0" t="0" r="0" b="3175"/>
            <wp:docPr id="150269493" name="Picture 21" descr="Ansoff matrix for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Ansoff matrix for Ap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7780" cy="3695146"/>
                    </a:xfrm>
                    <a:prstGeom prst="rect">
                      <a:avLst/>
                    </a:prstGeom>
                    <a:noFill/>
                    <a:ln>
                      <a:noFill/>
                    </a:ln>
                  </pic:spPr>
                </pic:pic>
              </a:graphicData>
            </a:graphic>
          </wp:inline>
        </w:drawing>
      </w:r>
    </w:p>
    <w:p w14:paraId="27D5F24D" w14:textId="39DBAF7F" w:rsidR="0048632D" w:rsidRDefault="009A0BCF" w:rsidP="00B000D5">
      <w:pPr>
        <w:spacing w:before="50" w:after="50" w:line="360" w:lineRule="auto"/>
        <w:ind w:left="1440"/>
      </w:pPr>
      <w:r w:rsidRPr="006205A1">
        <w:rPr>
          <w:b/>
          <w:bCs/>
        </w:rPr>
        <w:t>F</w:t>
      </w:r>
      <w:r w:rsidRPr="006205A1">
        <w:rPr>
          <w:rStyle w:val="SubtitleChar"/>
        </w:rPr>
        <w:t xml:space="preserve">igure </w:t>
      </w:r>
      <w:r>
        <w:rPr>
          <w:rStyle w:val="SubtitleChar"/>
        </w:rPr>
        <w:t>3</w:t>
      </w:r>
      <w:r w:rsidRPr="006205A1">
        <w:rPr>
          <w:rStyle w:val="SubtitleChar"/>
        </w:rPr>
        <w:t xml:space="preserve">: </w:t>
      </w:r>
      <w:r>
        <w:rPr>
          <w:rStyle w:val="SubtitleChar"/>
        </w:rPr>
        <w:t>ANSOFF MATRIX FOR APPLE</w:t>
      </w:r>
      <w:r w:rsidRPr="006205A1">
        <w:rPr>
          <w:rStyle w:val="SubtitleChar"/>
        </w:rPr>
        <w:t xml:space="preserve"> </w:t>
      </w:r>
      <w:hyperlink r:id="rId11" w:history="1">
        <w:r w:rsidR="00DF33F0" w:rsidRPr="00DF33F0">
          <w:rPr>
            <w:rStyle w:val="Hyperlink"/>
            <w:rFonts w:asciiTheme="minorHAnsi" w:eastAsiaTheme="minorEastAsia" w:hAnsiTheme="minorHAnsi" w:cstheme="minorBidi"/>
            <w:spacing w:val="15"/>
            <w:sz w:val="22"/>
            <w:szCs w:val="22"/>
          </w:rPr>
          <w:t>https://managementweekly.org/wp-content/uploads/2020/06/ansoff-1.jpg</w:t>
        </w:r>
      </w:hyperlink>
    </w:p>
    <w:p w14:paraId="55BD47AB" w14:textId="5D4536D7" w:rsidR="0048632D" w:rsidRDefault="00000000" w:rsidP="00B000D5">
      <w:pPr>
        <w:spacing w:before="100" w:after="100" w:line="360" w:lineRule="auto"/>
        <w:jc w:val="both"/>
      </w:pPr>
      <w:r>
        <w:t xml:space="preserve">Apple's current strategic weight is concentrated in product development (Apple Intelligence, Vision Pro, health sensors) and market penetration (iPhone share </w:t>
      </w:r>
      <w:proofErr w:type="spellStart"/>
      <w:r>
        <w:t>defence</w:t>
      </w:r>
      <w:proofErr w:type="spellEnd"/>
      <w:r>
        <w:t xml:space="preserve"> in developed markets). This is reasonable, but the market development quadrant India, Indonesia, Southeast Asia represents the highest return on investment opportunity and warrants greater resource allocation than it currently receives. The diversification quadrant into health and financial services is strategically sound but should remain acquisition-led and phased rather than a simultaneous all-in commitment. Porter (1985) cautions against strategic overextension; attempting all four quadrants simultaneously would dilute focus and execution quality across all of them.</w:t>
      </w:r>
    </w:p>
    <w:p w14:paraId="597340D6" w14:textId="77777777" w:rsidR="0048632D" w:rsidRDefault="00000000" w:rsidP="00B000D5">
      <w:pPr>
        <w:pStyle w:val="Heading2"/>
        <w:spacing w:line="360" w:lineRule="auto"/>
      </w:pPr>
      <w:bookmarkStart w:id="12" w:name="_Toc225898224"/>
      <w:r>
        <w:lastRenderedPageBreak/>
        <w:t>6.3 BCG Matrix Analysis</w:t>
      </w:r>
      <w:bookmarkEnd w:id="12"/>
    </w:p>
    <w:p w14:paraId="358B4A27" w14:textId="77777777" w:rsidR="0048632D" w:rsidRDefault="00000000" w:rsidP="00B000D5">
      <w:pPr>
        <w:spacing w:before="100" w:after="100" w:line="360" w:lineRule="auto"/>
        <w:jc w:val="both"/>
      </w:pPr>
      <w:r>
        <w:t>Henderson's (1979) BCG Matrix classifies business units by market growth rate and relative market share, providing a portfolio-level resource allocation framework. Figure 3 maps Apple's principal business units.</w:t>
      </w:r>
    </w:p>
    <w:p w14:paraId="3BA89009" w14:textId="77777777" w:rsidR="0048632D" w:rsidRDefault="0048632D" w:rsidP="00B000D5">
      <w:pPr>
        <w:spacing w:before="50" w:after="50" w:line="360" w:lineRule="auto"/>
      </w:pPr>
    </w:p>
    <w:p w14:paraId="4CAA8941" w14:textId="2C7B29B7" w:rsidR="0048632D" w:rsidRDefault="00C31C46" w:rsidP="00B000D5">
      <w:pPr>
        <w:spacing w:before="80" w:after="80" w:line="360" w:lineRule="auto"/>
        <w:jc w:val="center"/>
      </w:pPr>
      <w:r>
        <w:rPr>
          <w:noProof/>
        </w:rPr>
        <w:drawing>
          <wp:inline distT="0" distB="0" distL="0" distR="0" wp14:anchorId="0DA6CCE7" wp14:editId="3347D52B">
            <wp:extent cx="3584959" cy="3914775"/>
            <wp:effectExtent l="0" t="0" r="0" b="0"/>
            <wp:docPr id="994353215" name="Picture 22" descr="The Boston Matrix. Helps you to categorise your products based on market share and market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The Boston Matrix. Helps you to categorise your products based on market share and market grow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95470" cy="3926253"/>
                    </a:xfrm>
                    <a:prstGeom prst="rect">
                      <a:avLst/>
                    </a:prstGeom>
                    <a:noFill/>
                    <a:ln>
                      <a:noFill/>
                    </a:ln>
                  </pic:spPr>
                </pic:pic>
              </a:graphicData>
            </a:graphic>
          </wp:inline>
        </w:drawing>
      </w:r>
    </w:p>
    <w:p w14:paraId="612E4BB9" w14:textId="4FCD1800" w:rsidR="00C31C46" w:rsidRDefault="00C31C46" w:rsidP="00B000D5">
      <w:pPr>
        <w:spacing w:before="50" w:after="50" w:line="360" w:lineRule="auto"/>
        <w:ind w:left="1440"/>
        <w:rPr>
          <w:rStyle w:val="SubtitleChar"/>
        </w:rPr>
      </w:pPr>
      <w:r w:rsidRPr="006205A1">
        <w:rPr>
          <w:b/>
          <w:bCs/>
        </w:rPr>
        <w:t>F</w:t>
      </w:r>
      <w:r w:rsidRPr="006205A1">
        <w:rPr>
          <w:rStyle w:val="SubtitleChar"/>
        </w:rPr>
        <w:t xml:space="preserve">igure </w:t>
      </w:r>
      <w:r>
        <w:rPr>
          <w:rStyle w:val="SubtitleChar"/>
        </w:rPr>
        <w:t>4</w:t>
      </w:r>
      <w:r w:rsidRPr="006205A1">
        <w:rPr>
          <w:rStyle w:val="SubtitleChar"/>
        </w:rPr>
        <w:t xml:space="preserve">: </w:t>
      </w:r>
      <w:r>
        <w:rPr>
          <w:rStyle w:val="SubtitleChar"/>
        </w:rPr>
        <w:t>Boston group MATRIX FOR APPLE</w:t>
      </w:r>
      <w:r w:rsidRPr="00C31C46">
        <w:t xml:space="preserve"> </w:t>
      </w:r>
      <w:hyperlink r:id="rId13" w:history="1">
        <w:r w:rsidRPr="00DF33F0">
          <w:rPr>
            <w:rStyle w:val="Hyperlink"/>
            <w:rFonts w:asciiTheme="minorHAnsi" w:eastAsiaTheme="minorEastAsia" w:hAnsiTheme="minorHAnsi" w:cstheme="minorBidi"/>
            <w:spacing w:val="15"/>
            <w:sz w:val="22"/>
            <w:szCs w:val="22"/>
          </w:rPr>
          <w:t>https://www.skillsyouneed.com/images/lead/boston-matrix.png</w:t>
        </w:r>
      </w:hyperlink>
      <w:r w:rsidRPr="006205A1">
        <w:rPr>
          <w:rStyle w:val="SubtitleChar"/>
        </w:rPr>
        <w:t xml:space="preserve"> </w:t>
      </w:r>
    </w:p>
    <w:p w14:paraId="1E0A4A18" w14:textId="77777777" w:rsidR="00C31C46" w:rsidRDefault="00C31C46" w:rsidP="00B000D5">
      <w:pPr>
        <w:spacing w:before="50" w:after="50" w:line="360" w:lineRule="auto"/>
        <w:ind w:left="1440"/>
      </w:pPr>
    </w:p>
    <w:p w14:paraId="4560503D" w14:textId="77777777" w:rsidR="0048632D" w:rsidRDefault="0048632D" w:rsidP="00B000D5">
      <w:pPr>
        <w:spacing w:before="50" w:after="50" w:line="360" w:lineRule="auto"/>
      </w:pPr>
    </w:p>
    <w:p w14:paraId="1AF314E5" w14:textId="495FC7AE" w:rsidR="0048632D" w:rsidRDefault="00000000" w:rsidP="00B000D5">
      <w:pPr>
        <w:spacing w:before="100" w:after="100" w:line="360" w:lineRule="auto"/>
        <w:jc w:val="both"/>
      </w:pPr>
      <w:r>
        <w:t xml:space="preserve">The BCG analysis reveals a well-structured portfolio overall, but with a significant concentration risk. The iPhone Cash Cow funds everything the Services Star, the Vision Pro Question Mark, the health technology investments. If iPhone revenue begins declining faster than Services growth compensates, Apple's entire investment capacity shrinks. That interdependency is the central portfolio management challenge and the reason why defending iPhone's premium positioning through continuous differentiation is not just a marketing question but a corporate finance question. The BCG logic (Henderson, 1979) also supports the recommendation to divest or </w:t>
      </w:r>
      <w:r>
        <w:lastRenderedPageBreak/>
        <w:t>discontinue legacy product lines that consume management attention without generating growth freeing both capital and leadership bandwidth for higher-priority investments.</w:t>
      </w:r>
    </w:p>
    <w:p w14:paraId="7A755BC5" w14:textId="77777777" w:rsidR="0048632D" w:rsidRDefault="00000000" w:rsidP="00B000D5">
      <w:pPr>
        <w:pStyle w:val="Heading2"/>
        <w:spacing w:line="360" w:lineRule="auto"/>
      </w:pPr>
      <w:bookmarkStart w:id="13" w:name="_Toc225898225"/>
      <w:r>
        <w:t>6.4 Strategic Recommendations</w:t>
      </w:r>
      <w:bookmarkEnd w:id="13"/>
    </w:p>
    <w:p w14:paraId="034E98D2" w14:textId="77777777" w:rsidR="0048632D" w:rsidRDefault="00000000" w:rsidP="00B000D5">
      <w:pPr>
        <w:spacing w:before="100" w:after="100" w:line="360" w:lineRule="auto"/>
        <w:jc w:val="both"/>
      </w:pPr>
      <w:r>
        <w:t>Five recommendations emerge from this analysis. Each is grounded in the theoretical frameworks applied above and in real competitive evidence.</w:t>
      </w:r>
    </w:p>
    <w:p w14:paraId="79495454" w14:textId="0BDAECC0" w:rsidR="0048632D" w:rsidRDefault="00000000" w:rsidP="00B000D5">
      <w:pPr>
        <w:spacing w:before="100" w:after="100" w:line="360" w:lineRule="auto"/>
        <w:jc w:val="both"/>
      </w:pPr>
      <w:r>
        <w:rPr>
          <w:b/>
          <w:bCs/>
        </w:rPr>
        <w:t>Recommendation 1: Accelerate Apple Intelligence Before the Window Closes.</w:t>
      </w:r>
      <w:r>
        <w:t xml:space="preserve"> Apple's AI architecture is technically right but commercially too slow. Google Gemini and Samsung Galaxy AI are gaining ground on feature depth in ways that are visible in daily use. Apple should establish a dedicated generative AI division with explicit authority to ship faster even if early versions need iterative improvement and acquire one or two leading AI research </w:t>
      </w:r>
      <w:proofErr w:type="spellStart"/>
      <w:r>
        <w:t>organisations</w:t>
      </w:r>
      <w:proofErr w:type="spellEnd"/>
      <w:r>
        <w:t xml:space="preserve"> to supplement internal development. The dynamic capabilities framework (Teece, Pisano and </w:t>
      </w:r>
      <w:proofErr w:type="spellStart"/>
      <w:r>
        <w:t>Shuen</w:t>
      </w:r>
      <w:proofErr w:type="spellEnd"/>
      <w:r>
        <w:t>, 1997) makes clear that advantage in rapidly evolving markets requires continuous reconfiguration, not preservation of existing operating models. Apple's AI challenge is not the architecture; it is the cultural reluctance to ship anything less than perfect.</w:t>
      </w:r>
    </w:p>
    <w:p w14:paraId="6ECC481F" w14:textId="03866F5A" w:rsidR="00B552D7" w:rsidRPr="00B552D7" w:rsidRDefault="00000000" w:rsidP="00B000D5">
      <w:pPr>
        <w:spacing w:before="100" w:after="100" w:line="360" w:lineRule="auto"/>
        <w:jc w:val="both"/>
      </w:pPr>
      <w:r>
        <w:rPr>
          <w:b/>
          <w:bCs/>
        </w:rPr>
        <w:t>Recommendation 2: Adopt a Dual-Track Market Strategy for India.</w:t>
      </w:r>
      <w:r>
        <w:t xml:space="preserve"> </w:t>
      </w:r>
      <w:r w:rsidR="00B552D7" w:rsidRPr="00B552D7">
        <w:t>By 2030, India's middle class will number 500 million (World Bank, 2023). Samsung currently leads the ₹40,000–60,000 price range, which is where most of this growth is happening. Apple should make an iPhone SE in India just for this market, with a price that works for this market. They should also offer employer financing programs and open flagship stores in tier-1 and tier-2 cities. Apple is eligible for India's Production-Linked Incentive scheme because it makes products in India. This makes the company's unit economics better. Khanna and Palepu (2010) demonstrate that effective strategies in emerging markets necessitate structural adaptation rather than mere transplantation of developed-market methodologies. This is the biggest chance for Apple to grow over the next ten years.</w:t>
      </w:r>
    </w:p>
    <w:p w14:paraId="0D350286" w14:textId="2DF7B590" w:rsidR="0048632D" w:rsidRDefault="0048632D" w:rsidP="00B000D5">
      <w:pPr>
        <w:spacing w:before="100" w:after="100" w:line="360" w:lineRule="auto"/>
        <w:jc w:val="both"/>
      </w:pPr>
    </w:p>
    <w:p w14:paraId="45AE775E" w14:textId="77777777" w:rsidR="0048632D" w:rsidRDefault="00000000" w:rsidP="00B000D5">
      <w:pPr>
        <w:spacing w:before="100" w:after="100" w:line="360" w:lineRule="auto"/>
        <w:jc w:val="both"/>
      </w:pPr>
      <w:r>
        <w:rPr>
          <w:b/>
          <w:bCs/>
        </w:rPr>
        <w:t>Recommendation 3: Deepen Health and Financial Services Through Targeted Acquisitions.</w:t>
      </w:r>
      <w:r>
        <w:t xml:space="preserve"> Apple should acquire a telehealth platform and a health data analytics company within three years, integrating them with Apple Health Records to create a clinically meaningful health management ecosystem worth an estimated $500 billion </w:t>
      </w:r>
      <w:r>
        <w:lastRenderedPageBreak/>
        <w:t xml:space="preserve">market by 2028 (Gartner, 2023). In financial services, deepening Apple Pay Later through bank partnerships rather than pursuing a direct banking </w:t>
      </w:r>
      <w:proofErr w:type="spellStart"/>
      <w:r>
        <w:t>licence</w:t>
      </w:r>
      <w:proofErr w:type="spellEnd"/>
      <w:r>
        <w:t xml:space="preserve"> would extend Services revenue without regulatory overexposure. Freeman's (1984) stakeholder theory supports this direction: genuinely improving customer health and financial outcomes while generating commercial returns is the definition of shared value creation.</w:t>
      </w:r>
    </w:p>
    <w:p w14:paraId="51261CD3" w14:textId="24304443" w:rsidR="0048632D" w:rsidRDefault="00000000" w:rsidP="00B000D5">
      <w:pPr>
        <w:spacing w:before="100" w:after="100" w:line="360" w:lineRule="auto"/>
        <w:jc w:val="both"/>
      </w:pPr>
      <w:r>
        <w:rPr>
          <w:b/>
          <w:bCs/>
        </w:rPr>
        <w:t>Recommendation 4: Engage Regulators Proactively Rather Than Resistively.</w:t>
      </w:r>
      <w:r>
        <w:t xml:space="preserve"> The current adversarial posture towards the DOJ and EU DMA is generating expensive litigation and operational uncertainty. A structured voluntary interoperability </w:t>
      </w:r>
      <w:proofErr w:type="spellStart"/>
      <w:r>
        <w:t>programme</w:t>
      </w:r>
      <w:proofErr w:type="spellEnd"/>
      <w:r>
        <w:t xml:space="preserve"> opening selected APIs and payment functions in areas of lower competitive sensitivity while maintaining integration in core areas would reduce regulatory escalation risk and demonstrate platform responsibility. </w:t>
      </w:r>
      <w:proofErr w:type="spellStart"/>
      <w:r>
        <w:t>Boddewyn</w:t>
      </w:r>
      <w:proofErr w:type="spellEnd"/>
      <w:r>
        <w:t xml:space="preserve"> and Brewer (1994) identify proactive political engagement as a source of institutional competitive advantage. Apple has not yet learned this lesson fully, and the ongoing litigation costs and forced compliance risks suggest it should.</w:t>
      </w:r>
    </w:p>
    <w:p w14:paraId="3E2CB606" w14:textId="6AB781D9" w:rsidR="0048632D" w:rsidRDefault="00000000" w:rsidP="00B000D5">
      <w:pPr>
        <w:spacing w:before="100" w:after="100" w:line="360" w:lineRule="auto"/>
        <w:jc w:val="both"/>
      </w:pPr>
      <w:r>
        <w:rPr>
          <w:b/>
          <w:bCs/>
        </w:rPr>
        <w:t>Recommendation 5: Urgently Diversify Manufacturing Away from TSMC Dependence.</w:t>
      </w:r>
      <w:r>
        <w:t xml:space="preserve"> TSMC's concentration in Taiwan is Apple's single highest-severity supply chain risk. Apple should accelerate investment in TSMC's Arizona facility (which has $6.6 billion in CHIPS Act funding behind it), develop Samsung Foundry as an alternative advanced-process supplier, and continue scaling India and Vietnam manufacturing capacity for final assembly (US Department of Commerce, 2023). This is a 5–7 year </w:t>
      </w:r>
      <w:proofErr w:type="spellStart"/>
      <w:r>
        <w:t>programme</w:t>
      </w:r>
      <w:proofErr w:type="spellEnd"/>
      <w:r>
        <w:t xml:space="preserve"> which is precisely why it must begin immediately. Waiting for a geopolitical disruption before acting is not a strategy; it is a gamble.</w:t>
      </w:r>
    </w:p>
    <w:p w14:paraId="544FE92F" w14:textId="77777777" w:rsidR="0048632D" w:rsidRDefault="00000000" w:rsidP="00B000D5">
      <w:pPr>
        <w:spacing w:line="360" w:lineRule="auto"/>
      </w:pPr>
      <w:r>
        <w:br w:type="page"/>
      </w:r>
    </w:p>
    <w:p w14:paraId="18B18439" w14:textId="77777777" w:rsidR="0048632D" w:rsidRDefault="00000000" w:rsidP="00B000D5">
      <w:pPr>
        <w:spacing w:before="200" w:after="280" w:line="360" w:lineRule="auto"/>
        <w:jc w:val="center"/>
      </w:pPr>
      <w:r>
        <w:rPr>
          <w:b/>
          <w:bCs/>
          <w:color w:val="1F3A5F"/>
          <w:sz w:val="30"/>
          <w:szCs w:val="30"/>
        </w:rPr>
        <w:lastRenderedPageBreak/>
        <w:t>SECTION 2: REFLECTIVE ACCOUNT</w:t>
      </w:r>
    </w:p>
    <w:p w14:paraId="6D2A3182" w14:textId="77777777" w:rsidR="0048632D" w:rsidRDefault="00000000" w:rsidP="00B000D5">
      <w:pPr>
        <w:pStyle w:val="Heading1"/>
        <w:spacing w:line="360" w:lineRule="auto"/>
      </w:pPr>
      <w:bookmarkStart w:id="14" w:name="_Toc225898226"/>
      <w:r>
        <w:t>Reflective Account: Gibbs Reflective Cycle</w:t>
      </w:r>
      <w:bookmarkEnd w:id="14"/>
    </w:p>
    <w:p w14:paraId="06BA27EA" w14:textId="3DAFBB93" w:rsidR="0048632D" w:rsidRDefault="00000000" w:rsidP="00B000D5">
      <w:pPr>
        <w:spacing w:before="100" w:after="100" w:line="360" w:lineRule="auto"/>
        <w:jc w:val="both"/>
      </w:pPr>
      <w:r>
        <w:t>The Gibbs Reflective Cycle (Gibbs, 1988) offers a structured six-stage approach Description, Feelings, Evaluation, Analysis, Conclusion, and Action Plan that progressively moves from describing what happened towards understanding what it means and what to do differently. I chose this model because its evaluative and analytical stages require the same intellectual move that the assessment itself demanded: getting beyond description and asking why things happened and what they imply.</w:t>
      </w:r>
    </w:p>
    <w:p w14:paraId="2E99EDD6" w14:textId="77777777" w:rsidR="0048632D" w:rsidRDefault="00000000" w:rsidP="00B000D5">
      <w:pPr>
        <w:pStyle w:val="Heading2"/>
        <w:spacing w:line="360" w:lineRule="auto"/>
      </w:pPr>
      <w:bookmarkStart w:id="15" w:name="_Toc225898227"/>
      <w:r>
        <w:t>Description</w:t>
      </w:r>
      <w:bookmarkEnd w:id="15"/>
    </w:p>
    <w:p w14:paraId="6245FC90" w14:textId="19BBC814" w:rsidR="0048632D" w:rsidRDefault="00000000" w:rsidP="00B000D5">
      <w:pPr>
        <w:spacing w:before="100" w:after="100" w:line="360" w:lineRule="auto"/>
        <w:jc w:val="both"/>
      </w:pPr>
      <w:r>
        <w:t xml:space="preserve">This assessment required me to conduct a comprehensive strategic analysis of Apple Inc., integrating PESTEL, VRIO, Porter's five forces, Balanced Scorecard, SWOT, Ansoff, BCG, and Porter's generic strategies into a coherent analytical framework, then </w:t>
      </w:r>
      <w:proofErr w:type="spellStart"/>
      <w:r>
        <w:t>synthesise</w:t>
      </w:r>
      <w:proofErr w:type="spellEnd"/>
      <w:r>
        <w:t xml:space="preserve"> those findings into evidence-based recommendations. I chose Apple because its strategic challenges are real and complex AI competitive pressure, antitrust regulation, supply chain geopolitics, and emerging market expansion all create genuine tension that analytical frameworks can productively engage with. The research spanned Apple's annual reports, Counterpoint Research, Gartner, Forrester, Financial Times, and academic literature in strategic management. Structuring this into approximately 4,000 words for Section 1 while maintaining analytical depth required disciplined editorial choices throughout.</w:t>
      </w:r>
    </w:p>
    <w:p w14:paraId="31F707A4" w14:textId="77777777" w:rsidR="0048632D" w:rsidRDefault="00000000" w:rsidP="00B000D5">
      <w:pPr>
        <w:pStyle w:val="Heading2"/>
        <w:spacing w:line="360" w:lineRule="auto"/>
      </w:pPr>
      <w:bookmarkStart w:id="16" w:name="_Toc225898228"/>
      <w:r>
        <w:t>Feelings</w:t>
      </w:r>
      <w:bookmarkEnd w:id="16"/>
    </w:p>
    <w:p w14:paraId="6CECE48F" w14:textId="53F75A4A" w:rsidR="0048632D" w:rsidRDefault="00000000" w:rsidP="00B000D5">
      <w:pPr>
        <w:spacing w:before="100" w:after="100" w:line="360" w:lineRule="auto"/>
        <w:jc w:val="both"/>
      </w:pPr>
      <w:r>
        <w:t xml:space="preserve">I will be honest: the early stages were harder than I expected. I had studied each framework individually in the module, but I had not appreciated how different it feels to deploy them together on a real </w:t>
      </w:r>
      <w:proofErr w:type="spellStart"/>
      <w:r>
        <w:t>organisation</w:t>
      </w:r>
      <w:proofErr w:type="spellEnd"/>
      <w:r>
        <w:t xml:space="preserve">. My initial instinct was to treat each section as a separate task and write them in sequence. That approach fell apart quickly when I tried to write Section 6. The SWOT felt disconnected from the PESTEL because I had not used the PESTEL analysis as input to the SWOT I had written them independently. That was a frustrating </w:t>
      </w:r>
      <w:proofErr w:type="spellStart"/>
      <w:r>
        <w:t>realisation</w:t>
      </w:r>
      <w:proofErr w:type="spellEnd"/>
      <w:r>
        <w:t>, but it was also the point where the analysis genuinely improved.</w:t>
      </w:r>
    </w:p>
    <w:p w14:paraId="570934D0" w14:textId="77777777" w:rsidR="0048632D" w:rsidRDefault="00000000" w:rsidP="00B000D5">
      <w:pPr>
        <w:spacing w:before="100" w:after="100" w:line="360" w:lineRule="auto"/>
        <w:jc w:val="both"/>
      </w:pPr>
      <w:r>
        <w:lastRenderedPageBreak/>
        <w:t xml:space="preserve">I also struggled more than I anticipated with maintaining critical distance from Apple's own communications. Apple's investor relations materials and product announcements are exceptionally well-crafted, and they create an impression of coherent strategic confidence that is partly real and partly narrative management. Finding and reading the DOJ complaint, the iFixit repairability assessments, and Stucke and </w:t>
      </w:r>
      <w:proofErr w:type="spellStart"/>
      <w:r>
        <w:t>Grunes</w:t>
      </w:r>
      <w:proofErr w:type="spellEnd"/>
      <w:r>
        <w:t>' (2016) academic critique of platform monopolism introduced productive tension. It made me question conclusions I had reached too easily and produced a more honest assessment than I would have arrived at otherwise.</w:t>
      </w:r>
    </w:p>
    <w:p w14:paraId="173BFAF0" w14:textId="77777777" w:rsidR="0048632D" w:rsidRDefault="00000000" w:rsidP="00B000D5">
      <w:pPr>
        <w:pStyle w:val="Heading2"/>
        <w:spacing w:line="360" w:lineRule="auto"/>
      </w:pPr>
      <w:bookmarkStart w:id="17" w:name="_Toc225898229"/>
      <w:r>
        <w:t>Evaluation</w:t>
      </w:r>
      <w:bookmarkEnd w:id="17"/>
    </w:p>
    <w:p w14:paraId="745F7413" w14:textId="77777777" w:rsidR="00DA69FD" w:rsidRDefault="00AE1B27" w:rsidP="00B000D5">
      <w:pPr>
        <w:spacing w:before="100" w:after="100" w:line="360" w:lineRule="auto"/>
        <w:jc w:val="both"/>
      </w:pPr>
      <w:r w:rsidRPr="00AE1B27">
        <w:t xml:space="preserve">A number of things went well. The VRIO analysis was very helpful in figuring out which of Apple's many resource strengths actually give the company a long-term advantage instead of just making it competitive. That difference made the suggestions clearer, which is why I focused Recommendation 1 on AI differentiation instead of, say, retail growth. The Balanced Scorecard's causal logic was also useful. It showed how a lack of AI talent (learning and growth) would lead to weaker product features (internal processes), less motivation to upgrade (customer), and, in the end, slower Services growth (financial). This made the strategic stakes of the AI challenge much clearer than if it had been looked at on its own. </w:t>
      </w:r>
    </w:p>
    <w:p w14:paraId="7135B1DE" w14:textId="3F31CBAD" w:rsidR="00AE1B27" w:rsidRPr="00AE1B27" w:rsidRDefault="00AE1B27" w:rsidP="00B000D5">
      <w:pPr>
        <w:spacing w:before="100" w:after="100" w:line="360" w:lineRule="auto"/>
        <w:jc w:val="both"/>
      </w:pPr>
      <w:r w:rsidRPr="00AE1B27">
        <w:br/>
        <w:t>Section 5 on strategic choices didn't work at first. In my first draft, I talked about differentiation strategy and said that Apple uses it. That is not an analysis; it is a description with labels. The mid-range India strategy suggestion only came up when I asked the question I should have asked from the start: what does pure differentiation mean for markets where Apple's prices make it hard for people to get in? After doing the SWOT and Ansoff analyses, going back to that part made the recommendation much stronger.</w:t>
      </w:r>
    </w:p>
    <w:p w14:paraId="50579222" w14:textId="33F576E1" w:rsidR="0048632D" w:rsidRDefault="00000000" w:rsidP="00B000D5">
      <w:pPr>
        <w:spacing w:before="100" w:after="100" w:line="360" w:lineRule="auto"/>
        <w:jc w:val="both"/>
      </w:pPr>
      <w:r>
        <w:rPr>
          <w:b/>
          <w:bCs/>
          <w:color w:val="2E4057"/>
          <w:sz w:val="26"/>
          <w:szCs w:val="26"/>
        </w:rPr>
        <w:t>Analysis</w:t>
      </w:r>
    </w:p>
    <w:p w14:paraId="4A8E0901" w14:textId="77777777" w:rsidR="0048632D" w:rsidRDefault="00000000" w:rsidP="00B000D5">
      <w:pPr>
        <w:spacing w:before="100" w:after="100" w:line="360" w:lineRule="auto"/>
        <w:jc w:val="both"/>
      </w:pPr>
      <w:r>
        <w:t xml:space="preserve">Drawing on Kolb's (1984) experiential learning cycle, this assignment was a concrete experience that generated reflective observation, which produced conceptual insight, which will inform changed practice. The most significant learning was about the difference between applying frameworks as templates and using them as analytical lenses. Moon (2004) argues that deep learning requires interrogating the assumptions </w:t>
      </w:r>
      <w:r>
        <w:lastRenderedPageBreak/>
        <w:t>behind analytical choices. When I examined why my initial SWOT felt superficial, the answer was that I was generating it from memory rather than from the PESTEL and VRIO analyses that preceded it. Once I used those as inputs rather than writing the SWOT independently, the cross-matrix strategic implications became far more visible and analytically useful.</w:t>
      </w:r>
    </w:p>
    <w:p w14:paraId="45FC3F5C" w14:textId="57B69018" w:rsidR="0048632D" w:rsidRDefault="00000000" w:rsidP="00B000D5">
      <w:pPr>
        <w:spacing w:before="100" w:after="100" w:line="360" w:lineRule="auto"/>
        <w:jc w:val="both"/>
      </w:pPr>
      <w:r>
        <w:t xml:space="preserve">Schön's (1983) concept of reflective practice is relevant here too. The assignment required a shift from mechanical framework application to interpretive judgement for instance, deciding that VRIO's 'rarity' criterion must be evaluated relative to specific competitors rather than in the abstract. Samsung's Galaxy AI integration changes the rarity assessment of Apple's software-hardware integration capability in ways that only become visible when you look at actual competitor developments rather than applying the framework in isolation. That </w:t>
      </w:r>
      <w:proofErr w:type="spellStart"/>
      <w:r>
        <w:t>contextualised</w:t>
      </w:r>
      <w:proofErr w:type="spellEnd"/>
      <w:r>
        <w:t xml:space="preserve"> judgement is, I think, what distinguishes merit-level work from distinction-level work at postgraduate study. It requires knowing the frameworks well enough to apply them, and then knowing the context well enough to </w:t>
      </w:r>
      <w:proofErr w:type="spellStart"/>
      <w:r>
        <w:t>recognise</w:t>
      </w:r>
      <w:proofErr w:type="spellEnd"/>
      <w:r>
        <w:t xml:space="preserve"> when the framework alone is insufficient.</w:t>
      </w:r>
    </w:p>
    <w:p w14:paraId="791777A6" w14:textId="77777777" w:rsidR="0048632D" w:rsidRDefault="00000000" w:rsidP="00B000D5">
      <w:pPr>
        <w:pStyle w:val="Heading2"/>
        <w:spacing w:line="360" w:lineRule="auto"/>
      </w:pPr>
      <w:bookmarkStart w:id="18" w:name="_Toc225898230"/>
      <w:r>
        <w:t>Conclusion</w:t>
      </w:r>
      <w:bookmarkEnd w:id="18"/>
    </w:p>
    <w:p w14:paraId="03B2C735" w14:textId="1A3B15F9" w:rsidR="00F668E0" w:rsidRPr="00F668E0" w:rsidRDefault="00F668E0" w:rsidP="00B000D5">
      <w:pPr>
        <w:spacing w:before="100" w:after="100" w:line="360" w:lineRule="auto"/>
        <w:jc w:val="both"/>
      </w:pPr>
      <w:r w:rsidRPr="00F668E0">
        <w:t>There are a few conclusions that stand out. First, picking an organization that is strategically complex and has real multi-dimensional problems instead of a simple success story gives analytical frameworks a lot more to work with. Apple's AI problem, regulatory risk, and supply chain concentration risk all made for real analytical tension that frameworks could usefully deal with. Second, the frameworks work best when they are all connected: PESTEL feeds SWOT, VRIO tells SWOT what its strengths and weaknesses are, SWOT tells Ansoff what to do, and Ansoff should follow BCG portfolio logic. If you treat them as separate tasks, the report will read more like a list of frameworks than a strategic analysis. Third, critical analysis necessitates the proactive pursuit of viewpoints that contest the organization's narrative, not as an act of cynicism, but because the discrepancies between organizational statements and actions frequently harbor the most strategically significant insights.</w:t>
      </w:r>
    </w:p>
    <w:p w14:paraId="42C6C5E0" w14:textId="7C90FB31" w:rsidR="0048632D" w:rsidRDefault="00000000" w:rsidP="00B000D5">
      <w:pPr>
        <w:spacing w:before="100" w:after="100" w:line="360" w:lineRule="auto"/>
        <w:jc w:val="both"/>
      </w:pPr>
      <w:r>
        <w:rPr>
          <w:b/>
          <w:bCs/>
          <w:color w:val="2E4057"/>
          <w:sz w:val="26"/>
          <w:szCs w:val="26"/>
        </w:rPr>
        <w:t>Action Plan</w:t>
      </w:r>
    </w:p>
    <w:p w14:paraId="2E343FD5" w14:textId="77777777" w:rsidR="00DA69FD" w:rsidRDefault="006A1FC6" w:rsidP="00B000D5">
      <w:pPr>
        <w:spacing w:before="100" w:after="100" w:line="360" w:lineRule="auto"/>
        <w:jc w:val="both"/>
      </w:pPr>
      <w:r w:rsidRPr="006A1FC6">
        <w:t xml:space="preserve">I will make four specific changes for future assignments. First, I will make a short diagram showing how PESTEL feeds SWOT, how VRIO informs strategic choices, and how the Balanced Scorecard's causal logic connects perspectives. This will help </w:t>
      </w:r>
      <w:r w:rsidRPr="006A1FC6">
        <w:lastRenderedPageBreak/>
        <w:t>me understand how the different analytical frameworks are related. This will stop the disconnection I felt between sections. Second, I will make sure that at least 20% of my sources come from critical or opposing points of view, such as regulators, watchdog groups, and competitors, instead of just the organization's own publications and analysts who agree with it. Third, I will write the recommendations for Section 6 before writing the earlier sections. Then, I will go back and change the earlier sections to make sure they logically lead up to those recommendations. Writing in order instead of building up to recommendations makes the analysis less coherent. Fourth, I will keep a reflective journal throughout the research process instead of only doing it at the end. Boud, Keogh, and Walker (1985) demonstrate that continuous reflection substantially enhances the profundity and applicability of learning. As I did here, doing it only at the end means that some insights come too late to make the work better.</w:t>
      </w:r>
    </w:p>
    <w:p w14:paraId="6597ABC0" w14:textId="0CF50101" w:rsidR="006A1FC6" w:rsidRPr="006A1FC6" w:rsidRDefault="006A1FC6" w:rsidP="00B000D5">
      <w:pPr>
        <w:spacing w:before="100" w:after="100" w:line="360" w:lineRule="auto"/>
        <w:jc w:val="both"/>
      </w:pPr>
      <w:r w:rsidRPr="006A1FC6">
        <w:t xml:space="preserve"> </w:t>
      </w:r>
      <w:r w:rsidRPr="006A1FC6">
        <w:br/>
        <w:t>In general, this assignment greatly improved my ability to do strategic analysis. I believe that working through Apple's real tensions between AI ambition and cultural pace, between sustainability commitment and commercial design choices, and between ecosystem integration and regulatory openness led to an analysis that is both theoretically sound and practically useful. I want to make that combination, and I can see more clearly now what it takes and what I still need to work on.</w:t>
      </w:r>
    </w:p>
    <w:p w14:paraId="60ADCE7A" w14:textId="06A4C004" w:rsidR="0048632D" w:rsidRDefault="00000000" w:rsidP="00B000D5">
      <w:pPr>
        <w:spacing w:before="100" w:after="100" w:line="360" w:lineRule="auto"/>
        <w:jc w:val="both"/>
      </w:pPr>
      <w:r>
        <w:br w:type="page"/>
      </w:r>
    </w:p>
    <w:p w14:paraId="06D70E0B" w14:textId="77777777" w:rsidR="0048632D" w:rsidRDefault="00000000" w:rsidP="00B000D5">
      <w:pPr>
        <w:spacing w:before="200" w:after="300" w:line="360" w:lineRule="auto"/>
        <w:jc w:val="center"/>
      </w:pPr>
      <w:r>
        <w:rPr>
          <w:b/>
          <w:bCs/>
          <w:color w:val="1F3A5F"/>
          <w:sz w:val="28"/>
          <w:szCs w:val="28"/>
        </w:rPr>
        <w:lastRenderedPageBreak/>
        <w:t>REFERENCES</w:t>
      </w:r>
    </w:p>
    <w:p w14:paraId="4C27D817" w14:textId="15EFF8E3"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Ansoff, H.I. (1957) 'Strategies for diversification', </w:t>
      </w:r>
      <w:r w:rsidRPr="00670C5E">
        <w:rPr>
          <w:i/>
          <w:iCs/>
          <w:sz w:val="22"/>
          <w:szCs w:val="22"/>
        </w:rPr>
        <w:t>Harvard Business Review</w:t>
      </w:r>
      <w:r w:rsidRPr="00670C5E">
        <w:rPr>
          <w:sz w:val="22"/>
          <w:szCs w:val="22"/>
        </w:rPr>
        <w:t xml:space="preserve">, 35(5), pp. 113–124. Available at: </w:t>
      </w:r>
      <w:hyperlink r:id="rId14" w:tgtFrame="_blank" w:history="1">
        <w:r w:rsidRPr="00670C5E">
          <w:rPr>
            <w:rStyle w:val="Hyperlink"/>
            <w:sz w:val="22"/>
            <w:szCs w:val="22"/>
          </w:rPr>
          <w:t>https://hbr.org/1957/09/strategies-for-diversification</w:t>
        </w:r>
      </w:hyperlink>
      <w:r w:rsidRPr="00670C5E">
        <w:rPr>
          <w:sz w:val="22"/>
          <w:szCs w:val="22"/>
        </w:rPr>
        <w:t xml:space="preserve"> (Accessed: 1 April 2026).</w:t>
      </w:r>
    </w:p>
    <w:p w14:paraId="2F99CBB0" w14:textId="040C3A75"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Apple Environmental Progress Report (2023) </w:t>
      </w:r>
      <w:r w:rsidRPr="00670C5E">
        <w:rPr>
          <w:i/>
          <w:iCs/>
          <w:sz w:val="22"/>
          <w:szCs w:val="22"/>
        </w:rPr>
        <w:t>Apple 2023 Environmental Progress Report</w:t>
      </w:r>
      <w:r w:rsidRPr="00670C5E">
        <w:rPr>
          <w:sz w:val="22"/>
          <w:szCs w:val="22"/>
        </w:rPr>
        <w:t xml:space="preserve">. Cupertino: Apple Inc. Available at: </w:t>
      </w:r>
      <w:hyperlink r:id="rId15" w:tgtFrame="_blank" w:history="1">
        <w:r w:rsidRPr="00670C5E">
          <w:rPr>
            <w:rStyle w:val="Hyperlink"/>
            <w:sz w:val="22"/>
            <w:szCs w:val="22"/>
          </w:rPr>
          <w:t>https://www.apple.com/environment/pdf/Apple_Environmental_Progress_Report_2023.pdf</w:t>
        </w:r>
      </w:hyperlink>
      <w:r w:rsidRPr="00670C5E">
        <w:rPr>
          <w:sz w:val="22"/>
          <w:szCs w:val="22"/>
        </w:rPr>
        <w:t xml:space="preserve"> (Accessed: 1 April 2026).</w:t>
      </w:r>
    </w:p>
    <w:p w14:paraId="3A27F6E7" w14:textId="50952352"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Apple Inc. (2022) </w:t>
      </w:r>
      <w:r w:rsidRPr="00670C5E">
        <w:rPr>
          <w:i/>
          <w:iCs/>
          <w:sz w:val="22"/>
          <w:szCs w:val="22"/>
        </w:rPr>
        <w:t>Apple's Racial Equity and Justice Initiative: Progress Report</w:t>
      </w:r>
      <w:r w:rsidRPr="00670C5E">
        <w:rPr>
          <w:sz w:val="22"/>
          <w:szCs w:val="22"/>
        </w:rPr>
        <w:t xml:space="preserve">. Cupertino: Apple Inc. Available at: </w:t>
      </w:r>
      <w:hyperlink r:id="rId16" w:tgtFrame="_blank" w:history="1">
        <w:r w:rsidRPr="00670C5E">
          <w:rPr>
            <w:rStyle w:val="Hyperlink"/>
            <w:sz w:val="22"/>
            <w:szCs w:val="22"/>
          </w:rPr>
          <w:t>https://www.apple.com/newsroom/pdfs/REJI-Progress-Report-2022.pdf</w:t>
        </w:r>
      </w:hyperlink>
      <w:r w:rsidRPr="00670C5E">
        <w:rPr>
          <w:sz w:val="22"/>
          <w:szCs w:val="22"/>
        </w:rPr>
        <w:t xml:space="preserve"> (Accessed: 1 April 2026).</w:t>
      </w:r>
    </w:p>
    <w:p w14:paraId="2A37DF33" w14:textId="4877BF25"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Apple Inc. (2023a) </w:t>
      </w:r>
      <w:r w:rsidRPr="00670C5E">
        <w:rPr>
          <w:i/>
          <w:iCs/>
          <w:sz w:val="22"/>
          <w:szCs w:val="22"/>
        </w:rPr>
        <w:t>Apple Company Overview and Mission Statement</w:t>
      </w:r>
      <w:r w:rsidRPr="00670C5E">
        <w:rPr>
          <w:sz w:val="22"/>
          <w:szCs w:val="22"/>
        </w:rPr>
        <w:t xml:space="preserve">. Cupertino: Apple Inc. Available at: </w:t>
      </w:r>
      <w:hyperlink r:id="rId17" w:tgtFrame="_blank" w:history="1">
        <w:r w:rsidRPr="00670C5E">
          <w:rPr>
            <w:rStyle w:val="Hyperlink"/>
            <w:sz w:val="22"/>
            <w:szCs w:val="22"/>
          </w:rPr>
          <w:t>https://www.apple.com/compliance/</w:t>
        </w:r>
      </w:hyperlink>
      <w:r w:rsidRPr="00670C5E">
        <w:rPr>
          <w:sz w:val="22"/>
          <w:szCs w:val="22"/>
        </w:rPr>
        <w:t xml:space="preserve"> (Accessed: 1 April 2026).</w:t>
      </w:r>
    </w:p>
    <w:p w14:paraId="3C7A74DB" w14:textId="093D8AA4"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Apple Inc. (2023b) </w:t>
      </w:r>
      <w:r w:rsidRPr="00670C5E">
        <w:rPr>
          <w:i/>
          <w:iCs/>
          <w:sz w:val="22"/>
          <w:szCs w:val="22"/>
        </w:rPr>
        <w:t>Annual Report on Form 10-K: Fiscal Year 2023</w:t>
      </w:r>
      <w:r w:rsidRPr="00670C5E">
        <w:rPr>
          <w:sz w:val="22"/>
          <w:szCs w:val="22"/>
        </w:rPr>
        <w:t xml:space="preserve">. Cupertino: Apple Inc. Available at: </w:t>
      </w:r>
      <w:hyperlink r:id="rId18" w:tgtFrame="_blank" w:history="1">
        <w:r w:rsidRPr="00670C5E">
          <w:rPr>
            <w:rStyle w:val="Hyperlink"/>
            <w:sz w:val="22"/>
            <w:szCs w:val="22"/>
          </w:rPr>
          <w:t>https://investor.apple.com/investor-relations/default.aspx</w:t>
        </w:r>
      </w:hyperlink>
      <w:r w:rsidRPr="00670C5E">
        <w:rPr>
          <w:sz w:val="22"/>
          <w:szCs w:val="22"/>
        </w:rPr>
        <w:t xml:space="preserve"> (Accessed: 1 April 2026).</w:t>
      </w:r>
    </w:p>
    <w:p w14:paraId="40E1BA6B" w14:textId="56D66764"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Apple Inc. (2023c) </w:t>
      </w:r>
      <w:r w:rsidRPr="00670C5E">
        <w:rPr>
          <w:i/>
          <w:iCs/>
          <w:sz w:val="22"/>
          <w:szCs w:val="22"/>
        </w:rPr>
        <w:t>Product Environmental Reports: iPhone 15 and Apple Watch Series 9</w:t>
      </w:r>
      <w:r w:rsidRPr="00670C5E">
        <w:rPr>
          <w:sz w:val="22"/>
          <w:szCs w:val="22"/>
        </w:rPr>
        <w:t xml:space="preserve">. Cupertino: Apple Inc. Available at: </w:t>
      </w:r>
      <w:hyperlink r:id="rId19" w:tgtFrame="_blank" w:history="1">
        <w:r w:rsidRPr="00670C5E">
          <w:rPr>
            <w:rStyle w:val="Hyperlink"/>
            <w:sz w:val="22"/>
            <w:szCs w:val="22"/>
          </w:rPr>
          <w:t>https://www.apple.com/environment/</w:t>
        </w:r>
      </w:hyperlink>
      <w:r w:rsidRPr="00670C5E">
        <w:rPr>
          <w:sz w:val="22"/>
          <w:szCs w:val="22"/>
        </w:rPr>
        <w:t xml:space="preserve"> (Accessed: 1 April 2026).</w:t>
      </w:r>
    </w:p>
    <w:p w14:paraId="2EB971F0" w14:textId="652771E8"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Bank of England (2023) </w:t>
      </w:r>
      <w:r w:rsidRPr="00670C5E">
        <w:rPr>
          <w:i/>
          <w:iCs/>
          <w:sz w:val="22"/>
          <w:szCs w:val="22"/>
        </w:rPr>
        <w:t>Monetary Policy Report: August 2023</w:t>
      </w:r>
      <w:r w:rsidRPr="00670C5E">
        <w:rPr>
          <w:sz w:val="22"/>
          <w:szCs w:val="22"/>
        </w:rPr>
        <w:t xml:space="preserve">. London: Bank of England. Available at: </w:t>
      </w:r>
      <w:hyperlink r:id="rId20" w:tgtFrame="_blank" w:history="1">
        <w:r w:rsidRPr="00670C5E">
          <w:rPr>
            <w:rStyle w:val="Hyperlink"/>
            <w:sz w:val="22"/>
            <w:szCs w:val="22"/>
          </w:rPr>
          <w:t>https://www.bankofengland.co.uk/monetary-policy-report/2023/august-2023</w:t>
        </w:r>
      </w:hyperlink>
      <w:r w:rsidRPr="00670C5E">
        <w:rPr>
          <w:sz w:val="22"/>
          <w:szCs w:val="22"/>
        </w:rPr>
        <w:t xml:space="preserve"> (Accessed: 1 April 2026).</w:t>
      </w:r>
    </w:p>
    <w:p w14:paraId="1B54E094" w14:textId="142F0BEE"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Barney, J.B. (1991) 'Firm resources and sustained competitive advantage', </w:t>
      </w:r>
      <w:r w:rsidRPr="00670C5E">
        <w:rPr>
          <w:i/>
          <w:iCs/>
          <w:sz w:val="22"/>
          <w:szCs w:val="22"/>
        </w:rPr>
        <w:t>Journal of Management</w:t>
      </w:r>
      <w:r w:rsidRPr="00670C5E">
        <w:rPr>
          <w:sz w:val="22"/>
          <w:szCs w:val="22"/>
        </w:rPr>
        <w:t xml:space="preserve">, 17(1), pp. 99–120. Available at: </w:t>
      </w:r>
      <w:hyperlink r:id="rId21" w:tgtFrame="_blank" w:history="1">
        <w:r w:rsidRPr="00670C5E">
          <w:rPr>
            <w:rStyle w:val="Hyperlink"/>
            <w:sz w:val="22"/>
            <w:szCs w:val="22"/>
          </w:rPr>
          <w:t>https://doi.org/10.1177/014920639101700108</w:t>
        </w:r>
      </w:hyperlink>
      <w:r w:rsidRPr="00670C5E">
        <w:rPr>
          <w:sz w:val="22"/>
          <w:szCs w:val="22"/>
        </w:rPr>
        <w:t xml:space="preserve"> (Accessed: 1 April 2026).</w:t>
      </w:r>
    </w:p>
    <w:p w14:paraId="22383FD2" w14:textId="47A41C26"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Bartlett, C.A. and Ghoshal, S. (1989) </w:t>
      </w:r>
      <w:r w:rsidRPr="00670C5E">
        <w:rPr>
          <w:i/>
          <w:iCs/>
          <w:sz w:val="22"/>
          <w:szCs w:val="22"/>
        </w:rPr>
        <w:t>Managing Across Borders: The Transnational Solution</w:t>
      </w:r>
      <w:r w:rsidRPr="00670C5E">
        <w:rPr>
          <w:sz w:val="22"/>
          <w:szCs w:val="22"/>
        </w:rPr>
        <w:t xml:space="preserve">. Boston: Harvard Business School Press. Available at: </w:t>
      </w:r>
      <w:hyperlink r:id="rId22" w:tgtFrame="_blank" w:history="1">
        <w:r w:rsidRPr="00670C5E">
          <w:rPr>
            <w:rStyle w:val="Hyperlink"/>
            <w:sz w:val="22"/>
            <w:szCs w:val="22"/>
          </w:rPr>
          <w:t>https://www.hbs.edu/faculty/Pages/item.aspx?num=436</w:t>
        </w:r>
      </w:hyperlink>
      <w:r w:rsidRPr="00670C5E">
        <w:rPr>
          <w:sz w:val="22"/>
          <w:szCs w:val="22"/>
        </w:rPr>
        <w:t xml:space="preserve"> (Accessed: 1 April 2026).</w:t>
      </w:r>
    </w:p>
    <w:p w14:paraId="62F51BA7" w14:textId="3A14C5CC" w:rsidR="00670C5E" w:rsidRPr="00670C5E" w:rsidRDefault="00670C5E" w:rsidP="00670C5E">
      <w:pPr>
        <w:pStyle w:val="ListParagraph"/>
        <w:numPr>
          <w:ilvl w:val="0"/>
          <w:numId w:val="2"/>
        </w:numPr>
        <w:spacing w:before="80" w:after="80" w:line="360" w:lineRule="auto"/>
        <w:rPr>
          <w:sz w:val="22"/>
          <w:szCs w:val="22"/>
        </w:rPr>
      </w:pPr>
      <w:proofErr w:type="spellStart"/>
      <w:r w:rsidRPr="00670C5E">
        <w:rPr>
          <w:sz w:val="22"/>
          <w:szCs w:val="22"/>
        </w:rPr>
        <w:t>Boddewyn</w:t>
      </w:r>
      <w:proofErr w:type="spellEnd"/>
      <w:r w:rsidRPr="00670C5E">
        <w:rPr>
          <w:sz w:val="22"/>
          <w:szCs w:val="22"/>
        </w:rPr>
        <w:t xml:space="preserve">, J.J. and Brewer, T.L. (1994) 'International-business political behavior: New theoretical directions', </w:t>
      </w:r>
      <w:r w:rsidRPr="00670C5E">
        <w:rPr>
          <w:i/>
          <w:iCs/>
          <w:sz w:val="22"/>
          <w:szCs w:val="22"/>
        </w:rPr>
        <w:t>Academy of Management Review</w:t>
      </w:r>
      <w:r w:rsidRPr="00670C5E">
        <w:rPr>
          <w:sz w:val="22"/>
          <w:szCs w:val="22"/>
        </w:rPr>
        <w:t>, 19(1), pp. 119–143. Available at: [suspicious link removed] (Accessed: 1 April 2026).</w:t>
      </w:r>
    </w:p>
    <w:p w14:paraId="7032B0A1" w14:textId="0582B1CB"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lastRenderedPageBreak/>
        <w:t xml:space="preserve">Boud, D., Keogh, R. and Walker, D. (1985) </w:t>
      </w:r>
      <w:r w:rsidRPr="00670C5E">
        <w:rPr>
          <w:i/>
          <w:iCs/>
          <w:sz w:val="22"/>
          <w:szCs w:val="22"/>
        </w:rPr>
        <w:t>Reflection: Turning Experience into Learning</w:t>
      </w:r>
      <w:r w:rsidRPr="00670C5E">
        <w:rPr>
          <w:sz w:val="22"/>
          <w:szCs w:val="22"/>
        </w:rPr>
        <w:t xml:space="preserve">. London: Kogan Page. Available at: </w:t>
      </w:r>
      <w:hyperlink r:id="rId23" w:tgtFrame="_blank" w:history="1">
        <w:r w:rsidRPr="00670C5E">
          <w:rPr>
            <w:rStyle w:val="Hyperlink"/>
            <w:sz w:val="22"/>
            <w:szCs w:val="22"/>
          </w:rPr>
          <w:t>https://www.google.co.uk/books/edition/_/z09-AgAAQBAJ</w:t>
        </w:r>
      </w:hyperlink>
      <w:r w:rsidRPr="00670C5E">
        <w:rPr>
          <w:sz w:val="22"/>
          <w:szCs w:val="22"/>
        </w:rPr>
        <w:t xml:space="preserve"> (Accessed: 1 April 2026).</w:t>
      </w:r>
    </w:p>
    <w:p w14:paraId="63AEFDF5" w14:textId="560973F8"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Campbell, A., Goold, M. and Alexander, M. (1995) 'Corporate strategy: The quest for parenting advantage', </w:t>
      </w:r>
      <w:r w:rsidRPr="00670C5E">
        <w:rPr>
          <w:i/>
          <w:iCs/>
          <w:sz w:val="22"/>
          <w:szCs w:val="22"/>
        </w:rPr>
        <w:t>Harvard Business Review</w:t>
      </w:r>
      <w:r w:rsidRPr="00670C5E">
        <w:rPr>
          <w:sz w:val="22"/>
          <w:szCs w:val="22"/>
        </w:rPr>
        <w:t xml:space="preserve">, 73(2), pp. 120–132. Available at: </w:t>
      </w:r>
      <w:hyperlink r:id="rId24" w:tgtFrame="_blank" w:history="1">
        <w:r w:rsidRPr="00670C5E">
          <w:rPr>
            <w:rStyle w:val="Hyperlink"/>
            <w:sz w:val="22"/>
            <w:szCs w:val="22"/>
          </w:rPr>
          <w:t>https://hbr.org/1995/03/corporate-strategy-the-quest-for-parenting-advantage</w:t>
        </w:r>
      </w:hyperlink>
      <w:r w:rsidRPr="00670C5E">
        <w:rPr>
          <w:sz w:val="22"/>
          <w:szCs w:val="22"/>
        </w:rPr>
        <w:t xml:space="preserve"> (Accessed: 1 April 2026).</w:t>
      </w:r>
    </w:p>
    <w:p w14:paraId="4B518861" w14:textId="434F3B7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Carroll, A.B. (1991) 'The pyramid of corporate social responsibility', </w:t>
      </w:r>
      <w:r w:rsidRPr="00670C5E">
        <w:rPr>
          <w:i/>
          <w:iCs/>
          <w:sz w:val="22"/>
          <w:szCs w:val="22"/>
        </w:rPr>
        <w:t>Business Horizons</w:t>
      </w:r>
      <w:r w:rsidRPr="00670C5E">
        <w:rPr>
          <w:sz w:val="22"/>
          <w:szCs w:val="22"/>
        </w:rPr>
        <w:t xml:space="preserve">, 34(4), pp. 39–48. Available at: </w:t>
      </w:r>
      <w:hyperlink r:id="rId25" w:tgtFrame="_blank" w:history="1">
        <w:r w:rsidRPr="00670C5E">
          <w:rPr>
            <w:rStyle w:val="Hyperlink"/>
            <w:sz w:val="22"/>
            <w:szCs w:val="22"/>
          </w:rPr>
          <w:t>https://doi.org/10.1016/0007-6813(91)90005-G</w:t>
        </w:r>
      </w:hyperlink>
      <w:r w:rsidRPr="00670C5E">
        <w:rPr>
          <w:sz w:val="22"/>
          <w:szCs w:val="22"/>
        </w:rPr>
        <w:t xml:space="preserve"> (Accessed: 1 April 2026).</w:t>
      </w:r>
    </w:p>
    <w:p w14:paraId="11E9CC0E" w14:textId="0C5BF0E3"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CB Insights (2023) </w:t>
      </w:r>
      <w:r w:rsidRPr="00670C5E">
        <w:rPr>
          <w:i/>
          <w:iCs/>
          <w:sz w:val="22"/>
          <w:szCs w:val="22"/>
        </w:rPr>
        <w:t>The AI Acquisitions Tracker: Big Tech M&amp;A in Artificial Intelligence</w:t>
      </w:r>
      <w:r w:rsidRPr="00670C5E">
        <w:rPr>
          <w:sz w:val="22"/>
          <w:szCs w:val="22"/>
        </w:rPr>
        <w:t xml:space="preserve">. New York: CB Insights. Available at: </w:t>
      </w:r>
      <w:hyperlink r:id="rId26" w:tgtFrame="_blank" w:history="1">
        <w:r w:rsidRPr="00670C5E">
          <w:rPr>
            <w:rStyle w:val="Hyperlink"/>
            <w:sz w:val="22"/>
            <w:szCs w:val="22"/>
          </w:rPr>
          <w:t>https://www.cbinsights.com/research/report/ai-acquisitions-big-tech/</w:t>
        </w:r>
      </w:hyperlink>
      <w:r w:rsidRPr="00670C5E">
        <w:rPr>
          <w:sz w:val="22"/>
          <w:szCs w:val="22"/>
        </w:rPr>
        <w:t xml:space="preserve"> (Accessed: 1 April 2026).</w:t>
      </w:r>
    </w:p>
    <w:p w14:paraId="5145EE41" w14:textId="2EC59A4A"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Collins, J.C. and Porras, J.I. (1996) 'Building your company's vision', </w:t>
      </w:r>
      <w:r w:rsidRPr="00670C5E">
        <w:rPr>
          <w:i/>
          <w:iCs/>
          <w:sz w:val="22"/>
          <w:szCs w:val="22"/>
        </w:rPr>
        <w:t>Harvard Business Review</w:t>
      </w:r>
      <w:r w:rsidRPr="00670C5E">
        <w:rPr>
          <w:sz w:val="22"/>
          <w:szCs w:val="22"/>
        </w:rPr>
        <w:t xml:space="preserve">, 74(5), pp. 65–77. Available at: </w:t>
      </w:r>
      <w:hyperlink r:id="rId27" w:tgtFrame="_blank" w:history="1">
        <w:r w:rsidRPr="00670C5E">
          <w:rPr>
            <w:rStyle w:val="Hyperlink"/>
            <w:sz w:val="22"/>
            <w:szCs w:val="22"/>
          </w:rPr>
          <w:t>https://hbr.org/1996/09/building-your-companys-vision</w:t>
        </w:r>
      </w:hyperlink>
      <w:r w:rsidRPr="00670C5E">
        <w:rPr>
          <w:sz w:val="22"/>
          <w:szCs w:val="22"/>
        </w:rPr>
        <w:t xml:space="preserve"> (Accessed: 1 April 2026).</w:t>
      </w:r>
    </w:p>
    <w:p w14:paraId="02D22429" w14:textId="5FA77F83"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Counterpoint Research (2023) </w:t>
      </w:r>
      <w:r w:rsidRPr="00670C5E">
        <w:rPr>
          <w:i/>
          <w:iCs/>
          <w:sz w:val="22"/>
          <w:szCs w:val="22"/>
        </w:rPr>
        <w:t>Global Smartphone Market Share and Profitability Report Q3 2023</w:t>
      </w:r>
      <w:r w:rsidRPr="00670C5E">
        <w:rPr>
          <w:sz w:val="22"/>
          <w:szCs w:val="22"/>
        </w:rPr>
        <w:t xml:space="preserve">. Seoul: Counterpoint Research. Available at: </w:t>
      </w:r>
      <w:hyperlink r:id="rId28" w:tgtFrame="_blank" w:history="1">
        <w:r w:rsidRPr="00670C5E">
          <w:rPr>
            <w:rStyle w:val="Hyperlink"/>
            <w:sz w:val="22"/>
            <w:szCs w:val="22"/>
          </w:rPr>
          <w:t>https://www.counterpointresearch.com/insights/category/smartphones/</w:t>
        </w:r>
      </w:hyperlink>
      <w:r w:rsidRPr="00670C5E">
        <w:rPr>
          <w:sz w:val="22"/>
          <w:szCs w:val="22"/>
        </w:rPr>
        <w:t xml:space="preserve"> (Accessed: 1 April 2026).</w:t>
      </w:r>
    </w:p>
    <w:p w14:paraId="52C1E5A0" w14:textId="21383309"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Davenport, T.H. and </w:t>
      </w:r>
      <w:proofErr w:type="spellStart"/>
      <w:r w:rsidRPr="00670C5E">
        <w:rPr>
          <w:sz w:val="22"/>
          <w:szCs w:val="22"/>
        </w:rPr>
        <w:t>Ronanki</w:t>
      </w:r>
      <w:proofErr w:type="spellEnd"/>
      <w:r w:rsidRPr="00670C5E">
        <w:rPr>
          <w:sz w:val="22"/>
          <w:szCs w:val="22"/>
        </w:rPr>
        <w:t xml:space="preserve">, R. (2018) 'Artificial intelligence for the real world', </w:t>
      </w:r>
      <w:r w:rsidRPr="00670C5E">
        <w:rPr>
          <w:i/>
          <w:iCs/>
          <w:sz w:val="22"/>
          <w:szCs w:val="22"/>
        </w:rPr>
        <w:t>Harvard Business Review</w:t>
      </w:r>
      <w:r w:rsidRPr="00670C5E">
        <w:rPr>
          <w:sz w:val="22"/>
          <w:szCs w:val="22"/>
        </w:rPr>
        <w:t xml:space="preserve">, 96(1), pp. 108–116. Available at: </w:t>
      </w:r>
      <w:hyperlink r:id="rId29" w:tgtFrame="_blank" w:history="1">
        <w:r w:rsidRPr="00670C5E">
          <w:rPr>
            <w:rStyle w:val="Hyperlink"/>
            <w:sz w:val="22"/>
            <w:szCs w:val="22"/>
          </w:rPr>
          <w:t>https://hbr.org/2018/01/artificial-intelligence-for-the-real-world</w:t>
        </w:r>
      </w:hyperlink>
      <w:r w:rsidRPr="00670C5E">
        <w:rPr>
          <w:sz w:val="22"/>
          <w:szCs w:val="22"/>
        </w:rPr>
        <w:t xml:space="preserve"> (Accessed: 1 April 2026).</w:t>
      </w:r>
    </w:p>
    <w:p w14:paraId="739315D3" w14:textId="4C8B3C1D"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European Commission (2022) </w:t>
      </w:r>
      <w:r w:rsidRPr="00670C5E">
        <w:rPr>
          <w:i/>
          <w:iCs/>
          <w:sz w:val="22"/>
          <w:szCs w:val="22"/>
        </w:rPr>
        <w:t>Regulation (EU) 2022/1925 on Contestable and Fair Markets in the Digital Sector (Digital Markets Act)</w:t>
      </w:r>
      <w:r w:rsidRPr="00670C5E">
        <w:rPr>
          <w:sz w:val="22"/>
          <w:szCs w:val="22"/>
        </w:rPr>
        <w:t xml:space="preserve">. Brussels: European Commission. Available at: </w:t>
      </w:r>
      <w:hyperlink r:id="rId30" w:tgtFrame="_blank" w:history="1">
        <w:r w:rsidRPr="00670C5E">
          <w:rPr>
            <w:rStyle w:val="Hyperlink"/>
            <w:sz w:val="22"/>
            <w:szCs w:val="22"/>
          </w:rPr>
          <w:t>https://eur-lex.europa.eu/eli/reg/2022/1925/oj</w:t>
        </w:r>
      </w:hyperlink>
      <w:r w:rsidRPr="00670C5E">
        <w:rPr>
          <w:sz w:val="22"/>
          <w:szCs w:val="22"/>
        </w:rPr>
        <w:t xml:space="preserve"> (Accessed: 1 April 2026).</w:t>
      </w:r>
    </w:p>
    <w:p w14:paraId="6CB9234E" w14:textId="33B6DAD6"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Financial Times (2024) 'Apple accelerates India manufacturing push as China tensions mount', </w:t>
      </w:r>
      <w:r w:rsidRPr="00670C5E">
        <w:rPr>
          <w:i/>
          <w:iCs/>
          <w:sz w:val="22"/>
          <w:szCs w:val="22"/>
        </w:rPr>
        <w:t>Financial Times</w:t>
      </w:r>
      <w:r w:rsidRPr="00670C5E">
        <w:rPr>
          <w:sz w:val="22"/>
          <w:szCs w:val="22"/>
        </w:rPr>
        <w:t xml:space="preserve">, 12 February, p. 16. Available at: </w:t>
      </w:r>
      <w:hyperlink r:id="rId31" w:tgtFrame="_blank" w:history="1">
        <w:r w:rsidRPr="00670C5E">
          <w:rPr>
            <w:rStyle w:val="Hyperlink"/>
            <w:sz w:val="22"/>
            <w:szCs w:val="22"/>
          </w:rPr>
          <w:t>https://www.ft.com/content/32688003-8756-4654-94ec-7a31b400787e</w:t>
        </w:r>
      </w:hyperlink>
      <w:r w:rsidRPr="00670C5E">
        <w:rPr>
          <w:sz w:val="22"/>
          <w:szCs w:val="22"/>
        </w:rPr>
        <w:t xml:space="preserve"> (Accessed: 1 April 2026).</w:t>
      </w:r>
    </w:p>
    <w:p w14:paraId="158C57A8" w14:textId="79768C1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Forrester Research (2023) </w:t>
      </w:r>
      <w:r w:rsidRPr="00670C5E">
        <w:rPr>
          <w:i/>
          <w:iCs/>
          <w:sz w:val="22"/>
          <w:szCs w:val="22"/>
        </w:rPr>
        <w:t>US Consumer Technographics Benchmark Survey 2023</w:t>
      </w:r>
      <w:r w:rsidRPr="00670C5E">
        <w:rPr>
          <w:sz w:val="22"/>
          <w:szCs w:val="22"/>
        </w:rPr>
        <w:t xml:space="preserve">. Cambridge, MA: Forrester Research. Available at: </w:t>
      </w:r>
      <w:hyperlink r:id="rId32" w:tgtFrame="_blank" w:history="1">
        <w:r w:rsidRPr="00670C5E">
          <w:rPr>
            <w:rStyle w:val="Hyperlink"/>
            <w:sz w:val="22"/>
            <w:szCs w:val="22"/>
          </w:rPr>
          <w:t>https://www.forrester.com/report/the-us-consumer-technology-benchmark-survey-2023/RES179511</w:t>
        </w:r>
      </w:hyperlink>
      <w:r w:rsidRPr="00670C5E">
        <w:rPr>
          <w:sz w:val="22"/>
          <w:szCs w:val="22"/>
        </w:rPr>
        <w:t xml:space="preserve"> (Accessed: 1 April 2026).</w:t>
      </w:r>
    </w:p>
    <w:p w14:paraId="440B864C" w14:textId="551794D2"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Freeman, R.E. (1984) </w:t>
      </w:r>
      <w:r w:rsidRPr="00670C5E">
        <w:rPr>
          <w:i/>
          <w:iCs/>
          <w:sz w:val="22"/>
          <w:szCs w:val="22"/>
        </w:rPr>
        <w:t>Strategic Management: A Stakeholder Approach</w:t>
      </w:r>
      <w:r w:rsidRPr="00670C5E">
        <w:rPr>
          <w:sz w:val="22"/>
          <w:szCs w:val="22"/>
        </w:rPr>
        <w:t xml:space="preserve">. Boston: Pitman. Available at: </w:t>
      </w:r>
      <w:hyperlink r:id="rId33" w:tgtFrame="_blank" w:history="1">
        <w:r w:rsidRPr="00670C5E">
          <w:rPr>
            <w:rStyle w:val="Hyperlink"/>
            <w:sz w:val="22"/>
            <w:szCs w:val="22"/>
          </w:rPr>
          <w:t>https://doi.org/10.1017/CBO9781139192668</w:t>
        </w:r>
      </w:hyperlink>
      <w:r w:rsidRPr="00670C5E">
        <w:rPr>
          <w:sz w:val="22"/>
          <w:szCs w:val="22"/>
        </w:rPr>
        <w:t xml:space="preserve"> (Accessed: 1 April 2026).</w:t>
      </w:r>
    </w:p>
    <w:p w14:paraId="092BE947" w14:textId="6A164045"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Gartner (2023) </w:t>
      </w:r>
      <w:r w:rsidRPr="00670C5E">
        <w:rPr>
          <w:i/>
          <w:iCs/>
          <w:sz w:val="22"/>
          <w:szCs w:val="22"/>
        </w:rPr>
        <w:t>Market Share: Devices, All Countries, Q3 2023</w:t>
      </w:r>
      <w:r w:rsidRPr="00670C5E">
        <w:rPr>
          <w:sz w:val="22"/>
          <w:szCs w:val="22"/>
        </w:rPr>
        <w:t xml:space="preserve">. Stamford: Gartner Inc. Available at: </w:t>
      </w:r>
      <w:hyperlink r:id="rId34" w:tgtFrame="_blank" w:history="1">
        <w:r w:rsidRPr="00670C5E">
          <w:rPr>
            <w:rStyle w:val="Hyperlink"/>
            <w:sz w:val="22"/>
            <w:szCs w:val="22"/>
          </w:rPr>
          <w:t>https://www.gartner.com/en/newsroom/</w:t>
        </w:r>
      </w:hyperlink>
      <w:r w:rsidRPr="00670C5E">
        <w:rPr>
          <w:sz w:val="22"/>
          <w:szCs w:val="22"/>
        </w:rPr>
        <w:t xml:space="preserve"> (Accessed: 1 April 2026).</w:t>
      </w:r>
    </w:p>
    <w:p w14:paraId="74A11032" w14:textId="0985579F"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Gibbs, G. (1988) </w:t>
      </w:r>
      <w:r w:rsidRPr="00670C5E">
        <w:rPr>
          <w:i/>
          <w:iCs/>
          <w:sz w:val="22"/>
          <w:szCs w:val="22"/>
        </w:rPr>
        <w:t>Learning by Doing: A Guide to Teaching and Learning Methods</w:t>
      </w:r>
      <w:r w:rsidRPr="00670C5E">
        <w:rPr>
          <w:sz w:val="22"/>
          <w:szCs w:val="22"/>
        </w:rPr>
        <w:t xml:space="preserve">. Oxford: Further Education Unit, Oxford Polytechnic. Available at: </w:t>
      </w:r>
      <w:hyperlink r:id="rId35" w:tgtFrame="_blank" w:history="1">
        <w:r w:rsidRPr="00670C5E">
          <w:rPr>
            <w:rStyle w:val="Hyperlink"/>
            <w:sz w:val="22"/>
            <w:szCs w:val="22"/>
          </w:rPr>
          <w:t>https://www.google.co.uk/books/edition/_/9B0YAAAAMAAJ</w:t>
        </w:r>
      </w:hyperlink>
      <w:r w:rsidRPr="00670C5E">
        <w:rPr>
          <w:sz w:val="22"/>
          <w:szCs w:val="22"/>
        </w:rPr>
        <w:t xml:space="preserve"> (Accessed: 1 April 2026).</w:t>
      </w:r>
    </w:p>
    <w:p w14:paraId="61F75256" w14:textId="5DDDA49B"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Grant, R.M. (2019) </w:t>
      </w:r>
      <w:r w:rsidRPr="00670C5E">
        <w:rPr>
          <w:i/>
          <w:iCs/>
          <w:sz w:val="22"/>
          <w:szCs w:val="22"/>
        </w:rPr>
        <w:t>Contemporary Strategy Analysis</w:t>
      </w:r>
      <w:r w:rsidRPr="00670C5E">
        <w:rPr>
          <w:sz w:val="22"/>
          <w:szCs w:val="22"/>
        </w:rPr>
        <w:t xml:space="preserve">. 10th </w:t>
      </w:r>
      <w:proofErr w:type="spellStart"/>
      <w:r w:rsidRPr="00670C5E">
        <w:rPr>
          <w:sz w:val="22"/>
          <w:szCs w:val="22"/>
        </w:rPr>
        <w:t>edn</w:t>
      </w:r>
      <w:proofErr w:type="spellEnd"/>
      <w:r w:rsidRPr="00670C5E">
        <w:rPr>
          <w:sz w:val="22"/>
          <w:szCs w:val="22"/>
        </w:rPr>
        <w:t xml:space="preserve">. Chichester: John Wiley and Sons. Available at: </w:t>
      </w:r>
      <w:hyperlink r:id="rId36" w:tgtFrame="_blank" w:history="1">
        <w:r w:rsidRPr="00670C5E">
          <w:rPr>
            <w:rStyle w:val="Hyperlink"/>
            <w:sz w:val="22"/>
            <w:szCs w:val="22"/>
          </w:rPr>
          <w:t>https://www.wiley.com/en-gb/Contemporary+Strategy+Analysis,+10th+Edition-p-9781119495727</w:t>
        </w:r>
      </w:hyperlink>
      <w:r w:rsidRPr="00670C5E">
        <w:rPr>
          <w:sz w:val="22"/>
          <w:szCs w:val="22"/>
        </w:rPr>
        <w:t xml:space="preserve"> (Accessed: 1 April 2026).</w:t>
      </w:r>
    </w:p>
    <w:p w14:paraId="681E96F7" w14:textId="1F4A46C7"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Helms, M.M. and Nixon, J. (2010) 'Exploring SWOT analysis: Where are we now?', </w:t>
      </w:r>
      <w:r w:rsidRPr="00670C5E">
        <w:rPr>
          <w:i/>
          <w:iCs/>
          <w:sz w:val="22"/>
          <w:szCs w:val="22"/>
        </w:rPr>
        <w:t>Journal of Strategy and Management</w:t>
      </w:r>
      <w:r w:rsidRPr="00670C5E">
        <w:rPr>
          <w:sz w:val="22"/>
          <w:szCs w:val="22"/>
        </w:rPr>
        <w:t xml:space="preserve">, 3(3), pp. 215–251. Available at: </w:t>
      </w:r>
      <w:hyperlink r:id="rId37" w:tgtFrame="_blank" w:history="1">
        <w:r w:rsidRPr="00670C5E">
          <w:rPr>
            <w:rStyle w:val="Hyperlink"/>
            <w:sz w:val="22"/>
            <w:szCs w:val="22"/>
          </w:rPr>
          <w:t>https://doi.org/10.1108/17554251011064837</w:t>
        </w:r>
      </w:hyperlink>
      <w:r w:rsidRPr="00670C5E">
        <w:rPr>
          <w:sz w:val="22"/>
          <w:szCs w:val="22"/>
        </w:rPr>
        <w:t xml:space="preserve"> (Accessed: 1 April 2026).</w:t>
      </w:r>
    </w:p>
    <w:p w14:paraId="789266E1" w14:textId="5E66DA80"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Henderson, B.D. (1979) </w:t>
      </w:r>
      <w:r w:rsidRPr="00670C5E">
        <w:rPr>
          <w:i/>
          <w:iCs/>
          <w:sz w:val="22"/>
          <w:szCs w:val="22"/>
        </w:rPr>
        <w:t>Henderson on Corporate Strategy</w:t>
      </w:r>
      <w:r w:rsidRPr="00670C5E">
        <w:rPr>
          <w:sz w:val="22"/>
          <w:szCs w:val="22"/>
        </w:rPr>
        <w:t xml:space="preserve">. Cambridge: Abt Books. Available at: </w:t>
      </w:r>
      <w:hyperlink r:id="rId38" w:tgtFrame="_blank" w:history="1">
        <w:r w:rsidRPr="00670C5E">
          <w:rPr>
            <w:rStyle w:val="Hyperlink"/>
            <w:sz w:val="22"/>
            <w:szCs w:val="22"/>
          </w:rPr>
          <w:t>https://www.bcg.com/about/about-bcg/history.aspx</w:t>
        </w:r>
      </w:hyperlink>
      <w:r w:rsidRPr="00670C5E">
        <w:rPr>
          <w:sz w:val="22"/>
          <w:szCs w:val="22"/>
        </w:rPr>
        <w:t xml:space="preserve"> (Accessed: 1 April 2026).</w:t>
      </w:r>
    </w:p>
    <w:p w14:paraId="2381CE2F" w14:textId="092E222E"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IDC (2024) </w:t>
      </w:r>
      <w:r w:rsidRPr="00670C5E">
        <w:rPr>
          <w:i/>
          <w:iCs/>
          <w:sz w:val="22"/>
          <w:szCs w:val="22"/>
        </w:rPr>
        <w:t>Worldwide Smartphone Market Quarterly Tracker Q4 2023</w:t>
      </w:r>
      <w:r w:rsidRPr="00670C5E">
        <w:rPr>
          <w:sz w:val="22"/>
          <w:szCs w:val="22"/>
        </w:rPr>
        <w:t xml:space="preserve">. Framingham, MA: International Data Corporation. Available at: </w:t>
      </w:r>
      <w:hyperlink r:id="rId39" w:tgtFrame="_blank" w:history="1">
        <w:r w:rsidRPr="00670C5E">
          <w:rPr>
            <w:rStyle w:val="Hyperlink"/>
            <w:sz w:val="22"/>
            <w:szCs w:val="22"/>
          </w:rPr>
          <w:t>https://www.idc.com/promo/smartphone-market-share</w:t>
        </w:r>
      </w:hyperlink>
      <w:r w:rsidRPr="00670C5E">
        <w:rPr>
          <w:sz w:val="22"/>
          <w:szCs w:val="22"/>
        </w:rPr>
        <w:t xml:space="preserve"> (Accessed: 1 April 2026).</w:t>
      </w:r>
    </w:p>
    <w:p w14:paraId="45CFB212" w14:textId="49D0B522"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iFixit (2023) </w:t>
      </w:r>
      <w:r w:rsidRPr="00670C5E">
        <w:rPr>
          <w:i/>
          <w:iCs/>
          <w:sz w:val="22"/>
          <w:szCs w:val="22"/>
        </w:rPr>
        <w:t>Apple Repairability Scores and Right to Repair Analysis</w:t>
      </w:r>
      <w:r w:rsidRPr="00670C5E">
        <w:rPr>
          <w:sz w:val="22"/>
          <w:szCs w:val="22"/>
        </w:rPr>
        <w:t xml:space="preserve">. San Luis Obispo: iFixit. Available at: </w:t>
      </w:r>
      <w:hyperlink r:id="rId40" w:tgtFrame="_blank" w:history="1">
        <w:r w:rsidRPr="00670C5E">
          <w:rPr>
            <w:rStyle w:val="Hyperlink"/>
            <w:sz w:val="22"/>
            <w:szCs w:val="22"/>
          </w:rPr>
          <w:t>https://www.ifixit.com/News/78028/apple-finally-supports-right-to-repair</w:t>
        </w:r>
      </w:hyperlink>
      <w:r w:rsidRPr="00670C5E">
        <w:rPr>
          <w:sz w:val="22"/>
          <w:szCs w:val="22"/>
        </w:rPr>
        <w:t xml:space="preserve"> (Accessed: 1 April 2026).</w:t>
      </w:r>
    </w:p>
    <w:p w14:paraId="4BEF43F1" w14:textId="212413D8"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Information Commissioner's Office (2023) </w:t>
      </w:r>
      <w:r w:rsidRPr="00670C5E">
        <w:rPr>
          <w:i/>
          <w:iCs/>
          <w:sz w:val="22"/>
          <w:szCs w:val="22"/>
        </w:rPr>
        <w:t>Guide to the UK General Data Protection Regulation</w:t>
      </w:r>
      <w:r w:rsidRPr="00670C5E">
        <w:rPr>
          <w:sz w:val="22"/>
          <w:szCs w:val="22"/>
        </w:rPr>
        <w:t xml:space="preserve">. Wilmslow: ICO. Available at: </w:t>
      </w:r>
      <w:hyperlink r:id="rId41" w:tgtFrame="_blank" w:history="1">
        <w:r w:rsidRPr="00670C5E">
          <w:rPr>
            <w:rStyle w:val="Hyperlink"/>
            <w:sz w:val="22"/>
            <w:szCs w:val="22"/>
          </w:rPr>
          <w:t>https://ico.org.uk/for-organisations/guide-to-data-protection/guide-to-the-general-data-protection-regulation-gdpr/</w:t>
        </w:r>
      </w:hyperlink>
      <w:r w:rsidRPr="00670C5E">
        <w:rPr>
          <w:sz w:val="22"/>
          <w:szCs w:val="22"/>
        </w:rPr>
        <w:t xml:space="preserve"> (Accessed: 1 April 2026).</w:t>
      </w:r>
    </w:p>
    <w:p w14:paraId="350E4181" w14:textId="24659D8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Interbrand (2023) </w:t>
      </w:r>
      <w:r w:rsidRPr="00670C5E">
        <w:rPr>
          <w:i/>
          <w:iCs/>
          <w:sz w:val="22"/>
          <w:szCs w:val="22"/>
        </w:rPr>
        <w:t>Best Global Brands 2023</w:t>
      </w:r>
      <w:r w:rsidRPr="00670C5E">
        <w:rPr>
          <w:sz w:val="22"/>
          <w:szCs w:val="22"/>
        </w:rPr>
        <w:t xml:space="preserve">. New York: Interbrand. Available at: </w:t>
      </w:r>
      <w:hyperlink r:id="rId42" w:tgtFrame="_blank" w:history="1">
        <w:r w:rsidRPr="00670C5E">
          <w:rPr>
            <w:rStyle w:val="Hyperlink"/>
            <w:sz w:val="22"/>
            <w:szCs w:val="22"/>
          </w:rPr>
          <w:t>https://interbrand.com/best-global-brands/</w:t>
        </w:r>
      </w:hyperlink>
      <w:r w:rsidRPr="00670C5E">
        <w:rPr>
          <w:sz w:val="22"/>
          <w:szCs w:val="22"/>
        </w:rPr>
        <w:t xml:space="preserve"> (Accessed: 1 April 2026).</w:t>
      </w:r>
    </w:p>
    <w:p w14:paraId="7EF3BA3E" w14:textId="6E86919F"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lastRenderedPageBreak/>
        <w:t xml:space="preserve">Isaacson, W. (2011) </w:t>
      </w:r>
      <w:r w:rsidRPr="00670C5E">
        <w:rPr>
          <w:i/>
          <w:iCs/>
          <w:sz w:val="22"/>
          <w:szCs w:val="22"/>
        </w:rPr>
        <w:t>Steve Jobs</w:t>
      </w:r>
      <w:r w:rsidRPr="00670C5E">
        <w:rPr>
          <w:sz w:val="22"/>
          <w:szCs w:val="22"/>
        </w:rPr>
        <w:t xml:space="preserve">. New York: Simon and Schuster. Available at: </w:t>
      </w:r>
      <w:hyperlink r:id="rId43" w:tgtFrame="_blank" w:history="1">
        <w:r w:rsidRPr="00670C5E">
          <w:rPr>
            <w:rStyle w:val="Hyperlink"/>
            <w:sz w:val="22"/>
            <w:szCs w:val="22"/>
          </w:rPr>
          <w:t>https://www.simonandschuster.com/books/Steve-Jobs/Walter-Isaacson/9781451648546</w:t>
        </w:r>
      </w:hyperlink>
      <w:r w:rsidRPr="00670C5E">
        <w:rPr>
          <w:sz w:val="22"/>
          <w:szCs w:val="22"/>
        </w:rPr>
        <w:t xml:space="preserve"> (Accessed: 1 April 2026).</w:t>
      </w:r>
    </w:p>
    <w:p w14:paraId="673CC831" w14:textId="0582D7C9"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Johnson, G., Scholes, K. and Whittington, R. (2017) </w:t>
      </w:r>
      <w:r w:rsidRPr="00670C5E">
        <w:rPr>
          <w:i/>
          <w:iCs/>
          <w:sz w:val="22"/>
          <w:szCs w:val="22"/>
        </w:rPr>
        <w:t>Exploring Strategy</w:t>
      </w:r>
      <w:r w:rsidRPr="00670C5E">
        <w:rPr>
          <w:sz w:val="22"/>
          <w:szCs w:val="22"/>
        </w:rPr>
        <w:t xml:space="preserve">. 11th </w:t>
      </w:r>
      <w:proofErr w:type="spellStart"/>
      <w:r w:rsidRPr="00670C5E">
        <w:rPr>
          <w:sz w:val="22"/>
          <w:szCs w:val="22"/>
        </w:rPr>
        <w:t>edn</w:t>
      </w:r>
      <w:proofErr w:type="spellEnd"/>
      <w:r w:rsidRPr="00670C5E">
        <w:rPr>
          <w:sz w:val="22"/>
          <w:szCs w:val="22"/>
        </w:rPr>
        <w:t xml:space="preserve">. Harlow: Pearson. Available at: </w:t>
      </w:r>
      <w:hyperlink r:id="rId44" w:tgtFrame="_blank" w:history="1">
        <w:r w:rsidRPr="00670C5E">
          <w:rPr>
            <w:rStyle w:val="Hyperlink"/>
            <w:sz w:val="22"/>
            <w:szCs w:val="22"/>
          </w:rPr>
          <w:t>https://www.pearson.com/en-gb/subject-catalog/p/exploring-strategy/P200000003759/9781292145129</w:t>
        </w:r>
      </w:hyperlink>
      <w:r w:rsidRPr="00670C5E">
        <w:rPr>
          <w:sz w:val="22"/>
          <w:szCs w:val="22"/>
        </w:rPr>
        <w:t xml:space="preserve"> (Accessed: 1 April 2026).</w:t>
      </w:r>
    </w:p>
    <w:p w14:paraId="21D900C1" w14:textId="795D039A"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Kaplan, R.S. and Norton, D.P. (1992) 'The balanced scorecard: Measures that drive performance', </w:t>
      </w:r>
      <w:r w:rsidRPr="00670C5E">
        <w:rPr>
          <w:i/>
          <w:iCs/>
          <w:sz w:val="22"/>
          <w:szCs w:val="22"/>
        </w:rPr>
        <w:t>Harvard Business Review</w:t>
      </w:r>
      <w:r w:rsidRPr="00670C5E">
        <w:rPr>
          <w:sz w:val="22"/>
          <w:szCs w:val="22"/>
        </w:rPr>
        <w:t xml:space="preserve">, 70(1), pp. 71–79. Available at: </w:t>
      </w:r>
      <w:hyperlink r:id="rId45" w:tgtFrame="_blank" w:history="1">
        <w:r w:rsidRPr="00670C5E">
          <w:rPr>
            <w:rStyle w:val="Hyperlink"/>
            <w:sz w:val="22"/>
            <w:szCs w:val="22"/>
          </w:rPr>
          <w:t>https://hbr.org/1992/01/the-balanced-scorecard-measures-that-drive-performance-2</w:t>
        </w:r>
      </w:hyperlink>
      <w:r w:rsidRPr="00670C5E">
        <w:rPr>
          <w:sz w:val="22"/>
          <w:szCs w:val="22"/>
        </w:rPr>
        <w:t xml:space="preserve"> (Accessed: 1 April 2026).</w:t>
      </w:r>
    </w:p>
    <w:p w14:paraId="1CFEB6BF" w14:textId="7609CD5C"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Kaplan, R.S. and Norton, D.P. (2004) </w:t>
      </w:r>
      <w:r w:rsidRPr="00670C5E">
        <w:rPr>
          <w:i/>
          <w:iCs/>
          <w:sz w:val="22"/>
          <w:szCs w:val="22"/>
        </w:rPr>
        <w:t>Strategy Maps: Converting Intangible Assets into Tangible Outcomes</w:t>
      </w:r>
      <w:r w:rsidRPr="00670C5E">
        <w:rPr>
          <w:sz w:val="22"/>
          <w:szCs w:val="22"/>
        </w:rPr>
        <w:t xml:space="preserve">. Boston: Harvard Business School Press. Available at: </w:t>
      </w:r>
      <w:hyperlink r:id="rId46" w:tgtFrame="_blank" w:history="1">
        <w:r w:rsidRPr="00670C5E">
          <w:rPr>
            <w:rStyle w:val="Hyperlink"/>
            <w:sz w:val="22"/>
            <w:szCs w:val="22"/>
          </w:rPr>
          <w:t>https://www.hbs.edu/faculty/Pages/item.aspx?num=15730</w:t>
        </w:r>
      </w:hyperlink>
      <w:r w:rsidRPr="00670C5E">
        <w:rPr>
          <w:sz w:val="22"/>
          <w:szCs w:val="22"/>
        </w:rPr>
        <w:t xml:space="preserve"> (Accessed: 1 April 2026).</w:t>
      </w:r>
    </w:p>
    <w:p w14:paraId="72B56D90" w14:textId="79EF70D3"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Keller, K.L. (2013) </w:t>
      </w:r>
      <w:r w:rsidRPr="00670C5E">
        <w:rPr>
          <w:i/>
          <w:iCs/>
          <w:sz w:val="22"/>
          <w:szCs w:val="22"/>
        </w:rPr>
        <w:t>Strategic Brand Management: Building, Measuring, and Managing Brand Equity</w:t>
      </w:r>
      <w:r w:rsidRPr="00670C5E">
        <w:rPr>
          <w:sz w:val="22"/>
          <w:szCs w:val="22"/>
        </w:rPr>
        <w:t xml:space="preserve">. 4th </w:t>
      </w:r>
      <w:proofErr w:type="spellStart"/>
      <w:r w:rsidRPr="00670C5E">
        <w:rPr>
          <w:sz w:val="22"/>
          <w:szCs w:val="22"/>
        </w:rPr>
        <w:t>edn</w:t>
      </w:r>
      <w:proofErr w:type="spellEnd"/>
      <w:r w:rsidRPr="00670C5E">
        <w:rPr>
          <w:sz w:val="22"/>
          <w:szCs w:val="22"/>
        </w:rPr>
        <w:t xml:space="preserve">. Harlow: Pearson. Available at: </w:t>
      </w:r>
      <w:hyperlink r:id="rId47" w:tgtFrame="_blank" w:history="1">
        <w:r w:rsidRPr="00670C5E">
          <w:rPr>
            <w:rStyle w:val="Hyperlink"/>
            <w:sz w:val="22"/>
            <w:szCs w:val="22"/>
          </w:rPr>
          <w:t>https://www.pearson.com/en-gb/subject-catalog/p/strategic-brand-management-building-measuring-and-managing-brand-equity/P200000003290/9780132615419</w:t>
        </w:r>
      </w:hyperlink>
      <w:r w:rsidRPr="00670C5E">
        <w:rPr>
          <w:sz w:val="22"/>
          <w:szCs w:val="22"/>
        </w:rPr>
        <w:t xml:space="preserve"> (Accessed: 1 April 2026).</w:t>
      </w:r>
    </w:p>
    <w:p w14:paraId="353925A6" w14:textId="25F33C0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Khanna, T. and Palepu, K.G. (2010) </w:t>
      </w:r>
      <w:r w:rsidRPr="00670C5E">
        <w:rPr>
          <w:i/>
          <w:iCs/>
          <w:sz w:val="22"/>
          <w:szCs w:val="22"/>
        </w:rPr>
        <w:t>Winning in Emerging Markets: A Road Map for Strategy and Execution</w:t>
      </w:r>
      <w:r w:rsidRPr="00670C5E">
        <w:rPr>
          <w:sz w:val="22"/>
          <w:szCs w:val="22"/>
        </w:rPr>
        <w:t xml:space="preserve">. Boston: Harvard Business Press. Available at: </w:t>
      </w:r>
      <w:hyperlink r:id="rId48" w:tgtFrame="_blank" w:history="1">
        <w:r w:rsidRPr="00670C5E">
          <w:rPr>
            <w:rStyle w:val="Hyperlink"/>
            <w:sz w:val="22"/>
            <w:szCs w:val="22"/>
          </w:rPr>
          <w:t>https://www.hbs.edu/faculty/Pages/item.aspx?num=37554</w:t>
        </w:r>
      </w:hyperlink>
      <w:r w:rsidRPr="00670C5E">
        <w:rPr>
          <w:sz w:val="22"/>
          <w:szCs w:val="22"/>
        </w:rPr>
        <w:t xml:space="preserve"> (Accessed: 1 April 2026).</w:t>
      </w:r>
    </w:p>
    <w:p w14:paraId="6C66205A" w14:textId="3B497D6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Kolb, D.A. (1984) </w:t>
      </w:r>
      <w:r w:rsidRPr="00670C5E">
        <w:rPr>
          <w:i/>
          <w:iCs/>
          <w:sz w:val="22"/>
          <w:szCs w:val="22"/>
        </w:rPr>
        <w:t>Experiential Learning: Experience as the Source of Learning and Development</w:t>
      </w:r>
      <w:r w:rsidRPr="00670C5E">
        <w:rPr>
          <w:sz w:val="22"/>
          <w:szCs w:val="22"/>
        </w:rPr>
        <w:t xml:space="preserve">. Englewood Cliffs: Prentice-Hall. Available at: </w:t>
      </w:r>
      <w:hyperlink r:id="rId49" w:tgtFrame="_blank" w:history="1">
        <w:r w:rsidRPr="00670C5E">
          <w:rPr>
            <w:rStyle w:val="Hyperlink"/>
            <w:sz w:val="22"/>
            <w:szCs w:val="22"/>
          </w:rPr>
          <w:t>https://doi.org/10.1016/B978-0-7506-7223-8.50017-4</w:t>
        </w:r>
      </w:hyperlink>
      <w:r w:rsidRPr="00670C5E">
        <w:rPr>
          <w:sz w:val="22"/>
          <w:szCs w:val="22"/>
        </w:rPr>
        <w:t xml:space="preserve"> (Accessed: 1 April 2026).</w:t>
      </w:r>
    </w:p>
    <w:p w14:paraId="24F40EBD" w14:textId="4DBD54F7"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Kotter, J.P. (1996) </w:t>
      </w:r>
      <w:r w:rsidRPr="00670C5E">
        <w:rPr>
          <w:i/>
          <w:iCs/>
          <w:sz w:val="22"/>
          <w:szCs w:val="22"/>
        </w:rPr>
        <w:t>Leading Change</w:t>
      </w:r>
      <w:r w:rsidRPr="00670C5E">
        <w:rPr>
          <w:sz w:val="22"/>
          <w:szCs w:val="22"/>
        </w:rPr>
        <w:t xml:space="preserve">. Boston: Harvard Business School Press. Available at: </w:t>
      </w:r>
      <w:hyperlink r:id="rId50" w:tgtFrame="_blank" w:history="1">
        <w:r w:rsidRPr="00670C5E">
          <w:rPr>
            <w:rStyle w:val="Hyperlink"/>
            <w:sz w:val="22"/>
            <w:szCs w:val="22"/>
          </w:rPr>
          <w:t>https://www.hbs.edu/faculty/Pages/item.aspx?num=383</w:t>
        </w:r>
      </w:hyperlink>
      <w:r w:rsidRPr="00670C5E">
        <w:rPr>
          <w:sz w:val="22"/>
          <w:szCs w:val="22"/>
        </w:rPr>
        <w:t xml:space="preserve"> (Accessed: 1 April 2026).</w:t>
      </w:r>
    </w:p>
    <w:p w14:paraId="41E62DD2" w14:textId="10613940"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Lewin, K. (1951) </w:t>
      </w:r>
      <w:r w:rsidRPr="00670C5E">
        <w:rPr>
          <w:i/>
          <w:iCs/>
          <w:sz w:val="22"/>
          <w:szCs w:val="22"/>
        </w:rPr>
        <w:t>Field Theory in Social Science</w:t>
      </w:r>
      <w:r w:rsidRPr="00670C5E">
        <w:rPr>
          <w:sz w:val="22"/>
          <w:szCs w:val="22"/>
        </w:rPr>
        <w:t xml:space="preserve">. New York: Harper and Row. Available at: </w:t>
      </w:r>
      <w:hyperlink r:id="rId51" w:tgtFrame="_blank" w:history="1">
        <w:r w:rsidRPr="00670C5E">
          <w:rPr>
            <w:rStyle w:val="Hyperlink"/>
            <w:sz w:val="22"/>
            <w:szCs w:val="22"/>
          </w:rPr>
          <w:t>https://archive.org/details/fieldtheoryinsoc00lewi</w:t>
        </w:r>
      </w:hyperlink>
      <w:r w:rsidRPr="00670C5E">
        <w:rPr>
          <w:sz w:val="22"/>
          <w:szCs w:val="22"/>
        </w:rPr>
        <w:t xml:space="preserve"> (Accessed: 1 April 2026).</w:t>
      </w:r>
    </w:p>
    <w:p w14:paraId="36789DDE" w14:textId="56F7F422"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Mintzberg, H. (1994) </w:t>
      </w:r>
      <w:r w:rsidRPr="00670C5E">
        <w:rPr>
          <w:i/>
          <w:iCs/>
          <w:sz w:val="22"/>
          <w:szCs w:val="22"/>
        </w:rPr>
        <w:t>The Rise and Fall of Strategic Planning</w:t>
      </w:r>
      <w:r w:rsidRPr="00670C5E">
        <w:rPr>
          <w:sz w:val="22"/>
          <w:szCs w:val="22"/>
        </w:rPr>
        <w:t xml:space="preserve">. New York: Free Press. Available at: </w:t>
      </w:r>
      <w:hyperlink r:id="rId52" w:tgtFrame="_blank" w:history="1">
        <w:r w:rsidRPr="00670C5E">
          <w:rPr>
            <w:rStyle w:val="Hyperlink"/>
            <w:sz w:val="22"/>
            <w:szCs w:val="22"/>
          </w:rPr>
          <w:t>https://www.google.co.uk/books/edition/_/zB-Fp83Y48kC</w:t>
        </w:r>
      </w:hyperlink>
      <w:r w:rsidRPr="00670C5E">
        <w:rPr>
          <w:sz w:val="22"/>
          <w:szCs w:val="22"/>
        </w:rPr>
        <w:t xml:space="preserve"> (Accessed: 1 April 2026).</w:t>
      </w:r>
    </w:p>
    <w:p w14:paraId="4C4D198D" w14:textId="072873F3"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lastRenderedPageBreak/>
        <w:t xml:space="preserve">Moon, J.A. (2004) </w:t>
      </w:r>
      <w:r w:rsidRPr="00670C5E">
        <w:rPr>
          <w:i/>
          <w:iCs/>
          <w:sz w:val="22"/>
          <w:szCs w:val="22"/>
        </w:rPr>
        <w:t>A Handbook of Reflective and Experiential Learning</w:t>
      </w:r>
      <w:r w:rsidRPr="00670C5E">
        <w:rPr>
          <w:sz w:val="22"/>
          <w:szCs w:val="22"/>
        </w:rPr>
        <w:t xml:space="preserve">. London: </w:t>
      </w:r>
      <w:proofErr w:type="spellStart"/>
      <w:r w:rsidRPr="00670C5E">
        <w:rPr>
          <w:sz w:val="22"/>
          <w:szCs w:val="22"/>
        </w:rPr>
        <w:t>RoutledgeFalmer</w:t>
      </w:r>
      <w:proofErr w:type="spellEnd"/>
      <w:r w:rsidRPr="00670C5E">
        <w:rPr>
          <w:sz w:val="22"/>
          <w:szCs w:val="22"/>
        </w:rPr>
        <w:t xml:space="preserve">. Available at: </w:t>
      </w:r>
      <w:hyperlink r:id="rId53" w:tgtFrame="_blank" w:history="1">
        <w:r w:rsidRPr="00670C5E">
          <w:rPr>
            <w:rStyle w:val="Hyperlink"/>
            <w:sz w:val="22"/>
            <w:szCs w:val="22"/>
          </w:rPr>
          <w:t>https://doi.org/10.4324/9780203416150</w:t>
        </w:r>
      </w:hyperlink>
      <w:r w:rsidRPr="00670C5E">
        <w:rPr>
          <w:sz w:val="22"/>
          <w:szCs w:val="22"/>
        </w:rPr>
        <w:t xml:space="preserve"> (Accessed: 1 April 2026).</w:t>
      </w:r>
    </w:p>
    <w:p w14:paraId="44DA1023" w14:textId="017E0BFE"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Pew Research Center (2023) </w:t>
      </w:r>
      <w:r w:rsidRPr="00670C5E">
        <w:rPr>
          <w:i/>
          <w:iCs/>
          <w:sz w:val="22"/>
          <w:szCs w:val="22"/>
        </w:rPr>
        <w:t>Americans and Privacy: Concerned, Confused and Feeling Lack of Control</w:t>
      </w:r>
      <w:r w:rsidRPr="00670C5E">
        <w:rPr>
          <w:sz w:val="22"/>
          <w:szCs w:val="22"/>
        </w:rPr>
        <w:t xml:space="preserve">. Washington DC: Pew Research Center. Available at: </w:t>
      </w:r>
      <w:hyperlink r:id="rId54" w:tgtFrame="_blank" w:history="1">
        <w:r w:rsidRPr="00670C5E">
          <w:rPr>
            <w:rStyle w:val="Hyperlink"/>
            <w:sz w:val="22"/>
            <w:szCs w:val="22"/>
          </w:rPr>
          <w:t>https://www.pewresearch.org/internet/2023/10/18/how-americans-view-data-privacy/</w:t>
        </w:r>
      </w:hyperlink>
      <w:r w:rsidRPr="00670C5E">
        <w:rPr>
          <w:sz w:val="22"/>
          <w:szCs w:val="22"/>
        </w:rPr>
        <w:t xml:space="preserve"> (Accessed: 1 April 2026).</w:t>
      </w:r>
    </w:p>
    <w:p w14:paraId="7CA9E75A" w14:textId="0886083F"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Porter, M.E. (1980) </w:t>
      </w:r>
      <w:r w:rsidRPr="00670C5E">
        <w:rPr>
          <w:i/>
          <w:iCs/>
          <w:sz w:val="22"/>
          <w:szCs w:val="22"/>
        </w:rPr>
        <w:t>Competitive Strategy: Techniques for Analyzing Industries and Competitors</w:t>
      </w:r>
      <w:r w:rsidRPr="00670C5E">
        <w:rPr>
          <w:sz w:val="22"/>
          <w:szCs w:val="22"/>
        </w:rPr>
        <w:t xml:space="preserve">. New York: Free Press. Available at: </w:t>
      </w:r>
      <w:hyperlink r:id="rId55" w:tgtFrame="_blank" w:history="1">
        <w:r w:rsidRPr="00670C5E">
          <w:rPr>
            <w:rStyle w:val="Hyperlink"/>
            <w:sz w:val="22"/>
            <w:szCs w:val="22"/>
          </w:rPr>
          <w:t>https://www.google.co.uk/books/edition/_/H_6_AAAAMAAJ</w:t>
        </w:r>
      </w:hyperlink>
      <w:r w:rsidRPr="00670C5E">
        <w:rPr>
          <w:sz w:val="22"/>
          <w:szCs w:val="22"/>
        </w:rPr>
        <w:t xml:space="preserve"> (Accessed: 1 April 2026).</w:t>
      </w:r>
    </w:p>
    <w:p w14:paraId="1D1D6354" w14:textId="5CBBFD0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Porter, M.E. (1985) </w:t>
      </w:r>
      <w:r w:rsidRPr="00670C5E">
        <w:rPr>
          <w:i/>
          <w:iCs/>
          <w:sz w:val="22"/>
          <w:szCs w:val="22"/>
        </w:rPr>
        <w:t>Competitive Advantage: Creating and Sustaining Superior Performance</w:t>
      </w:r>
      <w:r w:rsidRPr="00670C5E">
        <w:rPr>
          <w:sz w:val="22"/>
          <w:szCs w:val="22"/>
        </w:rPr>
        <w:t xml:space="preserve">. New York: Free Press. Available at: </w:t>
      </w:r>
      <w:hyperlink r:id="rId56" w:tgtFrame="_blank" w:history="1">
        <w:r w:rsidRPr="00670C5E">
          <w:rPr>
            <w:rStyle w:val="Hyperlink"/>
            <w:sz w:val="22"/>
            <w:szCs w:val="22"/>
          </w:rPr>
          <w:t>https://www.google.co.uk/books/edition/_/H96_AAAAMAAJ</w:t>
        </w:r>
      </w:hyperlink>
      <w:r w:rsidRPr="00670C5E">
        <w:rPr>
          <w:sz w:val="22"/>
          <w:szCs w:val="22"/>
        </w:rPr>
        <w:t xml:space="preserve"> (Accessed: 1 April 2026).</w:t>
      </w:r>
    </w:p>
    <w:p w14:paraId="0B785C45" w14:textId="543698DC"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Porter, M.E. and Kramer, M.R. (2011) 'Creating shared value', </w:t>
      </w:r>
      <w:r w:rsidRPr="00670C5E">
        <w:rPr>
          <w:i/>
          <w:iCs/>
          <w:sz w:val="22"/>
          <w:szCs w:val="22"/>
        </w:rPr>
        <w:t>Harvard Business Review</w:t>
      </w:r>
      <w:r w:rsidRPr="00670C5E">
        <w:rPr>
          <w:sz w:val="22"/>
          <w:szCs w:val="22"/>
        </w:rPr>
        <w:t xml:space="preserve">, 89(1/2), pp. 62–77. Available at: </w:t>
      </w:r>
      <w:hyperlink r:id="rId57" w:tgtFrame="_blank" w:history="1">
        <w:r w:rsidRPr="00670C5E">
          <w:rPr>
            <w:rStyle w:val="Hyperlink"/>
            <w:sz w:val="22"/>
            <w:szCs w:val="22"/>
          </w:rPr>
          <w:t>https://hbr.org/2011/01/the-big-idea-creating-shared-value</w:t>
        </w:r>
      </w:hyperlink>
      <w:r w:rsidRPr="00670C5E">
        <w:rPr>
          <w:sz w:val="22"/>
          <w:szCs w:val="22"/>
        </w:rPr>
        <w:t xml:space="preserve"> (Accessed: 1 April 2026).</w:t>
      </w:r>
    </w:p>
    <w:p w14:paraId="237872DF" w14:textId="531837C3"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Prahalad, C.K. and Hamel, G. (1990) 'The core competence of the corporation', </w:t>
      </w:r>
      <w:r w:rsidRPr="00670C5E">
        <w:rPr>
          <w:i/>
          <w:iCs/>
          <w:sz w:val="22"/>
          <w:szCs w:val="22"/>
        </w:rPr>
        <w:t>Harvard Business Review</w:t>
      </w:r>
      <w:r w:rsidRPr="00670C5E">
        <w:rPr>
          <w:sz w:val="22"/>
          <w:szCs w:val="22"/>
        </w:rPr>
        <w:t xml:space="preserve">, 68(3), pp. 79–91. Available at: </w:t>
      </w:r>
      <w:hyperlink r:id="rId58" w:tgtFrame="_blank" w:history="1">
        <w:r w:rsidRPr="00670C5E">
          <w:rPr>
            <w:rStyle w:val="Hyperlink"/>
            <w:sz w:val="22"/>
            <w:szCs w:val="22"/>
          </w:rPr>
          <w:t>https://hbr.org/1990/05/the-core-competence-of-the-corporation</w:t>
        </w:r>
      </w:hyperlink>
      <w:r w:rsidRPr="00670C5E">
        <w:rPr>
          <w:sz w:val="22"/>
          <w:szCs w:val="22"/>
        </w:rPr>
        <w:t xml:space="preserve"> (Accessed: 1 April 2026).</w:t>
      </w:r>
    </w:p>
    <w:p w14:paraId="5EDBAA81" w14:textId="4BE36E3A"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Schön, D.A. (1983) </w:t>
      </w:r>
      <w:r w:rsidRPr="00670C5E">
        <w:rPr>
          <w:i/>
          <w:iCs/>
          <w:sz w:val="22"/>
          <w:szCs w:val="22"/>
        </w:rPr>
        <w:t>The Reflective Practitioner: How Professionals Think in Action</w:t>
      </w:r>
      <w:r w:rsidRPr="00670C5E">
        <w:rPr>
          <w:sz w:val="22"/>
          <w:szCs w:val="22"/>
        </w:rPr>
        <w:t xml:space="preserve">. New York: Basic Books. Available at: </w:t>
      </w:r>
      <w:hyperlink r:id="rId59" w:tgtFrame="_blank" w:history="1">
        <w:r w:rsidRPr="00670C5E">
          <w:rPr>
            <w:rStyle w:val="Hyperlink"/>
            <w:sz w:val="22"/>
            <w:szCs w:val="22"/>
          </w:rPr>
          <w:t>https://www.google.co.uk/books/edition/_/Ym85DwAAQBAJ</w:t>
        </w:r>
      </w:hyperlink>
      <w:r w:rsidRPr="00670C5E">
        <w:rPr>
          <w:sz w:val="22"/>
          <w:szCs w:val="22"/>
        </w:rPr>
        <w:t xml:space="preserve"> (Accessed: 1 April 2026).</w:t>
      </w:r>
    </w:p>
    <w:p w14:paraId="2C28FA5F" w14:textId="1CCBFF2F"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Stucke, M.E. and Grunes, A.P. (2016) </w:t>
      </w:r>
      <w:r w:rsidRPr="00670C5E">
        <w:rPr>
          <w:i/>
          <w:iCs/>
          <w:sz w:val="22"/>
          <w:szCs w:val="22"/>
        </w:rPr>
        <w:t>Big Data and Competition Policy</w:t>
      </w:r>
      <w:r w:rsidRPr="00670C5E">
        <w:rPr>
          <w:sz w:val="22"/>
          <w:szCs w:val="22"/>
        </w:rPr>
        <w:t xml:space="preserve">. Oxford: Oxford University Press. Available at: </w:t>
      </w:r>
      <w:hyperlink r:id="rId60" w:tgtFrame="_blank" w:history="1">
        <w:r w:rsidRPr="00670C5E">
          <w:rPr>
            <w:rStyle w:val="Hyperlink"/>
            <w:sz w:val="22"/>
            <w:szCs w:val="22"/>
          </w:rPr>
          <w:t>https://global.oup.com/academic/product/big-data-and-competition-policy-9780198758419</w:t>
        </w:r>
      </w:hyperlink>
      <w:r w:rsidRPr="00670C5E">
        <w:rPr>
          <w:sz w:val="22"/>
          <w:szCs w:val="22"/>
        </w:rPr>
        <w:t xml:space="preserve"> (Accessed: 1 April 2026).</w:t>
      </w:r>
    </w:p>
    <w:p w14:paraId="3B19CA61" w14:textId="3B39EF08"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Teece, D.J., Pisano, G. and </w:t>
      </w:r>
      <w:proofErr w:type="spellStart"/>
      <w:r w:rsidRPr="00670C5E">
        <w:rPr>
          <w:sz w:val="22"/>
          <w:szCs w:val="22"/>
        </w:rPr>
        <w:t>Shuen</w:t>
      </w:r>
      <w:proofErr w:type="spellEnd"/>
      <w:r w:rsidRPr="00670C5E">
        <w:rPr>
          <w:sz w:val="22"/>
          <w:szCs w:val="22"/>
        </w:rPr>
        <w:t xml:space="preserve">, A. (1997) 'Dynamic capabilities and strategic management', </w:t>
      </w:r>
      <w:r w:rsidRPr="00670C5E">
        <w:rPr>
          <w:i/>
          <w:iCs/>
          <w:sz w:val="22"/>
          <w:szCs w:val="22"/>
        </w:rPr>
        <w:t>Strategic Management Journal</w:t>
      </w:r>
      <w:r w:rsidRPr="00670C5E">
        <w:rPr>
          <w:sz w:val="22"/>
          <w:szCs w:val="22"/>
        </w:rPr>
        <w:t xml:space="preserve">, 18(7), pp. 509–533. Available at: </w:t>
      </w:r>
      <w:hyperlink r:id="rId61" w:tgtFrame="_blank" w:history="1">
        <w:r w:rsidRPr="00670C5E">
          <w:rPr>
            <w:rStyle w:val="Hyperlink"/>
            <w:sz w:val="22"/>
            <w:szCs w:val="22"/>
          </w:rPr>
          <w:t>https://doi.org/10.1002/(SICI)1097-0266(199708)18:7&lt;509::AID-SMJ882&gt;3.0.CO;2-Z</w:t>
        </w:r>
      </w:hyperlink>
      <w:r w:rsidRPr="00670C5E">
        <w:rPr>
          <w:sz w:val="22"/>
          <w:szCs w:val="22"/>
        </w:rPr>
        <w:t xml:space="preserve"> (Accessed: 1 April 2026).</w:t>
      </w:r>
    </w:p>
    <w:p w14:paraId="6775CA18" w14:textId="162FC414"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The Verge (2024) 'Apple Intelligence in practice: A competitive assessment', </w:t>
      </w:r>
      <w:r w:rsidRPr="00670C5E">
        <w:rPr>
          <w:i/>
          <w:iCs/>
          <w:sz w:val="22"/>
          <w:szCs w:val="22"/>
        </w:rPr>
        <w:t>The Verge</w:t>
      </w:r>
      <w:r w:rsidRPr="00670C5E">
        <w:rPr>
          <w:sz w:val="22"/>
          <w:szCs w:val="22"/>
        </w:rPr>
        <w:t xml:space="preserve"> [online], 24 February. Available at: </w:t>
      </w:r>
      <w:hyperlink r:id="rId62" w:tgtFrame="_blank" w:history="1">
        <w:r w:rsidRPr="00670C5E">
          <w:rPr>
            <w:rStyle w:val="Hyperlink"/>
            <w:sz w:val="22"/>
            <w:szCs w:val="22"/>
          </w:rPr>
          <w:t>https://www.theverge.com/apple/</w:t>
        </w:r>
      </w:hyperlink>
      <w:r w:rsidRPr="00670C5E">
        <w:rPr>
          <w:sz w:val="22"/>
          <w:szCs w:val="22"/>
        </w:rPr>
        <w:t xml:space="preserve"> (Accessed: 1 April 2026).</w:t>
      </w:r>
    </w:p>
    <w:p w14:paraId="2CD6F946" w14:textId="009E04BD"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lastRenderedPageBreak/>
        <w:t xml:space="preserve">US Department of Commerce (2023) </w:t>
      </w:r>
      <w:r w:rsidRPr="00670C5E">
        <w:rPr>
          <w:i/>
          <w:iCs/>
          <w:sz w:val="22"/>
          <w:szCs w:val="22"/>
        </w:rPr>
        <w:t>CHIPS and Science Act: Implementation Progress Report</w:t>
      </w:r>
      <w:r w:rsidRPr="00670C5E">
        <w:rPr>
          <w:sz w:val="22"/>
          <w:szCs w:val="22"/>
        </w:rPr>
        <w:t xml:space="preserve">. Washington DC: US Department of Commerce. Available at: </w:t>
      </w:r>
      <w:hyperlink r:id="rId63" w:tgtFrame="_blank" w:history="1">
        <w:r w:rsidRPr="00670C5E">
          <w:rPr>
            <w:rStyle w:val="Hyperlink"/>
            <w:sz w:val="22"/>
            <w:szCs w:val="22"/>
          </w:rPr>
          <w:t>https://www.commerce.gov/chips/implementation-updates</w:t>
        </w:r>
      </w:hyperlink>
      <w:r w:rsidRPr="00670C5E">
        <w:rPr>
          <w:sz w:val="22"/>
          <w:szCs w:val="22"/>
        </w:rPr>
        <w:t xml:space="preserve"> (Accessed: 1 April 2026).</w:t>
      </w:r>
    </w:p>
    <w:p w14:paraId="4E25C440" w14:textId="7920CD51"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US Department of Justice (2024) </w:t>
      </w:r>
      <w:r w:rsidRPr="00670C5E">
        <w:rPr>
          <w:i/>
          <w:iCs/>
          <w:sz w:val="22"/>
          <w:szCs w:val="22"/>
        </w:rPr>
        <w:t>United States v. Apple Inc.: Complaint for Injunctive and Equitable Relief</w:t>
      </w:r>
      <w:r w:rsidRPr="00670C5E">
        <w:rPr>
          <w:sz w:val="22"/>
          <w:szCs w:val="22"/>
        </w:rPr>
        <w:t xml:space="preserve">. Washington DC: Department of Justice. Available at: </w:t>
      </w:r>
      <w:hyperlink r:id="rId64" w:tgtFrame="_blank" w:history="1">
        <w:r w:rsidRPr="00670C5E">
          <w:rPr>
            <w:rStyle w:val="Hyperlink"/>
            <w:sz w:val="22"/>
            <w:szCs w:val="22"/>
          </w:rPr>
          <w:t>https://www.justice.gov/opa/pr/justice-department-sues-apple-monopolizing-smartphone-markets</w:t>
        </w:r>
      </w:hyperlink>
      <w:r w:rsidRPr="00670C5E">
        <w:rPr>
          <w:sz w:val="22"/>
          <w:szCs w:val="22"/>
        </w:rPr>
        <w:t xml:space="preserve"> (Accessed: 1 April 2026).</w:t>
      </w:r>
    </w:p>
    <w:p w14:paraId="19E6B294" w14:textId="57962478"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USPTO (2023) </w:t>
      </w:r>
      <w:r w:rsidRPr="00670C5E">
        <w:rPr>
          <w:i/>
          <w:iCs/>
          <w:sz w:val="22"/>
          <w:szCs w:val="22"/>
        </w:rPr>
        <w:t>Apple Inc. Patent Portfolio Analysis 2023</w:t>
      </w:r>
      <w:r w:rsidRPr="00670C5E">
        <w:rPr>
          <w:sz w:val="22"/>
          <w:szCs w:val="22"/>
        </w:rPr>
        <w:t xml:space="preserve">. Alexandria, VA: United States Patent and Trademark Office. Available at: </w:t>
      </w:r>
      <w:hyperlink r:id="rId65" w:tgtFrame="_blank" w:history="1">
        <w:r w:rsidRPr="00670C5E">
          <w:rPr>
            <w:rStyle w:val="Hyperlink"/>
            <w:sz w:val="22"/>
            <w:szCs w:val="22"/>
          </w:rPr>
          <w:t>https://www.uspto.gov/</w:t>
        </w:r>
      </w:hyperlink>
      <w:r w:rsidRPr="00670C5E">
        <w:rPr>
          <w:sz w:val="22"/>
          <w:szCs w:val="22"/>
        </w:rPr>
        <w:t xml:space="preserve"> (Accessed: 1 April 2026).</w:t>
      </w:r>
    </w:p>
    <w:p w14:paraId="425D9DC0" w14:textId="7AF22DB9"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World Bank (2023) </w:t>
      </w:r>
      <w:r w:rsidRPr="00670C5E">
        <w:rPr>
          <w:i/>
          <w:iCs/>
          <w:sz w:val="22"/>
          <w:szCs w:val="22"/>
        </w:rPr>
        <w:t>Global Economic Prospects: January 2023</w:t>
      </w:r>
      <w:r w:rsidRPr="00670C5E">
        <w:rPr>
          <w:sz w:val="22"/>
          <w:szCs w:val="22"/>
        </w:rPr>
        <w:t xml:space="preserve">. Washington DC: World Bank Group. Available at: </w:t>
      </w:r>
      <w:hyperlink r:id="rId66" w:tgtFrame="_blank" w:history="1">
        <w:r w:rsidRPr="00670C5E">
          <w:rPr>
            <w:rStyle w:val="Hyperlink"/>
            <w:sz w:val="22"/>
            <w:szCs w:val="22"/>
          </w:rPr>
          <w:t>https://www.worldbank.org/en/publication/global-economic-prospects</w:t>
        </w:r>
      </w:hyperlink>
      <w:r w:rsidRPr="00670C5E">
        <w:rPr>
          <w:sz w:val="22"/>
          <w:szCs w:val="22"/>
        </w:rPr>
        <w:t xml:space="preserve"> (Accessed: 1 April 2026).</w:t>
      </w:r>
    </w:p>
    <w:p w14:paraId="1C799B41" w14:textId="6B38E44E" w:rsidR="00670C5E" w:rsidRPr="00670C5E" w:rsidRDefault="00670C5E" w:rsidP="00670C5E">
      <w:pPr>
        <w:pStyle w:val="ListParagraph"/>
        <w:numPr>
          <w:ilvl w:val="0"/>
          <w:numId w:val="2"/>
        </w:numPr>
        <w:spacing w:before="80" w:after="80" w:line="360" w:lineRule="auto"/>
        <w:rPr>
          <w:sz w:val="22"/>
          <w:szCs w:val="22"/>
        </w:rPr>
      </w:pPr>
      <w:r w:rsidRPr="00670C5E">
        <w:rPr>
          <w:sz w:val="22"/>
          <w:szCs w:val="22"/>
        </w:rPr>
        <w:t xml:space="preserve">Yoffie, D.B. and Cusumano, M.A. (2015) </w:t>
      </w:r>
      <w:r w:rsidRPr="00670C5E">
        <w:rPr>
          <w:i/>
          <w:iCs/>
          <w:sz w:val="22"/>
          <w:szCs w:val="22"/>
        </w:rPr>
        <w:t>Strategy Rules: Five Timeless Lessons from Bill Gates, Andy Grove, and Steve Jobs</w:t>
      </w:r>
      <w:r w:rsidRPr="00670C5E">
        <w:rPr>
          <w:sz w:val="22"/>
          <w:szCs w:val="22"/>
        </w:rPr>
        <w:t xml:space="preserve">. New York: </w:t>
      </w:r>
      <w:proofErr w:type="spellStart"/>
      <w:r w:rsidRPr="00670C5E">
        <w:rPr>
          <w:sz w:val="22"/>
          <w:szCs w:val="22"/>
        </w:rPr>
        <w:t>HarperBusiness</w:t>
      </w:r>
      <w:proofErr w:type="spellEnd"/>
      <w:r w:rsidRPr="00670C5E">
        <w:rPr>
          <w:sz w:val="22"/>
          <w:szCs w:val="22"/>
        </w:rPr>
        <w:t xml:space="preserve">. Available at: </w:t>
      </w:r>
      <w:hyperlink r:id="rId67" w:tgtFrame="_blank" w:history="1">
        <w:r w:rsidRPr="00670C5E">
          <w:rPr>
            <w:rStyle w:val="Hyperlink"/>
            <w:sz w:val="22"/>
            <w:szCs w:val="22"/>
          </w:rPr>
          <w:t>https://www.hbs.edu/faculty/Pages/item.aspx?num=48873</w:t>
        </w:r>
      </w:hyperlink>
      <w:r w:rsidRPr="00670C5E">
        <w:rPr>
          <w:sz w:val="22"/>
          <w:szCs w:val="22"/>
        </w:rPr>
        <w:t xml:space="preserve"> (Accessed: 1 April 2026).</w:t>
      </w:r>
    </w:p>
    <w:p w14:paraId="124667EC" w14:textId="717C647C" w:rsidR="0048632D" w:rsidRDefault="0048632D" w:rsidP="00670C5E">
      <w:pPr>
        <w:spacing w:before="80" w:after="80" w:line="360" w:lineRule="auto"/>
        <w:ind w:left="720" w:hanging="720"/>
      </w:pPr>
    </w:p>
    <w:sectPr w:rsidR="0048632D">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C462B"/>
    <w:multiLevelType w:val="hybridMultilevel"/>
    <w:tmpl w:val="3664F938"/>
    <w:lvl w:ilvl="0" w:tplc="4F2017F4">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074C9F"/>
    <w:multiLevelType w:val="hybridMultilevel"/>
    <w:tmpl w:val="6BAC3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814B56"/>
    <w:multiLevelType w:val="hybridMultilevel"/>
    <w:tmpl w:val="B44A0BB2"/>
    <w:lvl w:ilvl="0" w:tplc="07CEC46A">
      <w:start w:val="1"/>
      <w:numFmt w:val="bullet"/>
      <w:lvlText w:val="●"/>
      <w:lvlJc w:val="left"/>
      <w:pPr>
        <w:ind w:left="720" w:hanging="360"/>
      </w:pPr>
    </w:lvl>
    <w:lvl w:ilvl="1" w:tplc="89AE39CC">
      <w:start w:val="1"/>
      <w:numFmt w:val="bullet"/>
      <w:lvlText w:val="○"/>
      <w:lvlJc w:val="left"/>
      <w:pPr>
        <w:ind w:left="1440" w:hanging="360"/>
      </w:pPr>
    </w:lvl>
    <w:lvl w:ilvl="2" w:tplc="D5C0CE78">
      <w:start w:val="1"/>
      <w:numFmt w:val="bullet"/>
      <w:lvlText w:val="■"/>
      <w:lvlJc w:val="left"/>
      <w:pPr>
        <w:ind w:left="2160" w:hanging="360"/>
      </w:pPr>
    </w:lvl>
    <w:lvl w:ilvl="3" w:tplc="8C2E4238">
      <w:start w:val="1"/>
      <w:numFmt w:val="bullet"/>
      <w:lvlText w:val="●"/>
      <w:lvlJc w:val="left"/>
      <w:pPr>
        <w:ind w:left="2880" w:hanging="360"/>
      </w:pPr>
    </w:lvl>
    <w:lvl w:ilvl="4" w:tplc="B9E05004">
      <w:start w:val="1"/>
      <w:numFmt w:val="bullet"/>
      <w:lvlText w:val="○"/>
      <w:lvlJc w:val="left"/>
      <w:pPr>
        <w:ind w:left="3600" w:hanging="360"/>
      </w:pPr>
    </w:lvl>
    <w:lvl w:ilvl="5" w:tplc="3EAE0B28">
      <w:start w:val="1"/>
      <w:numFmt w:val="bullet"/>
      <w:lvlText w:val="■"/>
      <w:lvlJc w:val="left"/>
      <w:pPr>
        <w:ind w:left="4320" w:hanging="360"/>
      </w:pPr>
    </w:lvl>
    <w:lvl w:ilvl="6" w:tplc="374A70C0">
      <w:start w:val="1"/>
      <w:numFmt w:val="bullet"/>
      <w:lvlText w:val="●"/>
      <w:lvlJc w:val="left"/>
      <w:pPr>
        <w:ind w:left="5040" w:hanging="360"/>
      </w:pPr>
    </w:lvl>
    <w:lvl w:ilvl="7" w:tplc="0660D6EC">
      <w:start w:val="1"/>
      <w:numFmt w:val="bullet"/>
      <w:lvlText w:val="●"/>
      <w:lvlJc w:val="left"/>
      <w:pPr>
        <w:ind w:left="5760" w:hanging="360"/>
      </w:pPr>
    </w:lvl>
    <w:lvl w:ilvl="8" w:tplc="A9C6BA58">
      <w:start w:val="1"/>
      <w:numFmt w:val="bullet"/>
      <w:lvlText w:val="●"/>
      <w:lvlJc w:val="left"/>
      <w:pPr>
        <w:ind w:left="6480" w:hanging="360"/>
      </w:pPr>
    </w:lvl>
  </w:abstractNum>
  <w:abstractNum w:abstractNumId="3" w15:restartNumberingAfterBreak="0">
    <w:nsid w:val="435148E5"/>
    <w:multiLevelType w:val="hybridMultilevel"/>
    <w:tmpl w:val="9BD25CAA"/>
    <w:lvl w:ilvl="0" w:tplc="538812B6">
      <w:start w:val="1"/>
      <w:numFmt w:val="bullet"/>
      <w:lvlText w:val="•"/>
      <w:lvlJc w:val="left"/>
      <w:pPr>
        <w:ind w:left="720" w:hanging="360"/>
      </w:pPr>
    </w:lvl>
    <w:lvl w:ilvl="1" w:tplc="11CE6E06">
      <w:numFmt w:val="decimal"/>
      <w:lvlText w:val=""/>
      <w:lvlJc w:val="left"/>
    </w:lvl>
    <w:lvl w:ilvl="2" w:tplc="3FEEED52">
      <w:numFmt w:val="decimal"/>
      <w:lvlText w:val=""/>
      <w:lvlJc w:val="left"/>
    </w:lvl>
    <w:lvl w:ilvl="3" w:tplc="EA08F85A">
      <w:numFmt w:val="decimal"/>
      <w:lvlText w:val=""/>
      <w:lvlJc w:val="left"/>
    </w:lvl>
    <w:lvl w:ilvl="4" w:tplc="3402902E">
      <w:numFmt w:val="decimal"/>
      <w:lvlText w:val=""/>
      <w:lvlJc w:val="left"/>
    </w:lvl>
    <w:lvl w:ilvl="5" w:tplc="C72C59AC">
      <w:numFmt w:val="decimal"/>
      <w:lvlText w:val=""/>
      <w:lvlJc w:val="left"/>
    </w:lvl>
    <w:lvl w:ilvl="6" w:tplc="A38A5228">
      <w:numFmt w:val="decimal"/>
      <w:lvlText w:val=""/>
      <w:lvlJc w:val="left"/>
    </w:lvl>
    <w:lvl w:ilvl="7" w:tplc="5010D4DE">
      <w:numFmt w:val="decimal"/>
      <w:lvlText w:val=""/>
      <w:lvlJc w:val="left"/>
    </w:lvl>
    <w:lvl w:ilvl="8" w:tplc="0656527E">
      <w:numFmt w:val="decimal"/>
      <w:lvlText w:val=""/>
      <w:lvlJc w:val="left"/>
    </w:lvl>
  </w:abstractNum>
  <w:num w:numId="1" w16cid:durableId="1185944203">
    <w:abstractNumId w:val="2"/>
    <w:lvlOverride w:ilvl="0">
      <w:startOverride w:val="1"/>
    </w:lvlOverride>
  </w:num>
  <w:num w:numId="2" w16cid:durableId="1785071410">
    <w:abstractNumId w:val="1"/>
  </w:num>
  <w:num w:numId="3" w16cid:durableId="464009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32D"/>
    <w:rsid w:val="00082E11"/>
    <w:rsid w:val="0036629B"/>
    <w:rsid w:val="003E0B08"/>
    <w:rsid w:val="00460557"/>
    <w:rsid w:val="0047627A"/>
    <w:rsid w:val="0048632D"/>
    <w:rsid w:val="004B1F1A"/>
    <w:rsid w:val="005C7FCD"/>
    <w:rsid w:val="006205A1"/>
    <w:rsid w:val="00670C5E"/>
    <w:rsid w:val="006A1FC6"/>
    <w:rsid w:val="0079188E"/>
    <w:rsid w:val="009A0BCF"/>
    <w:rsid w:val="00A22EBB"/>
    <w:rsid w:val="00AE1B27"/>
    <w:rsid w:val="00B000D5"/>
    <w:rsid w:val="00B552D7"/>
    <w:rsid w:val="00BF0E7B"/>
    <w:rsid w:val="00C14D48"/>
    <w:rsid w:val="00C31C46"/>
    <w:rsid w:val="00CB77DE"/>
    <w:rsid w:val="00CD17BF"/>
    <w:rsid w:val="00D46247"/>
    <w:rsid w:val="00D94F8A"/>
    <w:rsid w:val="00DA69FD"/>
    <w:rsid w:val="00DE2DAC"/>
    <w:rsid w:val="00DF33F0"/>
    <w:rsid w:val="00DF5D66"/>
    <w:rsid w:val="00DF6F56"/>
    <w:rsid w:val="00E25A16"/>
    <w:rsid w:val="00E57D8E"/>
    <w:rsid w:val="00F13A0D"/>
    <w:rsid w:val="00F668E0"/>
    <w:rsid w:val="00FB4E86"/>
    <w:rsid w:val="00FB63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F4670"/>
  <w15:docId w15:val="{E3E5F037-E9DF-4C1A-88F2-0C2193B66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C46"/>
  </w:style>
  <w:style w:type="paragraph" w:styleId="Heading1">
    <w:name w:val="heading 1"/>
    <w:uiPriority w:val="9"/>
    <w:qFormat/>
    <w:pPr>
      <w:spacing w:before="340" w:after="160"/>
      <w:outlineLvl w:val="0"/>
    </w:pPr>
    <w:rPr>
      <w:b/>
      <w:bCs/>
      <w:color w:val="1F3A5F"/>
      <w:sz w:val="28"/>
      <w:szCs w:val="28"/>
    </w:rPr>
  </w:style>
  <w:style w:type="paragraph" w:styleId="Heading2">
    <w:name w:val="heading 2"/>
    <w:uiPriority w:val="9"/>
    <w:unhideWhenUsed/>
    <w:qFormat/>
    <w:pPr>
      <w:spacing w:before="240" w:after="120"/>
      <w:outlineLvl w:val="1"/>
    </w:pPr>
    <w:rPr>
      <w:b/>
      <w:bCs/>
      <w:color w:val="2E4057"/>
      <w:sz w:val="26"/>
      <w:szCs w:val="26"/>
    </w:rPr>
  </w:style>
  <w:style w:type="paragraph" w:styleId="Heading3">
    <w:name w:val="heading 3"/>
    <w:uiPriority w:val="9"/>
    <w:unhideWhenUsed/>
    <w:qFormat/>
    <w:pPr>
      <w:spacing w:before="180" w:after="90"/>
      <w:outlineLvl w:val="2"/>
    </w:pPr>
    <w:rPr>
      <w:b/>
      <w:bCs/>
      <w:color w:val="3A5275"/>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Subtitle">
    <w:name w:val="Subtitle"/>
    <w:basedOn w:val="Normal"/>
    <w:next w:val="Normal"/>
    <w:link w:val="SubtitleChar"/>
    <w:uiPriority w:val="11"/>
    <w:qFormat/>
    <w:rsid w:val="006205A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205A1"/>
    <w:rPr>
      <w:rFonts w:asciiTheme="minorHAnsi" w:eastAsiaTheme="minorEastAsia" w:hAnsiTheme="minorHAnsi" w:cstheme="minorBidi"/>
      <w:color w:val="5A5A5A" w:themeColor="text1" w:themeTint="A5"/>
      <w:spacing w:val="15"/>
      <w:sz w:val="22"/>
      <w:szCs w:val="22"/>
    </w:rPr>
  </w:style>
  <w:style w:type="character" w:styleId="UnresolvedMention">
    <w:name w:val="Unresolved Mention"/>
    <w:basedOn w:val="DefaultParagraphFont"/>
    <w:uiPriority w:val="99"/>
    <w:semiHidden/>
    <w:unhideWhenUsed/>
    <w:rsid w:val="009A0BCF"/>
    <w:rPr>
      <w:color w:val="605E5C"/>
      <w:shd w:val="clear" w:color="auto" w:fill="E1DFDD"/>
    </w:rPr>
  </w:style>
  <w:style w:type="paragraph" w:styleId="TOCHeading">
    <w:name w:val="TOC Heading"/>
    <w:basedOn w:val="Heading1"/>
    <w:next w:val="Normal"/>
    <w:uiPriority w:val="39"/>
    <w:unhideWhenUsed/>
    <w:qFormat/>
    <w:rsid w:val="00670C5E"/>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670C5E"/>
    <w:pPr>
      <w:spacing w:after="100"/>
    </w:pPr>
  </w:style>
  <w:style w:type="paragraph" w:styleId="TOC2">
    <w:name w:val="toc 2"/>
    <w:basedOn w:val="Normal"/>
    <w:next w:val="Normal"/>
    <w:autoRedefine/>
    <w:uiPriority w:val="39"/>
    <w:unhideWhenUsed/>
    <w:rsid w:val="00670C5E"/>
    <w:pPr>
      <w:spacing w:after="100"/>
      <w:ind w:left="240"/>
    </w:pPr>
  </w:style>
  <w:style w:type="paragraph" w:styleId="TOC3">
    <w:name w:val="toc 3"/>
    <w:basedOn w:val="Normal"/>
    <w:next w:val="Normal"/>
    <w:autoRedefine/>
    <w:uiPriority w:val="39"/>
    <w:unhideWhenUsed/>
    <w:rsid w:val="00670C5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google.com/search?q=https://www.cbinsights.com/research/report/ai-acquisitions-big-tech/" TargetMode="External"/><Relationship Id="rId21" Type="http://schemas.openxmlformats.org/officeDocument/2006/relationships/hyperlink" Target="https://doi.org/10.1177/014920639101700108" TargetMode="External"/><Relationship Id="rId42" Type="http://schemas.openxmlformats.org/officeDocument/2006/relationships/hyperlink" Target="https://interbrand.com/best-global-brands/" TargetMode="External"/><Relationship Id="rId47" Type="http://schemas.openxmlformats.org/officeDocument/2006/relationships/hyperlink" Target="https://www.google.com/search?q=https://www.pearson.com/en-gb/subject-catalog/p/strategic-brand-management-building-measuring-and-managing-brand-equity/P200000003290/9780132615419" TargetMode="External"/><Relationship Id="rId63" Type="http://schemas.openxmlformats.org/officeDocument/2006/relationships/hyperlink" Target="https://www.google.com/search?q=https://www.commerce.gov/chips/implementation-updates" TargetMode="External"/><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google.com/search?q=https://www.apple.com/newsroom/pdfs/REJI-Progress-Report-2022.pdf" TargetMode="External"/><Relationship Id="rId29" Type="http://schemas.openxmlformats.org/officeDocument/2006/relationships/hyperlink" Target="https://hbr.org/2018/01/artificial-intelligence-for-the-real-world" TargetMode="External"/><Relationship Id="rId11" Type="http://schemas.openxmlformats.org/officeDocument/2006/relationships/hyperlink" Target="https://managementweekly.org/wp-content/uploads/2020/06/ansoff-1.jpg" TargetMode="External"/><Relationship Id="rId24" Type="http://schemas.openxmlformats.org/officeDocument/2006/relationships/hyperlink" Target="https://hbr.org/1995/03/corporate-strategy-the-quest-for-parenting-advantage" TargetMode="External"/><Relationship Id="rId32" Type="http://schemas.openxmlformats.org/officeDocument/2006/relationships/hyperlink" Target="https://www.google.com/search?q=https://www.forrester.com/report/the-us-consumer-technology-benchmark-survey-2023/RES179511" TargetMode="External"/><Relationship Id="rId37" Type="http://schemas.openxmlformats.org/officeDocument/2006/relationships/hyperlink" Target="https://doi.org/10.1108/17554251011064837" TargetMode="External"/><Relationship Id="rId40" Type="http://schemas.openxmlformats.org/officeDocument/2006/relationships/hyperlink" Target="https://www.google.com/search?q=https://www.ifixit.com/News/78028/apple-finally-supports-right-to-repair" TargetMode="External"/><Relationship Id="rId45" Type="http://schemas.openxmlformats.org/officeDocument/2006/relationships/hyperlink" Target="https://hbr.org/1992/01/the-balanced-scorecard-measures-that-drive-performance-2" TargetMode="External"/><Relationship Id="rId53" Type="http://schemas.openxmlformats.org/officeDocument/2006/relationships/hyperlink" Target="https://doi.org/10.4324/9780203416150" TargetMode="External"/><Relationship Id="rId58" Type="http://schemas.openxmlformats.org/officeDocument/2006/relationships/hyperlink" Target="https://hbr.org/1990/05/the-core-competence-of-the-corporation" TargetMode="External"/><Relationship Id="rId66" Type="http://schemas.openxmlformats.org/officeDocument/2006/relationships/hyperlink" Target="https://www.worldbank.org/en/publication/global-economic-prospects" TargetMode="External"/><Relationship Id="rId5" Type="http://schemas.openxmlformats.org/officeDocument/2006/relationships/webSettings" Target="webSettings.xml"/><Relationship Id="rId61" Type="http://schemas.openxmlformats.org/officeDocument/2006/relationships/hyperlink" Target="https://www.google.com/search?q=https://doi.org/10.1002/(SICI)1097-0266(199708)18:7%3C509::AID-SMJ882%3E3.0.CO%3B2-Z" TargetMode="External"/><Relationship Id="rId19" Type="http://schemas.openxmlformats.org/officeDocument/2006/relationships/hyperlink" Target="https://www.apple.com/environment/" TargetMode="External"/><Relationship Id="rId14" Type="http://schemas.openxmlformats.org/officeDocument/2006/relationships/hyperlink" Target="https://www.google.com/search?q=https://hbr.org/1957/09/strategies-for-diversification" TargetMode="External"/><Relationship Id="rId22" Type="http://schemas.openxmlformats.org/officeDocument/2006/relationships/hyperlink" Target="https://www.hbs.edu/faculty/Pages/item.aspx?num=436" TargetMode="External"/><Relationship Id="rId27" Type="http://schemas.openxmlformats.org/officeDocument/2006/relationships/hyperlink" Target="https://hbr.org/1996/09/building-your-companys-vision" TargetMode="External"/><Relationship Id="rId30" Type="http://schemas.openxmlformats.org/officeDocument/2006/relationships/hyperlink" Target="https://eur-lex.europa.eu/eli/reg/2022/1925/oj" TargetMode="External"/><Relationship Id="rId35" Type="http://schemas.openxmlformats.org/officeDocument/2006/relationships/hyperlink" Target="https://www.google.com/search?q=https://www.google.co.uk/books/edition/_/9B0YAAAAMAAJ" TargetMode="External"/><Relationship Id="rId43" Type="http://schemas.openxmlformats.org/officeDocument/2006/relationships/hyperlink" Target="https://www.simonandschuster.com/books/Steve-Jobs/Walter-Isaacson/9781451648546" TargetMode="External"/><Relationship Id="rId48" Type="http://schemas.openxmlformats.org/officeDocument/2006/relationships/hyperlink" Target="https://www.hbs.edu/faculty/Pages/item.aspx?num=37554" TargetMode="External"/><Relationship Id="rId56" Type="http://schemas.openxmlformats.org/officeDocument/2006/relationships/hyperlink" Target="https://www.google.com/search?q=https://www.google.co.uk/books/edition/_/H96_AAAAMAAJ" TargetMode="External"/><Relationship Id="rId64" Type="http://schemas.openxmlformats.org/officeDocument/2006/relationships/hyperlink" Target="https://www.justice.gov/opa/pr/justice-department-sues-apple-monopolizing-smartphone-markets" TargetMode="External"/><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archive.org/details/fieldtheoryinsoc00lewi"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pple.com/compliance/" TargetMode="External"/><Relationship Id="rId25" Type="http://schemas.openxmlformats.org/officeDocument/2006/relationships/hyperlink" Target="https://doi.org/10.1016/0007-6813(91)90005-G" TargetMode="External"/><Relationship Id="rId33" Type="http://schemas.openxmlformats.org/officeDocument/2006/relationships/hyperlink" Target="https://www.google.com/search?q=https://doi.org/10.1017/CBO9781139192668" TargetMode="External"/><Relationship Id="rId38" Type="http://schemas.openxmlformats.org/officeDocument/2006/relationships/hyperlink" Target="https://www.google.com/search?q=https://www.bcg.com/about/about-bcg/history.aspx" TargetMode="External"/><Relationship Id="rId46" Type="http://schemas.openxmlformats.org/officeDocument/2006/relationships/hyperlink" Target="https://www.google.com/search?q=https://www.hbs.edu/faculty/Pages/item.aspx%3Fnum%3D15730" TargetMode="External"/><Relationship Id="rId59" Type="http://schemas.openxmlformats.org/officeDocument/2006/relationships/hyperlink" Target="https://www.google.com/search?q=https://www.google.co.uk/books/edition/_/Ym85DwAAQBAJ" TargetMode="External"/><Relationship Id="rId67" Type="http://schemas.openxmlformats.org/officeDocument/2006/relationships/hyperlink" Target="https://www.hbs.edu/faculty/Pages/item.aspx?num=48873" TargetMode="External"/><Relationship Id="rId20" Type="http://schemas.openxmlformats.org/officeDocument/2006/relationships/hyperlink" Target="https://www.bankofengland.co.uk/monetary-policy-report/2023/august-2023" TargetMode="External"/><Relationship Id="rId41" Type="http://schemas.openxmlformats.org/officeDocument/2006/relationships/hyperlink" Target="https://ico.org.uk/for-organisations/guide-to-data-protection/guide-to-the-general-data-protection-regulation-gdpr/" TargetMode="External"/><Relationship Id="rId54" Type="http://schemas.openxmlformats.org/officeDocument/2006/relationships/hyperlink" Target="https://www.pewresearch.org/internet/2023/10/18/how-americans-view-data-privacy/" TargetMode="External"/><Relationship Id="rId62" Type="http://schemas.openxmlformats.org/officeDocument/2006/relationships/hyperlink" Target="https://www.theverge.com/apple/"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apple.com/environment/pdf/Apple_Environmental_Progress_Report_2023.pdf" TargetMode="External"/><Relationship Id="rId23" Type="http://schemas.openxmlformats.org/officeDocument/2006/relationships/hyperlink" Target="https://www.google.com/search?q=https://www.google.co.uk/books/edition/_/z09-AgAAQBAJ" TargetMode="External"/><Relationship Id="rId28" Type="http://schemas.openxmlformats.org/officeDocument/2006/relationships/hyperlink" Target="https://www.google.com/search?q=https://www.counterpointresearch.com/insights/category/smartphones/" TargetMode="External"/><Relationship Id="rId36" Type="http://schemas.openxmlformats.org/officeDocument/2006/relationships/hyperlink" Target="https://www.google.com/search?q=https://www.wiley.com/en-gb/Contemporary%2BStrategy%2BAnalysis,%2B10th%2BEdition-p-9781119495727" TargetMode="External"/><Relationship Id="rId49" Type="http://schemas.openxmlformats.org/officeDocument/2006/relationships/hyperlink" Target="https://www.google.com/search?q=https://doi.org/10.1016/B978-0-7506-7223-8.50017-4" TargetMode="External"/><Relationship Id="rId57" Type="http://schemas.openxmlformats.org/officeDocument/2006/relationships/hyperlink" Target="https://hbr.org/2011/01/the-big-idea-creating-shared-value" TargetMode="External"/><Relationship Id="rId10" Type="http://schemas.openxmlformats.org/officeDocument/2006/relationships/image" Target="media/image4.jpeg"/><Relationship Id="rId31" Type="http://schemas.openxmlformats.org/officeDocument/2006/relationships/hyperlink" Target="https://www.google.com/search?q=https://www.ft.com/content/32688003-8756-4654-94ec-7a31b400787e" TargetMode="External"/><Relationship Id="rId44" Type="http://schemas.openxmlformats.org/officeDocument/2006/relationships/hyperlink" Target="https://www.google.com/search?q=https://www.pearson.com/en-gb/subject-catalog/p/exploring-strategy/P200000003759/9781292145129" TargetMode="External"/><Relationship Id="rId52" Type="http://schemas.openxmlformats.org/officeDocument/2006/relationships/hyperlink" Target="https://www.google.com/search?q=https://www.google.co.uk/books/edition/_/zB-Fp83Y48kC" TargetMode="External"/><Relationship Id="rId60" Type="http://schemas.openxmlformats.org/officeDocument/2006/relationships/hyperlink" Target="https://www.google.com/search?q=https://global.oup.com/academic/product/big-data-and-competition-policy-9780198758419" TargetMode="External"/><Relationship Id="rId65" Type="http://schemas.openxmlformats.org/officeDocument/2006/relationships/hyperlink" Target="https://www.uspto.gov/" TargetMode="External"/><Relationship Id="rId4" Type="http://schemas.openxmlformats.org/officeDocument/2006/relationships/settings" Target="settings.xml"/><Relationship Id="rId9" Type="http://schemas.openxmlformats.org/officeDocument/2006/relationships/hyperlink" Target="https://businessmodelanalyst.com/wp-content/uploads/2023/02/Apple_swot-1536x864.webp" TargetMode="External"/><Relationship Id="rId13" Type="http://schemas.openxmlformats.org/officeDocument/2006/relationships/hyperlink" Target="https://www.skillsyouneed.com/images/lead/boston-matrix.png" TargetMode="External"/><Relationship Id="rId18" Type="http://schemas.openxmlformats.org/officeDocument/2006/relationships/hyperlink" Target="https://investor.apple.com/investor-relations/default.aspx" TargetMode="External"/><Relationship Id="rId39" Type="http://schemas.openxmlformats.org/officeDocument/2006/relationships/hyperlink" Target="https://www.idc.com/promo/smartphone-market-share" TargetMode="External"/><Relationship Id="rId34" Type="http://schemas.openxmlformats.org/officeDocument/2006/relationships/hyperlink" Target="https://www.gartner.com/en/newsroom/" TargetMode="External"/><Relationship Id="rId50" Type="http://schemas.openxmlformats.org/officeDocument/2006/relationships/hyperlink" Target="https://www.hbs.edu/faculty/Pages/item.aspx?num=383" TargetMode="External"/><Relationship Id="rId55" Type="http://schemas.openxmlformats.org/officeDocument/2006/relationships/hyperlink" Target="https://www.google.com/search?q=https://www.google.co.uk/books/edition/_/H_6_AAAAMA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90642-9348-4ECF-88EC-5C2E984D3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32</Pages>
  <Words>9663</Words>
  <Characters>55081</Characters>
  <Application>Microsoft Office Word</Application>
  <DocSecurity>0</DocSecurity>
  <Lines>459</Lines>
  <Paragraphs>129</Paragraphs>
  <ScaleCrop>false</ScaleCrop>
  <Company/>
  <LinksUpToDate>false</LinksUpToDate>
  <CharactersWithSpaces>64615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Nihar Devani</cp:lastModifiedBy>
  <cp:revision>53</cp:revision>
  <dcterms:created xsi:type="dcterms:W3CDTF">2026-03-31T22:46:00Z</dcterms:created>
  <dcterms:modified xsi:type="dcterms:W3CDTF">2026-04-01T00:17:00Z</dcterms:modified>
</cp:coreProperties>
</file>