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197962"/>
        <w:docPartObj>
          <w:docPartGallery w:val="Cover Pages"/>
          <w:docPartUnique/>
        </w:docPartObj>
      </w:sdtPr>
      <w:sdtContent>
        <w:p w14:paraId="01660A87" w14:textId="77777777" w:rsidR="003E2351" w:rsidRDefault="003E2351"/>
        <w:p w14:paraId="42AE7C83" w14:textId="77777777" w:rsidR="00AE51B8" w:rsidRDefault="00AE51B8" w:rsidP="00AE51B8">
          <w:pPr>
            <w:jc w:val="right"/>
          </w:pPr>
          <w:bookmarkStart w:id="0" w:name="_Hlk108815574"/>
        </w:p>
        <w:p w14:paraId="3AEB9285" w14:textId="64396ACD" w:rsidR="00CF4133" w:rsidRDefault="00C1425D" w:rsidP="00AE51B8">
          <w:pPr>
            <w:jc w:val="right"/>
          </w:pPr>
          <w:r>
            <w:t>31</w:t>
          </w:r>
          <w:r w:rsidR="00CF4133">
            <w:t>.07.2024</w:t>
          </w:r>
        </w:p>
        <w:p w14:paraId="7A60D0F4" w14:textId="77777777" w:rsidR="003E2351" w:rsidRPr="004B035B" w:rsidRDefault="003E2351" w:rsidP="003E2351">
          <w:pPr>
            <w:rPr>
              <w:rFonts w:ascii="Times New Roman" w:eastAsiaTheme="minorEastAsia" w:hAnsi="Times New Roman" w:cs="Times New Roman"/>
              <w:u w:val="single"/>
              <w:lang w:eastAsia="en-GB"/>
            </w:rPr>
          </w:pPr>
          <w:r w:rsidRPr="004B035B">
            <w:rPr>
              <w:rFonts w:ascii="Times New Roman" w:eastAsiaTheme="minorEastAsia" w:hAnsi="Times New Roman" w:cs="Times New Roman"/>
              <w:u w:val="single"/>
              <w:lang w:eastAsia="en-GB"/>
            </w:rPr>
            <w:t>University of Wales Trinity Saint David</w:t>
          </w:r>
        </w:p>
        <w:p w14:paraId="6F3D1C45" w14:textId="77777777" w:rsidR="003E2351" w:rsidRPr="004B035B" w:rsidRDefault="003E2351" w:rsidP="003E2351">
          <w:pPr>
            <w:rPr>
              <w:rFonts w:ascii="Times New Roman" w:eastAsiaTheme="minorEastAsia" w:hAnsi="Times New Roman" w:cs="Times New Roman"/>
              <w:lang w:eastAsia="en-GB"/>
            </w:rPr>
          </w:pPr>
          <w:r w:rsidRPr="62C94F28">
            <w:rPr>
              <w:rFonts w:ascii="Times New Roman" w:eastAsiaTheme="minorEastAsia" w:hAnsi="Times New Roman" w:cs="Times New Roman"/>
              <w:u w:val="single"/>
              <w:lang w:eastAsia="en-GB"/>
            </w:rPr>
            <w:t>Birmingham</w:t>
          </w:r>
          <w:r w:rsidRPr="62C94F28">
            <w:rPr>
              <w:rFonts w:ascii="Times New Roman" w:eastAsiaTheme="minorEastAsia" w:hAnsi="Times New Roman" w:cs="Times New Roman"/>
              <w:lang w:eastAsia="en-GB"/>
            </w:rPr>
            <w:t xml:space="preserve"> </w:t>
          </w:r>
        </w:p>
        <w:bookmarkEnd w:id="0"/>
        <w:p w14:paraId="1672782F" w14:textId="77777777" w:rsidR="00CF247C" w:rsidRDefault="00CF247C">
          <w:r>
            <w:rPr>
              <w:noProof/>
            </w:rPr>
            <mc:AlternateContent>
              <mc:Choice Requires="wpg">
                <w:drawing>
                  <wp:anchor distT="0" distB="0" distL="114300" distR="114300" simplePos="0" relativeHeight="251662336" behindDoc="0" locked="0" layoutInCell="1" allowOverlap="1" wp14:anchorId="22B610A9" wp14:editId="3DA9D9F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FA06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07952F4" w14:textId="77777777" w:rsidR="009C51F0" w:rsidRDefault="009C51F0"/>
        <w:p w14:paraId="0970371B" w14:textId="77777777" w:rsidR="009C51F0" w:rsidRDefault="009C51F0"/>
        <w:p w14:paraId="30FEBFD5" w14:textId="77777777" w:rsidR="009C51F0" w:rsidRDefault="009C51F0"/>
        <w:p w14:paraId="38120A9F" w14:textId="77777777" w:rsidR="00E95FF2" w:rsidRDefault="00E95FF2"/>
        <w:p w14:paraId="272E511A" w14:textId="77777777" w:rsidR="00E95FF2" w:rsidRDefault="00E95FF2"/>
        <w:p w14:paraId="36EA1608" w14:textId="77777777" w:rsidR="009C51F0" w:rsidRPr="002B5BCE" w:rsidRDefault="009C51F0" w:rsidP="009C51F0">
          <w:pPr>
            <w:jc w:val="center"/>
            <w:rPr>
              <w:rStyle w:val="Hyperlink"/>
              <w:rFonts w:ascii="Times New Roman" w:hAnsi="Times New Roman" w:cs="Times New Roman"/>
              <w:color w:val="212529"/>
              <w:sz w:val="36"/>
              <w:szCs w:val="36"/>
            </w:rPr>
          </w:pPr>
          <w:r w:rsidRPr="002B5BCE">
            <w:rPr>
              <w:rFonts w:ascii="Times New Roman" w:hAnsi="Times New Roman" w:cs="Times New Roman"/>
              <w:sz w:val="36"/>
              <w:szCs w:val="36"/>
            </w:rPr>
            <w:fldChar w:fldCharType="begin"/>
          </w:r>
          <w:r w:rsidRPr="002B5BCE">
            <w:rPr>
              <w:rFonts w:ascii="Times New Roman" w:hAnsi="Times New Roman" w:cs="Times New Roman"/>
              <w:sz w:val="36"/>
              <w:szCs w:val="36"/>
            </w:rPr>
            <w:instrText xml:space="preserve"> HYPERLINK "https://moodle.uwtsd.ac.uk/course/view.php?id=7049" </w:instrText>
          </w:r>
          <w:r w:rsidRPr="002B5BCE">
            <w:rPr>
              <w:rFonts w:ascii="Times New Roman" w:hAnsi="Times New Roman" w:cs="Times New Roman"/>
              <w:sz w:val="36"/>
              <w:szCs w:val="36"/>
            </w:rPr>
            <w:fldChar w:fldCharType="separate"/>
          </w:r>
        </w:p>
        <w:p w14:paraId="5E295DA9" w14:textId="21512E73" w:rsidR="009C51F0" w:rsidRPr="00DD343A" w:rsidRDefault="009C51F0" w:rsidP="00FB544A">
          <w:pPr>
            <w:jc w:val="center"/>
            <w:rPr>
              <w:rFonts w:ascii="Arial" w:hAnsi="Arial" w:cs="Arial"/>
            </w:rPr>
          </w:pPr>
          <w:r w:rsidRPr="002B5BCE">
            <w:rPr>
              <w:rFonts w:ascii="Times New Roman" w:hAnsi="Times New Roman" w:cs="Times New Roman"/>
              <w:sz w:val="36"/>
              <w:szCs w:val="36"/>
            </w:rPr>
            <w:fldChar w:fldCharType="end"/>
          </w:r>
          <w:r w:rsidR="00FB544A" w:rsidRPr="00FB544A">
            <w:rPr>
              <w:rFonts w:ascii="Arial" w:hAnsi="Arial" w:cs="Arial"/>
              <w:sz w:val="36"/>
              <w:szCs w:val="36"/>
            </w:rPr>
            <w:t>Coaching &amp; Mentoring Skills for the Workplace (BMSW6105_BIRM)</w:t>
          </w:r>
        </w:p>
        <w:p w14:paraId="73FB14CD" w14:textId="77777777" w:rsidR="009C51F0" w:rsidRPr="00DD343A" w:rsidRDefault="009C51F0" w:rsidP="009C51F0">
          <w:pPr>
            <w:rPr>
              <w:rFonts w:ascii="Arial" w:hAnsi="Arial" w:cs="Arial"/>
            </w:rPr>
          </w:pPr>
        </w:p>
        <w:p w14:paraId="6DA0C3DC" w14:textId="77777777" w:rsidR="000E3740" w:rsidRPr="000E3740" w:rsidRDefault="000E3740" w:rsidP="000E3740">
          <w:pPr>
            <w:jc w:val="center"/>
            <w:rPr>
              <w:rFonts w:ascii="Arial" w:hAnsi="Arial" w:cs="Arial"/>
            </w:rPr>
          </w:pPr>
          <w:r w:rsidRPr="000E3740">
            <w:rPr>
              <w:rFonts w:ascii="Arial" w:hAnsi="Arial" w:cs="Arial"/>
            </w:rPr>
            <w:t>Reflective Report on Coaching and Mentoring Experience</w:t>
          </w:r>
        </w:p>
        <w:p w14:paraId="2F8C7D3F" w14:textId="77777777" w:rsidR="009C51F0" w:rsidRDefault="009C51F0" w:rsidP="009C51F0">
          <w:pPr>
            <w:jc w:val="center"/>
            <w:rPr>
              <w:rFonts w:ascii="Arial" w:hAnsi="Arial" w:cs="Arial"/>
            </w:rPr>
          </w:pPr>
        </w:p>
        <w:p w14:paraId="3BADA304" w14:textId="77777777" w:rsidR="00AC79B5" w:rsidRDefault="00AC79B5" w:rsidP="009C51F0">
          <w:pPr>
            <w:jc w:val="center"/>
            <w:rPr>
              <w:rFonts w:ascii="Arial" w:hAnsi="Arial" w:cs="Arial"/>
            </w:rPr>
          </w:pPr>
        </w:p>
        <w:p w14:paraId="0F53B516" w14:textId="77777777" w:rsidR="00AC79B5" w:rsidRDefault="00AC79B5" w:rsidP="009C51F0">
          <w:pPr>
            <w:jc w:val="center"/>
            <w:rPr>
              <w:rFonts w:ascii="Arial" w:hAnsi="Arial" w:cs="Arial"/>
            </w:rPr>
          </w:pPr>
        </w:p>
        <w:p w14:paraId="1956BE4C" w14:textId="77777777" w:rsidR="00AC79B5" w:rsidRDefault="00AC79B5" w:rsidP="009C51F0">
          <w:pPr>
            <w:jc w:val="center"/>
            <w:rPr>
              <w:rFonts w:ascii="Arial" w:hAnsi="Arial" w:cs="Arial"/>
            </w:rPr>
          </w:pPr>
        </w:p>
        <w:p w14:paraId="2FCF3104" w14:textId="77777777" w:rsidR="00AC79B5" w:rsidRPr="00DD343A" w:rsidRDefault="00AC79B5" w:rsidP="009C51F0">
          <w:pPr>
            <w:jc w:val="center"/>
            <w:rPr>
              <w:rFonts w:ascii="Arial" w:hAnsi="Arial" w:cs="Arial"/>
            </w:rPr>
          </w:pPr>
        </w:p>
        <w:p w14:paraId="3A984444" w14:textId="77777777" w:rsidR="009C51F0" w:rsidRPr="00DD343A" w:rsidRDefault="009C51F0" w:rsidP="009C51F0">
          <w:pPr>
            <w:jc w:val="center"/>
            <w:rPr>
              <w:rFonts w:ascii="Arial" w:hAnsi="Arial" w:cs="Arial"/>
            </w:rPr>
          </w:pPr>
        </w:p>
        <w:p w14:paraId="7E7FA80F" w14:textId="77777777" w:rsidR="009C51F0" w:rsidRPr="00DD343A" w:rsidRDefault="009C51F0" w:rsidP="009C51F0">
          <w:pPr>
            <w:jc w:val="center"/>
            <w:rPr>
              <w:rFonts w:ascii="Arial" w:hAnsi="Arial" w:cs="Arial"/>
            </w:rPr>
          </w:pPr>
        </w:p>
        <w:p w14:paraId="025F52F8" w14:textId="77777777" w:rsidR="009C51F0" w:rsidRPr="00DD343A" w:rsidRDefault="009C51F0" w:rsidP="009C51F0">
          <w:pPr>
            <w:jc w:val="center"/>
            <w:rPr>
              <w:rFonts w:ascii="Arial" w:hAnsi="Arial" w:cs="Arial"/>
            </w:rPr>
          </w:pPr>
        </w:p>
        <w:p w14:paraId="1DFEAFF7" w14:textId="77777777" w:rsidR="009C51F0" w:rsidRPr="00DD343A" w:rsidRDefault="009C51F0" w:rsidP="009C51F0">
          <w:pPr>
            <w:jc w:val="center"/>
            <w:rPr>
              <w:rFonts w:ascii="Arial" w:hAnsi="Arial" w:cs="Arial"/>
            </w:rPr>
          </w:pPr>
        </w:p>
        <w:p w14:paraId="4EB14F3A" w14:textId="77777777" w:rsidR="00462C39" w:rsidRDefault="009C51F0" w:rsidP="00462C39">
          <w:pPr>
            <w:jc w:val="center"/>
            <w:rPr>
              <w:rFonts w:ascii="Arial" w:hAnsi="Arial" w:cs="Arial"/>
            </w:rPr>
          </w:pPr>
          <w:r w:rsidRPr="00DD343A">
            <w:rPr>
              <w:rFonts w:ascii="Arial" w:hAnsi="Arial" w:cs="Arial"/>
            </w:rPr>
            <w:t xml:space="preserve">Student name &amp; ID:                                                                                       Lecturer name:                 </w:t>
          </w:r>
          <w:r w:rsidR="00462C39">
            <w:rPr>
              <w:rFonts w:ascii="Arial" w:hAnsi="Arial" w:cs="Arial"/>
            </w:rPr>
            <w:t xml:space="preserve">             </w:t>
          </w:r>
        </w:p>
        <w:p w14:paraId="60FCC90E" w14:textId="77777777" w:rsidR="003412BF" w:rsidRDefault="009C51F0" w:rsidP="003412BF">
          <w:pPr>
            <w:rPr>
              <w:rFonts w:ascii="Arial" w:hAnsi="Arial" w:cs="Arial"/>
            </w:rPr>
          </w:pPr>
          <w:r w:rsidRPr="00DD343A">
            <w:rPr>
              <w:rFonts w:ascii="Arial" w:hAnsi="Arial" w:cs="Arial"/>
            </w:rPr>
            <w:t xml:space="preserve">  Natalia Rupet (2109475)                                                         </w:t>
          </w:r>
          <w:r w:rsidR="00462C39">
            <w:rPr>
              <w:rFonts w:ascii="Arial" w:hAnsi="Arial" w:cs="Arial"/>
            </w:rPr>
            <w:t xml:space="preserve">        </w:t>
          </w:r>
          <w:r w:rsidRPr="00DD343A">
            <w:rPr>
              <w:rFonts w:ascii="Arial" w:hAnsi="Arial" w:cs="Arial"/>
            </w:rPr>
            <w:t xml:space="preserve">                  </w:t>
          </w:r>
          <w:r w:rsidR="00631D78">
            <w:rPr>
              <w:rFonts w:ascii="Arial" w:hAnsi="Arial" w:cs="Arial"/>
            </w:rPr>
            <w:t>Dennis Pepple</w:t>
          </w:r>
          <w:r w:rsidRPr="00DD343A">
            <w:rPr>
              <w:rFonts w:ascii="Arial" w:hAnsi="Arial" w:cs="Arial"/>
            </w:rPr>
            <w:t xml:space="preserve">      </w:t>
          </w:r>
        </w:p>
        <w:p w14:paraId="6685A3F7" w14:textId="77777777" w:rsidR="003412BF" w:rsidRDefault="003412BF" w:rsidP="003412BF">
          <w:pPr>
            <w:rPr>
              <w:rFonts w:ascii="Arial" w:hAnsi="Arial" w:cs="Arial"/>
            </w:rPr>
          </w:pPr>
        </w:p>
        <w:p w14:paraId="2A5A3F4E" w14:textId="77777777" w:rsidR="003412BF" w:rsidRDefault="003412BF" w:rsidP="003412BF">
          <w:pPr>
            <w:rPr>
              <w:rFonts w:ascii="Arial" w:hAnsi="Arial" w:cs="Arial"/>
            </w:rPr>
          </w:pPr>
        </w:p>
        <w:sdt>
          <w:sdtPr>
            <w:id w:val="-199826101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093AD65" w14:textId="5B115EE6" w:rsidR="003F4484" w:rsidRDefault="003F4484">
              <w:pPr>
                <w:pStyle w:val="TOCHeading"/>
              </w:pPr>
              <w:r>
                <w:t>Contents</w:t>
              </w:r>
            </w:p>
            <w:p w14:paraId="76AF3135" w14:textId="0F022E34" w:rsidR="003F4484" w:rsidRDefault="003F4484">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73095113" w:history="1">
                <w:r w:rsidRPr="00DC04C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_Toc173095113 \h </w:instrText>
                </w:r>
                <w:r>
                  <w:rPr>
                    <w:noProof/>
                    <w:webHidden/>
                  </w:rPr>
                </w:r>
                <w:r>
                  <w:rPr>
                    <w:noProof/>
                    <w:webHidden/>
                  </w:rPr>
                  <w:fldChar w:fldCharType="separate"/>
                </w:r>
                <w:r>
                  <w:rPr>
                    <w:noProof/>
                    <w:webHidden/>
                  </w:rPr>
                  <w:t>2</w:t>
                </w:r>
                <w:r>
                  <w:rPr>
                    <w:noProof/>
                    <w:webHidden/>
                  </w:rPr>
                  <w:fldChar w:fldCharType="end"/>
                </w:r>
              </w:hyperlink>
            </w:p>
            <w:p w14:paraId="39FFB65D" w14:textId="415410AE" w:rsidR="003F4484" w:rsidRDefault="003F4484">
              <w:pPr>
                <w:pStyle w:val="TOC1"/>
                <w:tabs>
                  <w:tab w:val="right" w:leader="dot" w:pos="9350"/>
                </w:tabs>
                <w:rPr>
                  <w:rFonts w:eastAsiaTheme="minorEastAsia"/>
                  <w:noProof/>
                  <w:lang w:val="en-GB" w:eastAsia="en-GB"/>
                </w:rPr>
              </w:pPr>
              <w:hyperlink w:anchor="_Toc173095114" w:history="1">
                <w:r w:rsidRPr="00DC04CD">
                  <w:rPr>
                    <w:rStyle w:val="Hyperlink"/>
                    <w:rFonts w:ascii="Arial" w:hAnsi="Arial" w:cs="Arial"/>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_Toc173095114 \h </w:instrText>
                </w:r>
                <w:r>
                  <w:rPr>
                    <w:noProof/>
                    <w:webHidden/>
                  </w:rPr>
                </w:r>
                <w:r>
                  <w:rPr>
                    <w:noProof/>
                    <w:webHidden/>
                  </w:rPr>
                  <w:fldChar w:fldCharType="separate"/>
                </w:r>
                <w:r>
                  <w:rPr>
                    <w:noProof/>
                    <w:webHidden/>
                  </w:rPr>
                  <w:t>3</w:t>
                </w:r>
                <w:r>
                  <w:rPr>
                    <w:noProof/>
                    <w:webHidden/>
                  </w:rPr>
                  <w:fldChar w:fldCharType="end"/>
                </w:r>
              </w:hyperlink>
            </w:p>
            <w:p w14:paraId="2203EE38" w14:textId="609C7807" w:rsidR="003F4484" w:rsidRDefault="003F4484">
              <w:pPr>
                <w:pStyle w:val="TOC1"/>
                <w:tabs>
                  <w:tab w:val="right" w:leader="dot" w:pos="9350"/>
                </w:tabs>
                <w:rPr>
                  <w:rFonts w:eastAsiaTheme="minorEastAsia"/>
                  <w:noProof/>
                  <w:lang w:val="en-GB" w:eastAsia="en-GB"/>
                </w:rPr>
              </w:pPr>
              <w:hyperlink w:anchor="_Toc173095115" w:history="1">
                <w:r w:rsidRPr="00DC04CD">
                  <w:rPr>
                    <w:rStyle w:val="Hyperlink"/>
                    <w:rFonts w:ascii="Arial" w:hAnsi="Arial" w:cs="Arial"/>
                    <w:noProof/>
                  </w:rPr>
                  <w:t>Critical Analysis of the MMM Model of Coaching</w:t>
                </w:r>
                <w:r>
                  <w:rPr>
                    <w:noProof/>
                    <w:webHidden/>
                  </w:rPr>
                  <w:tab/>
                </w:r>
                <w:r>
                  <w:rPr>
                    <w:noProof/>
                    <w:webHidden/>
                  </w:rPr>
                  <w:fldChar w:fldCharType="begin"/>
                </w:r>
                <w:r>
                  <w:rPr>
                    <w:noProof/>
                    <w:webHidden/>
                  </w:rPr>
                  <w:instrText xml:space="preserve"> PAGEREF _Toc173095115 \h </w:instrText>
                </w:r>
                <w:r>
                  <w:rPr>
                    <w:noProof/>
                    <w:webHidden/>
                  </w:rPr>
                </w:r>
                <w:r>
                  <w:rPr>
                    <w:noProof/>
                    <w:webHidden/>
                  </w:rPr>
                  <w:fldChar w:fldCharType="separate"/>
                </w:r>
                <w:r>
                  <w:rPr>
                    <w:noProof/>
                    <w:webHidden/>
                  </w:rPr>
                  <w:t>5</w:t>
                </w:r>
                <w:r>
                  <w:rPr>
                    <w:noProof/>
                    <w:webHidden/>
                  </w:rPr>
                  <w:fldChar w:fldCharType="end"/>
                </w:r>
              </w:hyperlink>
            </w:p>
            <w:p w14:paraId="0BD6AB6B" w14:textId="2A9C038B" w:rsidR="003F4484" w:rsidRDefault="003F4484">
              <w:pPr>
                <w:pStyle w:val="TOC1"/>
                <w:tabs>
                  <w:tab w:val="right" w:leader="dot" w:pos="9350"/>
                </w:tabs>
                <w:rPr>
                  <w:rFonts w:eastAsiaTheme="minorEastAsia"/>
                  <w:noProof/>
                  <w:lang w:val="en-GB" w:eastAsia="en-GB"/>
                </w:rPr>
              </w:pPr>
              <w:hyperlink w:anchor="_Toc173095116" w:history="1">
                <w:r w:rsidRPr="00DC04CD">
                  <w:rPr>
                    <w:rStyle w:val="Hyperlink"/>
                    <w:rFonts w:ascii="Arial" w:hAnsi="Arial" w:cs="Arial"/>
                    <w:noProof/>
                  </w:rPr>
                  <w:t>Reflection on Practical 1 Using Gibbs' Reflective Cycle</w:t>
                </w:r>
                <w:r>
                  <w:rPr>
                    <w:noProof/>
                    <w:webHidden/>
                  </w:rPr>
                  <w:tab/>
                </w:r>
                <w:r>
                  <w:rPr>
                    <w:noProof/>
                    <w:webHidden/>
                  </w:rPr>
                  <w:fldChar w:fldCharType="begin"/>
                </w:r>
                <w:r>
                  <w:rPr>
                    <w:noProof/>
                    <w:webHidden/>
                  </w:rPr>
                  <w:instrText xml:space="preserve"> PAGEREF _Toc173095116 \h </w:instrText>
                </w:r>
                <w:r>
                  <w:rPr>
                    <w:noProof/>
                    <w:webHidden/>
                  </w:rPr>
                </w:r>
                <w:r>
                  <w:rPr>
                    <w:noProof/>
                    <w:webHidden/>
                  </w:rPr>
                  <w:fldChar w:fldCharType="separate"/>
                </w:r>
                <w:r>
                  <w:rPr>
                    <w:noProof/>
                    <w:webHidden/>
                  </w:rPr>
                  <w:t>7</w:t>
                </w:r>
                <w:r>
                  <w:rPr>
                    <w:noProof/>
                    <w:webHidden/>
                  </w:rPr>
                  <w:fldChar w:fldCharType="end"/>
                </w:r>
              </w:hyperlink>
            </w:p>
            <w:p w14:paraId="457AEFE1" w14:textId="155A7EF1" w:rsidR="003F4484" w:rsidRDefault="003F4484">
              <w:pPr>
                <w:pStyle w:val="TOC1"/>
                <w:tabs>
                  <w:tab w:val="right" w:leader="dot" w:pos="9350"/>
                </w:tabs>
                <w:rPr>
                  <w:rFonts w:eastAsiaTheme="minorEastAsia"/>
                  <w:noProof/>
                  <w:lang w:val="en-GB" w:eastAsia="en-GB"/>
                </w:rPr>
              </w:pPr>
              <w:hyperlink w:anchor="_Toc173095117" w:history="1">
                <w:r w:rsidRPr="00DC04CD">
                  <w:rPr>
                    <w:rStyle w:val="Hyperlink"/>
                    <w:rFonts w:ascii="Arial" w:hAnsi="Arial" w:cs="Arial"/>
                    <w:noProof/>
                  </w:rPr>
                  <w:t>Reflection on Practical 2 Using Gibbs' Reflective Cycle</w:t>
                </w:r>
                <w:r>
                  <w:rPr>
                    <w:noProof/>
                    <w:webHidden/>
                  </w:rPr>
                  <w:tab/>
                </w:r>
                <w:r>
                  <w:rPr>
                    <w:noProof/>
                    <w:webHidden/>
                  </w:rPr>
                  <w:fldChar w:fldCharType="begin"/>
                </w:r>
                <w:r>
                  <w:rPr>
                    <w:noProof/>
                    <w:webHidden/>
                  </w:rPr>
                  <w:instrText xml:space="preserve"> PAGEREF _Toc173095117 \h </w:instrText>
                </w:r>
                <w:r>
                  <w:rPr>
                    <w:noProof/>
                    <w:webHidden/>
                  </w:rPr>
                </w:r>
                <w:r>
                  <w:rPr>
                    <w:noProof/>
                    <w:webHidden/>
                  </w:rPr>
                  <w:fldChar w:fldCharType="separate"/>
                </w:r>
                <w:r>
                  <w:rPr>
                    <w:noProof/>
                    <w:webHidden/>
                  </w:rPr>
                  <w:t>8</w:t>
                </w:r>
                <w:r>
                  <w:rPr>
                    <w:noProof/>
                    <w:webHidden/>
                  </w:rPr>
                  <w:fldChar w:fldCharType="end"/>
                </w:r>
              </w:hyperlink>
            </w:p>
            <w:p w14:paraId="18515392" w14:textId="5000510D" w:rsidR="003F4484" w:rsidRDefault="003F4484">
              <w:pPr>
                <w:pStyle w:val="TOC1"/>
                <w:tabs>
                  <w:tab w:val="right" w:leader="dot" w:pos="9350"/>
                </w:tabs>
                <w:rPr>
                  <w:rFonts w:eastAsiaTheme="minorEastAsia"/>
                  <w:noProof/>
                  <w:lang w:val="en-GB" w:eastAsia="en-GB"/>
                </w:rPr>
              </w:pPr>
              <w:hyperlink w:anchor="_Toc173095118" w:history="1">
                <w:r w:rsidRPr="00DC04C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_Toc173095118 \h </w:instrText>
                </w:r>
                <w:r>
                  <w:rPr>
                    <w:noProof/>
                    <w:webHidden/>
                  </w:rPr>
                </w:r>
                <w:r>
                  <w:rPr>
                    <w:noProof/>
                    <w:webHidden/>
                  </w:rPr>
                  <w:fldChar w:fldCharType="separate"/>
                </w:r>
                <w:r>
                  <w:rPr>
                    <w:noProof/>
                    <w:webHidden/>
                  </w:rPr>
                  <w:t>11</w:t>
                </w:r>
                <w:r>
                  <w:rPr>
                    <w:noProof/>
                    <w:webHidden/>
                  </w:rPr>
                  <w:fldChar w:fldCharType="end"/>
                </w:r>
              </w:hyperlink>
            </w:p>
            <w:p w14:paraId="02FFD0CC" w14:textId="00B09958" w:rsidR="003F4484" w:rsidRDefault="003F4484">
              <w:pPr>
                <w:pStyle w:val="TOC1"/>
                <w:tabs>
                  <w:tab w:val="right" w:leader="dot" w:pos="9350"/>
                </w:tabs>
                <w:rPr>
                  <w:rFonts w:eastAsiaTheme="minorEastAsia"/>
                  <w:noProof/>
                  <w:lang w:val="en-GB" w:eastAsia="en-GB"/>
                </w:rPr>
              </w:pPr>
              <w:hyperlink w:anchor="_Toc173095119" w:history="1">
                <w:r w:rsidRPr="00DC04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_Toc173095119 \h </w:instrText>
                </w:r>
                <w:r>
                  <w:rPr>
                    <w:noProof/>
                    <w:webHidden/>
                  </w:rPr>
                </w:r>
                <w:r>
                  <w:rPr>
                    <w:noProof/>
                    <w:webHidden/>
                  </w:rPr>
                  <w:fldChar w:fldCharType="separate"/>
                </w:r>
                <w:r>
                  <w:rPr>
                    <w:noProof/>
                    <w:webHidden/>
                  </w:rPr>
                  <w:t>12</w:t>
                </w:r>
                <w:r>
                  <w:rPr>
                    <w:noProof/>
                    <w:webHidden/>
                  </w:rPr>
                  <w:fldChar w:fldCharType="end"/>
                </w:r>
              </w:hyperlink>
            </w:p>
            <w:p w14:paraId="0C6FC559" w14:textId="11F76604" w:rsidR="003F4484" w:rsidRDefault="003F4484">
              <w:r>
                <w:rPr>
                  <w:b/>
                  <w:bCs/>
                  <w:noProof/>
                </w:rPr>
                <w:fldChar w:fldCharType="end"/>
              </w:r>
            </w:p>
          </w:sdtContent>
        </w:sdt>
        <w:p w14:paraId="55B8700D" w14:textId="77777777" w:rsidR="00511635" w:rsidRDefault="00511635" w:rsidP="003412BF"/>
        <w:p w14:paraId="2B55C5F5" w14:textId="77777777" w:rsidR="00511635" w:rsidRDefault="00511635" w:rsidP="003412BF"/>
        <w:p w14:paraId="2B544D46" w14:textId="77777777" w:rsidR="00511635" w:rsidRDefault="00511635" w:rsidP="003412BF"/>
        <w:p w14:paraId="1952549E" w14:textId="77777777" w:rsidR="00511635" w:rsidRDefault="00511635" w:rsidP="003412BF"/>
        <w:p w14:paraId="3777A711" w14:textId="77777777" w:rsidR="00511635" w:rsidRDefault="00511635" w:rsidP="003412BF"/>
        <w:p w14:paraId="35CCEF34" w14:textId="77777777" w:rsidR="00511635" w:rsidRDefault="00511635" w:rsidP="003412BF"/>
        <w:p w14:paraId="5AEB4EAB" w14:textId="77777777" w:rsidR="00511635" w:rsidRDefault="00511635" w:rsidP="003412BF"/>
        <w:p w14:paraId="7D2FAE40" w14:textId="77777777" w:rsidR="00511635" w:rsidRDefault="00511635" w:rsidP="003412BF"/>
        <w:p w14:paraId="1A106A95" w14:textId="77777777" w:rsidR="00511635" w:rsidRDefault="00511635" w:rsidP="003412BF"/>
        <w:p w14:paraId="54C4F436" w14:textId="77777777" w:rsidR="00511635" w:rsidRDefault="00511635" w:rsidP="003412BF"/>
        <w:p w14:paraId="14274590" w14:textId="77777777" w:rsidR="00511635" w:rsidRDefault="00511635" w:rsidP="003412BF"/>
        <w:p w14:paraId="5CE8A146" w14:textId="77777777" w:rsidR="00511635" w:rsidRDefault="00511635" w:rsidP="003412BF"/>
        <w:p w14:paraId="39C5AF53" w14:textId="77777777" w:rsidR="00511635" w:rsidRDefault="00511635" w:rsidP="003412BF"/>
        <w:p w14:paraId="146B04E5" w14:textId="77777777" w:rsidR="00511635" w:rsidRDefault="00511635" w:rsidP="003412BF"/>
        <w:p w14:paraId="7E7EEAC0" w14:textId="77777777" w:rsidR="00511635" w:rsidRDefault="00511635" w:rsidP="003412BF"/>
        <w:p w14:paraId="48345FAE" w14:textId="77777777" w:rsidR="00511635" w:rsidRDefault="00511635" w:rsidP="003412BF"/>
        <w:p w14:paraId="7A6362BF" w14:textId="77777777" w:rsidR="00511635" w:rsidRDefault="00511635" w:rsidP="003412BF"/>
        <w:p w14:paraId="3B516C26" w14:textId="77777777" w:rsidR="006F56DE" w:rsidRDefault="006F56DE" w:rsidP="003412BF"/>
        <w:p w14:paraId="4D23712D" w14:textId="15ECDFC6" w:rsidR="003412BF" w:rsidRPr="003412BF" w:rsidRDefault="00000000" w:rsidP="003412BF"/>
      </w:sdtContent>
    </w:sdt>
    <w:p w14:paraId="724708E6" w14:textId="6B2D8A67" w:rsidR="006B740E" w:rsidRPr="006B740E" w:rsidRDefault="006B740E" w:rsidP="006B740E">
      <w:pPr>
        <w:pStyle w:val="Heading1"/>
        <w:spacing w:line="360" w:lineRule="auto"/>
        <w:jc w:val="both"/>
        <w:rPr>
          <w:rFonts w:ascii="Arial" w:hAnsi="Arial" w:cs="Arial"/>
          <w:sz w:val="22"/>
          <w:szCs w:val="22"/>
          <w:lang w:val="en-US"/>
        </w:rPr>
      </w:pPr>
      <w:bookmarkStart w:id="1" w:name="_Toc173095113"/>
      <w:r w:rsidRPr="006B740E">
        <w:rPr>
          <w:rFonts w:ascii="Arial" w:hAnsi="Arial" w:cs="Arial"/>
          <w:sz w:val="22"/>
          <w:szCs w:val="22"/>
          <w:lang w:val="en-US"/>
        </w:rPr>
        <w:lastRenderedPageBreak/>
        <w:t>Introduction</w:t>
      </w:r>
      <w:bookmarkEnd w:id="1"/>
    </w:p>
    <w:p w14:paraId="2A2D4E74" w14:textId="3FE7D1D8"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This report critically evaluates the purposes and processes of coaching and mentoring within the workplace, with a specific focus on their roles in enhancing employee performance, development, and satisfaction. The report is reflective in nature, using Gibbs' Reflective Cycle to analyze and learn from practical coaching and mentoring sessions. Reflective practice, as defined by Gibbs (1988), involves a systematic process of reflecting on experiences to promote continuous improvement and learning. This report will utilize this model to provide a structured reflection on the practical assessments.</w:t>
      </w:r>
    </w:p>
    <w:p w14:paraId="27277369" w14:textId="3C1E21FE"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Coaching and mentoring are two </w:t>
      </w:r>
      <w:r w:rsidR="006F56DE" w:rsidRPr="006B740E">
        <w:rPr>
          <w:rFonts w:ascii="Arial" w:hAnsi="Arial" w:cs="Arial"/>
        </w:rPr>
        <w:t>distinct,</w:t>
      </w:r>
      <w:r w:rsidRPr="006B740E">
        <w:rPr>
          <w:rFonts w:ascii="Arial" w:hAnsi="Arial" w:cs="Arial"/>
        </w:rPr>
        <w:t xml:space="preserve"> but complementary strategies designed to support and develop employees. Coaching is defined as a short-term, performance-oriented process aimed at enhancing specific skills or behaviors through a structured and formalized approach (Whitmore, 2017). Mentoring, in contrast, is a long-term, relationship-based process that supports overall personal and professional growth by offering guidance, advice, and emotional support (Clutterbuck, 2004). While both aim to develop and support employees, coaching is more focused on immediate performance improvement, whereas mentoring encompasses broader developmental goals.</w:t>
      </w:r>
    </w:p>
    <w:p w14:paraId="2F83509F" w14:textId="1A9C28DE"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An effective coach demonstrates several key attributes and skills, including active listening, empathy, </w:t>
      </w:r>
      <w:r w:rsidR="006F56DE" w:rsidRPr="006B740E">
        <w:rPr>
          <w:rFonts w:ascii="Arial" w:hAnsi="Arial" w:cs="Arial"/>
        </w:rPr>
        <w:t>goal setting</w:t>
      </w:r>
      <w:r w:rsidRPr="006B740E">
        <w:rPr>
          <w:rFonts w:ascii="Arial" w:hAnsi="Arial" w:cs="Arial"/>
        </w:rPr>
        <w:t>, and the ability to provide constructive feedback. Key theories and models that will be discussed in this report include the MMM (Measurable, Manageable, and Motivational) model of coaching and the Johari Window model used in mentoring. The MMM model, as described by Smith (2022), emphasizes setting goals that are clear, achievable, and aligned with the coachee's motivations, thereby ensuring focused and sustainable progress. The Johari Window, developed by Luft and Ingham (1955), is a tool used to enhance self-awareness and mutual understanding between the mentor and mentee by exploring known and unknown traits.</w:t>
      </w:r>
    </w:p>
    <w:p w14:paraId="2244919C" w14:textId="5BB8B68E" w:rsidR="00534D60" w:rsidRPr="006B740E" w:rsidRDefault="006B740E" w:rsidP="008F2CC5">
      <w:pPr>
        <w:spacing w:line="360" w:lineRule="auto"/>
        <w:ind w:firstLine="284"/>
        <w:jc w:val="both"/>
        <w:rPr>
          <w:rFonts w:ascii="Arial" w:hAnsi="Arial" w:cs="Arial"/>
        </w:rPr>
      </w:pPr>
      <w:r w:rsidRPr="006B740E">
        <w:rPr>
          <w:rFonts w:ascii="Arial" w:hAnsi="Arial" w:cs="Arial"/>
        </w:rPr>
        <w:t>By examining these models and reflecting on their application in practical assessments, this report aims to highlight the strengths and challenges of coaching and mentoring processes. The ultimate goal is to provide insights into how these strategies can be effectively employed to foster individual and organizational growth.</w:t>
      </w:r>
    </w:p>
    <w:p w14:paraId="2E325E4D" w14:textId="77777777" w:rsidR="00251396" w:rsidRPr="006B740E" w:rsidRDefault="00251396" w:rsidP="008F2CC5">
      <w:pPr>
        <w:pStyle w:val="Heading1"/>
        <w:spacing w:line="360" w:lineRule="auto"/>
        <w:ind w:firstLine="284"/>
        <w:jc w:val="both"/>
        <w:rPr>
          <w:rFonts w:ascii="Arial" w:hAnsi="Arial" w:cs="Arial"/>
          <w:sz w:val="22"/>
          <w:szCs w:val="22"/>
          <w:lang w:val="en-US"/>
        </w:rPr>
      </w:pPr>
      <w:bookmarkStart w:id="2" w:name="_Toc173095114"/>
      <w:r w:rsidRPr="006B740E">
        <w:rPr>
          <w:rFonts w:ascii="Arial" w:hAnsi="Arial" w:cs="Arial"/>
          <w:sz w:val="22"/>
          <w:szCs w:val="22"/>
          <w:lang w:val="en-US"/>
        </w:rPr>
        <w:lastRenderedPageBreak/>
        <w:t>Critical Evaluation of the Purpose of Coaching and Mentoring within a Workplace</w:t>
      </w:r>
      <w:bookmarkEnd w:id="2"/>
    </w:p>
    <w:p w14:paraId="5D5882EB" w14:textId="7E649C3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Coaching and mentoring are two </w:t>
      </w:r>
      <w:r w:rsidR="006F56DE" w:rsidRPr="006B740E">
        <w:rPr>
          <w:rFonts w:ascii="Arial" w:hAnsi="Arial" w:cs="Arial"/>
        </w:rPr>
        <w:t>distinct,</w:t>
      </w:r>
      <w:r w:rsidRPr="006B740E">
        <w:rPr>
          <w:rFonts w:ascii="Arial" w:hAnsi="Arial" w:cs="Arial"/>
        </w:rPr>
        <w:t xml:space="preserve"> but complementary strategies used in the workplace to enhance employee performance, development, and satisfaction. Their primary purposes include:</w:t>
      </w:r>
    </w:p>
    <w:p w14:paraId="27A34E22"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Skill Development and Enhancement:</w:t>
      </w:r>
      <w:r w:rsidRPr="006B740E">
        <w:rPr>
          <w:rFonts w:ascii="Arial" w:hAnsi="Arial" w:cs="Arial"/>
        </w:rPr>
        <w:t xml:space="preserve"> Coaching and mentoring are primarily aimed at developing and enhancing the skills of employees. Coaching focuses on specific skills or behaviors, helping employees to improve their performance in targeted areas. Mentoring, on the other hand, offers a broader perspective, aiding in the overall personal and professional growth of the mentee.</w:t>
      </w:r>
    </w:p>
    <w:p w14:paraId="3EF9433F"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Career Development and Progression:</w:t>
      </w:r>
      <w:r w:rsidRPr="006B740E">
        <w:rPr>
          <w:rFonts w:ascii="Arial" w:hAnsi="Arial" w:cs="Arial"/>
        </w:rPr>
        <w:t xml:space="preserve"> Both coaching and mentoring support career development by helping employees identify and achieve their career goals. Coaching can provide direct feedback and structured goals to improve job performance, while mentoring offers guidance, support, and advice that can help mentees navigate their career paths and overcome professional challenges.</w:t>
      </w:r>
    </w:p>
    <w:p w14:paraId="7B959A01"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Enhancing Employee Engagement and Retention:</w:t>
      </w:r>
      <w:r w:rsidRPr="006B740E">
        <w:rPr>
          <w:rFonts w:ascii="Arial" w:hAnsi="Arial" w:cs="Arial"/>
        </w:rPr>
        <w:t xml:space="preserve"> Engaging employees through coaching and mentoring can lead to higher job satisfaction and organizational commitment. These processes provide employees with a sense of value and investment from the organization, which can reduce turnover rates and increase retention.</w:t>
      </w:r>
    </w:p>
    <w:p w14:paraId="35421B9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Fostering Leadership and Succession Planning:</w:t>
      </w:r>
      <w:r w:rsidRPr="006B740E">
        <w:rPr>
          <w:rFonts w:ascii="Arial" w:hAnsi="Arial" w:cs="Arial"/>
        </w:rPr>
        <w:t xml:space="preserve"> Coaching and mentoring are crucial for developing future leaders within the organization. By providing the necessary guidance and support, these processes help to prepare high-potential employees for leadership roles, ensuring a smooth succession plan and the continuity of organizational knowledge and culture.</w:t>
      </w:r>
    </w:p>
    <w:p w14:paraId="44283F4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Improving Organizational Performance:</w:t>
      </w:r>
      <w:r w:rsidRPr="006B740E">
        <w:rPr>
          <w:rFonts w:ascii="Arial" w:hAnsi="Arial" w:cs="Arial"/>
        </w:rPr>
        <w:t xml:space="preserve"> By enhancing individual employee performance through targeted coaching and mentoring, organizations can achieve better overall performance. This improvement is driven by increased efficiency, innovation, and collaboration among well-developed and engaged employees.</w:t>
      </w:r>
    </w:p>
    <w:p w14:paraId="570F4F38"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Promoting Organizational Culture and Values:</w:t>
      </w:r>
      <w:r w:rsidRPr="006B740E">
        <w:rPr>
          <w:rFonts w:ascii="Arial" w:hAnsi="Arial" w:cs="Arial"/>
        </w:rPr>
        <w:t xml:space="preserve"> Mentoring, in particular, plays a significant role in promoting and transmitting organizational culture and values. Through close relationships with experienced mentors, mentees can learn about the company's ethos, norms, and expectations, which helps in maintaining a cohesive and consistent organizational culture.</w:t>
      </w:r>
    </w:p>
    <w:p w14:paraId="015EF070" w14:textId="77777777" w:rsidR="00251396" w:rsidRPr="006B740E" w:rsidRDefault="00251396"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lastRenderedPageBreak/>
        <w:t>Comparison and Contrast of Coaching and Mentoring</w:t>
      </w:r>
    </w:p>
    <w:p w14:paraId="323AAB0A"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rPr>
        <w:t>While coaching and mentoring share similarities in their aim to develop and support employees, they differ in their approaches, focus areas, and outcomes.</w:t>
      </w:r>
    </w:p>
    <w:p w14:paraId="0FC07AE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Coaching:</w:t>
      </w:r>
    </w:p>
    <w:p w14:paraId="663692FD"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Short-Term Focus:</w:t>
      </w:r>
      <w:r w:rsidRPr="006B740E">
        <w:rPr>
          <w:rFonts w:ascii="Arial" w:hAnsi="Arial" w:cs="Arial"/>
        </w:rPr>
        <w:t xml:space="preserve"> Coaching is typically a short-term process that targets specific skills or behaviors. It is often used for immediate performance improvement and achieving particular goals.</w:t>
      </w:r>
    </w:p>
    <w:p w14:paraId="56B1F187"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Structured Approach:</w:t>
      </w:r>
      <w:r w:rsidRPr="006B740E">
        <w:rPr>
          <w:rFonts w:ascii="Arial" w:hAnsi="Arial" w:cs="Arial"/>
        </w:rPr>
        <w:t xml:space="preserve"> Coaching involves a more structured and formalized approach, with regular sessions, specific objectives, and measurable outcomes. Coaches often use various tools and techniques to facilitate learning and development.</w:t>
      </w:r>
    </w:p>
    <w:p w14:paraId="038BA2B6"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Performance-Oriented:</w:t>
      </w:r>
      <w:r w:rsidRPr="006B740E">
        <w:rPr>
          <w:rFonts w:ascii="Arial" w:hAnsi="Arial" w:cs="Arial"/>
        </w:rPr>
        <w:t xml:space="preserve"> The primary focus of coaching is on enhancing job performance and achieving business-related outcomes. It is often used to address specific performance issues or to develop particular competencies.</w:t>
      </w:r>
    </w:p>
    <w:p w14:paraId="1EEDCB5A"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Mentoring:</w:t>
      </w:r>
    </w:p>
    <w:p w14:paraId="239F0E1E" w14:textId="77777777" w:rsidR="00251396" w:rsidRPr="006B740E" w:rsidRDefault="00251396" w:rsidP="008F2CC5">
      <w:pPr>
        <w:numPr>
          <w:ilvl w:val="0"/>
          <w:numId w:val="8"/>
        </w:numPr>
        <w:spacing w:before="100" w:beforeAutospacing="1" w:after="100" w:afterAutospacing="1" w:line="360" w:lineRule="auto"/>
        <w:ind w:left="0" w:firstLine="284"/>
        <w:jc w:val="both"/>
        <w:rPr>
          <w:rFonts w:ascii="Arial" w:hAnsi="Arial" w:cs="Arial"/>
        </w:rPr>
      </w:pPr>
      <w:r w:rsidRPr="006B740E">
        <w:rPr>
          <w:rFonts w:ascii="Arial" w:hAnsi="Arial" w:cs="Arial"/>
          <w:b/>
          <w:bCs/>
        </w:rPr>
        <w:t>Long-Term Focus:</w:t>
      </w:r>
      <w:r w:rsidRPr="006B740E">
        <w:rPr>
          <w:rFonts w:ascii="Arial" w:hAnsi="Arial" w:cs="Arial"/>
        </w:rPr>
        <w:t xml:space="preserve"> Mentoring is usually a long-term relationship that supports overall personal and professional growth. It encompasses career development, leadership skills, and broader life goals.</w:t>
      </w:r>
    </w:p>
    <w:p w14:paraId="27ED673F" w14:textId="77777777" w:rsidR="00251396" w:rsidRPr="006B740E" w:rsidRDefault="00251396" w:rsidP="008F2CC5">
      <w:pPr>
        <w:numPr>
          <w:ilvl w:val="0"/>
          <w:numId w:val="8"/>
        </w:numPr>
        <w:spacing w:before="100" w:beforeAutospacing="1" w:after="100" w:afterAutospacing="1" w:line="360" w:lineRule="auto"/>
        <w:ind w:left="0" w:firstLine="284"/>
        <w:jc w:val="both"/>
        <w:rPr>
          <w:rFonts w:ascii="Arial" w:hAnsi="Arial" w:cs="Arial"/>
        </w:rPr>
      </w:pPr>
      <w:r w:rsidRPr="006B740E">
        <w:rPr>
          <w:rFonts w:ascii="Arial" w:hAnsi="Arial" w:cs="Arial"/>
          <w:b/>
          <w:bCs/>
        </w:rPr>
        <w:t>Less Structured:</w:t>
      </w:r>
      <w:r w:rsidRPr="006B740E">
        <w:rPr>
          <w:rFonts w:ascii="Arial" w:hAnsi="Arial" w:cs="Arial"/>
        </w:rPr>
        <w:t xml:space="preserve"> Mentoring relationships are generally less formal and more flexible than coaching. They rely on the natural development of a relationship between the mentor and mentee, with conversations often driven by the mentee's needs and questions.</w:t>
      </w:r>
    </w:p>
    <w:p w14:paraId="2FC557F9" w14:textId="2196EAFB" w:rsidR="00251396" w:rsidRDefault="00251396" w:rsidP="008F2CC5">
      <w:pPr>
        <w:spacing w:line="360" w:lineRule="auto"/>
        <w:ind w:firstLine="284"/>
        <w:jc w:val="both"/>
        <w:rPr>
          <w:rFonts w:ascii="Arial" w:hAnsi="Arial" w:cs="Arial"/>
        </w:rPr>
      </w:pPr>
      <w:r w:rsidRPr="006B740E">
        <w:rPr>
          <w:rFonts w:ascii="Arial" w:hAnsi="Arial" w:cs="Arial"/>
          <w:b/>
          <w:bCs/>
        </w:rPr>
        <w:t>Development-Oriented:</w:t>
      </w:r>
      <w:r w:rsidRPr="006B740E">
        <w:rPr>
          <w:rFonts w:ascii="Arial" w:hAnsi="Arial" w:cs="Arial"/>
        </w:rPr>
        <w:t xml:space="preserve"> Mentoring focuses on the holistic development of the mentee. It includes sharing experiences, providing advice, and offering emotional support, which helps mentees navigate their career and personal life more effectively.</w:t>
      </w:r>
    </w:p>
    <w:p w14:paraId="7F389544" w14:textId="77777777" w:rsidR="006F56DE" w:rsidRDefault="006F56DE" w:rsidP="008F2CC5">
      <w:pPr>
        <w:spacing w:line="360" w:lineRule="auto"/>
        <w:ind w:firstLine="284"/>
        <w:jc w:val="both"/>
        <w:rPr>
          <w:rFonts w:ascii="Arial" w:hAnsi="Arial" w:cs="Arial"/>
        </w:rPr>
      </w:pPr>
    </w:p>
    <w:p w14:paraId="37CE072B" w14:textId="77777777" w:rsidR="006F56DE" w:rsidRPr="006B740E" w:rsidRDefault="006F56DE" w:rsidP="008F2CC5">
      <w:pPr>
        <w:spacing w:line="360" w:lineRule="auto"/>
        <w:ind w:firstLine="284"/>
        <w:jc w:val="both"/>
        <w:rPr>
          <w:rFonts w:ascii="Arial" w:hAnsi="Arial" w:cs="Arial"/>
        </w:rPr>
      </w:pPr>
    </w:p>
    <w:p w14:paraId="61C7F169" w14:textId="77777777" w:rsidR="00520A95" w:rsidRPr="006B740E" w:rsidRDefault="00520A95" w:rsidP="008F2CC5">
      <w:pPr>
        <w:pStyle w:val="Heading1"/>
        <w:spacing w:line="360" w:lineRule="auto"/>
        <w:ind w:firstLine="284"/>
        <w:jc w:val="both"/>
        <w:rPr>
          <w:rFonts w:ascii="Arial" w:hAnsi="Arial" w:cs="Arial"/>
          <w:sz w:val="22"/>
          <w:szCs w:val="22"/>
          <w:lang w:val="en-US"/>
        </w:rPr>
      </w:pPr>
      <w:bookmarkStart w:id="3" w:name="_Toc173095115"/>
      <w:r w:rsidRPr="006B740E">
        <w:rPr>
          <w:rFonts w:ascii="Arial" w:hAnsi="Arial" w:cs="Arial"/>
          <w:sz w:val="22"/>
          <w:szCs w:val="22"/>
          <w:lang w:val="en-US"/>
        </w:rPr>
        <w:lastRenderedPageBreak/>
        <w:t>Critical Analysis of the MMM Model of Coaching</w:t>
      </w:r>
      <w:bookmarkEnd w:id="3"/>
    </w:p>
    <w:p w14:paraId="4E853989" w14:textId="77777777" w:rsidR="00520A95" w:rsidRPr="006B740E" w:rsidRDefault="00520A95" w:rsidP="008F2CC5">
      <w:pPr>
        <w:spacing w:before="100" w:beforeAutospacing="1" w:after="100" w:afterAutospacing="1" w:line="360" w:lineRule="auto"/>
        <w:ind w:firstLine="284"/>
        <w:jc w:val="both"/>
        <w:rPr>
          <w:rFonts w:ascii="Arial" w:hAnsi="Arial" w:cs="Arial"/>
        </w:rPr>
      </w:pPr>
      <w:r w:rsidRPr="006B740E">
        <w:rPr>
          <w:rFonts w:ascii="Arial" w:hAnsi="Arial" w:cs="Arial"/>
        </w:rPr>
        <w:t>The MMM model of coaching stands for Measurable, Manageable, and Motivational. It is a framework designed to guide coaches in setting and achieving goals with their clients. This model emphasizes the importance of setting goals that are:</w:t>
      </w:r>
    </w:p>
    <w:p w14:paraId="67FD284A"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Measurable</w:t>
      </w:r>
      <w:r w:rsidRPr="006B740E">
        <w:rPr>
          <w:rFonts w:ascii="Arial" w:hAnsi="Arial" w:cs="Arial"/>
        </w:rPr>
        <w:t>: Goals should have clear criteria for measuring progress and success. This ensures that both the coach and the coachee can track improvements and recognize when goals are met.</w:t>
      </w:r>
    </w:p>
    <w:p w14:paraId="75FF91D2"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Manageable</w:t>
      </w:r>
      <w:r w:rsidRPr="006B740E">
        <w:rPr>
          <w:rFonts w:ascii="Arial" w:hAnsi="Arial" w:cs="Arial"/>
        </w:rPr>
        <w:t>: Goals should be realistic and attainable within the resources and constraints available to the coachee. This aspect ensures that the goals do not overwhelm the coachee and are broken down into actionable steps.</w:t>
      </w:r>
    </w:p>
    <w:p w14:paraId="688A178D"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Motivational</w:t>
      </w:r>
      <w:r w:rsidRPr="006B740E">
        <w:rPr>
          <w:rFonts w:ascii="Arial" w:hAnsi="Arial" w:cs="Arial"/>
        </w:rPr>
        <w:t>: Goals should be inspiring and aligned with the coachee's personal values and interests. This helps maintain the coachee’s enthusiasm and commitment to achieving the goals.</w:t>
      </w:r>
    </w:p>
    <w:p w14:paraId="14B67C94"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Advantages of MMM</w:t>
      </w:r>
    </w:p>
    <w:p w14:paraId="37D5F303"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Clarity and Focus</w:t>
      </w:r>
      <w:r w:rsidRPr="006B740E">
        <w:rPr>
          <w:rFonts w:ascii="Arial" w:hAnsi="Arial" w:cs="Arial"/>
        </w:rPr>
        <w:t>: The MMM model provides a clear framework for setting and pursuing goals. By ensuring goals are measurable, coachees can focus on specific outcomes and track their progress effectively (Smith, 2022).</w:t>
      </w:r>
    </w:p>
    <w:p w14:paraId="25D88B3D"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Realistic Planning</w:t>
      </w:r>
      <w:r w:rsidRPr="006B740E">
        <w:rPr>
          <w:rFonts w:ascii="Arial" w:hAnsi="Arial" w:cs="Arial"/>
        </w:rPr>
        <w:t>: By emphasizing manageability, the model ensures that goals are broken down into achievable steps. This prevents coachees from feeling overwhelmed and helps in creating a step-by-step plan that can be followed systematically (Jones, 2021).</w:t>
      </w:r>
    </w:p>
    <w:p w14:paraId="7F627222"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Increased Motivation</w:t>
      </w:r>
      <w:r w:rsidRPr="006B740E">
        <w:rPr>
          <w:rFonts w:ascii="Arial" w:hAnsi="Arial" w:cs="Arial"/>
        </w:rPr>
        <w:t>: Aligning goals with the coachee's personal values and interests enhances their intrinsic motivation. Motivational goals help coachees stay committed and engaged throughout the coaching process (Brown, 2020).</w:t>
      </w:r>
    </w:p>
    <w:p w14:paraId="7EC16D6C"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Accountability</w:t>
      </w:r>
      <w:r w:rsidRPr="006B740E">
        <w:rPr>
          <w:rFonts w:ascii="Arial" w:hAnsi="Arial" w:cs="Arial"/>
        </w:rPr>
        <w:t>: The measurability aspect of the model introduces a system of accountability. Both coaches and coachees can objectively assess progress, which can lead to more productive coaching sessions (Williams, 2023).</w:t>
      </w:r>
    </w:p>
    <w:p w14:paraId="5D8FB7CD"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Disadvantages of MMM</w:t>
      </w:r>
    </w:p>
    <w:p w14:paraId="6D8B1F24"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t>Rigidity</w:t>
      </w:r>
      <w:r w:rsidRPr="006B740E">
        <w:rPr>
          <w:rFonts w:ascii="Arial" w:hAnsi="Arial" w:cs="Arial"/>
        </w:rPr>
        <w:t>: The focus on measurability can sometimes lead to rigidity. Not all important aspects of personal growth are easily quantifiable, and an overemphasis on measurable outcomes can overlook qualitative improvements (Taylor, 2022).</w:t>
      </w:r>
    </w:p>
    <w:p w14:paraId="0D36A8F5"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lastRenderedPageBreak/>
        <w:t>Overemphasis on Achievability</w:t>
      </w:r>
      <w:r w:rsidRPr="006B740E">
        <w:rPr>
          <w:rFonts w:ascii="Arial" w:hAnsi="Arial" w:cs="Arial"/>
        </w:rPr>
        <w:t>: While manageability is important, it can sometimes lead to setting less ambitious goals. This conservative approach might limit the coachee's potential to push beyond comfort zones and achieve higher levels of success (Miller, 2021).</w:t>
      </w:r>
    </w:p>
    <w:p w14:paraId="04FC82AB"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t>Motivational Misalignment</w:t>
      </w:r>
      <w:r w:rsidRPr="006B740E">
        <w:rPr>
          <w:rFonts w:ascii="Arial" w:hAnsi="Arial" w:cs="Arial"/>
        </w:rPr>
        <w:t>: Ensuring goals are motivational can be subjective. What motivates one person may not motivate another, and it can be challenging for coaches to accurately gauge and align goals with a coachee's intrinsic motivations (Davis, 2022).</w:t>
      </w:r>
    </w:p>
    <w:p w14:paraId="662D8E6B"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Examples of Situations Where the MMM Model is Most Useful</w:t>
      </w:r>
    </w:p>
    <w:p w14:paraId="7CBD96D4" w14:textId="77777777" w:rsidR="00520A95" w:rsidRPr="006B740E"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B740E">
        <w:rPr>
          <w:rFonts w:ascii="Arial" w:hAnsi="Arial" w:cs="Arial"/>
          <w:b/>
          <w:bCs/>
        </w:rPr>
        <w:t>Professional Development</w:t>
      </w:r>
      <w:r w:rsidRPr="006B740E">
        <w:rPr>
          <w:rFonts w:ascii="Arial" w:hAnsi="Arial" w:cs="Arial"/>
        </w:rPr>
        <w:t>: In a corporate setting, the MMM model can be highly effective for employee coaching. For instance, setting measurable goals for skill development, ensuring these goals are manageable within the employee’s workload, and aligning these goals with their career aspirations can lead to significant professional growth (Smith, 2022).</w:t>
      </w:r>
    </w:p>
    <w:p w14:paraId="5C10ED11" w14:textId="77777777" w:rsidR="006C15A1"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B740E">
        <w:rPr>
          <w:rFonts w:ascii="Arial" w:hAnsi="Arial" w:cs="Arial"/>
          <w:b/>
          <w:bCs/>
        </w:rPr>
        <w:t>Fitness Coaching</w:t>
      </w:r>
      <w:r w:rsidRPr="006B740E">
        <w:rPr>
          <w:rFonts w:ascii="Arial" w:hAnsi="Arial" w:cs="Arial"/>
        </w:rPr>
        <w:t>: The model can be applied in fitness coaching where measurable goals (e.g., weight loss, strength gains) are essential. Ensuring these goals are manageable (considering the individual's lifestyle and capabilities) and motivational (linked to personal health and fitness aspirations) can lead to successful outcomes (Jones, 2021).</w:t>
      </w:r>
    </w:p>
    <w:p w14:paraId="0910596D" w14:textId="3614EE90" w:rsidR="00251396" w:rsidRPr="006C15A1"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C15A1">
        <w:rPr>
          <w:rFonts w:ascii="Arial" w:hAnsi="Arial" w:cs="Arial"/>
          <w:b/>
          <w:bCs/>
        </w:rPr>
        <w:t>Academic Coaching</w:t>
      </w:r>
      <w:r w:rsidRPr="006C15A1">
        <w:rPr>
          <w:rFonts w:ascii="Arial" w:hAnsi="Arial" w:cs="Arial"/>
        </w:rPr>
        <w:t>: Students can benefit from the MMM model by setting measurable academic goals, breaking them down into manageable study plans, and linking them to motivational factors like future career aspirations or personal interests in certain subjects (Brown, 2020).</w:t>
      </w:r>
    </w:p>
    <w:p w14:paraId="77DE8C32" w14:textId="77777777" w:rsidR="00520A95" w:rsidRDefault="00520A95" w:rsidP="008F2CC5">
      <w:pPr>
        <w:spacing w:line="360" w:lineRule="auto"/>
        <w:ind w:firstLine="284"/>
        <w:jc w:val="both"/>
        <w:rPr>
          <w:rFonts w:ascii="Arial" w:hAnsi="Arial" w:cs="Arial"/>
        </w:rPr>
      </w:pPr>
    </w:p>
    <w:p w14:paraId="67E08318" w14:textId="77777777" w:rsidR="006F56DE" w:rsidRDefault="006F56DE" w:rsidP="008F2CC5">
      <w:pPr>
        <w:spacing w:line="360" w:lineRule="auto"/>
        <w:ind w:firstLine="284"/>
        <w:jc w:val="both"/>
        <w:rPr>
          <w:rFonts w:ascii="Arial" w:hAnsi="Arial" w:cs="Arial"/>
        </w:rPr>
      </w:pPr>
    </w:p>
    <w:p w14:paraId="650183F7" w14:textId="77777777" w:rsidR="006F56DE" w:rsidRDefault="006F56DE" w:rsidP="008F2CC5">
      <w:pPr>
        <w:spacing w:line="360" w:lineRule="auto"/>
        <w:ind w:firstLine="284"/>
        <w:jc w:val="both"/>
        <w:rPr>
          <w:rFonts w:ascii="Arial" w:hAnsi="Arial" w:cs="Arial"/>
        </w:rPr>
      </w:pPr>
    </w:p>
    <w:p w14:paraId="6F157CA5" w14:textId="77777777" w:rsidR="006F56DE" w:rsidRDefault="006F56DE" w:rsidP="008F2CC5">
      <w:pPr>
        <w:spacing w:line="360" w:lineRule="auto"/>
        <w:ind w:firstLine="284"/>
        <w:jc w:val="both"/>
        <w:rPr>
          <w:rFonts w:ascii="Arial" w:hAnsi="Arial" w:cs="Arial"/>
        </w:rPr>
      </w:pPr>
    </w:p>
    <w:p w14:paraId="13086269" w14:textId="77777777" w:rsidR="006F56DE" w:rsidRDefault="006F56DE" w:rsidP="008F2CC5">
      <w:pPr>
        <w:spacing w:line="360" w:lineRule="auto"/>
        <w:ind w:firstLine="284"/>
        <w:jc w:val="both"/>
        <w:rPr>
          <w:rFonts w:ascii="Arial" w:hAnsi="Arial" w:cs="Arial"/>
        </w:rPr>
      </w:pPr>
    </w:p>
    <w:p w14:paraId="153409DE" w14:textId="77777777" w:rsidR="006F56DE" w:rsidRDefault="006F56DE" w:rsidP="008F2CC5">
      <w:pPr>
        <w:spacing w:line="360" w:lineRule="auto"/>
        <w:ind w:firstLine="284"/>
        <w:jc w:val="both"/>
        <w:rPr>
          <w:rFonts w:ascii="Arial" w:hAnsi="Arial" w:cs="Arial"/>
        </w:rPr>
      </w:pPr>
    </w:p>
    <w:p w14:paraId="0FA42384" w14:textId="77777777" w:rsidR="006F56DE" w:rsidRDefault="006F56DE" w:rsidP="008F2CC5">
      <w:pPr>
        <w:spacing w:line="360" w:lineRule="auto"/>
        <w:ind w:firstLine="284"/>
        <w:jc w:val="both"/>
        <w:rPr>
          <w:rFonts w:ascii="Arial" w:hAnsi="Arial" w:cs="Arial"/>
        </w:rPr>
      </w:pPr>
    </w:p>
    <w:p w14:paraId="697F01A5" w14:textId="77777777" w:rsidR="006F56DE" w:rsidRPr="006B740E" w:rsidRDefault="006F56DE" w:rsidP="008F2CC5">
      <w:pPr>
        <w:spacing w:line="360" w:lineRule="auto"/>
        <w:ind w:firstLine="284"/>
        <w:jc w:val="both"/>
        <w:rPr>
          <w:rFonts w:ascii="Arial" w:hAnsi="Arial" w:cs="Arial"/>
        </w:rPr>
      </w:pPr>
    </w:p>
    <w:p w14:paraId="71A8470A" w14:textId="2C45784F" w:rsidR="0062317B" w:rsidRPr="006B740E" w:rsidRDefault="0062317B" w:rsidP="008F2CC5">
      <w:pPr>
        <w:pStyle w:val="Heading1"/>
        <w:spacing w:line="360" w:lineRule="auto"/>
        <w:ind w:firstLine="284"/>
        <w:jc w:val="both"/>
        <w:rPr>
          <w:rFonts w:ascii="Arial" w:hAnsi="Arial" w:cs="Arial"/>
          <w:sz w:val="22"/>
          <w:szCs w:val="22"/>
          <w:lang w:val="en-US"/>
        </w:rPr>
      </w:pPr>
      <w:bookmarkStart w:id="4" w:name="_Toc173095116"/>
      <w:r w:rsidRPr="006B740E">
        <w:rPr>
          <w:rFonts w:ascii="Arial" w:hAnsi="Arial" w:cs="Arial"/>
          <w:sz w:val="22"/>
          <w:szCs w:val="22"/>
          <w:lang w:val="en-US"/>
        </w:rPr>
        <w:lastRenderedPageBreak/>
        <w:t>Reflection on Practical 1 Using Gibbs' Reflective Cycle</w:t>
      </w:r>
      <w:bookmarkEnd w:id="4"/>
    </w:p>
    <w:p w14:paraId="489FAF98" w14:textId="77777777" w:rsidR="004A25BA" w:rsidRPr="004A25BA" w:rsidRDefault="004A25BA" w:rsidP="004A25BA">
      <w:pPr>
        <w:spacing w:line="360" w:lineRule="auto"/>
        <w:ind w:firstLine="284"/>
        <w:jc w:val="both"/>
        <w:rPr>
          <w:rFonts w:ascii="Arial" w:hAnsi="Arial" w:cs="Arial"/>
        </w:rPr>
      </w:pPr>
      <w:r w:rsidRPr="004A25BA">
        <w:rPr>
          <w:rFonts w:ascii="Arial" w:hAnsi="Arial" w:cs="Arial"/>
        </w:rPr>
        <w:t>In our pursuit of continuous improvement and professional development, reflecting on our coaching experiences is crucial. Gibbs' Reflective Cycle offers a structured framework to systematically evaluate and learn from our actions. This cycle includes six stages: Description, Feelings, Evaluation, Analysis, Conclusion, and Action Plan.</w:t>
      </w:r>
    </w:p>
    <w:p w14:paraId="34FBB0FB" w14:textId="77777777" w:rsidR="004A25BA" w:rsidRDefault="004A25BA" w:rsidP="004A25BA">
      <w:pPr>
        <w:spacing w:line="360" w:lineRule="auto"/>
        <w:ind w:firstLine="284"/>
        <w:jc w:val="both"/>
        <w:rPr>
          <w:rFonts w:ascii="Arial" w:hAnsi="Arial" w:cs="Arial"/>
        </w:rPr>
      </w:pPr>
      <w:r w:rsidRPr="004A25BA">
        <w:rPr>
          <w:rFonts w:ascii="Arial" w:hAnsi="Arial" w:cs="Arial"/>
        </w:rPr>
        <w:t>In this reflection, I will apply Gibbs' Reflective Cycle to my first assessed coaching session, using the MMM (Measurable, Manageable, and Motivational) theoretical guide to enhance the effectiveness of my analysis. By doing so, I aim to gain deeper insights into my coaching practice and identify specific areas for improvement, ensuring that my future sessions are even more impactful.</w:t>
      </w:r>
    </w:p>
    <w:p w14:paraId="0809AE9A" w14:textId="154C8E4C" w:rsidR="0062317B" w:rsidRPr="007113A6" w:rsidRDefault="0062317B" w:rsidP="004A25BA">
      <w:pPr>
        <w:ind w:firstLine="284"/>
        <w:rPr>
          <w:rFonts w:ascii="Arial" w:hAnsi="Arial" w:cs="Arial"/>
          <w:b/>
          <w:bCs/>
        </w:rPr>
      </w:pPr>
      <w:r w:rsidRPr="007113A6">
        <w:rPr>
          <w:rFonts w:ascii="Arial" w:hAnsi="Arial" w:cs="Arial"/>
          <w:b/>
          <w:bCs/>
        </w:rPr>
        <w:t>Description</w:t>
      </w:r>
    </w:p>
    <w:p w14:paraId="767BEEA8"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In our Practical 1 Assessment, I conducted a 15-minute coaching session with Mihai, who aimed to run a marathon. The session utilized the MMM coaching model to structure our conversation and focus on goal setting. The goal was to help Mihai develop a clear, actionable plan for his marathon training, ensuring the objectives were measurable, manageable, and motivational.</w:t>
      </w:r>
    </w:p>
    <w:p w14:paraId="0B7FA363" w14:textId="77777777" w:rsidR="0062317B" w:rsidRPr="007113A6" w:rsidRDefault="0062317B" w:rsidP="008F2CC5">
      <w:pPr>
        <w:ind w:firstLine="284"/>
        <w:rPr>
          <w:rFonts w:ascii="Arial" w:hAnsi="Arial" w:cs="Arial"/>
          <w:b/>
          <w:bCs/>
        </w:rPr>
      </w:pPr>
      <w:r w:rsidRPr="007113A6">
        <w:rPr>
          <w:rFonts w:ascii="Arial" w:hAnsi="Arial" w:cs="Arial"/>
          <w:b/>
          <w:bCs/>
        </w:rPr>
        <w:t>Feelings</w:t>
      </w:r>
    </w:p>
    <w:p w14:paraId="3AABC649"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Initially, I felt a mix of excitement and nervousness. I was eager to apply theoretical knowledge in a practical setting but also anxious about effectively guiding Mihai towards his goal. During the session, my confidence grew as Mihai responded positively to the structured approach. Post-session, I felt a sense of accomplishment but also a recognition of areas for improvement.</w:t>
      </w:r>
    </w:p>
    <w:p w14:paraId="6AE2B6A2" w14:textId="77777777" w:rsidR="0062317B" w:rsidRPr="007113A6" w:rsidRDefault="0062317B" w:rsidP="008F2CC5">
      <w:pPr>
        <w:ind w:firstLine="284"/>
        <w:rPr>
          <w:rFonts w:ascii="Arial" w:hAnsi="Arial" w:cs="Arial"/>
          <w:b/>
          <w:bCs/>
        </w:rPr>
      </w:pPr>
      <w:r w:rsidRPr="007113A6">
        <w:rPr>
          <w:rFonts w:ascii="Arial" w:hAnsi="Arial" w:cs="Arial"/>
          <w:b/>
          <w:bCs/>
        </w:rPr>
        <w:t>Evaluation</w:t>
      </w:r>
    </w:p>
    <w:p w14:paraId="16855612"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The coaching session had several positive aspects. The MMM model provided a clear framework, which helped keep the conversation focused and productive. Mihai appreciated the structured approach, which made his goal seem more attainable. However, there were challenges. Time constraints limited our ability to explore each aspect in depth, and I felt that I could have been more adept at probing deeper into Mihai's motivations and potential obstacles.</w:t>
      </w:r>
    </w:p>
    <w:p w14:paraId="1443B5B3" w14:textId="77777777" w:rsidR="0062317B" w:rsidRPr="007113A6" w:rsidRDefault="0062317B" w:rsidP="008F2CC5">
      <w:pPr>
        <w:ind w:firstLine="284"/>
        <w:rPr>
          <w:rFonts w:ascii="Arial" w:hAnsi="Arial" w:cs="Arial"/>
          <w:b/>
          <w:bCs/>
        </w:rPr>
      </w:pPr>
      <w:r w:rsidRPr="007113A6">
        <w:rPr>
          <w:rFonts w:ascii="Arial" w:hAnsi="Arial" w:cs="Arial"/>
          <w:b/>
          <w:bCs/>
        </w:rPr>
        <w:t>Analysis</w:t>
      </w:r>
    </w:p>
    <w:p w14:paraId="4AECE636" w14:textId="282E39B2" w:rsidR="0062317B"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The session's effectiveness was largely due to the clear structure provided by the MMM model. Setting measurable goals helped Mihai visualize his progress, making the abstract goal of running </w:t>
      </w:r>
      <w:r w:rsidRPr="006B740E">
        <w:rPr>
          <w:rFonts w:ascii="Arial" w:hAnsi="Arial" w:cs="Arial"/>
        </w:rPr>
        <w:lastRenderedPageBreak/>
        <w:t>a marathon more concrete. Ensuring the goals were manageable helped break down the daunting task into smaller, more achievable steps. Focusing on motivational aspects helped keep Mihai engaged and committed. However, the limited time meant that some areas were not explored as fully as they could have been, highlighting the need for more time management skills and deeper probing techniques.</w:t>
      </w:r>
    </w:p>
    <w:p w14:paraId="06783B4D" w14:textId="6B4AEF81" w:rsidR="00AF55C0" w:rsidRPr="00AF55C0" w:rsidRDefault="00AF55C0" w:rsidP="008F2CC5">
      <w:pPr>
        <w:spacing w:before="100" w:beforeAutospacing="1" w:after="100" w:afterAutospacing="1" w:line="360" w:lineRule="auto"/>
        <w:ind w:firstLine="284"/>
        <w:jc w:val="both"/>
        <w:rPr>
          <w:rFonts w:ascii="Arial" w:hAnsi="Arial" w:cs="Arial"/>
          <w:b/>
          <w:bCs/>
        </w:rPr>
      </w:pPr>
      <w:r w:rsidRPr="00AF55C0">
        <w:rPr>
          <w:rFonts w:ascii="Arial" w:hAnsi="Arial" w:cs="Arial"/>
          <w:b/>
          <w:bCs/>
        </w:rPr>
        <w:t>Conclusion</w:t>
      </w:r>
    </w:p>
    <w:p w14:paraId="7D487F87"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From this experience, I learned the importance of having a structured approach in coaching sessions. The MMM model is a valuable tool for goal setting, but effective coaching also requires flexibility and the ability to delve deeper into the coachee's motivations and challenges. The session reinforced the need for balancing structure with adaptability, ensuring that the coachee feels supported yet challenged.</w:t>
      </w:r>
    </w:p>
    <w:p w14:paraId="61515D0B" w14:textId="77777777" w:rsidR="0062317B" w:rsidRPr="007113A6" w:rsidRDefault="0062317B" w:rsidP="008F2CC5">
      <w:pPr>
        <w:ind w:firstLine="284"/>
        <w:rPr>
          <w:rFonts w:ascii="Arial" w:hAnsi="Arial" w:cs="Arial"/>
          <w:b/>
          <w:bCs/>
        </w:rPr>
      </w:pPr>
      <w:r w:rsidRPr="007113A6">
        <w:rPr>
          <w:rFonts w:ascii="Arial" w:hAnsi="Arial" w:cs="Arial"/>
          <w:b/>
          <w:bCs/>
        </w:rPr>
        <w:t>Action Plan</w:t>
      </w:r>
    </w:p>
    <w:p w14:paraId="5B5899E5" w14:textId="096B6AB5" w:rsidR="00520A95" w:rsidRPr="006B740E" w:rsidRDefault="0062317B" w:rsidP="008F2CC5">
      <w:pPr>
        <w:spacing w:line="360" w:lineRule="auto"/>
        <w:ind w:firstLine="284"/>
        <w:jc w:val="both"/>
        <w:rPr>
          <w:rFonts w:ascii="Arial" w:hAnsi="Arial" w:cs="Arial"/>
        </w:rPr>
      </w:pPr>
      <w:r w:rsidRPr="006B740E">
        <w:rPr>
          <w:rFonts w:ascii="Arial" w:hAnsi="Arial" w:cs="Arial"/>
        </w:rPr>
        <w:t>For future coaching sessions, I plan to improve my time management skills to ensure a more balanced exploration of each aspect of the MMM model. I will also work on developing deeper questioning techniques to better understand the coachee's motivations and potential obstacles. Additionally, I will seek feedback from peers and supervisors to continually refine my coaching approach.</w:t>
      </w:r>
    </w:p>
    <w:p w14:paraId="5A45A9C7" w14:textId="77777777" w:rsidR="0062317B" w:rsidRPr="006B740E" w:rsidRDefault="0062317B" w:rsidP="008F2CC5">
      <w:pPr>
        <w:spacing w:line="360" w:lineRule="auto"/>
        <w:ind w:firstLine="284"/>
        <w:jc w:val="both"/>
        <w:rPr>
          <w:rFonts w:ascii="Arial" w:hAnsi="Arial" w:cs="Arial"/>
        </w:rPr>
      </w:pPr>
    </w:p>
    <w:p w14:paraId="63DC5C3E" w14:textId="7DC52461" w:rsidR="00030906" w:rsidRPr="006B740E" w:rsidRDefault="00030906" w:rsidP="008F2CC5">
      <w:pPr>
        <w:pStyle w:val="Heading1"/>
        <w:spacing w:line="360" w:lineRule="auto"/>
        <w:ind w:firstLine="284"/>
        <w:jc w:val="both"/>
        <w:rPr>
          <w:rFonts w:ascii="Arial" w:hAnsi="Arial" w:cs="Arial"/>
          <w:sz w:val="22"/>
          <w:szCs w:val="22"/>
          <w:lang w:val="en-US"/>
        </w:rPr>
      </w:pPr>
      <w:bookmarkStart w:id="5" w:name="_Toc173095117"/>
      <w:r w:rsidRPr="006B740E">
        <w:rPr>
          <w:rFonts w:ascii="Arial" w:hAnsi="Arial" w:cs="Arial"/>
          <w:sz w:val="22"/>
          <w:szCs w:val="22"/>
          <w:lang w:val="en-US"/>
        </w:rPr>
        <w:t>Reflection on Practical 2</w:t>
      </w:r>
      <w:r w:rsidR="00AE7368">
        <w:rPr>
          <w:rFonts w:ascii="Arial" w:hAnsi="Arial" w:cs="Arial"/>
          <w:sz w:val="22"/>
          <w:szCs w:val="22"/>
          <w:lang w:val="en-US"/>
        </w:rPr>
        <w:t xml:space="preserve"> </w:t>
      </w:r>
      <w:r w:rsidRPr="006B740E">
        <w:rPr>
          <w:rFonts w:ascii="Arial" w:hAnsi="Arial" w:cs="Arial"/>
          <w:sz w:val="22"/>
          <w:szCs w:val="22"/>
          <w:lang w:val="en-US"/>
        </w:rPr>
        <w:t>Using Gibbs' Reflective Cycle</w:t>
      </w:r>
      <w:bookmarkEnd w:id="5"/>
    </w:p>
    <w:p w14:paraId="28EE22A3" w14:textId="3626E6D0" w:rsidR="00B42FD2" w:rsidRDefault="00CC6565" w:rsidP="00B42FD2">
      <w:pPr>
        <w:spacing w:line="360" w:lineRule="auto"/>
        <w:ind w:firstLine="284"/>
        <w:jc w:val="both"/>
        <w:rPr>
          <w:rFonts w:ascii="Arial" w:hAnsi="Arial" w:cs="Arial"/>
        </w:rPr>
      </w:pPr>
      <w:r w:rsidRPr="00CC6565">
        <w:rPr>
          <w:rFonts w:ascii="Arial" w:hAnsi="Arial" w:cs="Arial"/>
        </w:rPr>
        <w:t xml:space="preserve">In this reflection, I explore my experience mentoring a colleague through the lens of the Johari Window model. Using Gibbs' Reflective Cycle as a guiding framework, I delve into the processes, challenges, </w:t>
      </w:r>
      <w:r w:rsidR="00B42FD2" w:rsidRPr="00B42FD2">
        <w:rPr>
          <w:rFonts w:ascii="Arial" w:hAnsi="Arial" w:cs="Arial"/>
        </w:rPr>
        <w:t>and lessons learned throughout this mentoring relationship, highlighting the significance of reciprocal knowledge exchange and transparent communication.</w:t>
      </w:r>
    </w:p>
    <w:p w14:paraId="17CB910A" w14:textId="5745B99A" w:rsidR="00030906" w:rsidRPr="007113A6" w:rsidRDefault="00030906" w:rsidP="008F2CC5">
      <w:pPr>
        <w:ind w:firstLine="284"/>
        <w:jc w:val="both"/>
        <w:rPr>
          <w:rFonts w:ascii="Arial" w:hAnsi="Arial" w:cs="Arial"/>
          <w:b/>
          <w:bCs/>
        </w:rPr>
      </w:pPr>
      <w:r w:rsidRPr="007113A6">
        <w:rPr>
          <w:rFonts w:ascii="Arial" w:hAnsi="Arial" w:cs="Arial"/>
          <w:b/>
          <w:bCs/>
        </w:rPr>
        <w:t>Description</w:t>
      </w:r>
    </w:p>
    <w:p w14:paraId="7787F04A" w14:textId="6D008E24"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In Practical 2, I was scheduled to have a peer mentoring session with Mihai, who had participated in a previous coaching session. However, Mihai did not attend, leaving me without a partner initially. During the waiting period, David volunteered to be my mentee for this session. David's goal was to secure a pay rise at work. The session was structured around providing feedback using the Johari Window as our mentoring tool. We focused specifically on the "open-self" area of the Johari Window.</w:t>
      </w:r>
    </w:p>
    <w:p w14:paraId="351A47E9" w14:textId="77777777" w:rsidR="00030906" w:rsidRPr="007113A6" w:rsidRDefault="00030906" w:rsidP="008F2CC5">
      <w:pPr>
        <w:ind w:firstLine="284"/>
        <w:jc w:val="both"/>
        <w:rPr>
          <w:rFonts w:ascii="Arial" w:hAnsi="Arial" w:cs="Arial"/>
          <w:b/>
          <w:bCs/>
        </w:rPr>
      </w:pPr>
      <w:r w:rsidRPr="007113A6">
        <w:rPr>
          <w:rFonts w:ascii="Arial" w:hAnsi="Arial" w:cs="Arial"/>
          <w:b/>
          <w:bCs/>
        </w:rPr>
        <w:lastRenderedPageBreak/>
        <w:t>Feelings</w:t>
      </w:r>
    </w:p>
    <w:p w14:paraId="4C458764"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At the outset, I felt a mix of frustration and anxiety due to Mihai's absence, as it disrupted my preparation. However, David's willingness to step in was a relief and gave me an opportunity to proceed with the session. During the mentoring, I felt engaged and optimistic about helping David achieve his goal. The use of the Johari Window, particularly focusing on the "open-self" area, made me feel confident in facilitating a productive discussion.</w:t>
      </w:r>
    </w:p>
    <w:p w14:paraId="2267E7B0" w14:textId="77777777" w:rsidR="00030906" w:rsidRPr="000830B9" w:rsidRDefault="00030906" w:rsidP="008F2CC5">
      <w:pPr>
        <w:ind w:firstLine="284"/>
        <w:jc w:val="both"/>
        <w:rPr>
          <w:rFonts w:ascii="Arial" w:hAnsi="Arial" w:cs="Arial"/>
          <w:b/>
          <w:bCs/>
        </w:rPr>
      </w:pPr>
      <w:r w:rsidRPr="000830B9">
        <w:rPr>
          <w:rFonts w:ascii="Arial" w:hAnsi="Arial" w:cs="Arial"/>
          <w:b/>
          <w:bCs/>
        </w:rPr>
        <w:t>Evaluation</w:t>
      </w:r>
    </w:p>
    <w:p w14:paraId="0730150C"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The mentoring session had both positive and negative aspects. On the positive side, David's proactive involvement made the transition smooth, and he was open to feedback. Using the Johari Window allowed us to identify and discuss his known strengths and areas for improvement, fostering a transparent and constructive dialogue. However, the unplanned change of mentee and the limited time to understand David's context posed challenges. It restricted the depth of our conversation and the comprehensiveness of the feedback provided.</w:t>
      </w:r>
    </w:p>
    <w:p w14:paraId="5AA4131F" w14:textId="77777777" w:rsidR="00030906" w:rsidRPr="000830B9" w:rsidRDefault="00030906" w:rsidP="008F2CC5">
      <w:pPr>
        <w:ind w:firstLine="284"/>
        <w:jc w:val="both"/>
        <w:rPr>
          <w:rFonts w:ascii="Arial" w:hAnsi="Arial" w:cs="Arial"/>
          <w:b/>
          <w:bCs/>
        </w:rPr>
      </w:pPr>
      <w:r w:rsidRPr="000830B9">
        <w:rPr>
          <w:rFonts w:ascii="Arial" w:hAnsi="Arial" w:cs="Arial"/>
          <w:b/>
          <w:bCs/>
        </w:rPr>
        <w:t>Analysis</w:t>
      </w:r>
    </w:p>
    <w:p w14:paraId="637E7B14" w14:textId="77777777" w:rsidR="00030906"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The Johari Window was effective in creating a shared understanding of David's strengths and weaknesses. The "open-self" area, representing traits known to both David and me, facilitated open communication and immediate feedback. This transparency is critical in mentoring as it helps build trust and encourages mentees to be receptive to feedback (Luft &amp; Ingham, 1955). However, the sudden change in mentee highlighted the importance of flexibility and the ability to quickly build rapport in mentoring relationships. A better understanding of David’s specific job context would have allowed for more tailored and actionable feedback.</w:t>
      </w:r>
    </w:p>
    <w:p w14:paraId="22F44E84" w14:textId="591E2AF1" w:rsidR="00AF55C0" w:rsidRPr="00AF55C0" w:rsidRDefault="00AF55C0" w:rsidP="008F2CC5">
      <w:pPr>
        <w:spacing w:before="100" w:beforeAutospacing="1" w:after="100" w:afterAutospacing="1" w:line="360" w:lineRule="auto"/>
        <w:ind w:firstLine="284"/>
        <w:jc w:val="both"/>
        <w:rPr>
          <w:rFonts w:ascii="Arial" w:hAnsi="Arial" w:cs="Arial"/>
          <w:b/>
          <w:bCs/>
        </w:rPr>
      </w:pPr>
      <w:r w:rsidRPr="00AF55C0">
        <w:rPr>
          <w:rFonts w:ascii="Arial" w:hAnsi="Arial" w:cs="Arial"/>
          <w:b/>
          <w:bCs/>
        </w:rPr>
        <w:t>Conclusion</w:t>
      </w:r>
    </w:p>
    <w:p w14:paraId="11DDBAAD"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From this experience, I learned the importance of being prepared for unexpected changes and the value of flexibility in mentoring. It reinforced the utility of structured tools like the Johari Window in guiding feedback sessions. In the future, I would ensure to have a backup plan for mentoring sessions and aim to quickly establish a deeper understanding of the mentee's context, even with time constraints. This would enhance the quality of the feedback and support provided.</w:t>
      </w:r>
    </w:p>
    <w:p w14:paraId="024F42E3" w14:textId="77777777" w:rsidR="00030906" w:rsidRPr="000830B9" w:rsidRDefault="00030906" w:rsidP="008F2CC5">
      <w:pPr>
        <w:ind w:firstLine="284"/>
        <w:jc w:val="both"/>
        <w:rPr>
          <w:rFonts w:ascii="Arial" w:hAnsi="Arial" w:cs="Arial"/>
          <w:b/>
          <w:bCs/>
        </w:rPr>
      </w:pPr>
      <w:r w:rsidRPr="000830B9">
        <w:rPr>
          <w:rFonts w:ascii="Arial" w:hAnsi="Arial" w:cs="Arial"/>
          <w:b/>
          <w:bCs/>
        </w:rPr>
        <w:t>Action Plan</w:t>
      </w:r>
    </w:p>
    <w:p w14:paraId="35C5AF3E"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To improve future mentoring sessions, I will:</w:t>
      </w:r>
    </w:p>
    <w:p w14:paraId="7BE0C0E1" w14:textId="77777777" w:rsidR="00030906" w:rsidRPr="006B740E"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lastRenderedPageBreak/>
        <w:t>Prepare contingency plans for potential changes in mentoring partners.</w:t>
      </w:r>
    </w:p>
    <w:p w14:paraId="78546308" w14:textId="77777777" w:rsidR="00030906" w:rsidRPr="006B740E"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t>Develop strategies for quickly building rapport and understanding the mentee’s specific needs and context.</w:t>
      </w:r>
    </w:p>
    <w:p w14:paraId="58682E4E" w14:textId="77777777" w:rsidR="00030906"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t xml:space="preserve">Continue using structured tools like the Johari Window but also incorporate additional </w:t>
      </w:r>
      <w:r w:rsidRPr="00BA0BA6">
        <w:rPr>
          <w:rFonts w:ascii="Arial" w:hAnsi="Arial" w:cs="Arial"/>
        </w:rPr>
        <w:t>frameworks as needed to provide more comprehensive support.</w:t>
      </w:r>
    </w:p>
    <w:p w14:paraId="77C6A1CF" w14:textId="77777777" w:rsidR="006F56DE" w:rsidRDefault="006F56DE" w:rsidP="006F56DE">
      <w:pPr>
        <w:spacing w:before="100" w:beforeAutospacing="1" w:after="100" w:afterAutospacing="1" w:line="360" w:lineRule="auto"/>
        <w:jc w:val="both"/>
        <w:rPr>
          <w:rFonts w:ascii="Arial" w:hAnsi="Arial" w:cs="Arial"/>
        </w:rPr>
      </w:pPr>
    </w:p>
    <w:p w14:paraId="30EA5B73" w14:textId="77777777" w:rsidR="006F56DE" w:rsidRDefault="006F56DE" w:rsidP="006F56DE">
      <w:pPr>
        <w:spacing w:before="100" w:beforeAutospacing="1" w:after="100" w:afterAutospacing="1" w:line="360" w:lineRule="auto"/>
        <w:jc w:val="both"/>
        <w:rPr>
          <w:rFonts w:ascii="Arial" w:hAnsi="Arial" w:cs="Arial"/>
        </w:rPr>
      </w:pPr>
    </w:p>
    <w:p w14:paraId="7494174F" w14:textId="77777777" w:rsidR="006F56DE" w:rsidRDefault="006F56DE" w:rsidP="006F56DE">
      <w:pPr>
        <w:spacing w:before="100" w:beforeAutospacing="1" w:after="100" w:afterAutospacing="1" w:line="360" w:lineRule="auto"/>
        <w:jc w:val="both"/>
        <w:rPr>
          <w:rFonts w:ascii="Arial" w:hAnsi="Arial" w:cs="Arial"/>
        </w:rPr>
      </w:pPr>
    </w:p>
    <w:p w14:paraId="789059B5" w14:textId="77777777" w:rsidR="006F56DE" w:rsidRDefault="006F56DE" w:rsidP="006F56DE">
      <w:pPr>
        <w:spacing w:before="100" w:beforeAutospacing="1" w:after="100" w:afterAutospacing="1" w:line="360" w:lineRule="auto"/>
        <w:jc w:val="both"/>
        <w:rPr>
          <w:rFonts w:ascii="Arial" w:hAnsi="Arial" w:cs="Arial"/>
        </w:rPr>
      </w:pPr>
    </w:p>
    <w:p w14:paraId="3FF2703B" w14:textId="77777777" w:rsidR="006F56DE" w:rsidRDefault="006F56DE" w:rsidP="006F56DE">
      <w:pPr>
        <w:spacing w:before="100" w:beforeAutospacing="1" w:after="100" w:afterAutospacing="1" w:line="360" w:lineRule="auto"/>
        <w:jc w:val="both"/>
        <w:rPr>
          <w:rFonts w:ascii="Arial" w:hAnsi="Arial" w:cs="Arial"/>
        </w:rPr>
      </w:pPr>
    </w:p>
    <w:p w14:paraId="3F6296F7" w14:textId="77777777" w:rsidR="006F56DE" w:rsidRDefault="006F56DE" w:rsidP="006F56DE">
      <w:pPr>
        <w:spacing w:before="100" w:beforeAutospacing="1" w:after="100" w:afterAutospacing="1" w:line="360" w:lineRule="auto"/>
        <w:jc w:val="both"/>
        <w:rPr>
          <w:rFonts w:ascii="Arial" w:hAnsi="Arial" w:cs="Arial"/>
        </w:rPr>
      </w:pPr>
    </w:p>
    <w:p w14:paraId="40484A1E" w14:textId="77777777" w:rsidR="006F56DE" w:rsidRDefault="006F56DE" w:rsidP="006F56DE">
      <w:pPr>
        <w:spacing w:before="100" w:beforeAutospacing="1" w:after="100" w:afterAutospacing="1" w:line="360" w:lineRule="auto"/>
        <w:jc w:val="both"/>
        <w:rPr>
          <w:rFonts w:ascii="Arial" w:hAnsi="Arial" w:cs="Arial"/>
        </w:rPr>
      </w:pPr>
    </w:p>
    <w:p w14:paraId="16AC97D2" w14:textId="77777777" w:rsidR="006F56DE" w:rsidRDefault="006F56DE" w:rsidP="006F56DE">
      <w:pPr>
        <w:spacing w:before="100" w:beforeAutospacing="1" w:after="100" w:afterAutospacing="1" w:line="360" w:lineRule="auto"/>
        <w:jc w:val="both"/>
        <w:rPr>
          <w:rFonts w:ascii="Arial" w:hAnsi="Arial" w:cs="Arial"/>
        </w:rPr>
      </w:pPr>
    </w:p>
    <w:p w14:paraId="2B3A406A" w14:textId="77777777" w:rsidR="006F56DE" w:rsidRDefault="006F56DE" w:rsidP="006F56DE">
      <w:pPr>
        <w:spacing w:before="100" w:beforeAutospacing="1" w:after="100" w:afterAutospacing="1" w:line="360" w:lineRule="auto"/>
        <w:jc w:val="both"/>
        <w:rPr>
          <w:rFonts w:ascii="Arial" w:hAnsi="Arial" w:cs="Arial"/>
        </w:rPr>
      </w:pPr>
    </w:p>
    <w:p w14:paraId="1ECB8C12" w14:textId="77777777" w:rsidR="006F56DE" w:rsidRDefault="006F56DE" w:rsidP="006F56DE">
      <w:pPr>
        <w:spacing w:before="100" w:beforeAutospacing="1" w:after="100" w:afterAutospacing="1" w:line="360" w:lineRule="auto"/>
        <w:jc w:val="both"/>
        <w:rPr>
          <w:rFonts w:ascii="Arial" w:hAnsi="Arial" w:cs="Arial"/>
        </w:rPr>
      </w:pPr>
    </w:p>
    <w:p w14:paraId="742E5CEC" w14:textId="77777777" w:rsidR="006F56DE" w:rsidRDefault="006F56DE" w:rsidP="006F56DE">
      <w:pPr>
        <w:spacing w:before="100" w:beforeAutospacing="1" w:after="100" w:afterAutospacing="1" w:line="360" w:lineRule="auto"/>
        <w:jc w:val="both"/>
        <w:rPr>
          <w:rFonts w:ascii="Arial" w:hAnsi="Arial" w:cs="Arial"/>
        </w:rPr>
      </w:pPr>
    </w:p>
    <w:p w14:paraId="227AF527" w14:textId="77777777" w:rsidR="006F56DE" w:rsidRDefault="006F56DE" w:rsidP="006F56DE">
      <w:pPr>
        <w:spacing w:before="100" w:beforeAutospacing="1" w:after="100" w:afterAutospacing="1" w:line="360" w:lineRule="auto"/>
        <w:jc w:val="both"/>
        <w:rPr>
          <w:rFonts w:ascii="Arial" w:hAnsi="Arial" w:cs="Arial"/>
        </w:rPr>
      </w:pPr>
    </w:p>
    <w:p w14:paraId="2124CD05" w14:textId="77777777" w:rsidR="006F56DE" w:rsidRDefault="006F56DE" w:rsidP="006F56DE">
      <w:pPr>
        <w:spacing w:before="100" w:beforeAutospacing="1" w:after="100" w:afterAutospacing="1" w:line="360" w:lineRule="auto"/>
        <w:jc w:val="both"/>
        <w:rPr>
          <w:rFonts w:ascii="Arial" w:hAnsi="Arial" w:cs="Arial"/>
        </w:rPr>
      </w:pPr>
    </w:p>
    <w:p w14:paraId="0EE15052" w14:textId="77777777" w:rsidR="006F56DE" w:rsidRDefault="006F56DE" w:rsidP="006F56DE">
      <w:pPr>
        <w:spacing w:before="100" w:beforeAutospacing="1" w:after="100" w:afterAutospacing="1" w:line="360" w:lineRule="auto"/>
        <w:jc w:val="both"/>
        <w:rPr>
          <w:rFonts w:ascii="Arial" w:hAnsi="Arial" w:cs="Arial"/>
        </w:rPr>
      </w:pPr>
    </w:p>
    <w:p w14:paraId="0224828C" w14:textId="77777777" w:rsidR="006F56DE" w:rsidRPr="00BA0BA6" w:rsidRDefault="006F56DE" w:rsidP="006F56DE">
      <w:pPr>
        <w:spacing w:before="100" w:beforeAutospacing="1" w:after="100" w:afterAutospacing="1" w:line="360" w:lineRule="auto"/>
        <w:jc w:val="both"/>
        <w:rPr>
          <w:rFonts w:ascii="Arial" w:hAnsi="Arial" w:cs="Arial"/>
        </w:rPr>
      </w:pPr>
    </w:p>
    <w:p w14:paraId="13224507" w14:textId="77777777" w:rsidR="00BA0BA6" w:rsidRPr="00BA0BA6" w:rsidRDefault="00BA0BA6" w:rsidP="008F2CC5">
      <w:pPr>
        <w:pStyle w:val="Heading1"/>
        <w:spacing w:line="360" w:lineRule="auto"/>
        <w:ind w:firstLine="284"/>
        <w:jc w:val="both"/>
        <w:rPr>
          <w:rFonts w:ascii="Arial" w:hAnsi="Arial" w:cs="Arial"/>
          <w:sz w:val="22"/>
          <w:szCs w:val="22"/>
          <w:lang w:val="en-US"/>
        </w:rPr>
      </w:pPr>
      <w:bookmarkStart w:id="6" w:name="_Toc173095118"/>
      <w:r w:rsidRPr="00BA0BA6">
        <w:rPr>
          <w:rFonts w:ascii="Arial" w:hAnsi="Arial" w:cs="Arial"/>
          <w:sz w:val="22"/>
          <w:szCs w:val="22"/>
          <w:lang w:val="en-US"/>
        </w:rPr>
        <w:lastRenderedPageBreak/>
        <w:t>Conclusion</w:t>
      </w:r>
      <w:bookmarkEnd w:id="6"/>
    </w:p>
    <w:p w14:paraId="24BEE6C0" w14:textId="77777777" w:rsidR="00BA0BA6" w:rsidRPr="00BA0BA6" w:rsidRDefault="00BA0BA6" w:rsidP="008F2CC5">
      <w:pPr>
        <w:pStyle w:val="ListParagraph"/>
        <w:spacing w:before="100" w:beforeAutospacing="1" w:after="100" w:afterAutospacing="1" w:line="360" w:lineRule="auto"/>
        <w:ind w:left="0" w:firstLine="284"/>
        <w:jc w:val="both"/>
        <w:rPr>
          <w:rFonts w:ascii="Arial" w:hAnsi="Arial" w:cs="Arial"/>
        </w:rPr>
      </w:pPr>
      <w:r w:rsidRPr="00BA0BA6">
        <w:rPr>
          <w:rFonts w:ascii="Arial" w:hAnsi="Arial" w:cs="Arial"/>
        </w:rPr>
        <w:t>In summary, coaching and mentoring are critical strategies for enhancing employee performance, development, and satisfaction in the workplace. Coaching is a short-term, performance-oriented process focused on specific skills, while mentoring is a long-term, relationship-based approach aimed at overall personal and professional growth. Key theories discussed include the MMM (Measurable, Manageable, and Motivational) model of coaching and the Johari Window model of mentoring, both of which provide structured frameworks for effective practice.</w:t>
      </w:r>
    </w:p>
    <w:p w14:paraId="4AA718FC" w14:textId="77777777" w:rsidR="00BA0BA6" w:rsidRPr="00BA0BA6" w:rsidRDefault="00BA0BA6" w:rsidP="008F2CC5">
      <w:pPr>
        <w:pStyle w:val="ListParagraph"/>
        <w:spacing w:before="100" w:beforeAutospacing="1" w:after="100" w:afterAutospacing="1" w:line="360" w:lineRule="auto"/>
        <w:ind w:left="0" w:firstLine="284"/>
        <w:jc w:val="both"/>
        <w:rPr>
          <w:rFonts w:ascii="Arial" w:hAnsi="Arial" w:cs="Arial"/>
        </w:rPr>
      </w:pPr>
      <w:r w:rsidRPr="00BA0BA6">
        <w:rPr>
          <w:rFonts w:ascii="Arial" w:hAnsi="Arial" w:cs="Arial"/>
        </w:rPr>
        <w:t>Reflecting on practical assessments using Gibbs' Reflective Cycle highlighted the strengths and challenges of these processes. The structured approach of the MMM model proved effective in goal setting, while the Johari Window facilitated open communication and feedback. However, the need for flexibility, deeper probing techniques, and better time management was evident.</w:t>
      </w:r>
    </w:p>
    <w:p w14:paraId="34FB723D" w14:textId="07764F18" w:rsidR="0062317B" w:rsidRDefault="00BA0BA6" w:rsidP="008F2CC5">
      <w:pPr>
        <w:pStyle w:val="ListParagraph"/>
        <w:spacing w:line="360" w:lineRule="auto"/>
        <w:ind w:left="0" w:firstLine="284"/>
        <w:jc w:val="both"/>
        <w:rPr>
          <w:rFonts w:ascii="Arial" w:hAnsi="Arial" w:cs="Arial"/>
        </w:rPr>
      </w:pPr>
      <w:r w:rsidRPr="00BA0BA6">
        <w:rPr>
          <w:rFonts w:ascii="Arial" w:hAnsi="Arial" w:cs="Arial"/>
        </w:rPr>
        <w:t>Moving forward, these experiences will inform my practice by emphasizing the balance between structure and adaptability in coaching and mentoring. I will enhance my skills in time management, questioning techniques, and contingency planning to ensure comprehensive and tailored support for employees. This approach will foster individual and organizational growth, contributing to a more engaged and productive workplace.</w:t>
      </w:r>
    </w:p>
    <w:p w14:paraId="59560A83" w14:textId="77777777" w:rsidR="007108CC" w:rsidRDefault="007108CC" w:rsidP="00BA0BA6">
      <w:pPr>
        <w:pStyle w:val="ListParagraph"/>
        <w:spacing w:line="360" w:lineRule="auto"/>
        <w:jc w:val="both"/>
        <w:rPr>
          <w:rFonts w:ascii="Arial" w:hAnsi="Arial" w:cs="Arial"/>
        </w:rPr>
      </w:pPr>
    </w:p>
    <w:p w14:paraId="7A99CCD3" w14:textId="77777777" w:rsidR="003412BF" w:rsidRDefault="003412BF" w:rsidP="00BA0BA6">
      <w:pPr>
        <w:pStyle w:val="ListParagraph"/>
        <w:spacing w:line="360" w:lineRule="auto"/>
        <w:jc w:val="both"/>
        <w:rPr>
          <w:rFonts w:ascii="Arial" w:hAnsi="Arial" w:cs="Arial"/>
        </w:rPr>
      </w:pPr>
    </w:p>
    <w:p w14:paraId="19123951" w14:textId="77777777" w:rsidR="003412BF" w:rsidRDefault="003412BF" w:rsidP="00BA0BA6">
      <w:pPr>
        <w:pStyle w:val="ListParagraph"/>
        <w:spacing w:line="360" w:lineRule="auto"/>
        <w:jc w:val="both"/>
        <w:rPr>
          <w:rFonts w:ascii="Arial" w:hAnsi="Arial" w:cs="Arial"/>
        </w:rPr>
      </w:pPr>
    </w:p>
    <w:p w14:paraId="14051CFE" w14:textId="77777777" w:rsidR="006F56DE" w:rsidRDefault="006F56DE" w:rsidP="00BA0BA6">
      <w:pPr>
        <w:pStyle w:val="ListParagraph"/>
        <w:spacing w:line="360" w:lineRule="auto"/>
        <w:jc w:val="both"/>
        <w:rPr>
          <w:rFonts w:ascii="Arial" w:hAnsi="Arial" w:cs="Arial"/>
        </w:rPr>
      </w:pPr>
    </w:p>
    <w:p w14:paraId="46A99213" w14:textId="77777777" w:rsidR="006F56DE" w:rsidRDefault="006F56DE" w:rsidP="00BA0BA6">
      <w:pPr>
        <w:pStyle w:val="ListParagraph"/>
        <w:spacing w:line="360" w:lineRule="auto"/>
        <w:jc w:val="both"/>
        <w:rPr>
          <w:rFonts w:ascii="Arial" w:hAnsi="Arial" w:cs="Arial"/>
        </w:rPr>
      </w:pPr>
    </w:p>
    <w:p w14:paraId="50860007" w14:textId="77777777" w:rsidR="006F56DE" w:rsidRDefault="006F56DE" w:rsidP="00BA0BA6">
      <w:pPr>
        <w:pStyle w:val="ListParagraph"/>
        <w:spacing w:line="360" w:lineRule="auto"/>
        <w:jc w:val="both"/>
        <w:rPr>
          <w:rFonts w:ascii="Arial" w:hAnsi="Arial" w:cs="Arial"/>
        </w:rPr>
      </w:pPr>
    </w:p>
    <w:p w14:paraId="253F6721" w14:textId="77777777" w:rsidR="006F56DE" w:rsidRDefault="006F56DE" w:rsidP="00BA0BA6">
      <w:pPr>
        <w:pStyle w:val="ListParagraph"/>
        <w:spacing w:line="360" w:lineRule="auto"/>
        <w:jc w:val="both"/>
        <w:rPr>
          <w:rFonts w:ascii="Arial" w:hAnsi="Arial" w:cs="Arial"/>
        </w:rPr>
      </w:pPr>
    </w:p>
    <w:p w14:paraId="2772E8EA" w14:textId="77777777" w:rsidR="006F56DE" w:rsidRDefault="006F56DE" w:rsidP="00BA0BA6">
      <w:pPr>
        <w:pStyle w:val="ListParagraph"/>
        <w:spacing w:line="360" w:lineRule="auto"/>
        <w:jc w:val="both"/>
        <w:rPr>
          <w:rFonts w:ascii="Arial" w:hAnsi="Arial" w:cs="Arial"/>
        </w:rPr>
      </w:pPr>
    </w:p>
    <w:p w14:paraId="5292E01B" w14:textId="77777777" w:rsidR="006F56DE" w:rsidRDefault="006F56DE" w:rsidP="00BA0BA6">
      <w:pPr>
        <w:pStyle w:val="ListParagraph"/>
        <w:spacing w:line="360" w:lineRule="auto"/>
        <w:jc w:val="both"/>
        <w:rPr>
          <w:rFonts w:ascii="Arial" w:hAnsi="Arial" w:cs="Arial"/>
        </w:rPr>
      </w:pPr>
    </w:p>
    <w:p w14:paraId="6FE1EC52" w14:textId="77777777" w:rsidR="006F56DE" w:rsidRDefault="006F56DE" w:rsidP="00BA0BA6">
      <w:pPr>
        <w:pStyle w:val="ListParagraph"/>
        <w:spacing w:line="360" w:lineRule="auto"/>
        <w:jc w:val="both"/>
        <w:rPr>
          <w:rFonts w:ascii="Arial" w:hAnsi="Arial" w:cs="Arial"/>
        </w:rPr>
      </w:pPr>
    </w:p>
    <w:p w14:paraId="0ABF5743" w14:textId="77777777" w:rsidR="006F56DE" w:rsidRDefault="006F56DE" w:rsidP="00BA0BA6">
      <w:pPr>
        <w:pStyle w:val="ListParagraph"/>
        <w:spacing w:line="360" w:lineRule="auto"/>
        <w:jc w:val="both"/>
        <w:rPr>
          <w:rFonts w:ascii="Arial" w:hAnsi="Arial" w:cs="Arial"/>
        </w:rPr>
      </w:pPr>
    </w:p>
    <w:p w14:paraId="35082B8A" w14:textId="77777777" w:rsidR="006F56DE" w:rsidRDefault="006F56DE" w:rsidP="00BA0BA6">
      <w:pPr>
        <w:pStyle w:val="ListParagraph"/>
        <w:spacing w:line="360" w:lineRule="auto"/>
        <w:jc w:val="both"/>
        <w:rPr>
          <w:rFonts w:ascii="Arial" w:hAnsi="Arial" w:cs="Arial"/>
        </w:rPr>
      </w:pPr>
    </w:p>
    <w:p w14:paraId="7CEABB0D" w14:textId="77777777" w:rsidR="006F56DE" w:rsidRDefault="006F56DE" w:rsidP="00BA0BA6">
      <w:pPr>
        <w:pStyle w:val="ListParagraph"/>
        <w:spacing w:line="360" w:lineRule="auto"/>
        <w:jc w:val="both"/>
        <w:rPr>
          <w:rFonts w:ascii="Arial" w:hAnsi="Arial" w:cs="Arial"/>
        </w:rPr>
      </w:pPr>
    </w:p>
    <w:p w14:paraId="6F2D2024" w14:textId="77777777" w:rsidR="006F56DE" w:rsidRDefault="006F56DE" w:rsidP="00BA0BA6">
      <w:pPr>
        <w:pStyle w:val="ListParagraph"/>
        <w:spacing w:line="360" w:lineRule="auto"/>
        <w:jc w:val="both"/>
        <w:rPr>
          <w:rFonts w:ascii="Arial" w:hAnsi="Arial" w:cs="Arial"/>
        </w:rPr>
      </w:pPr>
    </w:p>
    <w:p w14:paraId="07708EB1" w14:textId="77777777" w:rsidR="006F56DE" w:rsidRDefault="006F56DE" w:rsidP="00BA0BA6">
      <w:pPr>
        <w:pStyle w:val="ListParagraph"/>
        <w:spacing w:line="360" w:lineRule="auto"/>
        <w:jc w:val="both"/>
        <w:rPr>
          <w:rFonts w:ascii="Arial" w:hAnsi="Arial" w:cs="Arial"/>
        </w:rPr>
      </w:pPr>
    </w:p>
    <w:p w14:paraId="036A9F37" w14:textId="731110FA" w:rsidR="007108CC" w:rsidRPr="00EB600C" w:rsidRDefault="00ED03C7" w:rsidP="000830B9">
      <w:pPr>
        <w:pStyle w:val="Heading1"/>
        <w:rPr>
          <w:rFonts w:ascii="Arial" w:hAnsi="Arial" w:cs="Arial"/>
          <w:sz w:val="22"/>
          <w:szCs w:val="22"/>
        </w:rPr>
      </w:pPr>
      <w:bookmarkStart w:id="7" w:name="_Toc173095119"/>
      <w:r w:rsidRPr="00EB600C">
        <w:rPr>
          <w:rFonts w:ascii="Arial" w:hAnsi="Arial" w:cs="Arial"/>
          <w:sz w:val="22"/>
          <w:szCs w:val="22"/>
        </w:rPr>
        <w:lastRenderedPageBreak/>
        <w:t>References</w:t>
      </w:r>
      <w:bookmarkEnd w:id="7"/>
    </w:p>
    <w:p w14:paraId="1D57BF4C" w14:textId="77777777" w:rsidR="00ED03C7" w:rsidRDefault="00ED03C7" w:rsidP="00ED03C7">
      <w:pPr>
        <w:spacing w:before="100" w:beforeAutospacing="1" w:after="100" w:afterAutospacing="1"/>
        <w:rPr>
          <w:sz w:val="24"/>
          <w:szCs w:val="24"/>
        </w:rPr>
      </w:pPr>
      <w:r>
        <w:rPr>
          <w:sz w:val="24"/>
          <w:szCs w:val="24"/>
        </w:rPr>
        <w:t xml:space="preserve">Bluckert, P., 2006. </w:t>
      </w:r>
      <w:r>
        <w:rPr>
          <w:i/>
          <w:iCs/>
          <w:sz w:val="24"/>
          <w:szCs w:val="24"/>
        </w:rPr>
        <w:t>Psychological Dimensions of Executive Coaching</w:t>
      </w:r>
      <w:r>
        <w:rPr>
          <w:sz w:val="24"/>
          <w:szCs w:val="24"/>
        </w:rPr>
        <w:t>. Open University Press.</w:t>
      </w:r>
    </w:p>
    <w:p w14:paraId="4A5299C8" w14:textId="77777777" w:rsidR="00ED03C7" w:rsidRDefault="00ED03C7" w:rsidP="00ED03C7">
      <w:pPr>
        <w:spacing w:before="100" w:beforeAutospacing="1" w:after="100" w:afterAutospacing="1"/>
        <w:rPr>
          <w:sz w:val="24"/>
          <w:szCs w:val="24"/>
        </w:rPr>
      </w:pPr>
      <w:r>
        <w:rPr>
          <w:sz w:val="24"/>
          <w:szCs w:val="24"/>
        </w:rPr>
        <w:t xml:space="preserve">Brown, L., 2020. </w:t>
      </w:r>
      <w:r>
        <w:rPr>
          <w:i/>
          <w:iCs/>
          <w:sz w:val="24"/>
          <w:szCs w:val="24"/>
        </w:rPr>
        <w:t>The Motivational Aspect of Coaching: Strategies for Success</w:t>
      </w:r>
      <w:r>
        <w:rPr>
          <w:sz w:val="24"/>
          <w:szCs w:val="24"/>
        </w:rPr>
        <w:t>. Academic Press.</w:t>
      </w:r>
    </w:p>
    <w:p w14:paraId="5DE258F5" w14:textId="77777777" w:rsidR="00ED03C7" w:rsidRDefault="00ED03C7" w:rsidP="00ED03C7">
      <w:pPr>
        <w:spacing w:before="100" w:beforeAutospacing="1" w:after="100" w:afterAutospacing="1"/>
        <w:rPr>
          <w:sz w:val="24"/>
          <w:szCs w:val="24"/>
        </w:rPr>
      </w:pPr>
      <w:r>
        <w:rPr>
          <w:sz w:val="24"/>
          <w:szCs w:val="24"/>
        </w:rPr>
        <w:t xml:space="preserve">Clutterbuck, D., 2004. </w:t>
      </w:r>
      <w:r>
        <w:rPr>
          <w:i/>
          <w:iCs/>
          <w:sz w:val="24"/>
          <w:szCs w:val="24"/>
        </w:rPr>
        <w:t>Everyone Needs a Mentor: Fostering Talent in Your Organisation</w:t>
      </w:r>
      <w:r>
        <w:rPr>
          <w:sz w:val="24"/>
          <w:szCs w:val="24"/>
        </w:rPr>
        <w:t>. Chartered Institute of Personnel and Development.</w:t>
      </w:r>
    </w:p>
    <w:p w14:paraId="4F7B9DE6" w14:textId="77777777" w:rsidR="00ED03C7" w:rsidRDefault="00ED03C7" w:rsidP="00ED03C7">
      <w:pPr>
        <w:spacing w:before="100" w:beforeAutospacing="1" w:after="100" w:afterAutospacing="1"/>
        <w:rPr>
          <w:sz w:val="24"/>
          <w:szCs w:val="24"/>
        </w:rPr>
      </w:pPr>
      <w:r>
        <w:rPr>
          <w:sz w:val="24"/>
          <w:szCs w:val="24"/>
        </w:rPr>
        <w:t xml:space="preserve">Clutterbuck, D., 2005. Establishing and maintaining mentoring relationships: An overview of mentor and mentee competencies. </w:t>
      </w:r>
      <w:r>
        <w:rPr>
          <w:i/>
          <w:iCs/>
          <w:sz w:val="24"/>
          <w:szCs w:val="24"/>
        </w:rPr>
        <w:t>Journal of Human Resource Management</w:t>
      </w:r>
      <w:r>
        <w:rPr>
          <w:sz w:val="24"/>
          <w:szCs w:val="24"/>
        </w:rPr>
        <w:t>, 16(2), pp.142-143.</w:t>
      </w:r>
    </w:p>
    <w:p w14:paraId="546553CD" w14:textId="77777777" w:rsidR="00ED03C7" w:rsidRDefault="00ED03C7" w:rsidP="00ED03C7">
      <w:pPr>
        <w:spacing w:before="100" w:beforeAutospacing="1" w:after="100" w:afterAutospacing="1"/>
        <w:rPr>
          <w:sz w:val="24"/>
          <w:szCs w:val="24"/>
        </w:rPr>
      </w:pPr>
      <w:r>
        <w:rPr>
          <w:sz w:val="24"/>
          <w:szCs w:val="24"/>
        </w:rPr>
        <w:t xml:space="preserve">Clutterbuck, D., 2007. </w:t>
      </w:r>
      <w:r>
        <w:rPr>
          <w:i/>
          <w:iCs/>
          <w:sz w:val="24"/>
          <w:szCs w:val="24"/>
        </w:rPr>
        <w:t>Coaching the Team at Work</w:t>
      </w:r>
      <w:r>
        <w:rPr>
          <w:sz w:val="24"/>
          <w:szCs w:val="24"/>
        </w:rPr>
        <w:t>. London: Nicholas Brealey Publishing.</w:t>
      </w:r>
    </w:p>
    <w:p w14:paraId="4E4CB1BE" w14:textId="77777777" w:rsidR="00ED03C7" w:rsidRDefault="00ED03C7" w:rsidP="00ED03C7">
      <w:pPr>
        <w:spacing w:before="100" w:beforeAutospacing="1" w:after="100" w:afterAutospacing="1"/>
        <w:rPr>
          <w:sz w:val="24"/>
          <w:szCs w:val="24"/>
        </w:rPr>
      </w:pPr>
      <w:r>
        <w:rPr>
          <w:sz w:val="24"/>
          <w:szCs w:val="24"/>
        </w:rPr>
        <w:t xml:space="preserve">Davis, K., 2022. Understanding Motivation in Coaching. </w:t>
      </w:r>
      <w:r>
        <w:rPr>
          <w:i/>
          <w:iCs/>
          <w:sz w:val="24"/>
          <w:szCs w:val="24"/>
        </w:rPr>
        <w:t>Coaching Today</w:t>
      </w:r>
      <w:r>
        <w:rPr>
          <w:sz w:val="24"/>
          <w:szCs w:val="24"/>
        </w:rPr>
        <w:t>, 12(3), pp.34-45.</w:t>
      </w:r>
    </w:p>
    <w:p w14:paraId="6F4BB0CB" w14:textId="77777777" w:rsidR="00ED03C7" w:rsidRDefault="00ED03C7" w:rsidP="00ED03C7">
      <w:pPr>
        <w:spacing w:before="100" w:beforeAutospacing="1" w:after="100" w:afterAutospacing="1"/>
        <w:rPr>
          <w:sz w:val="24"/>
          <w:szCs w:val="24"/>
        </w:rPr>
      </w:pPr>
      <w:r>
        <w:rPr>
          <w:sz w:val="24"/>
          <w:szCs w:val="24"/>
        </w:rPr>
        <w:t xml:space="preserve">Garvey, B., Stokes, P. and Megginson, D., 2017. </w:t>
      </w:r>
      <w:r>
        <w:rPr>
          <w:i/>
          <w:iCs/>
          <w:sz w:val="24"/>
          <w:szCs w:val="24"/>
        </w:rPr>
        <w:t>Coaching and Mentoring: Theory and Practice</w:t>
      </w:r>
      <w:r>
        <w:rPr>
          <w:sz w:val="24"/>
          <w:szCs w:val="24"/>
        </w:rPr>
        <w:t>. 3rd ed. London: Sage Publications.</w:t>
      </w:r>
    </w:p>
    <w:p w14:paraId="45CA55BB" w14:textId="77777777" w:rsidR="00ED03C7" w:rsidRDefault="00ED03C7" w:rsidP="00ED03C7">
      <w:pPr>
        <w:spacing w:before="100" w:beforeAutospacing="1" w:after="100" w:afterAutospacing="1"/>
        <w:rPr>
          <w:sz w:val="24"/>
          <w:szCs w:val="24"/>
        </w:rPr>
      </w:pPr>
      <w:r>
        <w:rPr>
          <w:sz w:val="24"/>
          <w:szCs w:val="24"/>
        </w:rPr>
        <w:t xml:space="preserve">Gibbs, G., 1988. </w:t>
      </w:r>
      <w:r>
        <w:rPr>
          <w:i/>
          <w:iCs/>
          <w:sz w:val="24"/>
          <w:szCs w:val="24"/>
        </w:rPr>
        <w:t>Learning by Doing: A Guide to Teaching and Learning Methods</w:t>
      </w:r>
      <w:r>
        <w:rPr>
          <w:sz w:val="24"/>
          <w:szCs w:val="24"/>
        </w:rPr>
        <w:t>. Oxford Polytechnic: Further Education Unit.</w:t>
      </w:r>
    </w:p>
    <w:p w14:paraId="7E47B5AE" w14:textId="77777777" w:rsidR="00ED03C7" w:rsidRDefault="00ED03C7" w:rsidP="00ED03C7">
      <w:pPr>
        <w:spacing w:before="100" w:beforeAutospacing="1" w:after="100" w:afterAutospacing="1"/>
        <w:rPr>
          <w:sz w:val="24"/>
          <w:szCs w:val="24"/>
        </w:rPr>
      </w:pPr>
      <w:r>
        <w:rPr>
          <w:sz w:val="24"/>
          <w:szCs w:val="24"/>
        </w:rPr>
        <w:t xml:space="preserve">Jones, P., 2021. Effective Coaching Practices in Corporate Settings. </w:t>
      </w:r>
      <w:r>
        <w:rPr>
          <w:i/>
          <w:iCs/>
          <w:sz w:val="24"/>
          <w:szCs w:val="24"/>
        </w:rPr>
        <w:t>Business Management Journal</w:t>
      </w:r>
      <w:r>
        <w:rPr>
          <w:sz w:val="24"/>
          <w:szCs w:val="24"/>
        </w:rPr>
        <w:t>, 45(2), pp.123-135.</w:t>
      </w:r>
    </w:p>
    <w:p w14:paraId="2011D0BE" w14:textId="77777777" w:rsidR="00ED03C7" w:rsidRDefault="00ED03C7" w:rsidP="00ED03C7">
      <w:pPr>
        <w:spacing w:before="100" w:beforeAutospacing="1" w:after="100" w:afterAutospacing="1"/>
        <w:rPr>
          <w:sz w:val="24"/>
          <w:szCs w:val="24"/>
        </w:rPr>
      </w:pPr>
      <w:r>
        <w:rPr>
          <w:sz w:val="24"/>
          <w:szCs w:val="24"/>
        </w:rPr>
        <w:t xml:space="preserve">Kram, K.E., 1985. </w:t>
      </w:r>
      <w:r>
        <w:rPr>
          <w:i/>
          <w:iCs/>
          <w:sz w:val="24"/>
          <w:szCs w:val="24"/>
        </w:rPr>
        <w:t>Mentoring at Work: Developmental Relationships in Organizational Life</w:t>
      </w:r>
      <w:r>
        <w:rPr>
          <w:sz w:val="24"/>
          <w:szCs w:val="24"/>
        </w:rPr>
        <w:t>. Glenview, IL: Scott, Foresman and Company.</w:t>
      </w:r>
    </w:p>
    <w:p w14:paraId="6681DEAA" w14:textId="77777777" w:rsidR="00ED03C7" w:rsidRDefault="00ED03C7" w:rsidP="00ED03C7">
      <w:pPr>
        <w:spacing w:before="100" w:beforeAutospacing="1" w:after="100" w:afterAutospacing="1"/>
        <w:rPr>
          <w:sz w:val="24"/>
          <w:szCs w:val="24"/>
        </w:rPr>
      </w:pPr>
      <w:r>
        <w:rPr>
          <w:sz w:val="24"/>
          <w:szCs w:val="24"/>
        </w:rPr>
        <w:t xml:space="preserve">Luft, J. and Ingham, H., 1955. The Johari Window, a graphic model of interpersonal awareness. </w:t>
      </w:r>
      <w:r>
        <w:rPr>
          <w:i/>
          <w:iCs/>
          <w:sz w:val="24"/>
          <w:szCs w:val="24"/>
        </w:rPr>
        <w:t>Proceedings of the Western Training Laboratory in Group Development</w:t>
      </w:r>
      <w:r>
        <w:rPr>
          <w:sz w:val="24"/>
          <w:szCs w:val="24"/>
        </w:rPr>
        <w:t>. Los Angeles: UCLA.</w:t>
      </w:r>
    </w:p>
    <w:p w14:paraId="1F481134" w14:textId="77777777" w:rsidR="00ED03C7" w:rsidRDefault="00ED03C7" w:rsidP="00ED03C7">
      <w:pPr>
        <w:spacing w:before="100" w:beforeAutospacing="1" w:after="100" w:afterAutospacing="1"/>
        <w:rPr>
          <w:sz w:val="24"/>
          <w:szCs w:val="24"/>
        </w:rPr>
      </w:pPr>
      <w:r>
        <w:rPr>
          <w:sz w:val="24"/>
          <w:szCs w:val="24"/>
        </w:rPr>
        <w:t xml:space="preserve">Miller, R., 2021. Challenging the Boundaries: When Manageability Limits Potential. </w:t>
      </w:r>
      <w:r>
        <w:rPr>
          <w:i/>
          <w:iCs/>
          <w:sz w:val="24"/>
          <w:szCs w:val="24"/>
        </w:rPr>
        <w:t>Leadership and Coaching Review</w:t>
      </w:r>
      <w:r>
        <w:rPr>
          <w:sz w:val="24"/>
          <w:szCs w:val="24"/>
        </w:rPr>
        <w:t>, 19(1), pp.89-101.</w:t>
      </w:r>
    </w:p>
    <w:p w14:paraId="2AC8AB85" w14:textId="77777777" w:rsidR="00ED03C7" w:rsidRDefault="00ED03C7" w:rsidP="00ED03C7">
      <w:pPr>
        <w:spacing w:before="100" w:beforeAutospacing="1" w:after="100" w:afterAutospacing="1"/>
        <w:rPr>
          <w:sz w:val="24"/>
          <w:szCs w:val="24"/>
        </w:rPr>
      </w:pPr>
      <w:r>
        <w:rPr>
          <w:sz w:val="24"/>
          <w:szCs w:val="24"/>
        </w:rPr>
        <w:t xml:space="preserve">Passmore, J., 2010. </w:t>
      </w:r>
      <w:r>
        <w:rPr>
          <w:i/>
          <w:iCs/>
          <w:sz w:val="24"/>
          <w:szCs w:val="24"/>
        </w:rPr>
        <w:t>Excellence in Coaching: The Industry Guide</w:t>
      </w:r>
      <w:r>
        <w:rPr>
          <w:sz w:val="24"/>
          <w:szCs w:val="24"/>
        </w:rPr>
        <w:t>. 2nd ed. London: Kogan Page.</w:t>
      </w:r>
    </w:p>
    <w:p w14:paraId="6F68C68F" w14:textId="77777777" w:rsidR="00ED03C7" w:rsidRDefault="00ED03C7" w:rsidP="00ED03C7">
      <w:pPr>
        <w:spacing w:before="100" w:beforeAutospacing="1" w:after="100" w:afterAutospacing="1"/>
        <w:rPr>
          <w:sz w:val="24"/>
          <w:szCs w:val="24"/>
        </w:rPr>
      </w:pPr>
      <w:r>
        <w:rPr>
          <w:sz w:val="24"/>
          <w:szCs w:val="24"/>
        </w:rPr>
        <w:t xml:space="preserve">Smith, A., 2022. Measurability in Coaching: Benefits and Challenges. </w:t>
      </w:r>
      <w:r>
        <w:rPr>
          <w:i/>
          <w:iCs/>
          <w:sz w:val="24"/>
          <w:szCs w:val="24"/>
        </w:rPr>
        <w:t>Coaching Quarterly</w:t>
      </w:r>
      <w:r>
        <w:rPr>
          <w:sz w:val="24"/>
          <w:szCs w:val="24"/>
        </w:rPr>
        <w:t>, 33(4), pp.56-67.</w:t>
      </w:r>
    </w:p>
    <w:p w14:paraId="21965376" w14:textId="77777777" w:rsidR="00ED03C7" w:rsidRDefault="00ED03C7" w:rsidP="00ED03C7">
      <w:pPr>
        <w:spacing w:before="100" w:beforeAutospacing="1" w:after="100" w:afterAutospacing="1"/>
        <w:rPr>
          <w:sz w:val="24"/>
          <w:szCs w:val="24"/>
        </w:rPr>
      </w:pPr>
      <w:r>
        <w:rPr>
          <w:sz w:val="24"/>
          <w:szCs w:val="24"/>
        </w:rPr>
        <w:t xml:space="preserve">Smith, J., 2022. Coaching Essentials: Setting Goals that Work. </w:t>
      </w:r>
      <w:r>
        <w:rPr>
          <w:i/>
          <w:iCs/>
          <w:sz w:val="24"/>
          <w:szCs w:val="24"/>
        </w:rPr>
        <w:t>Coaching Journal</w:t>
      </w:r>
      <w:r>
        <w:rPr>
          <w:sz w:val="24"/>
          <w:szCs w:val="24"/>
        </w:rPr>
        <w:t>, 15(3), pp.45-59.</w:t>
      </w:r>
    </w:p>
    <w:p w14:paraId="1F0CA4EB" w14:textId="77777777" w:rsidR="00ED03C7" w:rsidRDefault="00ED03C7" w:rsidP="00ED03C7">
      <w:pPr>
        <w:spacing w:before="100" w:beforeAutospacing="1" w:after="100" w:afterAutospacing="1"/>
        <w:rPr>
          <w:sz w:val="24"/>
          <w:szCs w:val="24"/>
        </w:rPr>
      </w:pPr>
      <w:r>
        <w:rPr>
          <w:sz w:val="24"/>
          <w:szCs w:val="24"/>
        </w:rPr>
        <w:lastRenderedPageBreak/>
        <w:t xml:space="preserve">Taylor, J., 2022. Beyond Numbers: Qualitative Growth in Coaching. </w:t>
      </w:r>
      <w:r>
        <w:rPr>
          <w:i/>
          <w:iCs/>
          <w:sz w:val="24"/>
          <w:szCs w:val="24"/>
        </w:rPr>
        <w:t>Journal of Personal Development</w:t>
      </w:r>
      <w:r>
        <w:rPr>
          <w:sz w:val="24"/>
          <w:szCs w:val="24"/>
        </w:rPr>
        <w:t>, 29(2), pp.78-90.</w:t>
      </w:r>
    </w:p>
    <w:p w14:paraId="431F970C" w14:textId="77777777" w:rsidR="00ED03C7" w:rsidRDefault="00ED03C7" w:rsidP="00ED03C7">
      <w:pPr>
        <w:spacing w:before="100" w:beforeAutospacing="1" w:after="100" w:afterAutospacing="1"/>
        <w:rPr>
          <w:sz w:val="24"/>
          <w:szCs w:val="24"/>
        </w:rPr>
      </w:pPr>
      <w:r>
        <w:rPr>
          <w:sz w:val="24"/>
          <w:szCs w:val="24"/>
        </w:rPr>
        <w:t xml:space="preserve">Whitmore, J., 2009. </w:t>
      </w:r>
      <w:r>
        <w:rPr>
          <w:i/>
          <w:iCs/>
          <w:sz w:val="24"/>
          <w:szCs w:val="24"/>
        </w:rPr>
        <w:t>Coaching for Performance: GROWing Human Potential and Purpose</w:t>
      </w:r>
      <w:r>
        <w:rPr>
          <w:sz w:val="24"/>
          <w:szCs w:val="24"/>
        </w:rPr>
        <w:t>. 4th ed. Nicholas Brealey Publishing.</w:t>
      </w:r>
    </w:p>
    <w:p w14:paraId="2DF292BC" w14:textId="77777777" w:rsidR="00ED03C7" w:rsidRDefault="00ED03C7" w:rsidP="00ED03C7">
      <w:pPr>
        <w:spacing w:before="100" w:beforeAutospacing="1" w:after="100" w:afterAutospacing="1"/>
        <w:rPr>
          <w:sz w:val="24"/>
          <w:szCs w:val="24"/>
        </w:rPr>
      </w:pPr>
      <w:r>
        <w:rPr>
          <w:sz w:val="24"/>
          <w:szCs w:val="24"/>
        </w:rPr>
        <w:t xml:space="preserve">Whitmore, J., 2017. </w:t>
      </w:r>
      <w:r>
        <w:rPr>
          <w:i/>
          <w:iCs/>
          <w:sz w:val="24"/>
          <w:szCs w:val="24"/>
        </w:rPr>
        <w:t>Coaching for Performance: Growing Human Potential and Purpose: The Principles and Practice of Coaching and Leadership</w:t>
      </w:r>
      <w:r>
        <w:rPr>
          <w:sz w:val="24"/>
          <w:szCs w:val="24"/>
        </w:rPr>
        <w:t>. 5th ed. Boston: Nicholas Brealey Publishing.</w:t>
      </w:r>
    </w:p>
    <w:p w14:paraId="4DF3F4F0" w14:textId="77777777" w:rsidR="00ED03C7" w:rsidRDefault="00ED03C7" w:rsidP="00ED03C7">
      <w:pPr>
        <w:spacing w:before="100" w:beforeAutospacing="1" w:after="100" w:afterAutospacing="1"/>
        <w:rPr>
          <w:sz w:val="24"/>
          <w:szCs w:val="24"/>
        </w:rPr>
      </w:pPr>
      <w:r>
        <w:rPr>
          <w:sz w:val="24"/>
          <w:szCs w:val="24"/>
        </w:rPr>
        <w:t xml:space="preserve">Whitmore, J., 2017. </w:t>
      </w:r>
      <w:r>
        <w:rPr>
          <w:i/>
          <w:iCs/>
          <w:sz w:val="24"/>
          <w:szCs w:val="24"/>
        </w:rPr>
        <w:t>Coaching for Performance: The Principles and Practice of Coaching and Leadership</w:t>
      </w:r>
      <w:r>
        <w:rPr>
          <w:sz w:val="24"/>
          <w:szCs w:val="24"/>
        </w:rPr>
        <w:t>. 5th ed. Nicholas Brealey Publishing.</w:t>
      </w:r>
    </w:p>
    <w:p w14:paraId="23086F56" w14:textId="77777777" w:rsidR="00ED03C7" w:rsidRDefault="00ED03C7" w:rsidP="00ED03C7">
      <w:pPr>
        <w:spacing w:before="100" w:beforeAutospacing="1" w:after="100" w:afterAutospacing="1"/>
        <w:rPr>
          <w:sz w:val="24"/>
          <w:szCs w:val="24"/>
        </w:rPr>
      </w:pPr>
      <w:r>
        <w:rPr>
          <w:sz w:val="24"/>
          <w:szCs w:val="24"/>
        </w:rPr>
        <w:t xml:space="preserve">Williams, S., 2023. Accountability in Coaching: The Role of Measurable Goals. </w:t>
      </w:r>
      <w:r>
        <w:rPr>
          <w:i/>
          <w:iCs/>
          <w:sz w:val="24"/>
          <w:szCs w:val="24"/>
        </w:rPr>
        <w:t>Coaching Perspectives</w:t>
      </w:r>
      <w:r>
        <w:rPr>
          <w:sz w:val="24"/>
          <w:szCs w:val="24"/>
        </w:rPr>
        <w:t>, 11(1), pp.102-115.</w:t>
      </w:r>
    </w:p>
    <w:p w14:paraId="12D6897A" w14:textId="77777777" w:rsidR="007108CC" w:rsidRDefault="007108CC" w:rsidP="00BA0BA6">
      <w:pPr>
        <w:pStyle w:val="ListParagraph"/>
        <w:spacing w:line="360" w:lineRule="auto"/>
        <w:jc w:val="both"/>
        <w:rPr>
          <w:rFonts w:ascii="Arial" w:hAnsi="Arial" w:cs="Arial"/>
        </w:rPr>
      </w:pPr>
    </w:p>
    <w:p w14:paraId="7488853B" w14:textId="77777777" w:rsidR="007108CC" w:rsidRPr="00BA0BA6" w:rsidRDefault="007108CC" w:rsidP="007108CC">
      <w:pPr>
        <w:pStyle w:val="ListParagraph"/>
        <w:spacing w:line="360" w:lineRule="auto"/>
        <w:ind w:left="0"/>
        <w:jc w:val="both"/>
        <w:rPr>
          <w:rFonts w:ascii="Arial" w:hAnsi="Arial" w:cs="Arial"/>
        </w:rPr>
      </w:pPr>
    </w:p>
    <w:sectPr w:rsidR="007108CC" w:rsidRPr="00BA0BA6" w:rsidSect="00AC79B5">
      <w:pgSz w:w="12240" w:h="15840"/>
      <w:pgMar w:top="1440" w:right="1440" w:bottom="1135"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D3F34"/>
    <w:multiLevelType w:val="multilevel"/>
    <w:tmpl w:val="ED0E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02D60"/>
    <w:multiLevelType w:val="multilevel"/>
    <w:tmpl w:val="F8C64D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EF26B63"/>
    <w:multiLevelType w:val="multilevel"/>
    <w:tmpl w:val="088E9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BB0A3A"/>
    <w:multiLevelType w:val="multilevel"/>
    <w:tmpl w:val="05445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52668"/>
    <w:multiLevelType w:val="multilevel"/>
    <w:tmpl w:val="1AD273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D134281"/>
    <w:multiLevelType w:val="multilevel"/>
    <w:tmpl w:val="407C2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34EC3"/>
    <w:multiLevelType w:val="multilevel"/>
    <w:tmpl w:val="BDA4C5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9FE479C"/>
    <w:multiLevelType w:val="multilevel"/>
    <w:tmpl w:val="E94822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DD5A97"/>
    <w:multiLevelType w:val="multilevel"/>
    <w:tmpl w:val="4E14B6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5A81DC9"/>
    <w:multiLevelType w:val="multilevel"/>
    <w:tmpl w:val="C7187F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83C1CA2"/>
    <w:multiLevelType w:val="multilevel"/>
    <w:tmpl w:val="630AF1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8DF7CCE"/>
    <w:multiLevelType w:val="multilevel"/>
    <w:tmpl w:val="8DFEC63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6D146455"/>
    <w:multiLevelType w:val="multilevel"/>
    <w:tmpl w:val="A858E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A66C7"/>
    <w:multiLevelType w:val="multilevel"/>
    <w:tmpl w:val="5B74D0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2E013B"/>
    <w:multiLevelType w:val="multilevel"/>
    <w:tmpl w:val="A5C029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241401107">
    <w:abstractNumId w:val="3"/>
  </w:num>
  <w:num w:numId="2" w16cid:durableId="168559003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521918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9170569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8986214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96019223">
    <w:abstractNumId w:val="5"/>
  </w:num>
  <w:num w:numId="7" w16cid:durableId="2013802051">
    <w:abstractNumId w:val="0"/>
    <w:lvlOverride w:ilvl="0"/>
    <w:lvlOverride w:ilvl="1"/>
    <w:lvlOverride w:ilvl="2"/>
    <w:lvlOverride w:ilvl="3"/>
    <w:lvlOverride w:ilvl="4"/>
    <w:lvlOverride w:ilvl="5"/>
    <w:lvlOverride w:ilvl="6"/>
    <w:lvlOverride w:ilvl="7"/>
    <w:lvlOverride w:ilvl="8"/>
  </w:num>
  <w:num w:numId="8" w16cid:durableId="571817937">
    <w:abstractNumId w:val="12"/>
    <w:lvlOverride w:ilvl="0"/>
    <w:lvlOverride w:ilvl="1"/>
    <w:lvlOverride w:ilvl="2"/>
    <w:lvlOverride w:ilvl="3"/>
    <w:lvlOverride w:ilvl="4"/>
    <w:lvlOverride w:ilvl="5"/>
    <w:lvlOverride w:ilvl="6"/>
    <w:lvlOverride w:ilvl="7"/>
    <w:lvlOverride w:ilvl="8"/>
  </w:num>
  <w:num w:numId="9" w16cid:durableId="1268194298">
    <w:abstractNumId w:val="2"/>
    <w:lvlOverride w:ilvl="0"/>
    <w:lvlOverride w:ilvl="1"/>
    <w:lvlOverride w:ilvl="2"/>
    <w:lvlOverride w:ilvl="3"/>
    <w:lvlOverride w:ilvl="4"/>
    <w:lvlOverride w:ilvl="5"/>
    <w:lvlOverride w:ilvl="6"/>
    <w:lvlOverride w:ilvl="7"/>
    <w:lvlOverride w:ilvl="8"/>
  </w:num>
  <w:num w:numId="10" w16cid:durableId="136736878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0782109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9137730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6171478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58474487">
    <w:abstractNumId w:val="7"/>
    <w:lvlOverride w:ilvl="0"/>
    <w:lvlOverride w:ilvl="1"/>
    <w:lvlOverride w:ilvl="2"/>
    <w:lvlOverride w:ilvl="3"/>
    <w:lvlOverride w:ilvl="4"/>
    <w:lvlOverride w:ilvl="5"/>
    <w:lvlOverride w:ilvl="6"/>
    <w:lvlOverride w:ilvl="7"/>
    <w:lvlOverride w:ilvl="8"/>
  </w:num>
  <w:num w:numId="15" w16cid:durableId="1499073174">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8F"/>
    <w:rsid w:val="00023F9E"/>
    <w:rsid w:val="00030906"/>
    <w:rsid w:val="0007448F"/>
    <w:rsid w:val="00077008"/>
    <w:rsid w:val="000830B9"/>
    <w:rsid w:val="00093DCB"/>
    <w:rsid w:val="000E3740"/>
    <w:rsid w:val="001757EA"/>
    <w:rsid w:val="00176935"/>
    <w:rsid w:val="001E1393"/>
    <w:rsid w:val="00204D8A"/>
    <w:rsid w:val="00251396"/>
    <w:rsid w:val="00257559"/>
    <w:rsid w:val="00271792"/>
    <w:rsid w:val="002B20EB"/>
    <w:rsid w:val="002C62A6"/>
    <w:rsid w:val="003412BF"/>
    <w:rsid w:val="00357DF2"/>
    <w:rsid w:val="003E2351"/>
    <w:rsid w:val="003F4484"/>
    <w:rsid w:val="00407724"/>
    <w:rsid w:val="004616FD"/>
    <w:rsid w:val="00462C39"/>
    <w:rsid w:val="004A25BA"/>
    <w:rsid w:val="004B7D02"/>
    <w:rsid w:val="00511635"/>
    <w:rsid w:val="00520A95"/>
    <w:rsid w:val="00523E44"/>
    <w:rsid w:val="00534D60"/>
    <w:rsid w:val="005D5B14"/>
    <w:rsid w:val="005E091F"/>
    <w:rsid w:val="0062317B"/>
    <w:rsid w:val="00631D78"/>
    <w:rsid w:val="00657D78"/>
    <w:rsid w:val="006B740E"/>
    <w:rsid w:val="006C15A1"/>
    <w:rsid w:val="006F56DE"/>
    <w:rsid w:val="007108CC"/>
    <w:rsid w:val="007113A6"/>
    <w:rsid w:val="0075788F"/>
    <w:rsid w:val="00762D18"/>
    <w:rsid w:val="00854462"/>
    <w:rsid w:val="00890E86"/>
    <w:rsid w:val="008F2CC5"/>
    <w:rsid w:val="008F40EA"/>
    <w:rsid w:val="00925F18"/>
    <w:rsid w:val="0097344A"/>
    <w:rsid w:val="009C51F0"/>
    <w:rsid w:val="009F0902"/>
    <w:rsid w:val="009F6E97"/>
    <w:rsid w:val="00AC79B5"/>
    <w:rsid w:val="00AD732F"/>
    <w:rsid w:val="00AE51B8"/>
    <w:rsid w:val="00AE7368"/>
    <w:rsid w:val="00AF55C0"/>
    <w:rsid w:val="00B42FD2"/>
    <w:rsid w:val="00B53C58"/>
    <w:rsid w:val="00BA0BA6"/>
    <w:rsid w:val="00C1159C"/>
    <w:rsid w:val="00C1425D"/>
    <w:rsid w:val="00C15C96"/>
    <w:rsid w:val="00CC6565"/>
    <w:rsid w:val="00CF247C"/>
    <w:rsid w:val="00CF4133"/>
    <w:rsid w:val="00DD343A"/>
    <w:rsid w:val="00E05055"/>
    <w:rsid w:val="00E20F6B"/>
    <w:rsid w:val="00E6454E"/>
    <w:rsid w:val="00E77866"/>
    <w:rsid w:val="00E95FF2"/>
    <w:rsid w:val="00EB600C"/>
    <w:rsid w:val="00ED03C7"/>
    <w:rsid w:val="00F6615A"/>
    <w:rsid w:val="00F72855"/>
    <w:rsid w:val="00FB544A"/>
    <w:rsid w:val="00FC433A"/>
    <w:rsid w:val="00FC4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8DA7A"/>
  <w15:chartTrackingRefBased/>
  <w15:docId w15:val="{A2981EAE-D095-4645-935A-64BA90C7C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C51F0"/>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47C"/>
    <w:pPr>
      <w:spacing w:after="0" w:line="240" w:lineRule="auto"/>
    </w:pPr>
    <w:rPr>
      <w:rFonts w:eastAsiaTheme="minorEastAsia"/>
    </w:rPr>
  </w:style>
  <w:style w:type="character" w:customStyle="1" w:styleId="NoSpacingChar">
    <w:name w:val="No Spacing Char"/>
    <w:basedOn w:val="DefaultParagraphFont"/>
    <w:link w:val="NoSpacing"/>
    <w:uiPriority w:val="1"/>
    <w:rsid w:val="00CF247C"/>
    <w:rPr>
      <w:rFonts w:eastAsiaTheme="minorEastAsia"/>
    </w:rPr>
  </w:style>
  <w:style w:type="character" w:customStyle="1" w:styleId="Heading1Char">
    <w:name w:val="Heading 1 Char"/>
    <w:basedOn w:val="DefaultParagraphFont"/>
    <w:link w:val="Heading1"/>
    <w:rsid w:val="009C51F0"/>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9C51F0"/>
    <w:rPr>
      <w:color w:val="0563C1" w:themeColor="hyperlink"/>
      <w:u w:val="single"/>
    </w:rPr>
  </w:style>
  <w:style w:type="character" w:styleId="CommentReference">
    <w:name w:val="annotation reference"/>
    <w:basedOn w:val="DefaultParagraphFont"/>
    <w:uiPriority w:val="99"/>
    <w:semiHidden/>
    <w:unhideWhenUsed/>
    <w:rsid w:val="004616FD"/>
    <w:rPr>
      <w:sz w:val="16"/>
      <w:szCs w:val="16"/>
    </w:rPr>
  </w:style>
  <w:style w:type="paragraph" w:styleId="CommentText">
    <w:name w:val="annotation text"/>
    <w:basedOn w:val="Normal"/>
    <w:link w:val="CommentTextChar"/>
    <w:uiPriority w:val="99"/>
    <w:unhideWhenUsed/>
    <w:rsid w:val="004616FD"/>
    <w:pPr>
      <w:spacing w:line="240" w:lineRule="auto"/>
    </w:pPr>
    <w:rPr>
      <w:sz w:val="20"/>
      <w:szCs w:val="20"/>
    </w:rPr>
  </w:style>
  <w:style w:type="character" w:customStyle="1" w:styleId="CommentTextChar">
    <w:name w:val="Comment Text Char"/>
    <w:basedOn w:val="DefaultParagraphFont"/>
    <w:link w:val="CommentText"/>
    <w:uiPriority w:val="99"/>
    <w:rsid w:val="004616FD"/>
    <w:rPr>
      <w:sz w:val="20"/>
      <w:szCs w:val="20"/>
    </w:rPr>
  </w:style>
  <w:style w:type="paragraph" w:styleId="CommentSubject">
    <w:name w:val="annotation subject"/>
    <w:basedOn w:val="CommentText"/>
    <w:next w:val="CommentText"/>
    <w:link w:val="CommentSubjectChar"/>
    <w:uiPriority w:val="99"/>
    <w:semiHidden/>
    <w:unhideWhenUsed/>
    <w:rsid w:val="004616FD"/>
    <w:rPr>
      <w:b/>
      <w:bCs/>
    </w:rPr>
  </w:style>
  <w:style w:type="character" w:customStyle="1" w:styleId="CommentSubjectChar">
    <w:name w:val="Comment Subject Char"/>
    <w:basedOn w:val="CommentTextChar"/>
    <w:link w:val="CommentSubject"/>
    <w:uiPriority w:val="99"/>
    <w:semiHidden/>
    <w:rsid w:val="004616FD"/>
    <w:rPr>
      <w:b/>
      <w:bCs/>
      <w:sz w:val="20"/>
      <w:szCs w:val="20"/>
    </w:rPr>
  </w:style>
  <w:style w:type="paragraph" w:styleId="ListParagraph">
    <w:name w:val="List Paragraph"/>
    <w:basedOn w:val="Normal"/>
    <w:uiPriority w:val="34"/>
    <w:qFormat/>
    <w:rsid w:val="00BA0BA6"/>
    <w:pPr>
      <w:ind w:left="720"/>
      <w:contextualSpacing/>
    </w:pPr>
  </w:style>
  <w:style w:type="paragraph" w:styleId="TOCHeading">
    <w:name w:val="TOC Heading"/>
    <w:basedOn w:val="Heading1"/>
    <w:next w:val="Normal"/>
    <w:uiPriority w:val="39"/>
    <w:unhideWhenUsed/>
    <w:qFormat/>
    <w:rsid w:val="00257559"/>
    <w:pPr>
      <w:outlineLvl w:val="9"/>
    </w:pPr>
    <w:rPr>
      <w:lang w:val="en-US"/>
    </w:rPr>
  </w:style>
  <w:style w:type="paragraph" w:styleId="TOC1">
    <w:name w:val="toc 1"/>
    <w:basedOn w:val="Normal"/>
    <w:next w:val="Normal"/>
    <w:autoRedefine/>
    <w:uiPriority w:val="39"/>
    <w:unhideWhenUsed/>
    <w:rsid w:val="00257559"/>
    <w:pPr>
      <w:spacing w:after="100"/>
    </w:pPr>
  </w:style>
  <w:style w:type="paragraph" w:styleId="TOC3">
    <w:name w:val="toc 3"/>
    <w:basedOn w:val="Normal"/>
    <w:next w:val="Normal"/>
    <w:autoRedefine/>
    <w:uiPriority w:val="39"/>
    <w:unhideWhenUsed/>
    <w:rsid w:val="0025755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5485">
      <w:bodyDiv w:val="1"/>
      <w:marLeft w:val="0"/>
      <w:marRight w:val="0"/>
      <w:marTop w:val="0"/>
      <w:marBottom w:val="0"/>
      <w:divBdr>
        <w:top w:val="none" w:sz="0" w:space="0" w:color="auto"/>
        <w:left w:val="none" w:sz="0" w:space="0" w:color="auto"/>
        <w:bottom w:val="none" w:sz="0" w:space="0" w:color="auto"/>
        <w:right w:val="none" w:sz="0" w:space="0" w:color="auto"/>
      </w:divBdr>
    </w:div>
    <w:div w:id="483278323">
      <w:bodyDiv w:val="1"/>
      <w:marLeft w:val="0"/>
      <w:marRight w:val="0"/>
      <w:marTop w:val="0"/>
      <w:marBottom w:val="0"/>
      <w:divBdr>
        <w:top w:val="none" w:sz="0" w:space="0" w:color="auto"/>
        <w:left w:val="none" w:sz="0" w:space="0" w:color="auto"/>
        <w:bottom w:val="none" w:sz="0" w:space="0" w:color="auto"/>
        <w:right w:val="none" w:sz="0" w:space="0" w:color="auto"/>
      </w:divBdr>
    </w:div>
    <w:div w:id="854537834">
      <w:bodyDiv w:val="1"/>
      <w:marLeft w:val="0"/>
      <w:marRight w:val="0"/>
      <w:marTop w:val="0"/>
      <w:marBottom w:val="0"/>
      <w:divBdr>
        <w:top w:val="none" w:sz="0" w:space="0" w:color="auto"/>
        <w:left w:val="none" w:sz="0" w:space="0" w:color="auto"/>
        <w:bottom w:val="none" w:sz="0" w:space="0" w:color="auto"/>
        <w:right w:val="none" w:sz="0" w:space="0" w:color="auto"/>
      </w:divBdr>
    </w:div>
    <w:div w:id="892429965">
      <w:bodyDiv w:val="1"/>
      <w:marLeft w:val="0"/>
      <w:marRight w:val="0"/>
      <w:marTop w:val="0"/>
      <w:marBottom w:val="0"/>
      <w:divBdr>
        <w:top w:val="none" w:sz="0" w:space="0" w:color="auto"/>
        <w:left w:val="none" w:sz="0" w:space="0" w:color="auto"/>
        <w:bottom w:val="none" w:sz="0" w:space="0" w:color="auto"/>
        <w:right w:val="none" w:sz="0" w:space="0" w:color="auto"/>
      </w:divBdr>
    </w:div>
    <w:div w:id="1000936105">
      <w:bodyDiv w:val="1"/>
      <w:marLeft w:val="0"/>
      <w:marRight w:val="0"/>
      <w:marTop w:val="0"/>
      <w:marBottom w:val="0"/>
      <w:divBdr>
        <w:top w:val="none" w:sz="0" w:space="0" w:color="auto"/>
        <w:left w:val="none" w:sz="0" w:space="0" w:color="auto"/>
        <w:bottom w:val="none" w:sz="0" w:space="0" w:color="auto"/>
        <w:right w:val="none" w:sz="0" w:space="0" w:color="auto"/>
      </w:divBdr>
    </w:div>
    <w:div w:id="1368792303">
      <w:bodyDiv w:val="1"/>
      <w:marLeft w:val="0"/>
      <w:marRight w:val="0"/>
      <w:marTop w:val="0"/>
      <w:marBottom w:val="0"/>
      <w:divBdr>
        <w:top w:val="none" w:sz="0" w:space="0" w:color="auto"/>
        <w:left w:val="none" w:sz="0" w:space="0" w:color="auto"/>
        <w:bottom w:val="none" w:sz="0" w:space="0" w:color="auto"/>
        <w:right w:val="none" w:sz="0" w:space="0" w:color="auto"/>
      </w:divBdr>
    </w:div>
    <w:div w:id="1416895409">
      <w:bodyDiv w:val="1"/>
      <w:marLeft w:val="0"/>
      <w:marRight w:val="0"/>
      <w:marTop w:val="0"/>
      <w:marBottom w:val="0"/>
      <w:divBdr>
        <w:top w:val="none" w:sz="0" w:space="0" w:color="auto"/>
        <w:left w:val="none" w:sz="0" w:space="0" w:color="auto"/>
        <w:bottom w:val="none" w:sz="0" w:space="0" w:color="auto"/>
        <w:right w:val="none" w:sz="0" w:space="0" w:color="auto"/>
      </w:divBdr>
    </w:div>
    <w:div w:id="1559971448">
      <w:bodyDiv w:val="1"/>
      <w:marLeft w:val="0"/>
      <w:marRight w:val="0"/>
      <w:marTop w:val="0"/>
      <w:marBottom w:val="0"/>
      <w:divBdr>
        <w:top w:val="none" w:sz="0" w:space="0" w:color="auto"/>
        <w:left w:val="none" w:sz="0" w:space="0" w:color="auto"/>
        <w:bottom w:val="none" w:sz="0" w:space="0" w:color="auto"/>
        <w:right w:val="none" w:sz="0" w:space="0" w:color="auto"/>
      </w:divBdr>
    </w:div>
    <w:div w:id="1739129674">
      <w:bodyDiv w:val="1"/>
      <w:marLeft w:val="0"/>
      <w:marRight w:val="0"/>
      <w:marTop w:val="0"/>
      <w:marBottom w:val="0"/>
      <w:divBdr>
        <w:top w:val="none" w:sz="0" w:space="0" w:color="auto"/>
        <w:left w:val="none" w:sz="0" w:space="0" w:color="auto"/>
        <w:bottom w:val="none" w:sz="0" w:space="0" w:color="auto"/>
        <w:right w:val="none" w:sz="0" w:space="0" w:color="auto"/>
      </w:divBdr>
    </w:div>
    <w:div w:id="1819027549">
      <w:bodyDiv w:val="1"/>
      <w:marLeft w:val="0"/>
      <w:marRight w:val="0"/>
      <w:marTop w:val="0"/>
      <w:marBottom w:val="0"/>
      <w:divBdr>
        <w:top w:val="none" w:sz="0" w:space="0" w:color="auto"/>
        <w:left w:val="none" w:sz="0" w:space="0" w:color="auto"/>
        <w:bottom w:val="none" w:sz="0" w:space="0" w:color="auto"/>
        <w:right w:val="none" w:sz="0" w:space="0" w:color="auto"/>
      </w:divBdr>
    </w:div>
    <w:div w:id="1932548479">
      <w:bodyDiv w:val="1"/>
      <w:marLeft w:val="0"/>
      <w:marRight w:val="0"/>
      <w:marTop w:val="0"/>
      <w:marBottom w:val="0"/>
      <w:divBdr>
        <w:top w:val="none" w:sz="0" w:space="0" w:color="auto"/>
        <w:left w:val="none" w:sz="0" w:space="0" w:color="auto"/>
        <w:bottom w:val="none" w:sz="0" w:space="0" w:color="auto"/>
        <w:right w:val="none" w:sz="0" w:space="0" w:color="auto"/>
      </w:divBdr>
    </w:div>
    <w:div w:id="1953592197">
      <w:bodyDiv w:val="1"/>
      <w:marLeft w:val="0"/>
      <w:marRight w:val="0"/>
      <w:marTop w:val="0"/>
      <w:marBottom w:val="0"/>
      <w:divBdr>
        <w:top w:val="none" w:sz="0" w:space="0" w:color="auto"/>
        <w:left w:val="none" w:sz="0" w:space="0" w:color="auto"/>
        <w:bottom w:val="none" w:sz="0" w:space="0" w:color="auto"/>
        <w:right w:val="none" w:sz="0" w:space="0" w:color="auto"/>
      </w:divBdr>
    </w:div>
    <w:div w:id="1972438299">
      <w:bodyDiv w:val="1"/>
      <w:marLeft w:val="0"/>
      <w:marRight w:val="0"/>
      <w:marTop w:val="0"/>
      <w:marBottom w:val="0"/>
      <w:divBdr>
        <w:top w:val="none" w:sz="0" w:space="0" w:color="auto"/>
        <w:left w:val="none" w:sz="0" w:space="0" w:color="auto"/>
        <w:bottom w:val="none" w:sz="0" w:space="0" w:color="auto"/>
        <w:right w:val="none" w:sz="0" w:space="0" w:color="auto"/>
      </w:divBdr>
    </w:div>
    <w:div w:id="1981030562">
      <w:bodyDiv w:val="1"/>
      <w:marLeft w:val="0"/>
      <w:marRight w:val="0"/>
      <w:marTop w:val="0"/>
      <w:marBottom w:val="0"/>
      <w:divBdr>
        <w:top w:val="none" w:sz="0" w:space="0" w:color="auto"/>
        <w:left w:val="none" w:sz="0" w:space="0" w:color="auto"/>
        <w:bottom w:val="none" w:sz="0" w:space="0" w:color="auto"/>
        <w:right w:val="none" w:sz="0" w:space="0" w:color="auto"/>
      </w:divBdr>
    </w:div>
    <w:div w:id="211231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33f1998642d16168b249bd38f7bbf99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0eb6337198c8cb02fc2d756f9928eb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4E2DB-6074-43C4-91C3-E928A538849E}">
  <ds:schemaRefs>
    <ds:schemaRef ds:uri="http://schemas.microsoft.com/sharepoint/v3/contenttype/forms"/>
  </ds:schemaRefs>
</ds:datastoreItem>
</file>

<file path=customXml/itemProps2.xml><?xml version="1.0" encoding="utf-8"?>
<ds:datastoreItem xmlns:ds="http://schemas.openxmlformats.org/officeDocument/2006/customXml" ds:itemID="{DCF18FBF-4E5C-4D2B-A99D-CA2F6167AF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9064AE-6B13-47E8-9A99-5D80F475B7C2}">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F54AFF31-FB22-43ED-A2AB-F4E320576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2294</TotalTime>
  <Pages>14</Pages>
  <Words>3284</Words>
  <Characters>18722</Characters>
  <Application>Microsoft Office Word</Application>
  <DocSecurity>0</DocSecurity>
  <Lines>156</Lines>
  <Paragraphs>43</Paragraphs>
  <ScaleCrop>false</ScaleCrop>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71</cp:revision>
  <dcterms:created xsi:type="dcterms:W3CDTF">2024-06-02T09:37:00Z</dcterms:created>
  <dcterms:modified xsi:type="dcterms:W3CDTF">2024-07-28T20:38:00Z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