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B81A1" w14:textId="609CA993" w:rsidR="00CF1645" w:rsidRPr="00CF1645" w:rsidRDefault="00CF1645" w:rsidP="00CF1645">
      <w:pPr>
        <w:spacing w:line="360" w:lineRule="auto"/>
        <w:jc w:val="center"/>
        <w:rPr>
          <w:rFonts w:ascii="Arial" w:hAnsi="Arial" w:cs="Arial"/>
          <w:sz w:val="22"/>
          <w:szCs w:val="22"/>
        </w:rPr>
      </w:pPr>
      <w:r w:rsidRPr="00CF1645">
        <w:rPr>
          <w:rFonts w:ascii="Arial" w:hAnsi="Arial" w:cs="Arial"/>
          <w:sz w:val="22"/>
          <w:szCs w:val="22"/>
        </w:rPr>
        <w:t>Tamyne Cossa</w:t>
      </w:r>
    </w:p>
    <w:p w14:paraId="40CAB4BA" w14:textId="3DA843DB" w:rsidR="00CF1645" w:rsidRPr="00CF1645" w:rsidRDefault="00CF1645" w:rsidP="00CF1645">
      <w:pPr>
        <w:spacing w:line="360" w:lineRule="auto"/>
        <w:jc w:val="center"/>
        <w:rPr>
          <w:rFonts w:ascii="Arial" w:hAnsi="Arial" w:cs="Arial"/>
          <w:sz w:val="22"/>
          <w:szCs w:val="22"/>
        </w:rPr>
      </w:pPr>
      <w:r w:rsidRPr="00CF1645">
        <w:rPr>
          <w:rFonts w:ascii="Arial" w:hAnsi="Arial" w:cs="Arial"/>
          <w:sz w:val="22"/>
          <w:szCs w:val="22"/>
        </w:rPr>
        <w:t>2507591</w:t>
      </w:r>
    </w:p>
    <w:p w14:paraId="627AAB49" w14:textId="7DD3468B" w:rsidR="00CF1645" w:rsidRPr="00CF1645" w:rsidRDefault="00CF1645" w:rsidP="00CF1645">
      <w:pPr>
        <w:spacing w:line="360" w:lineRule="auto"/>
        <w:jc w:val="center"/>
        <w:rPr>
          <w:rFonts w:ascii="Arial" w:hAnsi="Arial" w:cs="Arial"/>
          <w:sz w:val="22"/>
          <w:szCs w:val="22"/>
        </w:rPr>
      </w:pPr>
      <w:r w:rsidRPr="00CF1645">
        <w:rPr>
          <w:rFonts w:ascii="Arial" w:hAnsi="Arial" w:cs="Arial"/>
          <w:sz w:val="22"/>
          <w:szCs w:val="22"/>
        </w:rPr>
        <w:t>LCHS4008</w:t>
      </w:r>
    </w:p>
    <w:p w14:paraId="7804469A" w14:textId="56E604E4" w:rsidR="00CF1645" w:rsidRPr="00CF1645" w:rsidRDefault="00CF1645" w:rsidP="00CF1645">
      <w:pPr>
        <w:spacing w:line="360" w:lineRule="auto"/>
        <w:jc w:val="center"/>
        <w:rPr>
          <w:rFonts w:ascii="Arial" w:hAnsi="Arial" w:cs="Arial"/>
          <w:sz w:val="22"/>
          <w:szCs w:val="22"/>
        </w:rPr>
      </w:pPr>
      <w:r w:rsidRPr="00CF1645">
        <w:rPr>
          <w:rFonts w:ascii="Arial" w:hAnsi="Arial" w:cs="Arial"/>
          <w:sz w:val="22"/>
          <w:szCs w:val="22"/>
        </w:rPr>
        <w:t>Introduction to Public Health</w:t>
      </w:r>
    </w:p>
    <w:p w14:paraId="7DFE22AD" w14:textId="4DE245D2" w:rsidR="00CF1645" w:rsidRPr="00CF1645" w:rsidRDefault="00CF1645" w:rsidP="00CF1645">
      <w:pPr>
        <w:spacing w:line="360" w:lineRule="auto"/>
        <w:jc w:val="center"/>
        <w:rPr>
          <w:rFonts w:ascii="Arial" w:hAnsi="Arial" w:cs="Arial"/>
          <w:sz w:val="22"/>
          <w:szCs w:val="22"/>
        </w:rPr>
      </w:pPr>
      <w:r w:rsidRPr="00CF1645">
        <w:rPr>
          <w:rFonts w:ascii="Arial" w:hAnsi="Arial" w:cs="Arial"/>
          <w:sz w:val="22"/>
          <w:szCs w:val="22"/>
        </w:rPr>
        <w:t>Gillian Weaver</w:t>
      </w:r>
    </w:p>
    <w:p w14:paraId="0645F631" w14:textId="77777777" w:rsidR="00CF1645" w:rsidRDefault="00CF1645" w:rsidP="00CF1645">
      <w:pPr>
        <w:spacing w:line="360" w:lineRule="auto"/>
        <w:rPr>
          <w:rFonts w:ascii="Arial" w:hAnsi="Arial" w:cs="Arial"/>
          <w:b/>
          <w:bCs/>
          <w:sz w:val="22"/>
          <w:szCs w:val="22"/>
        </w:rPr>
      </w:pPr>
    </w:p>
    <w:p w14:paraId="0AFA7E89" w14:textId="77777777" w:rsidR="00CF1645" w:rsidRDefault="00CF1645" w:rsidP="00CF1645">
      <w:pPr>
        <w:spacing w:line="360" w:lineRule="auto"/>
        <w:rPr>
          <w:rFonts w:ascii="Arial" w:hAnsi="Arial" w:cs="Arial"/>
          <w:b/>
          <w:bCs/>
          <w:sz w:val="22"/>
          <w:szCs w:val="22"/>
        </w:rPr>
      </w:pPr>
    </w:p>
    <w:p w14:paraId="73616DC8" w14:textId="77777777" w:rsidR="00CF1645" w:rsidRDefault="00CF1645" w:rsidP="00CF1645">
      <w:pPr>
        <w:spacing w:line="360" w:lineRule="auto"/>
        <w:rPr>
          <w:rFonts w:ascii="Arial" w:hAnsi="Arial" w:cs="Arial"/>
          <w:b/>
          <w:bCs/>
          <w:sz w:val="22"/>
          <w:szCs w:val="22"/>
        </w:rPr>
      </w:pPr>
    </w:p>
    <w:p w14:paraId="3172039A" w14:textId="77777777" w:rsidR="00CF1645" w:rsidRDefault="00CF1645" w:rsidP="00CF1645">
      <w:pPr>
        <w:spacing w:line="360" w:lineRule="auto"/>
        <w:rPr>
          <w:rFonts w:ascii="Arial" w:hAnsi="Arial" w:cs="Arial"/>
          <w:b/>
          <w:bCs/>
          <w:sz w:val="22"/>
          <w:szCs w:val="22"/>
        </w:rPr>
      </w:pPr>
    </w:p>
    <w:p w14:paraId="07A2EA63" w14:textId="77777777" w:rsidR="00CF1645" w:rsidRDefault="00CF1645" w:rsidP="00CF1645">
      <w:pPr>
        <w:spacing w:line="360" w:lineRule="auto"/>
        <w:rPr>
          <w:rFonts w:ascii="Arial" w:hAnsi="Arial" w:cs="Arial"/>
          <w:b/>
          <w:bCs/>
          <w:sz w:val="22"/>
          <w:szCs w:val="22"/>
        </w:rPr>
      </w:pPr>
    </w:p>
    <w:p w14:paraId="64825258" w14:textId="77777777" w:rsidR="00CF1645" w:rsidRDefault="00CF1645" w:rsidP="00CF1645">
      <w:pPr>
        <w:spacing w:line="360" w:lineRule="auto"/>
        <w:rPr>
          <w:rFonts w:ascii="Arial" w:hAnsi="Arial" w:cs="Arial"/>
          <w:b/>
          <w:bCs/>
          <w:sz w:val="22"/>
          <w:szCs w:val="22"/>
        </w:rPr>
      </w:pPr>
    </w:p>
    <w:p w14:paraId="22741F9C" w14:textId="77777777" w:rsidR="00CF1645" w:rsidRDefault="00CF1645" w:rsidP="00CF1645">
      <w:pPr>
        <w:spacing w:line="360" w:lineRule="auto"/>
        <w:rPr>
          <w:rFonts w:ascii="Arial" w:hAnsi="Arial" w:cs="Arial"/>
          <w:b/>
          <w:bCs/>
          <w:sz w:val="22"/>
          <w:szCs w:val="22"/>
        </w:rPr>
      </w:pPr>
    </w:p>
    <w:p w14:paraId="401A6617" w14:textId="77777777" w:rsidR="00CF1645" w:rsidRDefault="00CF1645" w:rsidP="00CF1645">
      <w:pPr>
        <w:spacing w:line="360" w:lineRule="auto"/>
        <w:rPr>
          <w:rFonts w:ascii="Arial" w:hAnsi="Arial" w:cs="Arial"/>
          <w:b/>
          <w:bCs/>
          <w:sz w:val="22"/>
          <w:szCs w:val="22"/>
        </w:rPr>
      </w:pPr>
    </w:p>
    <w:p w14:paraId="483037C0" w14:textId="77777777" w:rsidR="00CF1645" w:rsidRDefault="00CF1645" w:rsidP="00CF1645">
      <w:pPr>
        <w:spacing w:line="360" w:lineRule="auto"/>
        <w:rPr>
          <w:rFonts w:ascii="Arial" w:hAnsi="Arial" w:cs="Arial"/>
          <w:b/>
          <w:bCs/>
          <w:sz w:val="22"/>
          <w:szCs w:val="22"/>
        </w:rPr>
      </w:pPr>
    </w:p>
    <w:p w14:paraId="74137E64" w14:textId="77777777" w:rsidR="00CF1645" w:rsidRDefault="00CF1645" w:rsidP="00CF1645">
      <w:pPr>
        <w:spacing w:line="360" w:lineRule="auto"/>
        <w:rPr>
          <w:rFonts w:ascii="Arial" w:hAnsi="Arial" w:cs="Arial"/>
          <w:b/>
          <w:bCs/>
          <w:sz w:val="22"/>
          <w:szCs w:val="22"/>
        </w:rPr>
      </w:pPr>
    </w:p>
    <w:p w14:paraId="22054FD1" w14:textId="77777777" w:rsidR="00CF1645" w:rsidRDefault="00CF1645" w:rsidP="00CF1645">
      <w:pPr>
        <w:spacing w:line="360" w:lineRule="auto"/>
        <w:rPr>
          <w:rFonts w:ascii="Arial" w:hAnsi="Arial" w:cs="Arial"/>
          <w:b/>
          <w:bCs/>
          <w:sz w:val="22"/>
          <w:szCs w:val="22"/>
        </w:rPr>
      </w:pPr>
    </w:p>
    <w:p w14:paraId="1519BBCF" w14:textId="77777777" w:rsidR="00CF1645" w:rsidRDefault="00CF1645" w:rsidP="00CF1645">
      <w:pPr>
        <w:spacing w:line="360" w:lineRule="auto"/>
        <w:rPr>
          <w:rFonts w:ascii="Arial" w:hAnsi="Arial" w:cs="Arial"/>
          <w:b/>
          <w:bCs/>
          <w:sz w:val="22"/>
          <w:szCs w:val="22"/>
        </w:rPr>
      </w:pPr>
    </w:p>
    <w:p w14:paraId="0E02B95B" w14:textId="77777777" w:rsidR="00CF1645" w:rsidRDefault="00CF1645" w:rsidP="00CF1645">
      <w:pPr>
        <w:spacing w:line="360" w:lineRule="auto"/>
        <w:rPr>
          <w:rFonts w:ascii="Arial" w:hAnsi="Arial" w:cs="Arial"/>
          <w:b/>
          <w:bCs/>
          <w:sz w:val="22"/>
          <w:szCs w:val="22"/>
        </w:rPr>
      </w:pPr>
    </w:p>
    <w:p w14:paraId="6967D353" w14:textId="77777777" w:rsidR="00CF1645" w:rsidRDefault="00CF1645" w:rsidP="00CF1645">
      <w:pPr>
        <w:spacing w:line="360" w:lineRule="auto"/>
        <w:rPr>
          <w:rFonts w:ascii="Arial" w:hAnsi="Arial" w:cs="Arial"/>
          <w:b/>
          <w:bCs/>
          <w:sz w:val="22"/>
          <w:szCs w:val="22"/>
        </w:rPr>
      </w:pPr>
    </w:p>
    <w:p w14:paraId="0B6CE779" w14:textId="77777777" w:rsidR="00CF1645" w:rsidRDefault="00CF1645" w:rsidP="00CF1645">
      <w:pPr>
        <w:spacing w:line="360" w:lineRule="auto"/>
        <w:rPr>
          <w:rFonts w:ascii="Arial" w:hAnsi="Arial" w:cs="Arial"/>
          <w:b/>
          <w:bCs/>
          <w:sz w:val="22"/>
          <w:szCs w:val="22"/>
        </w:rPr>
      </w:pPr>
    </w:p>
    <w:p w14:paraId="42A1C0FC" w14:textId="77777777" w:rsidR="00CF1645" w:rsidRDefault="00CF1645" w:rsidP="00CF1645">
      <w:pPr>
        <w:spacing w:line="360" w:lineRule="auto"/>
        <w:rPr>
          <w:rFonts w:ascii="Arial" w:hAnsi="Arial" w:cs="Arial"/>
          <w:b/>
          <w:bCs/>
          <w:sz w:val="22"/>
          <w:szCs w:val="22"/>
        </w:rPr>
      </w:pPr>
    </w:p>
    <w:p w14:paraId="7CB1A371" w14:textId="77777777" w:rsidR="00CF1645" w:rsidRDefault="00CF1645" w:rsidP="00CF1645">
      <w:pPr>
        <w:spacing w:line="360" w:lineRule="auto"/>
        <w:rPr>
          <w:rFonts w:ascii="Arial" w:hAnsi="Arial" w:cs="Arial"/>
          <w:b/>
          <w:bCs/>
          <w:sz w:val="22"/>
          <w:szCs w:val="22"/>
        </w:rPr>
      </w:pPr>
    </w:p>
    <w:p w14:paraId="106E5B4B" w14:textId="77777777" w:rsidR="00CF1645" w:rsidRDefault="00CF1645" w:rsidP="00CF1645">
      <w:pPr>
        <w:spacing w:line="360" w:lineRule="auto"/>
        <w:rPr>
          <w:rFonts w:ascii="Arial" w:hAnsi="Arial" w:cs="Arial"/>
          <w:b/>
          <w:bCs/>
          <w:sz w:val="22"/>
          <w:szCs w:val="22"/>
        </w:rPr>
      </w:pPr>
    </w:p>
    <w:p w14:paraId="47E73001" w14:textId="77777777" w:rsidR="00CF1645" w:rsidRDefault="00CF1645" w:rsidP="00CF1645">
      <w:pPr>
        <w:spacing w:line="360" w:lineRule="auto"/>
        <w:rPr>
          <w:rFonts w:ascii="Arial" w:hAnsi="Arial" w:cs="Arial"/>
          <w:b/>
          <w:bCs/>
          <w:sz w:val="22"/>
          <w:szCs w:val="22"/>
        </w:rPr>
      </w:pPr>
    </w:p>
    <w:p w14:paraId="50C500EC" w14:textId="77777777" w:rsidR="00CF1645" w:rsidRDefault="00CF1645" w:rsidP="00CF1645">
      <w:pPr>
        <w:spacing w:line="360" w:lineRule="auto"/>
        <w:rPr>
          <w:rFonts w:ascii="Arial" w:hAnsi="Arial" w:cs="Arial"/>
          <w:b/>
          <w:bCs/>
          <w:sz w:val="22"/>
          <w:szCs w:val="22"/>
        </w:rPr>
      </w:pPr>
    </w:p>
    <w:p w14:paraId="01553EDE" w14:textId="77777777" w:rsidR="00CF1645" w:rsidRDefault="00CF1645" w:rsidP="00CF1645">
      <w:pPr>
        <w:spacing w:line="360" w:lineRule="auto"/>
        <w:rPr>
          <w:rFonts w:ascii="Arial" w:hAnsi="Arial" w:cs="Arial"/>
          <w:b/>
          <w:bCs/>
          <w:sz w:val="22"/>
          <w:szCs w:val="22"/>
        </w:rPr>
      </w:pPr>
    </w:p>
    <w:p w14:paraId="0C6A8ABB" w14:textId="77777777" w:rsidR="00CF1645" w:rsidRDefault="00CF1645" w:rsidP="00CF1645">
      <w:pPr>
        <w:spacing w:line="360" w:lineRule="auto"/>
        <w:rPr>
          <w:rFonts w:ascii="Arial" w:hAnsi="Arial" w:cs="Arial"/>
          <w:b/>
          <w:bCs/>
          <w:sz w:val="22"/>
          <w:szCs w:val="22"/>
        </w:rPr>
      </w:pPr>
    </w:p>
    <w:p w14:paraId="613104F6" w14:textId="2B0E8C6A" w:rsidR="00CF1645" w:rsidRDefault="6682D1A9" w:rsidP="4573EBBE">
      <w:pPr>
        <w:spacing w:line="360" w:lineRule="auto"/>
        <w:ind w:left="3600"/>
        <w:rPr>
          <w:rFonts w:ascii="Arial" w:hAnsi="Arial" w:cs="Arial"/>
          <w:b/>
          <w:bCs/>
          <w:sz w:val="22"/>
          <w:szCs w:val="22"/>
        </w:rPr>
      </w:pPr>
      <w:r w:rsidRPr="7ED1BBE4">
        <w:rPr>
          <w:rFonts w:ascii="Arial" w:hAnsi="Arial" w:cs="Arial"/>
          <w:b/>
          <w:bCs/>
          <w:sz w:val="22"/>
          <w:szCs w:val="22"/>
        </w:rPr>
        <w:t xml:space="preserve">Table of </w:t>
      </w:r>
      <w:r w:rsidRPr="22B4E05F">
        <w:rPr>
          <w:rFonts w:ascii="Arial" w:hAnsi="Arial" w:cs="Arial"/>
          <w:b/>
          <w:bCs/>
          <w:sz w:val="22"/>
          <w:szCs w:val="22"/>
        </w:rPr>
        <w:t>Contents</w:t>
      </w:r>
    </w:p>
    <w:p w14:paraId="4EB9A721" w14:textId="2FF8A36F" w:rsidR="6682D1A9" w:rsidRDefault="6682D1A9" w:rsidP="4573EBBE">
      <w:pPr>
        <w:spacing w:line="360" w:lineRule="auto"/>
        <w:ind w:left="3600"/>
        <w:rPr>
          <w:rFonts w:ascii="Arial" w:hAnsi="Arial" w:cs="Arial"/>
          <w:b/>
          <w:bCs/>
          <w:sz w:val="22"/>
          <w:szCs w:val="22"/>
        </w:rPr>
      </w:pPr>
      <w:r w:rsidRPr="16B6AEC2">
        <w:rPr>
          <w:rFonts w:ascii="Arial" w:hAnsi="Arial" w:cs="Arial"/>
          <w:b/>
          <w:bCs/>
          <w:sz w:val="22"/>
          <w:szCs w:val="22"/>
        </w:rPr>
        <w:t>Contents</w:t>
      </w:r>
    </w:p>
    <w:p w14:paraId="2EF91A78" w14:textId="70FA9CB8" w:rsidR="5BBEF4F0" w:rsidRDefault="62F6B936" w:rsidP="6B578E94">
      <w:pPr>
        <w:pStyle w:val="ListParagraph"/>
        <w:numPr>
          <w:ilvl w:val="0"/>
          <w:numId w:val="2"/>
        </w:numPr>
        <w:spacing w:line="360" w:lineRule="auto"/>
        <w:rPr>
          <w:rFonts w:ascii="Arial" w:hAnsi="Arial" w:cs="Arial"/>
          <w:b/>
          <w:bCs/>
          <w:sz w:val="22"/>
          <w:szCs w:val="22"/>
        </w:rPr>
      </w:pPr>
      <w:r w:rsidRPr="72E6C359">
        <w:rPr>
          <w:rFonts w:ascii="Arial" w:hAnsi="Arial" w:cs="Arial"/>
          <w:b/>
          <w:bCs/>
          <w:sz w:val="22"/>
          <w:szCs w:val="22"/>
        </w:rPr>
        <w:t xml:space="preserve">Introduction to </w:t>
      </w:r>
      <w:r w:rsidRPr="58968DF8">
        <w:rPr>
          <w:rFonts w:ascii="Arial" w:hAnsi="Arial" w:cs="Arial"/>
          <w:b/>
          <w:bCs/>
          <w:sz w:val="22"/>
          <w:szCs w:val="22"/>
        </w:rPr>
        <w:t>Dementia</w:t>
      </w:r>
    </w:p>
    <w:p w14:paraId="073FEDD6" w14:textId="2B4FA7F3" w:rsidR="25AD48FC" w:rsidRDefault="25AD48FC" w:rsidP="6C6A9F2F">
      <w:pPr>
        <w:pStyle w:val="ListParagraph"/>
        <w:numPr>
          <w:ilvl w:val="0"/>
          <w:numId w:val="2"/>
        </w:numPr>
        <w:spacing w:line="360" w:lineRule="auto"/>
        <w:rPr>
          <w:rFonts w:ascii="Arial" w:hAnsi="Arial" w:cs="Arial"/>
          <w:b/>
          <w:bCs/>
          <w:sz w:val="22"/>
          <w:szCs w:val="22"/>
        </w:rPr>
      </w:pPr>
      <w:r w:rsidRPr="6C6A9F2F">
        <w:rPr>
          <w:rFonts w:ascii="Arial" w:hAnsi="Arial" w:cs="Arial"/>
          <w:b/>
          <w:bCs/>
          <w:sz w:val="22"/>
          <w:szCs w:val="22"/>
        </w:rPr>
        <w:t>Approaches Used to Measure and Monitor Dementia</w:t>
      </w:r>
    </w:p>
    <w:p w14:paraId="62541DB7" w14:textId="5C8E1D18" w:rsidR="77C8AEEF" w:rsidRDefault="77C8AEEF" w:rsidP="1F992804">
      <w:pPr>
        <w:pStyle w:val="ListParagraph"/>
        <w:numPr>
          <w:ilvl w:val="0"/>
          <w:numId w:val="2"/>
        </w:numPr>
        <w:spacing w:line="360" w:lineRule="auto"/>
        <w:rPr>
          <w:rFonts w:ascii="Arial" w:hAnsi="Arial" w:cs="Arial"/>
          <w:b/>
          <w:bCs/>
          <w:sz w:val="22"/>
          <w:szCs w:val="22"/>
        </w:rPr>
      </w:pPr>
      <w:r w:rsidRPr="1F992804">
        <w:rPr>
          <w:rFonts w:ascii="Arial" w:hAnsi="Arial" w:cs="Arial"/>
          <w:b/>
          <w:bCs/>
          <w:sz w:val="22"/>
          <w:szCs w:val="22"/>
        </w:rPr>
        <w:t>How Dementia is Managed and Controlled</w:t>
      </w:r>
    </w:p>
    <w:p w14:paraId="788F7B4A" w14:textId="0CEA580E" w:rsidR="315E340F" w:rsidRDefault="315E340F" w:rsidP="7D993008">
      <w:pPr>
        <w:pStyle w:val="ListParagraph"/>
        <w:numPr>
          <w:ilvl w:val="0"/>
          <w:numId w:val="2"/>
        </w:numPr>
        <w:spacing w:line="360" w:lineRule="auto"/>
        <w:rPr>
          <w:rFonts w:ascii="Arial" w:hAnsi="Arial" w:cs="Arial"/>
          <w:b/>
          <w:bCs/>
          <w:sz w:val="22"/>
          <w:szCs w:val="22"/>
        </w:rPr>
      </w:pPr>
      <w:r w:rsidRPr="7D993008">
        <w:rPr>
          <w:rFonts w:ascii="Arial" w:hAnsi="Arial" w:cs="Arial"/>
          <w:b/>
          <w:bCs/>
          <w:sz w:val="22"/>
          <w:szCs w:val="22"/>
        </w:rPr>
        <w:t>Consequences of Dementia on Individuals and Communities</w:t>
      </w:r>
    </w:p>
    <w:p w14:paraId="53F180D2" w14:textId="25B0A7AE" w:rsidR="0F7B24D4" w:rsidRDefault="0F7B24D4" w:rsidP="1F265C2B">
      <w:pPr>
        <w:pStyle w:val="ListParagraph"/>
        <w:numPr>
          <w:ilvl w:val="0"/>
          <w:numId w:val="2"/>
        </w:numPr>
        <w:spacing w:line="360" w:lineRule="auto"/>
        <w:rPr>
          <w:rFonts w:ascii="Arial" w:hAnsi="Arial" w:cs="Arial"/>
          <w:b/>
          <w:bCs/>
          <w:sz w:val="22"/>
          <w:szCs w:val="22"/>
        </w:rPr>
      </w:pPr>
      <w:r w:rsidRPr="1F265C2B">
        <w:rPr>
          <w:rFonts w:ascii="Arial" w:hAnsi="Arial" w:cs="Arial"/>
          <w:b/>
          <w:bCs/>
          <w:sz w:val="22"/>
          <w:szCs w:val="22"/>
        </w:rPr>
        <w:t>Conclusion</w:t>
      </w:r>
    </w:p>
    <w:p w14:paraId="30561E76" w14:textId="67CCC83D" w:rsidR="5433F519" w:rsidRDefault="5433F519" w:rsidP="473880FE">
      <w:pPr>
        <w:pStyle w:val="ListParagraph"/>
        <w:spacing w:line="360" w:lineRule="auto"/>
        <w:rPr>
          <w:rFonts w:ascii="Arial" w:hAnsi="Arial" w:cs="Arial"/>
          <w:b/>
          <w:bCs/>
          <w:sz w:val="22"/>
          <w:szCs w:val="22"/>
        </w:rPr>
      </w:pPr>
    </w:p>
    <w:p w14:paraId="505BE418" w14:textId="0156CCE9" w:rsidR="54FEE6B2" w:rsidRDefault="54FEE6B2" w:rsidP="54FEE6B2">
      <w:pPr>
        <w:spacing w:line="360" w:lineRule="auto"/>
        <w:rPr>
          <w:rFonts w:ascii="Arial" w:hAnsi="Arial" w:cs="Arial"/>
          <w:b/>
          <w:bCs/>
          <w:sz w:val="22"/>
          <w:szCs w:val="22"/>
        </w:rPr>
      </w:pPr>
    </w:p>
    <w:p w14:paraId="6B29690B" w14:textId="02D4F22C" w:rsidR="2FD83D21" w:rsidRDefault="2FD83D21" w:rsidP="2FD83D21">
      <w:pPr>
        <w:spacing w:line="360" w:lineRule="auto"/>
        <w:rPr>
          <w:rFonts w:ascii="Arial" w:hAnsi="Arial" w:cs="Arial"/>
          <w:b/>
          <w:bCs/>
          <w:sz w:val="22"/>
          <w:szCs w:val="22"/>
        </w:rPr>
      </w:pPr>
    </w:p>
    <w:p w14:paraId="75353191" w14:textId="52513398" w:rsidR="2FD83D21" w:rsidRDefault="2FD83D21" w:rsidP="2FD83D21">
      <w:pPr>
        <w:spacing w:line="360" w:lineRule="auto"/>
        <w:rPr>
          <w:rFonts w:ascii="Arial" w:hAnsi="Arial" w:cs="Arial"/>
          <w:b/>
          <w:bCs/>
          <w:sz w:val="22"/>
          <w:szCs w:val="22"/>
        </w:rPr>
      </w:pPr>
    </w:p>
    <w:p w14:paraId="4D750606" w14:textId="4A02A3C8" w:rsidR="2FD83D21" w:rsidRDefault="2FD83D21" w:rsidP="2FD83D21">
      <w:pPr>
        <w:spacing w:line="360" w:lineRule="auto"/>
        <w:rPr>
          <w:rFonts w:ascii="Arial" w:hAnsi="Arial" w:cs="Arial"/>
          <w:b/>
          <w:bCs/>
          <w:sz w:val="22"/>
          <w:szCs w:val="22"/>
        </w:rPr>
      </w:pPr>
    </w:p>
    <w:p w14:paraId="4953A699" w14:textId="6C17A321" w:rsidR="2FD83D21" w:rsidRDefault="2FD83D21" w:rsidP="2FD83D21">
      <w:pPr>
        <w:spacing w:line="360" w:lineRule="auto"/>
        <w:rPr>
          <w:rFonts w:ascii="Arial" w:hAnsi="Arial" w:cs="Arial"/>
          <w:b/>
          <w:bCs/>
          <w:sz w:val="22"/>
          <w:szCs w:val="22"/>
        </w:rPr>
      </w:pPr>
    </w:p>
    <w:p w14:paraId="158856AB" w14:textId="1B25569E" w:rsidR="2FD83D21" w:rsidRDefault="2FD83D21" w:rsidP="2FD83D21">
      <w:pPr>
        <w:spacing w:line="360" w:lineRule="auto"/>
        <w:rPr>
          <w:rFonts w:ascii="Arial" w:hAnsi="Arial" w:cs="Arial"/>
          <w:b/>
          <w:bCs/>
          <w:sz w:val="22"/>
          <w:szCs w:val="22"/>
        </w:rPr>
      </w:pPr>
    </w:p>
    <w:p w14:paraId="46AE189F" w14:textId="1105EF25" w:rsidR="2FD83D21" w:rsidRDefault="2FD83D21" w:rsidP="2FD83D21">
      <w:pPr>
        <w:spacing w:line="360" w:lineRule="auto"/>
        <w:rPr>
          <w:rFonts w:ascii="Arial" w:hAnsi="Arial" w:cs="Arial"/>
          <w:b/>
          <w:bCs/>
          <w:sz w:val="22"/>
          <w:szCs w:val="22"/>
        </w:rPr>
      </w:pPr>
    </w:p>
    <w:p w14:paraId="025319E1" w14:textId="07C29F61" w:rsidR="2FD83D21" w:rsidRDefault="2FD83D21" w:rsidP="2FD83D21">
      <w:pPr>
        <w:spacing w:line="360" w:lineRule="auto"/>
        <w:rPr>
          <w:rFonts w:ascii="Arial" w:hAnsi="Arial" w:cs="Arial"/>
          <w:b/>
          <w:bCs/>
          <w:sz w:val="22"/>
          <w:szCs w:val="22"/>
        </w:rPr>
      </w:pPr>
    </w:p>
    <w:p w14:paraId="50711B71" w14:textId="5F68DC40" w:rsidR="2FD83D21" w:rsidRDefault="2FD83D21" w:rsidP="2FD83D21">
      <w:pPr>
        <w:spacing w:line="360" w:lineRule="auto"/>
        <w:rPr>
          <w:rFonts w:ascii="Arial" w:hAnsi="Arial" w:cs="Arial"/>
          <w:b/>
          <w:bCs/>
          <w:sz w:val="22"/>
          <w:szCs w:val="22"/>
        </w:rPr>
      </w:pPr>
    </w:p>
    <w:p w14:paraId="59654F80" w14:textId="56DBF1D5" w:rsidR="2FD83D21" w:rsidRDefault="2FD83D21" w:rsidP="2FD83D21">
      <w:pPr>
        <w:spacing w:line="360" w:lineRule="auto"/>
        <w:rPr>
          <w:rFonts w:ascii="Arial" w:hAnsi="Arial" w:cs="Arial"/>
          <w:b/>
          <w:bCs/>
          <w:sz w:val="22"/>
          <w:szCs w:val="22"/>
        </w:rPr>
      </w:pPr>
    </w:p>
    <w:p w14:paraId="115F0E25" w14:textId="4A492C19" w:rsidR="2FD83D21" w:rsidRDefault="2FD83D21" w:rsidP="2FD83D21">
      <w:pPr>
        <w:spacing w:line="360" w:lineRule="auto"/>
        <w:rPr>
          <w:rFonts w:ascii="Arial" w:hAnsi="Arial" w:cs="Arial"/>
          <w:b/>
          <w:bCs/>
          <w:sz w:val="22"/>
          <w:szCs w:val="22"/>
        </w:rPr>
      </w:pPr>
    </w:p>
    <w:p w14:paraId="6DD00EF6" w14:textId="068167B6" w:rsidR="2FD83D21" w:rsidRDefault="2FD83D21" w:rsidP="2FD83D21">
      <w:pPr>
        <w:spacing w:line="360" w:lineRule="auto"/>
        <w:rPr>
          <w:rFonts w:ascii="Arial" w:hAnsi="Arial" w:cs="Arial"/>
          <w:b/>
          <w:bCs/>
          <w:sz w:val="22"/>
          <w:szCs w:val="22"/>
        </w:rPr>
      </w:pPr>
    </w:p>
    <w:p w14:paraId="0E605CA4" w14:textId="7EA53B8E" w:rsidR="2FD83D21" w:rsidRDefault="2FD83D21" w:rsidP="2FD83D21">
      <w:pPr>
        <w:spacing w:line="360" w:lineRule="auto"/>
        <w:rPr>
          <w:rFonts w:ascii="Arial" w:hAnsi="Arial" w:cs="Arial"/>
          <w:b/>
          <w:bCs/>
          <w:sz w:val="22"/>
          <w:szCs w:val="22"/>
        </w:rPr>
      </w:pPr>
    </w:p>
    <w:p w14:paraId="69D97220" w14:textId="0E8E2443" w:rsidR="2FD83D21" w:rsidRDefault="2FD83D21" w:rsidP="2FD83D21">
      <w:pPr>
        <w:spacing w:line="360" w:lineRule="auto"/>
        <w:rPr>
          <w:rFonts w:ascii="Arial" w:hAnsi="Arial" w:cs="Arial"/>
          <w:b/>
          <w:bCs/>
          <w:sz w:val="22"/>
          <w:szCs w:val="22"/>
        </w:rPr>
      </w:pPr>
    </w:p>
    <w:p w14:paraId="67E3ABC6" w14:textId="4BC130AA" w:rsidR="2FD83D21" w:rsidRDefault="2FD83D21" w:rsidP="2FD83D21">
      <w:pPr>
        <w:spacing w:line="360" w:lineRule="auto"/>
        <w:rPr>
          <w:rFonts w:ascii="Arial" w:hAnsi="Arial" w:cs="Arial"/>
          <w:b/>
          <w:bCs/>
          <w:sz w:val="22"/>
          <w:szCs w:val="22"/>
        </w:rPr>
      </w:pPr>
    </w:p>
    <w:p w14:paraId="4369BB45" w14:textId="2ECBA3B9" w:rsidR="028EC9AC" w:rsidRDefault="028EC9AC" w:rsidP="028EC9AC">
      <w:pPr>
        <w:spacing w:line="360" w:lineRule="auto"/>
        <w:rPr>
          <w:rFonts w:ascii="Arial" w:hAnsi="Arial" w:cs="Arial"/>
          <w:b/>
          <w:bCs/>
          <w:sz w:val="22"/>
          <w:szCs w:val="22"/>
        </w:rPr>
      </w:pPr>
    </w:p>
    <w:p w14:paraId="004F3DD6" w14:textId="1E7CA510" w:rsidR="028EC9AC" w:rsidRDefault="028EC9AC" w:rsidP="028EC9AC">
      <w:pPr>
        <w:spacing w:line="360" w:lineRule="auto"/>
        <w:rPr>
          <w:rFonts w:ascii="Arial" w:hAnsi="Arial" w:cs="Arial"/>
          <w:b/>
          <w:bCs/>
          <w:sz w:val="22"/>
          <w:szCs w:val="22"/>
        </w:rPr>
      </w:pPr>
    </w:p>
    <w:p w14:paraId="2D089572" w14:textId="55132908" w:rsidR="028EC9AC" w:rsidRDefault="028EC9AC" w:rsidP="028EC9AC">
      <w:pPr>
        <w:spacing w:line="360" w:lineRule="auto"/>
        <w:rPr>
          <w:rFonts w:ascii="Arial" w:hAnsi="Arial" w:cs="Arial"/>
          <w:b/>
          <w:bCs/>
          <w:sz w:val="22"/>
          <w:szCs w:val="22"/>
        </w:rPr>
      </w:pPr>
    </w:p>
    <w:p w14:paraId="5AD02BAA" w14:textId="3220AD0F" w:rsidR="333DE092" w:rsidRDefault="333DE092" w:rsidP="333DE092">
      <w:pPr>
        <w:spacing w:line="360" w:lineRule="auto"/>
        <w:rPr>
          <w:rFonts w:ascii="Arial" w:hAnsi="Arial" w:cs="Arial"/>
          <w:b/>
          <w:bCs/>
          <w:sz w:val="22"/>
          <w:szCs w:val="22"/>
        </w:rPr>
      </w:pPr>
    </w:p>
    <w:p w14:paraId="19E4F53F" w14:textId="6692B5BD" w:rsidR="333DE092" w:rsidRDefault="333DE092" w:rsidP="333DE092">
      <w:pPr>
        <w:spacing w:line="360" w:lineRule="auto"/>
        <w:rPr>
          <w:rFonts w:ascii="Arial" w:hAnsi="Arial" w:cs="Arial"/>
          <w:b/>
          <w:bCs/>
          <w:sz w:val="22"/>
          <w:szCs w:val="22"/>
        </w:rPr>
      </w:pPr>
    </w:p>
    <w:p w14:paraId="371DEA79" w14:textId="500D32D4" w:rsidR="333DE092" w:rsidRDefault="333DE092" w:rsidP="333DE092">
      <w:pPr>
        <w:spacing w:line="360" w:lineRule="auto"/>
        <w:rPr>
          <w:rFonts w:ascii="Arial" w:hAnsi="Arial" w:cs="Arial"/>
          <w:b/>
          <w:bCs/>
          <w:sz w:val="22"/>
          <w:szCs w:val="22"/>
        </w:rPr>
      </w:pPr>
    </w:p>
    <w:p w14:paraId="51F57693" w14:textId="54E27EDF" w:rsidR="333DE092" w:rsidRDefault="333DE092" w:rsidP="333DE092">
      <w:pPr>
        <w:spacing w:line="360" w:lineRule="auto"/>
        <w:rPr>
          <w:rFonts w:ascii="Arial" w:hAnsi="Arial" w:cs="Arial"/>
          <w:b/>
          <w:bCs/>
          <w:sz w:val="22"/>
          <w:szCs w:val="22"/>
        </w:rPr>
      </w:pPr>
    </w:p>
    <w:p w14:paraId="667C274C" w14:textId="25439C45" w:rsidR="333DE092" w:rsidRDefault="333DE092" w:rsidP="333DE092">
      <w:pPr>
        <w:spacing w:line="360" w:lineRule="auto"/>
        <w:rPr>
          <w:rFonts w:ascii="Arial" w:hAnsi="Arial" w:cs="Arial"/>
          <w:b/>
          <w:bCs/>
          <w:sz w:val="22"/>
          <w:szCs w:val="22"/>
        </w:rPr>
      </w:pPr>
    </w:p>
    <w:p w14:paraId="5B5995AE" w14:textId="10C2B437" w:rsidR="333DE092" w:rsidRDefault="333DE092" w:rsidP="333DE092">
      <w:pPr>
        <w:spacing w:line="360" w:lineRule="auto"/>
        <w:rPr>
          <w:rFonts w:ascii="Arial" w:hAnsi="Arial" w:cs="Arial"/>
          <w:b/>
          <w:bCs/>
          <w:sz w:val="22"/>
          <w:szCs w:val="22"/>
        </w:rPr>
      </w:pPr>
    </w:p>
    <w:p w14:paraId="5D19AFBF" w14:textId="77777777" w:rsidR="00CF1645" w:rsidRDefault="00CF1645" w:rsidP="00CF1645">
      <w:pPr>
        <w:spacing w:line="360" w:lineRule="auto"/>
        <w:rPr>
          <w:rFonts w:ascii="Arial" w:hAnsi="Arial" w:cs="Arial"/>
          <w:b/>
          <w:bCs/>
          <w:sz w:val="22"/>
          <w:szCs w:val="22"/>
        </w:rPr>
      </w:pPr>
    </w:p>
    <w:p w14:paraId="43400A4F" w14:textId="77777777" w:rsidR="00CF1645" w:rsidRDefault="00CF1645" w:rsidP="00CF1645">
      <w:pPr>
        <w:spacing w:line="360" w:lineRule="auto"/>
        <w:rPr>
          <w:rFonts w:ascii="Arial" w:hAnsi="Arial" w:cs="Arial"/>
          <w:b/>
          <w:bCs/>
          <w:sz w:val="22"/>
          <w:szCs w:val="22"/>
        </w:rPr>
      </w:pPr>
    </w:p>
    <w:p w14:paraId="05147814" w14:textId="350B00CA" w:rsidR="00CF1645" w:rsidRPr="00CF1645" w:rsidRDefault="73753EC9" w:rsidP="00CF1645">
      <w:pPr>
        <w:spacing w:line="360" w:lineRule="auto"/>
        <w:rPr>
          <w:rFonts w:ascii="Arial" w:hAnsi="Arial" w:cs="Arial"/>
          <w:b/>
          <w:bCs/>
          <w:sz w:val="22"/>
          <w:szCs w:val="22"/>
        </w:rPr>
      </w:pPr>
      <w:r w:rsidRPr="4B1A02E5">
        <w:rPr>
          <w:rFonts w:ascii="Arial" w:hAnsi="Arial" w:cs="Arial"/>
          <w:b/>
          <w:bCs/>
          <w:sz w:val="22"/>
          <w:szCs w:val="22"/>
        </w:rPr>
        <w:t>Written</w:t>
      </w:r>
      <w:r w:rsidR="00CF1645" w:rsidRPr="00CF1645">
        <w:rPr>
          <w:rFonts w:ascii="Arial" w:hAnsi="Arial" w:cs="Arial"/>
          <w:b/>
          <w:bCs/>
          <w:sz w:val="22"/>
          <w:szCs w:val="22"/>
        </w:rPr>
        <w:t xml:space="preserve"> Report – Dementia </w:t>
      </w:r>
    </w:p>
    <w:p w14:paraId="7D4F451E" w14:textId="51EAFA54" w:rsidR="00CF1645" w:rsidRPr="00CF1645" w:rsidRDefault="73753EC9" w:rsidP="2A770FDE">
      <w:pPr>
        <w:spacing w:line="360" w:lineRule="auto"/>
        <w:rPr>
          <w:rFonts w:ascii="Arial" w:hAnsi="Arial" w:cs="Arial"/>
          <w:b/>
          <w:bCs/>
          <w:sz w:val="22"/>
          <w:szCs w:val="22"/>
        </w:rPr>
      </w:pPr>
      <w:r w:rsidRPr="502A4540">
        <w:rPr>
          <w:rFonts w:ascii="Arial" w:hAnsi="Arial" w:cs="Arial"/>
          <w:b/>
          <w:bCs/>
          <w:sz w:val="22"/>
          <w:szCs w:val="22"/>
        </w:rPr>
        <w:t>Introduction</w:t>
      </w:r>
    </w:p>
    <w:p w14:paraId="651B9665"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Dementia is an umbrella term for a group of progressive neurological conditions that affect memory, thinking, behaviour, communication, and the ability to carry out daily activities. It includes Alzheimer’s disease, vascular dementia, dementia with Lewy bodies, and frontotemporal dementia. Alzheimer’s disease is the most common form, accounting for around 60–70% of cases globally (World Health Organization, 2025).</w:t>
      </w:r>
    </w:p>
    <w:p w14:paraId="6E657C54"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Dementia is a major public health issue in the UK due to an ageing population and increased life expectancy. Around one million people are currently living with dementia in the UK, and this figure is expected to rise significantly in the coming decades (Alzheimer’s Society, 2025). This places increasing pressure on the NHS, social care services, and informal carers.</w:t>
      </w:r>
    </w:p>
    <w:p w14:paraId="465F81F9"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This report examines how dementia is measured, monitored, and managed in the UK, and evaluates its wider impact on individuals and society.</w:t>
      </w:r>
    </w:p>
    <w:p w14:paraId="590A172E" w14:textId="65345344" w:rsidR="00CF1645" w:rsidRPr="00CF1645" w:rsidRDefault="1857FF40" w:rsidP="53A9F03A">
      <w:pPr>
        <w:spacing w:line="360" w:lineRule="auto"/>
        <w:rPr>
          <w:rFonts w:ascii="Arial" w:hAnsi="Arial" w:cs="Arial"/>
          <w:b/>
          <w:bCs/>
          <w:sz w:val="22"/>
          <w:szCs w:val="22"/>
        </w:rPr>
      </w:pPr>
      <w:r w:rsidRPr="1857FF40">
        <w:rPr>
          <w:rFonts w:ascii="Arial" w:hAnsi="Arial" w:cs="Arial"/>
          <w:b/>
          <w:bCs/>
          <w:sz w:val="22"/>
          <w:szCs w:val="22"/>
        </w:rPr>
        <w:t>2</w:t>
      </w:r>
      <w:r w:rsidR="1FBE7CD5" w:rsidRPr="1857FF40">
        <w:rPr>
          <w:rFonts w:ascii="Arial" w:hAnsi="Arial" w:cs="Arial"/>
          <w:b/>
          <w:bCs/>
          <w:sz w:val="22"/>
          <w:szCs w:val="22"/>
        </w:rPr>
        <w:t xml:space="preserve"> </w:t>
      </w:r>
      <w:r w:rsidR="00CF1645" w:rsidRPr="1857FF40">
        <w:rPr>
          <w:rFonts w:ascii="Arial" w:hAnsi="Arial" w:cs="Arial"/>
          <w:b/>
          <w:bCs/>
          <w:sz w:val="22"/>
          <w:szCs w:val="22"/>
        </w:rPr>
        <w:t>Approaches</w:t>
      </w:r>
      <w:r w:rsidR="00CF1645" w:rsidRPr="00CF1645">
        <w:rPr>
          <w:rFonts w:ascii="Arial" w:hAnsi="Arial" w:cs="Arial"/>
          <w:b/>
          <w:bCs/>
          <w:sz w:val="22"/>
          <w:szCs w:val="22"/>
        </w:rPr>
        <w:t xml:space="preserve"> Used to Measure and Monitor Dementia</w:t>
      </w:r>
    </w:p>
    <w:p w14:paraId="732824DD"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Accurate diagnosis and monitoring are essential for early intervention and effective care planning. In the UK, dementia is assessed using cognitive screening tools, clinical evaluation, imaging techniques, and population-level data systems.</w:t>
      </w:r>
    </w:p>
    <w:p w14:paraId="661B145D"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One of the most widely used tools is the Mini-Mental State Examination (MMSE). This assesses memory, attention, language, and orientation. It is widely used because it is quick and simple; however, it has limitations. Results can be influenced by education level, language ability, and cultural background, which may reduce accuracy and lead to misdiagnosis. It is also less effective at identifying early-stage or mild cognitive impairment, meaning some individuals may only be diagnosed once the disease has progressed.</w:t>
      </w:r>
    </w:p>
    <w:p w14:paraId="37E92B26"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To address these limitations, the Montreal Cognitive Assessment (MoCA) is increasingly used, particularly in memory clinics. MoCA is more sensitive in detecting mild cognitive impairment compared to MMSE (Nasreddine et al., 2005). However, it is less commonly used in routine primary care due to training requirements and time constraints. This highlights a key issue in UK dementia services: more accurate tools are not always the most practical at scale, particularly within overstretched GP services.</w:t>
      </w:r>
    </w:p>
    <w:p w14:paraId="072911D9"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Diagnosis is also supported by multidisciplinary assessment, involving GPs, neurologists, psychiatrists, psychologists, and specialist nurses. This is important because symptoms of dementia can overlap with depression, delirium, medication side effects, and other neurological conditions, meaning single-test diagnosis is unreliable. This multidisciplinary approach improves diagnostic accuracy but can also result in longer waiting times due to service demand.</w:t>
      </w:r>
    </w:p>
    <w:p w14:paraId="4D9E586B"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In addition, neuroimaging techniques such as MRI and PET scans can identify structural brain changes associated with dementia, while biomarkers in cerebrospinal fluid can help detect abnormal proteins linked to Alzheimer’s disease. These methods improve diagnostic precision and allow earlier differentiation between dementia types. However, access is limited due to high cost and variation in NHS service provision, leading to regional inequalities. Patients in rural or underfunded areas may experience significantly longer delays in accessing specialist investigations.</w:t>
      </w:r>
    </w:p>
    <w:p w14:paraId="4EB2EF9D"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At a population level, dementia is monitored using NHS Digital data, GP registers, and national diagnosis rates. Despite these systems, underdiagnosis remains a major issue. It is estimated that a significant proportion of people living with dementia in the UK do not have a formal diagnosis, meaning they may not access appropriate support services such as care planning, medication, or financial assistance (Alzheimer’s Society, 2025).</w:t>
      </w:r>
    </w:p>
    <w:p w14:paraId="419F45B5"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Emerging technologies such as artificial intelligence and wearable devices are being explored to detect early behavioural changes such as sleep disruption, movement patterns, and speech changes. While these may improve future monitoring, concerns remain around privacy, ethical use of data, and feasibility within NHS systems, particularly regarding informed consent and long-term monitoring in vulnerable populations.</w:t>
      </w:r>
    </w:p>
    <w:p w14:paraId="16420B45"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Overall, dementia measurement and monitoring in the UK has improved significantly, but limitations in access, consistency, early detection, and service capacity remain key challenges.</w:t>
      </w:r>
    </w:p>
    <w:p w14:paraId="7EB719B9" w14:textId="64F5EC0F" w:rsidR="00CF1645" w:rsidRPr="00CF1645" w:rsidRDefault="43A59ED3" w:rsidP="00CF1645">
      <w:pPr>
        <w:spacing w:line="360" w:lineRule="auto"/>
        <w:rPr>
          <w:rFonts w:ascii="Arial" w:hAnsi="Arial" w:cs="Arial"/>
          <w:b/>
          <w:bCs/>
          <w:sz w:val="22"/>
          <w:szCs w:val="22"/>
        </w:rPr>
      </w:pPr>
      <w:r w:rsidRPr="2962CB7D">
        <w:rPr>
          <w:rFonts w:ascii="Arial" w:hAnsi="Arial" w:cs="Arial"/>
          <w:b/>
          <w:bCs/>
          <w:sz w:val="22"/>
          <w:szCs w:val="22"/>
        </w:rPr>
        <w:t xml:space="preserve">3 </w:t>
      </w:r>
      <w:r w:rsidR="00CF1645" w:rsidRPr="2962CB7D">
        <w:rPr>
          <w:rFonts w:ascii="Arial" w:hAnsi="Arial" w:cs="Arial"/>
          <w:b/>
          <w:bCs/>
          <w:sz w:val="22"/>
          <w:szCs w:val="22"/>
        </w:rPr>
        <w:t>How</w:t>
      </w:r>
      <w:r w:rsidR="00CF1645" w:rsidRPr="00CF1645">
        <w:rPr>
          <w:rFonts w:ascii="Arial" w:hAnsi="Arial" w:cs="Arial"/>
          <w:b/>
          <w:bCs/>
          <w:sz w:val="22"/>
          <w:szCs w:val="22"/>
        </w:rPr>
        <w:t xml:space="preserve"> Dementia is Managed and Controlled</w:t>
      </w:r>
    </w:p>
    <w:p w14:paraId="5162CF3C"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There is currently no cure for dementia, so management focuses on slowing progression, managing symptoms, and improving quality of life. Treatment involves both medication and non-medication approaches.</w:t>
      </w:r>
    </w:p>
    <w:p w14:paraId="56B5028B"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Pharmacological treatments include cholinesterase inhibitors such as donepezil and rivastigmine, and memantine for moderate to severe Alzheimer’s disease. These drugs may temporarily improve cognition and daily functioning, but they do not stop disease progression (NICE, 2022). Effectiveness varies between individuals, and side effects such as nausea and dizziness can also limit long-term use, highlighting the need for complementary non-drug approaches.</w:t>
      </w:r>
    </w:p>
    <w:p w14:paraId="792F6EDA"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As a result, non-pharmacological interventions play a major role. These include cognitive stimulation therapy, reminiscence therapy, music therapy, and structured social activities. These approaches improve wellbeing, communication, and behaviour, and are particularly effective in reducing agitation and anxiety in later stages of dementia. However, availability varies across the UK due to differences in local authority funding, staffing levels, and service prioritisation, meaning access is not equitable nationwide.</w:t>
      </w:r>
    </w:p>
    <w:p w14:paraId="2BBC91AA"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A key approach in dementia care is person-centred care, which focuses on individual preferences, identity, and abilities. This approach improves dignity and quality of life (Brooker, 2007). However, in practice, implementation can be limited by staff shortages, high workloads, and limited training in care homes, leading to inconsistency in care quality.</w:t>
      </w:r>
    </w:p>
    <w:p w14:paraId="7C2CF2F5"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UK policy, including NICE guidance, emphasises early diagnosis, integrated care, and coordinated support between health and social care. However, fragmentation between NHS and local authority social care services often leads to inconsistent support for individuals and families. Delays in social care assessments can also reduce the effectiveness of early intervention strategies.</w:t>
      </w:r>
    </w:p>
    <w:p w14:paraId="637196CA"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Public health approaches are also important. The Lancet Commission (2020) identifies that up to 40% of dementia cases may be linked to modifiable risk factors such as smoking, obesity, physical inactivity, diabetes, hearing loss, and social isolation. This has led to increased focus on prevention strategies, particularly those targeting cardiovascular health and mid-life interventions, as evidence suggests early lifestyle changes reduce long-term risk.</w:t>
      </w:r>
    </w:p>
    <w:p w14:paraId="17B2B1E8"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Family carers play a central role in dementia management, often providing unpaid personal care, emotional support, and supervision. However, caring can lead to stress, poor mental health, and financial strain. Many carers reduce working hours or leave employment entirely. Although respite services exist, access is often limited due to funding pressures in social care and long waiting lists.</w:t>
      </w:r>
    </w:p>
    <w:p w14:paraId="3D5FC1AF"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Overall, dementia management in the UK is increasingly holistic, but challenges remain around resource limitations, service fragmentation, workforce capacity, and unequal access.</w:t>
      </w:r>
    </w:p>
    <w:p w14:paraId="1D963D74" w14:textId="6AEC6ACB" w:rsidR="00CF1645" w:rsidRPr="00CF1645" w:rsidRDefault="23EF176C" w:rsidP="00CF1645">
      <w:pPr>
        <w:spacing w:line="360" w:lineRule="auto"/>
        <w:rPr>
          <w:rFonts w:ascii="Arial" w:hAnsi="Arial" w:cs="Arial"/>
          <w:b/>
          <w:bCs/>
          <w:sz w:val="22"/>
          <w:szCs w:val="22"/>
        </w:rPr>
      </w:pPr>
      <w:r w:rsidRPr="05FE1A10">
        <w:rPr>
          <w:rFonts w:ascii="Arial" w:hAnsi="Arial" w:cs="Arial"/>
          <w:b/>
          <w:bCs/>
          <w:sz w:val="22"/>
          <w:szCs w:val="22"/>
        </w:rPr>
        <w:t xml:space="preserve">4 </w:t>
      </w:r>
      <w:r w:rsidR="00CF1645" w:rsidRPr="05FE1A10">
        <w:rPr>
          <w:rFonts w:ascii="Arial" w:hAnsi="Arial" w:cs="Arial"/>
          <w:b/>
          <w:bCs/>
          <w:sz w:val="22"/>
          <w:szCs w:val="22"/>
        </w:rPr>
        <w:t>Consequences</w:t>
      </w:r>
      <w:r w:rsidR="00CF1645" w:rsidRPr="00CF1645">
        <w:rPr>
          <w:rFonts w:ascii="Arial" w:hAnsi="Arial" w:cs="Arial"/>
          <w:b/>
          <w:bCs/>
          <w:sz w:val="22"/>
          <w:szCs w:val="22"/>
        </w:rPr>
        <w:t xml:space="preserve"> of Dementia on Individuals and Communities</w:t>
      </w:r>
    </w:p>
    <w:p w14:paraId="27C04DAE"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Dementia has significant impacts on individuals, families, healthcare systems, and society.</w:t>
      </w:r>
    </w:p>
    <w:p w14:paraId="1770CB14"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For individuals, dementia leads to progressive loss of memory, reasoning, and independence. This affects the ability to complete daily tasks such as cooking, dressing, and managing medication. Behavioural symptoms such as anxiety, aggression, confusion, sleep disturbance, and depression are also common, reducing quality of life and increasing reliance on carers.</w:t>
      </w:r>
    </w:p>
    <w:p w14:paraId="5D2B80F3"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For families and carers, dementia creates emotional, physical, and financial strain. Many carers provide long-term unpaid care without formal training or adequate support. This can lead to stress, exhaustion, social isolation, and carer burnout, particularly when combined with employment responsibilities or other family commitments.</w:t>
      </w:r>
    </w:p>
    <w:p w14:paraId="68FEDD71"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Economically, dementia places a major burden on the UK. The total cost is estimated at over £40 billion per year, with social care and unpaid care forming the largest proportion (Dementia Statistics Hub, 2025). These costs are expected to rise as prevalence increases, creating long-term sustainability challenges for both NHS and local authority budgets.</w:t>
      </w:r>
    </w:p>
    <w:p w14:paraId="148218DC"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Healthcare services are also significantly affected. People with dementia are more likely to require hospital admissions, longer stays, and specialist care. Hospital environments can also worsen confusion and distress in dementia patients, particularly when staff lack dementia-specific training. A large proportion of care home residents live with dementia or severe cognitive impairment, increasing demand for long-term residential care services.</w:t>
      </w:r>
    </w:p>
    <w:p w14:paraId="5E007D79"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Dementia also contributes to social inequality. Stigma and misunderstanding may delay diagnosis or prevent individuals from seeking help, particularly in some minority ethnic communities where awareness or culturally appropriate services may be limited. Dementia-friendly initiatives aim to improve awareness and inclusion, but impact varies depending on local funding and community engagement.</w:t>
      </w:r>
    </w:p>
    <w:p w14:paraId="53DA64B8"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Overall, dementia has wide-ranging consequences that affect health, social wellbeing, and economic sustainability.</w:t>
      </w:r>
    </w:p>
    <w:p w14:paraId="7C56D7E8" w14:textId="1C7DA442" w:rsidR="00CF1645" w:rsidRPr="00CF1645" w:rsidRDefault="13E9D2CB" w:rsidP="00CF1645">
      <w:pPr>
        <w:spacing w:line="360" w:lineRule="auto"/>
        <w:rPr>
          <w:rFonts w:ascii="Arial" w:hAnsi="Arial" w:cs="Arial"/>
          <w:b/>
          <w:bCs/>
          <w:sz w:val="22"/>
          <w:szCs w:val="22"/>
        </w:rPr>
      </w:pPr>
      <w:r w:rsidRPr="566DF940">
        <w:rPr>
          <w:rFonts w:ascii="Arial" w:hAnsi="Arial" w:cs="Arial"/>
          <w:b/>
          <w:bCs/>
          <w:sz w:val="22"/>
          <w:szCs w:val="22"/>
        </w:rPr>
        <w:t xml:space="preserve">5 </w:t>
      </w:r>
      <w:r w:rsidR="00CF1645" w:rsidRPr="566DF940">
        <w:rPr>
          <w:rFonts w:ascii="Arial" w:hAnsi="Arial" w:cs="Arial"/>
          <w:b/>
          <w:bCs/>
          <w:sz w:val="22"/>
          <w:szCs w:val="22"/>
        </w:rPr>
        <w:t>Conclusion</w:t>
      </w:r>
    </w:p>
    <w:p w14:paraId="2AA5E328"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Dementia is a growing public health challenge in the UK. While significant progress has been made in diagnosis, monitoring, and management, important limitations remain.</w:t>
      </w:r>
    </w:p>
    <w:p w14:paraId="39084362"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Measurement and monitoring systems are improving through cognitive testing, imaging, and data collection; however, underdiagnosis, unequal access to specialist services, and regional variation remain significant issues. Management is increasingly person-centred and multidisciplinary, but fragmented health and social care systems, alongside workforce shortages, limit consistency of support.</w:t>
      </w:r>
    </w:p>
    <w:p w14:paraId="0D0DD5E1"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As dementia prevalence continues to rise, investment in early diagnosis, workforce development, integrated care, and prevention strategies will be essential to ensure sustainable and effective long-term care.</w:t>
      </w:r>
    </w:p>
    <w:p w14:paraId="7D08F2D6" w14:textId="77777777" w:rsidR="00CF1645" w:rsidRPr="00CF1645" w:rsidRDefault="00CF1645" w:rsidP="00CF1645">
      <w:pPr>
        <w:spacing w:line="360" w:lineRule="auto"/>
        <w:rPr>
          <w:rFonts w:ascii="Arial" w:hAnsi="Arial" w:cs="Arial"/>
          <w:sz w:val="22"/>
          <w:szCs w:val="22"/>
        </w:rPr>
      </w:pPr>
    </w:p>
    <w:p w14:paraId="0072BCE8" w14:textId="77777777" w:rsidR="00CF1645" w:rsidRPr="00CF1645" w:rsidRDefault="00CF1645" w:rsidP="00CF1645">
      <w:pPr>
        <w:spacing w:line="360" w:lineRule="auto"/>
        <w:rPr>
          <w:rFonts w:ascii="Arial" w:hAnsi="Arial" w:cs="Arial"/>
          <w:sz w:val="22"/>
          <w:szCs w:val="22"/>
        </w:rPr>
      </w:pPr>
    </w:p>
    <w:p w14:paraId="585E6D62" w14:textId="77777777" w:rsidR="00CF1645" w:rsidRPr="00CF1645" w:rsidRDefault="00CF1645" w:rsidP="00CF1645">
      <w:pPr>
        <w:spacing w:line="360" w:lineRule="auto"/>
        <w:rPr>
          <w:rFonts w:ascii="Arial" w:hAnsi="Arial" w:cs="Arial"/>
          <w:sz w:val="22"/>
          <w:szCs w:val="22"/>
        </w:rPr>
      </w:pPr>
    </w:p>
    <w:p w14:paraId="788F3E02" w14:textId="77777777" w:rsidR="00CF1645" w:rsidRPr="00CF1645" w:rsidRDefault="00CF1645" w:rsidP="00CF1645">
      <w:pPr>
        <w:spacing w:line="360" w:lineRule="auto"/>
        <w:rPr>
          <w:rFonts w:ascii="Arial" w:hAnsi="Arial" w:cs="Arial"/>
          <w:sz w:val="22"/>
          <w:szCs w:val="22"/>
        </w:rPr>
      </w:pPr>
    </w:p>
    <w:p w14:paraId="66D2D2F5" w14:textId="39973313" w:rsidR="00CF1645" w:rsidRPr="00CF1645" w:rsidRDefault="00CF1645" w:rsidP="00CF1645">
      <w:pPr>
        <w:spacing w:line="360" w:lineRule="auto"/>
        <w:rPr>
          <w:rFonts w:ascii="Arial" w:hAnsi="Arial" w:cs="Arial"/>
          <w:b/>
          <w:bCs/>
          <w:sz w:val="22"/>
          <w:szCs w:val="22"/>
        </w:rPr>
      </w:pPr>
      <w:r w:rsidRPr="00CF1645">
        <w:rPr>
          <w:rFonts w:ascii="Arial" w:hAnsi="Arial" w:cs="Arial"/>
          <w:b/>
          <w:bCs/>
          <w:sz w:val="22"/>
          <w:szCs w:val="22"/>
        </w:rPr>
        <w:t>Harvard References</w:t>
      </w:r>
    </w:p>
    <w:p w14:paraId="40F3E003" w14:textId="197367F9"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 xml:space="preserve">Alzheimer’s Society (2025) Dementia statistics. Available at: </w:t>
      </w:r>
      <w:hyperlink r:id="rId5" w:history="1">
        <w:r w:rsidRPr="00CF1645">
          <w:rPr>
            <w:rStyle w:val="Hyperlink"/>
            <w:rFonts w:ascii="Arial" w:hAnsi="Arial" w:cs="Arial"/>
            <w:sz w:val="22"/>
            <w:szCs w:val="22"/>
          </w:rPr>
          <w:t>https://www.alzheimers.org.uk/about-dementia</w:t>
        </w:r>
      </w:hyperlink>
      <w:r w:rsidRPr="00CF1645">
        <w:rPr>
          <w:rFonts w:ascii="Arial" w:hAnsi="Arial" w:cs="Arial"/>
          <w:sz w:val="22"/>
          <w:szCs w:val="22"/>
        </w:rPr>
        <w:t xml:space="preserve">  (Accessed: 21 May 2026).</w:t>
      </w:r>
    </w:p>
    <w:p w14:paraId="66E5B937"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Brooker, D. (2007) Person-Centred Dementia Care: Making Services Better. London: Jessica Kingsley Publishers.</w:t>
      </w:r>
    </w:p>
    <w:p w14:paraId="15FF62ED" w14:textId="77777777"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Dementia Statistics Hub (2025) Economic impact of dementia in the UK. Available at: https://www.dementiastatistics.org (Accessed: 21 May 2026).</w:t>
      </w:r>
    </w:p>
    <w:p w14:paraId="0182DFD0" w14:textId="218567DE"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 xml:space="preserve">Lancet Commission (2020) ‘Dementia prevention, intervention and care’, The Lancet, 396(10248), pp. 413–446. </w:t>
      </w:r>
      <w:hyperlink r:id="rId6" w:history="1">
        <w:r w:rsidRPr="00CF1645">
          <w:rPr>
            <w:rStyle w:val="Hyperlink"/>
            <w:rFonts w:ascii="Arial" w:hAnsi="Arial" w:cs="Arial"/>
            <w:sz w:val="22"/>
            <w:szCs w:val="22"/>
          </w:rPr>
          <w:t>https://doi.org/10.1016/S0140-6736(20)30367-6</w:t>
        </w:r>
      </w:hyperlink>
      <w:r w:rsidRPr="00CF1645">
        <w:rPr>
          <w:rFonts w:ascii="Arial" w:hAnsi="Arial" w:cs="Arial"/>
          <w:sz w:val="22"/>
          <w:szCs w:val="22"/>
        </w:rPr>
        <w:t xml:space="preserve"> </w:t>
      </w:r>
    </w:p>
    <w:p w14:paraId="14D0ED81" w14:textId="2168016B"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 xml:space="preserve">Nasreddine, Z.S. et al. (2005) ‘The Montreal Cognitive Assessment (MoCA)’, Journal of the American Geriatrics Society, 53(4), pp. 695–699. </w:t>
      </w:r>
    </w:p>
    <w:p w14:paraId="2E343785" w14:textId="2E4AB7C8"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 xml:space="preserve">NICE (2022) Dementia: assessment, management and support for people living with dementia (NG97). Available at: </w:t>
      </w:r>
      <w:hyperlink r:id="rId7" w:history="1">
        <w:r w:rsidRPr="00CF1645">
          <w:rPr>
            <w:rStyle w:val="Hyperlink"/>
            <w:rFonts w:ascii="Arial" w:hAnsi="Arial" w:cs="Arial"/>
            <w:sz w:val="22"/>
            <w:szCs w:val="22"/>
          </w:rPr>
          <w:t>https://www.nice.org.uk/guidance/ng9</w:t>
        </w:r>
      </w:hyperlink>
      <w:r w:rsidRPr="00CF1645">
        <w:rPr>
          <w:rFonts w:ascii="Arial" w:hAnsi="Arial" w:cs="Arial"/>
          <w:sz w:val="22"/>
          <w:szCs w:val="22"/>
        </w:rPr>
        <w:t xml:space="preserve">  (Accessed: 21 May 2026).</w:t>
      </w:r>
    </w:p>
    <w:p w14:paraId="15A21B5D" w14:textId="3829F5E0" w:rsidR="00CF1645" w:rsidRPr="00CF1645" w:rsidRDefault="00CF1645" w:rsidP="00CF1645">
      <w:pPr>
        <w:spacing w:line="360" w:lineRule="auto"/>
        <w:rPr>
          <w:rFonts w:ascii="Arial" w:hAnsi="Arial" w:cs="Arial"/>
          <w:sz w:val="22"/>
          <w:szCs w:val="22"/>
        </w:rPr>
      </w:pPr>
      <w:r w:rsidRPr="00CF1645">
        <w:rPr>
          <w:rFonts w:ascii="Arial" w:hAnsi="Arial" w:cs="Arial"/>
          <w:sz w:val="22"/>
          <w:szCs w:val="22"/>
        </w:rPr>
        <w:t xml:space="preserve">World Health Organization (2025) Dementia fact sheet. Available at: </w:t>
      </w:r>
      <w:hyperlink r:id="rId8" w:history="1">
        <w:r w:rsidRPr="00CF1645">
          <w:rPr>
            <w:rStyle w:val="Hyperlink"/>
            <w:rFonts w:ascii="Arial" w:hAnsi="Arial" w:cs="Arial"/>
            <w:sz w:val="22"/>
            <w:szCs w:val="22"/>
          </w:rPr>
          <w:t>https://www.who.int/news-room/fact-sheets/detail/dementia</w:t>
        </w:r>
      </w:hyperlink>
      <w:r w:rsidRPr="00CF1645">
        <w:rPr>
          <w:rFonts w:ascii="Arial" w:hAnsi="Arial" w:cs="Arial"/>
          <w:sz w:val="22"/>
          <w:szCs w:val="22"/>
        </w:rPr>
        <w:t xml:space="preserve">  (Accessed: 21 May 2026).</w:t>
      </w:r>
    </w:p>
    <w:sectPr w:rsidR="00CF1645" w:rsidRPr="00CF16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DD46C"/>
    <w:multiLevelType w:val="hybridMultilevel"/>
    <w:tmpl w:val="FFFFFFFF"/>
    <w:lvl w:ilvl="0" w:tplc="AF3C249C">
      <w:start w:val="1"/>
      <w:numFmt w:val="decimal"/>
      <w:lvlText w:val="%1."/>
      <w:lvlJc w:val="left"/>
      <w:pPr>
        <w:ind w:left="720" w:hanging="360"/>
      </w:pPr>
    </w:lvl>
    <w:lvl w:ilvl="1" w:tplc="D1729C8E">
      <w:start w:val="1"/>
      <w:numFmt w:val="lowerLetter"/>
      <w:lvlText w:val="%2."/>
      <w:lvlJc w:val="left"/>
      <w:pPr>
        <w:ind w:left="1440" w:hanging="360"/>
      </w:pPr>
    </w:lvl>
    <w:lvl w:ilvl="2" w:tplc="5E485AC8">
      <w:start w:val="1"/>
      <w:numFmt w:val="lowerRoman"/>
      <w:lvlText w:val="%3."/>
      <w:lvlJc w:val="right"/>
      <w:pPr>
        <w:ind w:left="2160" w:hanging="180"/>
      </w:pPr>
    </w:lvl>
    <w:lvl w:ilvl="3" w:tplc="1CA8CA7E">
      <w:start w:val="1"/>
      <w:numFmt w:val="decimal"/>
      <w:lvlText w:val="%4."/>
      <w:lvlJc w:val="left"/>
      <w:pPr>
        <w:ind w:left="2880" w:hanging="360"/>
      </w:pPr>
    </w:lvl>
    <w:lvl w:ilvl="4" w:tplc="F26A956C">
      <w:start w:val="1"/>
      <w:numFmt w:val="lowerLetter"/>
      <w:lvlText w:val="%5."/>
      <w:lvlJc w:val="left"/>
      <w:pPr>
        <w:ind w:left="3600" w:hanging="360"/>
      </w:pPr>
    </w:lvl>
    <w:lvl w:ilvl="5" w:tplc="E0BC3954">
      <w:start w:val="1"/>
      <w:numFmt w:val="lowerRoman"/>
      <w:lvlText w:val="%6."/>
      <w:lvlJc w:val="right"/>
      <w:pPr>
        <w:ind w:left="4320" w:hanging="180"/>
      </w:pPr>
    </w:lvl>
    <w:lvl w:ilvl="6" w:tplc="A3CE7D3C">
      <w:start w:val="1"/>
      <w:numFmt w:val="decimal"/>
      <w:lvlText w:val="%7."/>
      <w:lvlJc w:val="left"/>
      <w:pPr>
        <w:ind w:left="5040" w:hanging="360"/>
      </w:pPr>
    </w:lvl>
    <w:lvl w:ilvl="7" w:tplc="ED50DDCC">
      <w:start w:val="1"/>
      <w:numFmt w:val="lowerLetter"/>
      <w:lvlText w:val="%8."/>
      <w:lvlJc w:val="left"/>
      <w:pPr>
        <w:ind w:left="5760" w:hanging="360"/>
      </w:pPr>
    </w:lvl>
    <w:lvl w:ilvl="8" w:tplc="578E48C4">
      <w:start w:val="1"/>
      <w:numFmt w:val="lowerRoman"/>
      <w:lvlText w:val="%9."/>
      <w:lvlJc w:val="right"/>
      <w:pPr>
        <w:ind w:left="6480" w:hanging="180"/>
      </w:pPr>
    </w:lvl>
  </w:abstractNum>
  <w:abstractNum w:abstractNumId="1" w15:restartNumberingAfterBreak="0">
    <w:nsid w:val="2014D4FC"/>
    <w:multiLevelType w:val="hybridMultilevel"/>
    <w:tmpl w:val="FFFFFFFF"/>
    <w:lvl w:ilvl="0" w:tplc="1CB6F5BE">
      <w:start w:val="1"/>
      <w:numFmt w:val="decimal"/>
      <w:lvlText w:val="%1."/>
      <w:lvlJc w:val="left"/>
      <w:pPr>
        <w:ind w:left="720" w:hanging="360"/>
      </w:pPr>
    </w:lvl>
    <w:lvl w:ilvl="1" w:tplc="0A0CD75A">
      <w:start w:val="1"/>
      <w:numFmt w:val="lowerLetter"/>
      <w:lvlText w:val="%2."/>
      <w:lvlJc w:val="left"/>
      <w:pPr>
        <w:ind w:left="1440" w:hanging="360"/>
      </w:pPr>
    </w:lvl>
    <w:lvl w:ilvl="2" w:tplc="41CEE178">
      <w:start w:val="1"/>
      <w:numFmt w:val="lowerRoman"/>
      <w:lvlText w:val="%3."/>
      <w:lvlJc w:val="right"/>
      <w:pPr>
        <w:ind w:left="2160" w:hanging="180"/>
      </w:pPr>
    </w:lvl>
    <w:lvl w:ilvl="3" w:tplc="6A84E94C">
      <w:start w:val="1"/>
      <w:numFmt w:val="decimal"/>
      <w:lvlText w:val="%4."/>
      <w:lvlJc w:val="left"/>
      <w:pPr>
        <w:ind w:left="2880" w:hanging="360"/>
      </w:pPr>
    </w:lvl>
    <w:lvl w:ilvl="4" w:tplc="90E2A7D2">
      <w:start w:val="1"/>
      <w:numFmt w:val="lowerLetter"/>
      <w:lvlText w:val="%5."/>
      <w:lvlJc w:val="left"/>
      <w:pPr>
        <w:ind w:left="3600" w:hanging="360"/>
      </w:pPr>
    </w:lvl>
    <w:lvl w:ilvl="5" w:tplc="8EFAAFB2">
      <w:start w:val="1"/>
      <w:numFmt w:val="lowerRoman"/>
      <w:lvlText w:val="%6."/>
      <w:lvlJc w:val="right"/>
      <w:pPr>
        <w:ind w:left="4320" w:hanging="180"/>
      </w:pPr>
    </w:lvl>
    <w:lvl w:ilvl="6" w:tplc="AA9E2366">
      <w:start w:val="1"/>
      <w:numFmt w:val="decimal"/>
      <w:lvlText w:val="%7."/>
      <w:lvlJc w:val="left"/>
      <w:pPr>
        <w:ind w:left="5040" w:hanging="360"/>
      </w:pPr>
    </w:lvl>
    <w:lvl w:ilvl="7" w:tplc="4CF830C0">
      <w:start w:val="1"/>
      <w:numFmt w:val="lowerLetter"/>
      <w:lvlText w:val="%8."/>
      <w:lvlJc w:val="left"/>
      <w:pPr>
        <w:ind w:left="5760" w:hanging="360"/>
      </w:pPr>
    </w:lvl>
    <w:lvl w:ilvl="8" w:tplc="C4023246">
      <w:start w:val="1"/>
      <w:numFmt w:val="lowerRoman"/>
      <w:lvlText w:val="%9."/>
      <w:lvlJc w:val="right"/>
      <w:pPr>
        <w:ind w:left="6480" w:hanging="180"/>
      </w:pPr>
    </w:lvl>
  </w:abstractNum>
  <w:abstractNum w:abstractNumId="2" w15:restartNumberingAfterBreak="0">
    <w:nsid w:val="3FEE4D7F"/>
    <w:multiLevelType w:val="hybridMultilevel"/>
    <w:tmpl w:val="FFFFFFFF"/>
    <w:lvl w:ilvl="0" w:tplc="DACA1DE6">
      <w:start w:val="1"/>
      <w:numFmt w:val="decimal"/>
      <w:lvlText w:val="%1."/>
      <w:lvlJc w:val="left"/>
      <w:pPr>
        <w:ind w:left="720" w:hanging="360"/>
      </w:pPr>
    </w:lvl>
    <w:lvl w:ilvl="1" w:tplc="6AE4237C">
      <w:start w:val="1"/>
      <w:numFmt w:val="lowerLetter"/>
      <w:lvlText w:val="%2."/>
      <w:lvlJc w:val="left"/>
      <w:pPr>
        <w:ind w:left="1440" w:hanging="360"/>
      </w:pPr>
    </w:lvl>
    <w:lvl w:ilvl="2" w:tplc="A14A0E1C">
      <w:start w:val="1"/>
      <w:numFmt w:val="lowerRoman"/>
      <w:lvlText w:val="%3."/>
      <w:lvlJc w:val="right"/>
      <w:pPr>
        <w:ind w:left="2160" w:hanging="180"/>
      </w:pPr>
    </w:lvl>
    <w:lvl w:ilvl="3" w:tplc="9272AA46">
      <w:start w:val="1"/>
      <w:numFmt w:val="decimal"/>
      <w:lvlText w:val="%4."/>
      <w:lvlJc w:val="left"/>
      <w:pPr>
        <w:ind w:left="2880" w:hanging="360"/>
      </w:pPr>
    </w:lvl>
    <w:lvl w:ilvl="4" w:tplc="BD5AAC44">
      <w:start w:val="1"/>
      <w:numFmt w:val="lowerLetter"/>
      <w:lvlText w:val="%5."/>
      <w:lvlJc w:val="left"/>
      <w:pPr>
        <w:ind w:left="3600" w:hanging="360"/>
      </w:pPr>
    </w:lvl>
    <w:lvl w:ilvl="5" w:tplc="40FC7C32">
      <w:start w:val="1"/>
      <w:numFmt w:val="lowerRoman"/>
      <w:lvlText w:val="%6."/>
      <w:lvlJc w:val="right"/>
      <w:pPr>
        <w:ind w:left="4320" w:hanging="180"/>
      </w:pPr>
    </w:lvl>
    <w:lvl w:ilvl="6" w:tplc="E60625D0">
      <w:start w:val="1"/>
      <w:numFmt w:val="decimal"/>
      <w:lvlText w:val="%7."/>
      <w:lvlJc w:val="left"/>
      <w:pPr>
        <w:ind w:left="5040" w:hanging="360"/>
      </w:pPr>
    </w:lvl>
    <w:lvl w:ilvl="7" w:tplc="26F040B0">
      <w:start w:val="1"/>
      <w:numFmt w:val="lowerLetter"/>
      <w:lvlText w:val="%8."/>
      <w:lvlJc w:val="left"/>
      <w:pPr>
        <w:ind w:left="5760" w:hanging="360"/>
      </w:pPr>
    </w:lvl>
    <w:lvl w:ilvl="8" w:tplc="352E8866">
      <w:start w:val="1"/>
      <w:numFmt w:val="lowerRoman"/>
      <w:lvlText w:val="%9."/>
      <w:lvlJc w:val="right"/>
      <w:pPr>
        <w:ind w:left="6480" w:hanging="180"/>
      </w:pPr>
    </w:lvl>
  </w:abstractNum>
  <w:num w:numId="1" w16cid:durableId="1703433240">
    <w:abstractNumId w:val="0"/>
  </w:num>
  <w:num w:numId="2" w16cid:durableId="2042433702">
    <w:abstractNumId w:val="1"/>
  </w:num>
  <w:num w:numId="3" w16cid:durableId="4388358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645"/>
    <w:rsid w:val="00050B28"/>
    <w:rsid w:val="00055601"/>
    <w:rsid w:val="00056F6A"/>
    <w:rsid w:val="00077B28"/>
    <w:rsid w:val="000A79DD"/>
    <w:rsid w:val="000F6159"/>
    <w:rsid w:val="00110299"/>
    <w:rsid w:val="00125EE0"/>
    <w:rsid w:val="001A1490"/>
    <w:rsid w:val="00212310"/>
    <w:rsid w:val="00272CBC"/>
    <w:rsid w:val="002D1A98"/>
    <w:rsid w:val="003E4922"/>
    <w:rsid w:val="003E7BD5"/>
    <w:rsid w:val="003F2672"/>
    <w:rsid w:val="00404306"/>
    <w:rsid w:val="00457EF5"/>
    <w:rsid w:val="004A5ADE"/>
    <w:rsid w:val="0057332F"/>
    <w:rsid w:val="00574E94"/>
    <w:rsid w:val="005C1788"/>
    <w:rsid w:val="005F43F1"/>
    <w:rsid w:val="006B521F"/>
    <w:rsid w:val="006C1D9F"/>
    <w:rsid w:val="007635EC"/>
    <w:rsid w:val="00766B62"/>
    <w:rsid w:val="00804C4D"/>
    <w:rsid w:val="008D645E"/>
    <w:rsid w:val="009812D9"/>
    <w:rsid w:val="00AF64D4"/>
    <w:rsid w:val="00B3653E"/>
    <w:rsid w:val="00B52E3D"/>
    <w:rsid w:val="00B61E28"/>
    <w:rsid w:val="00B82511"/>
    <w:rsid w:val="00C075F3"/>
    <w:rsid w:val="00CA3B32"/>
    <w:rsid w:val="00CD6937"/>
    <w:rsid w:val="00CE0CF7"/>
    <w:rsid w:val="00CF1645"/>
    <w:rsid w:val="00D65248"/>
    <w:rsid w:val="00DA213D"/>
    <w:rsid w:val="00DB619B"/>
    <w:rsid w:val="00DC01F4"/>
    <w:rsid w:val="00E20283"/>
    <w:rsid w:val="00E34F78"/>
    <w:rsid w:val="00EC3E90"/>
    <w:rsid w:val="00F46B75"/>
    <w:rsid w:val="00F73096"/>
    <w:rsid w:val="00F734F6"/>
    <w:rsid w:val="00FA1B30"/>
    <w:rsid w:val="00FD2B5E"/>
    <w:rsid w:val="022EF05B"/>
    <w:rsid w:val="028EC9AC"/>
    <w:rsid w:val="042F470B"/>
    <w:rsid w:val="05FE1A10"/>
    <w:rsid w:val="0C2941D4"/>
    <w:rsid w:val="0D5805F4"/>
    <w:rsid w:val="0F2A9197"/>
    <w:rsid w:val="0F7B24D4"/>
    <w:rsid w:val="12C4E835"/>
    <w:rsid w:val="13E9D2CB"/>
    <w:rsid w:val="1565F22C"/>
    <w:rsid w:val="16B6AEC2"/>
    <w:rsid w:val="1857FF40"/>
    <w:rsid w:val="1F265C2B"/>
    <w:rsid w:val="1F992804"/>
    <w:rsid w:val="1FBE7CD5"/>
    <w:rsid w:val="2056A208"/>
    <w:rsid w:val="22B4E05F"/>
    <w:rsid w:val="23EF176C"/>
    <w:rsid w:val="24BE4E2B"/>
    <w:rsid w:val="25AD48FC"/>
    <w:rsid w:val="2962CB7D"/>
    <w:rsid w:val="2A770FDE"/>
    <w:rsid w:val="2FD83D21"/>
    <w:rsid w:val="315E340F"/>
    <w:rsid w:val="333DE092"/>
    <w:rsid w:val="3F3F1789"/>
    <w:rsid w:val="43797B83"/>
    <w:rsid w:val="43A59ED3"/>
    <w:rsid w:val="4573EBBE"/>
    <w:rsid w:val="473880FE"/>
    <w:rsid w:val="49EBA05E"/>
    <w:rsid w:val="4B1A02E5"/>
    <w:rsid w:val="4DB8ACA1"/>
    <w:rsid w:val="502A4540"/>
    <w:rsid w:val="5371164E"/>
    <w:rsid w:val="53A9F03A"/>
    <w:rsid w:val="53D5F759"/>
    <w:rsid w:val="5433F519"/>
    <w:rsid w:val="54FEE6B2"/>
    <w:rsid w:val="566DF940"/>
    <w:rsid w:val="58968DF8"/>
    <w:rsid w:val="5B2D4A0A"/>
    <w:rsid w:val="5BBEF4F0"/>
    <w:rsid w:val="5CF1F131"/>
    <w:rsid w:val="62C6AB2E"/>
    <w:rsid w:val="62F6B936"/>
    <w:rsid w:val="63B25639"/>
    <w:rsid w:val="6682D1A9"/>
    <w:rsid w:val="680453B1"/>
    <w:rsid w:val="6B578E94"/>
    <w:rsid w:val="6BEF421C"/>
    <w:rsid w:val="6C6A9F2F"/>
    <w:rsid w:val="6C8AC0A2"/>
    <w:rsid w:val="72E6C359"/>
    <w:rsid w:val="72EB9CD0"/>
    <w:rsid w:val="736B3DB9"/>
    <w:rsid w:val="73753EC9"/>
    <w:rsid w:val="75DFCB50"/>
    <w:rsid w:val="77C8AEEF"/>
    <w:rsid w:val="7D993008"/>
    <w:rsid w:val="7ED1BBE4"/>
    <w:rsid w:val="7FA38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C969D7E"/>
  <w15:chartTrackingRefBased/>
  <w15:docId w15:val="{0EE1A60F-11A7-4C06-A267-7399CBD09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6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16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16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6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6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6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6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6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6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6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16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16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6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6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6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6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6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645"/>
    <w:rPr>
      <w:rFonts w:eastAsiaTheme="majorEastAsia" w:cstheme="majorBidi"/>
      <w:color w:val="272727" w:themeColor="text1" w:themeTint="D8"/>
    </w:rPr>
  </w:style>
  <w:style w:type="paragraph" w:styleId="Title">
    <w:name w:val="Title"/>
    <w:basedOn w:val="Normal"/>
    <w:next w:val="Normal"/>
    <w:link w:val="TitleChar"/>
    <w:uiPriority w:val="10"/>
    <w:qFormat/>
    <w:rsid w:val="00CF16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6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6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6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645"/>
    <w:pPr>
      <w:spacing w:before="160"/>
      <w:jc w:val="center"/>
    </w:pPr>
    <w:rPr>
      <w:i/>
      <w:iCs/>
      <w:color w:val="404040" w:themeColor="text1" w:themeTint="BF"/>
    </w:rPr>
  </w:style>
  <w:style w:type="character" w:customStyle="1" w:styleId="QuoteChar">
    <w:name w:val="Quote Char"/>
    <w:basedOn w:val="DefaultParagraphFont"/>
    <w:link w:val="Quote"/>
    <w:uiPriority w:val="29"/>
    <w:rsid w:val="00CF1645"/>
    <w:rPr>
      <w:i/>
      <w:iCs/>
      <w:color w:val="404040" w:themeColor="text1" w:themeTint="BF"/>
    </w:rPr>
  </w:style>
  <w:style w:type="paragraph" w:styleId="ListParagraph">
    <w:name w:val="List Paragraph"/>
    <w:basedOn w:val="Normal"/>
    <w:uiPriority w:val="34"/>
    <w:qFormat/>
    <w:rsid w:val="00CF1645"/>
    <w:pPr>
      <w:ind w:left="720"/>
      <w:contextualSpacing/>
    </w:pPr>
  </w:style>
  <w:style w:type="character" w:styleId="IntenseEmphasis">
    <w:name w:val="Intense Emphasis"/>
    <w:basedOn w:val="DefaultParagraphFont"/>
    <w:uiPriority w:val="21"/>
    <w:qFormat/>
    <w:rsid w:val="00CF1645"/>
    <w:rPr>
      <w:i/>
      <w:iCs/>
      <w:color w:val="0F4761" w:themeColor="accent1" w:themeShade="BF"/>
    </w:rPr>
  </w:style>
  <w:style w:type="paragraph" w:styleId="IntenseQuote">
    <w:name w:val="Intense Quote"/>
    <w:basedOn w:val="Normal"/>
    <w:next w:val="Normal"/>
    <w:link w:val="IntenseQuoteChar"/>
    <w:uiPriority w:val="30"/>
    <w:qFormat/>
    <w:rsid w:val="00CF16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645"/>
    <w:rPr>
      <w:i/>
      <w:iCs/>
      <w:color w:val="0F4761" w:themeColor="accent1" w:themeShade="BF"/>
    </w:rPr>
  </w:style>
  <w:style w:type="character" w:styleId="IntenseReference">
    <w:name w:val="Intense Reference"/>
    <w:basedOn w:val="DefaultParagraphFont"/>
    <w:uiPriority w:val="32"/>
    <w:qFormat/>
    <w:rsid w:val="00CF1645"/>
    <w:rPr>
      <w:b/>
      <w:bCs/>
      <w:smallCaps/>
      <w:color w:val="0F4761" w:themeColor="accent1" w:themeShade="BF"/>
      <w:spacing w:val="5"/>
    </w:rPr>
  </w:style>
  <w:style w:type="character" w:styleId="Hyperlink">
    <w:name w:val="Hyperlink"/>
    <w:basedOn w:val="DefaultParagraphFont"/>
    <w:uiPriority w:val="99"/>
    <w:unhideWhenUsed/>
    <w:rsid w:val="00CF1645"/>
    <w:rPr>
      <w:color w:val="467886" w:themeColor="hyperlink"/>
      <w:u w:val="single"/>
    </w:rPr>
  </w:style>
  <w:style w:type="character" w:styleId="UnresolvedMention">
    <w:name w:val="Unresolved Mention"/>
    <w:basedOn w:val="DefaultParagraphFont"/>
    <w:uiPriority w:val="99"/>
    <w:semiHidden/>
    <w:unhideWhenUsed/>
    <w:rsid w:val="00CF16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dementia" TargetMode="External"/><Relationship Id="rId3" Type="http://schemas.openxmlformats.org/officeDocument/2006/relationships/settings" Target="settings.xml"/><Relationship Id="rId7" Type="http://schemas.openxmlformats.org/officeDocument/2006/relationships/hyperlink" Target="https://www.nice.org.uk/guidance/ng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S0140-6736(20)30367-6" TargetMode="External"/><Relationship Id="rId5" Type="http://schemas.openxmlformats.org/officeDocument/2006/relationships/hyperlink" Target="https://www.alzheimers.org.uk/about-dementia"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Tamyne Summer Cossa (2507591)</dc:creator>
  <cp:keywords/>
  <dc:description/>
  <cp:lastModifiedBy>Tamyne Summer Cossa (2507591)</cp:lastModifiedBy>
  <cp:revision>1</cp:revision>
  <dcterms:created xsi:type="dcterms:W3CDTF">2026-05-21T13:15:00Z</dcterms:created>
  <dcterms:modified xsi:type="dcterms:W3CDTF">2026-05-21T13:44:00Z</dcterms:modified>
</cp:coreProperties>
</file>