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6D69B4A3"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5A07C12E" wp14:editId="768AECB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B43BA1F" w14:textId="6AEE4470" w:rsidR="007D1947" w:rsidRDefault="0085294F">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Assignment 1: jurys inn</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4047E6D7" w14:textId="6A244EDE" w:rsidR="007D1947" w:rsidRDefault="006501D5">
              <w:pPr>
                <w:pStyle w:val="NoSpacing"/>
                <w:jc w:val="center"/>
                <w:rPr>
                  <w:color w:val="5B9BD5" w:themeColor="accent1"/>
                  <w:sz w:val="28"/>
                  <w:szCs w:val="28"/>
                </w:rPr>
              </w:pPr>
              <w:r>
                <w:rPr>
                  <w:color w:val="5B9BD5" w:themeColor="accent1"/>
                  <w:sz w:val="28"/>
                  <w:szCs w:val="28"/>
                </w:rPr>
                <w:t>BMIH5007</w:t>
              </w:r>
            </w:p>
          </w:sdtContent>
        </w:sdt>
        <w:p w14:paraId="216FAD0F"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A7C447" wp14:editId="2121C09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2-16T00:00:00Z">
                                    <w:dateFormat w:val="MMMM d, yyyy"/>
                                    <w:lid w:val="en-US"/>
                                    <w:storeMappedDataAs w:val="dateTime"/>
                                    <w:calendar w:val="gregorian"/>
                                  </w:date>
                                </w:sdtPr>
                                <w:sdtEndPr/>
                                <w:sdtContent>
                                  <w:p w14:paraId="62C0EC51" w14:textId="59B65C30" w:rsidR="007D1947" w:rsidRDefault="006501D5">
                                    <w:pPr>
                                      <w:pStyle w:val="NoSpacing"/>
                                      <w:spacing w:after="40"/>
                                      <w:jc w:val="center"/>
                                      <w:rPr>
                                        <w:caps/>
                                        <w:color w:val="5B9BD5" w:themeColor="accent1"/>
                                        <w:sz w:val="28"/>
                                        <w:szCs w:val="28"/>
                                      </w:rPr>
                                    </w:pPr>
                                    <w:r>
                                      <w:rPr>
                                        <w:caps/>
                                        <w:color w:val="5B9BD5" w:themeColor="accent1"/>
                                        <w:sz w:val="28"/>
                                        <w:szCs w:val="28"/>
                                      </w:rPr>
                                      <w:t>February 16, 2022</w:t>
                                    </w:r>
                                  </w:p>
                                </w:sdtContent>
                              </w:sdt>
                              <w:p w14:paraId="1E36C3C2" w14:textId="77777777" w:rsidR="007D1947" w:rsidRDefault="00046F8E">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600A545" w14:textId="77777777" w:rsidR="007D1947" w:rsidRDefault="00046F8E">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A7C447"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&#13;&#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2-16T00:00:00Z">
                              <w:dateFormat w:val="MMMM d, yyyy"/>
                              <w:lid w:val="en-US"/>
                              <w:storeMappedDataAs w:val="dateTime"/>
                              <w:calendar w:val="gregorian"/>
                            </w:date>
                          </w:sdtPr>
                          <w:sdtEndPr/>
                          <w:sdtContent>
                            <w:p w14:paraId="62C0EC51" w14:textId="59B65C30" w:rsidR="007D1947" w:rsidRDefault="006501D5">
                              <w:pPr>
                                <w:pStyle w:val="NoSpacing"/>
                                <w:spacing w:after="40"/>
                                <w:jc w:val="center"/>
                                <w:rPr>
                                  <w:caps/>
                                  <w:color w:val="5B9BD5" w:themeColor="accent1"/>
                                  <w:sz w:val="28"/>
                                  <w:szCs w:val="28"/>
                                </w:rPr>
                              </w:pPr>
                              <w:r>
                                <w:rPr>
                                  <w:caps/>
                                  <w:color w:val="5B9BD5" w:themeColor="accent1"/>
                                  <w:sz w:val="28"/>
                                  <w:szCs w:val="28"/>
                                </w:rPr>
                                <w:t>February 16, 2022</w:t>
                              </w:r>
                            </w:p>
                          </w:sdtContent>
                        </w:sdt>
                        <w:p w14:paraId="1E36C3C2" w14:textId="77777777" w:rsidR="007D1947" w:rsidRDefault="00046F8E">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600A545" w14:textId="77777777" w:rsidR="007D1947" w:rsidRDefault="00046F8E">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26E74BA9" wp14:editId="124E593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0D4C6AE" w14:textId="553FA32C" w:rsidR="0085294F" w:rsidRPr="0085294F" w:rsidRDefault="0085294F" w:rsidP="0085294F">
          <w:pPr>
            <w:pStyle w:val="Heading1"/>
            <w:jc w:val="both"/>
            <w:rPr>
              <w:rFonts w:ascii="Arial" w:hAnsi="Arial" w:cs="Arial"/>
              <w:color w:val="000000" w:themeColor="text1"/>
              <w:sz w:val="24"/>
              <w:szCs w:val="24"/>
            </w:rPr>
          </w:pPr>
          <w:proofErr w:type="spellStart"/>
          <w:r w:rsidRPr="0085294F">
            <w:rPr>
              <w:rFonts w:ascii="Arial" w:hAnsi="Arial" w:cs="Arial"/>
              <w:color w:val="000000" w:themeColor="text1"/>
              <w:sz w:val="24"/>
              <w:szCs w:val="24"/>
            </w:rPr>
            <w:t>Milon</w:t>
          </w:r>
          <w:proofErr w:type="spellEnd"/>
          <w:r w:rsidRPr="0085294F">
            <w:rPr>
              <w:rFonts w:ascii="Arial" w:hAnsi="Arial" w:cs="Arial"/>
              <w:color w:val="000000" w:themeColor="text1"/>
              <w:sz w:val="24"/>
              <w:szCs w:val="24"/>
            </w:rPr>
            <w:t xml:space="preserve"> Miah</w:t>
          </w:r>
        </w:p>
        <w:p w14:paraId="28C09EFE" w14:textId="6A39B780" w:rsidR="0085294F" w:rsidRPr="0085294F" w:rsidRDefault="0085294F" w:rsidP="0085294F">
          <w:pPr>
            <w:jc w:val="both"/>
            <w:rPr>
              <w:rFonts w:ascii="Arial" w:hAnsi="Arial" w:cs="Arial"/>
              <w:color w:val="000000" w:themeColor="text1"/>
              <w:sz w:val="24"/>
              <w:szCs w:val="24"/>
            </w:rPr>
          </w:pPr>
          <w:r w:rsidRPr="0085294F">
            <w:rPr>
              <w:rFonts w:ascii="Arial" w:hAnsi="Arial" w:cs="Arial"/>
              <w:color w:val="000000" w:themeColor="text1"/>
              <w:sz w:val="24"/>
              <w:szCs w:val="24"/>
            </w:rPr>
            <w:t>Dale Clark – lecturer</w:t>
          </w:r>
        </w:p>
        <w:p w14:paraId="4341944F" w14:textId="7FBD2C9C" w:rsidR="0085294F" w:rsidRPr="0085294F" w:rsidRDefault="0085294F" w:rsidP="0085294F">
          <w:pPr>
            <w:jc w:val="both"/>
            <w:rPr>
              <w:rFonts w:ascii="Arial" w:hAnsi="Arial" w:cs="Arial"/>
              <w:color w:val="000000" w:themeColor="text1"/>
              <w:sz w:val="24"/>
              <w:szCs w:val="24"/>
            </w:rPr>
          </w:pPr>
          <w:r w:rsidRPr="0085294F">
            <w:rPr>
              <w:rFonts w:ascii="Arial" w:hAnsi="Arial" w:cs="Arial"/>
              <w:color w:val="000000" w:themeColor="text1"/>
              <w:sz w:val="24"/>
              <w:szCs w:val="24"/>
            </w:rPr>
            <w:t>Student id – 1909933</w:t>
          </w:r>
        </w:p>
        <w:p w14:paraId="3FE61469" w14:textId="77777777" w:rsidR="0085294F" w:rsidRPr="0085294F" w:rsidRDefault="0085294F" w:rsidP="0085294F">
          <w:pPr>
            <w:jc w:val="both"/>
            <w:rPr>
              <w:rFonts w:ascii="Arial" w:hAnsi="Arial" w:cs="Arial"/>
              <w:sz w:val="24"/>
              <w:szCs w:val="24"/>
            </w:rPr>
          </w:pPr>
          <w:r w:rsidRPr="0085294F">
            <w:rPr>
              <w:rFonts w:ascii="Arial" w:hAnsi="Arial" w:cs="Arial"/>
              <w:color w:val="000000" w:themeColor="text1"/>
              <w:sz w:val="24"/>
              <w:szCs w:val="24"/>
            </w:rPr>
            <w:t xml:space="preserve">Module title - </w:t>
          </w:r>
          <w:r w:rsidRPr="0085294F">
            <w:rPr>
              <w:rFonts w:ascii="Arial" w:hAnsi="Arial" w:cs="Arial"/>
              <w:sz w:val="24"/>
              <w:szCs w:val="24"/>
            </w:rPr>
            <w:t>Financial Management for the Hotel industry BMIH5007</w:t>
          </w:r>
        </w:p>
        <w:p w14:paraId="0658F6C7" w14:textId="04DA1D5F" w:rsidR="0085294F" w:rsidRPr="0085294F" w:rsidRDefault="0054626F" w:rsidP="0085294F">
          <w:pPr>
            <w:rPr>
              <w:rFonts w:ascii="Arial" w:hAnsi="Arial" w:cs="Arial"/>
              <w:color w:val="000000" w:themeColor="text1"/>
              <w:sz w:val="24"/>
              <w:szCs w:val="24"/>
            </w:rPr>
          </w:pPr>
          <w:r>
            <w:rPr>
              <w:rFonts w:ascii="Arial" w:hAnsi="Arial" w:cs="Arial"/>
              <w:color w:val="000000" w:themeColor="text1"/>
              <w:sz w:val="24"/>
              <w:szCs w:val="24"/>
            </w:rPr>
            <w:t>Word count - 1526</w:t>
          </w:r>
        </w:p>
        <w:p w14:paraId="3C7FE115" w14:textId="45FDDD90" w:rsidR="006501D5" w:rsidRPr="0085294F" w:rsidRDefault="007D1947" w:rsidP="007D1947">
          <w:pPr>
            <w:pStyle w:val="Heading1"/>
            <w:rPr>
              <w:rFonts w:ascii="Arial" w:hAnsi="Arial" w:cs="Arial"/>
              <w:color w:val="000000" w:themeColor="text1"/>
              <w:sz w:val="24"/>
              <w:szCs w:val="24"/>
            </w:rPr>
          </w:pPr>
          <w:r w:rsidRPr="0085294F">
            <w:rPr>
              <w:rFonts w:ascii="Arial" w:hAnsi="Arial" w:cs="Arial"/>
              <w:color w:val="000000" w:themeColor="text1"/>
              <w:sz w:val="24"/>
              <w:szCs w:val="24"/>
            </w:rPr>
            <w:br w:type="page"/>
          </w:r>
          <w:bookmarkStart w:id="0" w:name="_Toc463944599"/>
        </w:p>
        <w:p w14:paraId="5A97CECE" w14:textId="3EDB7117" w:rsidR="006501D5" w:rsidRDefault="006501D5" w:rsidP="006501D5">
          <w:pPr>
            <w:ind w:firstLine="720"/>
            <w:rPr>
              <w:rFonts w:ascii="Arial" w:hAnsi="Arial" w:cs="Arial"/>
            </w:rPr>
          </w:pPr>
        </w:p>
        <w:p w14:paraId="189D95A6" w14:textId="77777777" w:rsidR="006501D5" w:rsidRDefault="006501D5" w:rsidP="007D1947">
          <w:pPr>
            <w:pStyle w:val="Heading1"/>
          </w:pPr>
        </w:p>
        <w:p w14:paraId="544EE1F4" w14:textId="10EABE92" w:rsidR="007D1947" w:rsidRDefault="007D1947" w:rsidP="007D1947">
          <w:pPr>
            <w:pStyle w:val="Heading1"/>
          </w:pPr>
          <w:r>
            <w:t>Executive Summary</w:t>
          </w:r>
          <w:bookmarkEnd w:id="0"/>
        </w:p>
        <w:p w14:paraId="18778015" w14:textId="200E842F" w:rsidR="007D1947" w:rsidRDefault="007D1947">
          <w:r>
            <w:t xml:space="preserve">The purpose of this report is to </w:t>
          </w:r>
          <w:r w:rsidR="0054626F">
            <w:t>analyse the trends regarding financial data within the business that is Jurys Inn. It is an analysis into the ratios which have been obtained via the financial statements available and an explanation of the fluctuations that have occurred.</w:t>
          </w:r>
        </w:p>
        <w:p w14:paraId="3B79597B" w14:textId="77777777" w:rsidR="007D1947" w:rsidRDefault="007D1947"/>
        <w:p w14:paraId="396A91D6" w14:textId="77777777" w:rsidR="007D1947" w:rsidRDefault="007D1947"/>
        <w:p w14:paraId="48698387" w14:textId="77777777" w:rsidR="007D1947" w:rsidRDefault="007D1947"/>
        <w:p w14:paraId="12E7A225" w14:textId="77777777" w:rsidR="007D1947" w:rsidRDefault="007D1947"/>
        <w:p w14:paraId="5B441F96" w14:textId="77777777" w:rsidR="007D1947" w:rsidRDefault="007D1947"/>
        <w:p w14:paraId="5F7C9588" w14:textId="77777777" w:rsidR="007D1947" w:rsidRDefault="007D1947"/>
        <w:p w14:paraId="49816CA8" w14:textId="77777777" w:rsidR="007D1947" w:rsidRDefault="007D1947"/>
        <w:p w14:paraId="0532323D" w14:textId="77777777" w:rsidR="007D1947" w:rsidRDefault="007D1947"/>
        <w:p w14:paraId="71BE1364" w14:textId="77777777" w:rsidR="007D1947" w:rsidRDefault="007D1947"/>
        <w:p w14:paraId="23FADD3D" w14:textId="77777777" w:rsidR="007D1947" w:rsidRDefault="007D1947"/>
        <w:p w14:paraId="6A063504" w14:textId="77777777" w:rsidR="007D1947" w:rsidRDefault="007D1947"/>
        <w:p w14:paraId="0B2CBBB7" w14:textId="77777777" w:rsidR="007D1947" w:rsidRDefault="007D1947"/>
        <w:p w14:paraId="4E2A061D" w14:textId="77777777" w:rsidR="007D1947" w:rsidRDefault="007D1947"/>
        <w:p w14:paraId="3D396DF0" w14:textId="77777777" w:rsidR="007D1947" w:rsidRDefault="007D1947"/>
        <w:p w14:paraId="5F3B5D23" w14:textId="77777777" w:rsidR="007D1947" w:rsidRDefault="007D1947"/>
        <w:p w14:paraId="0370F676" w14:textId="77777777" w:rsidR="007D1947" w:rsidRDefault="007D1947"/>
        <w:p w14:paraId="1FABD22E" w14:textId="77777777" w:rsidR="007D1947" w:rsidRDefault="007D1947"/>
        <w:p w14:paraId="1DAAE2DD" w14:textId="77777777" w:rsidR="007D1947" w:rsidRDefault="007D1947"/>
        <w:p w14:paraId="3FCDFBF2" w14:textId="77777777" w:rsidR="007D1947" w:rsidRDefault="007D1947"/>
        <w:p w14:paraId="5C474D93" w14:textId="77777777" w:rsidR="007D1947" w:rsidRDefault="007D1947"/>
        <w:p w14:paraId="3677F85D" w14:textId="77777777" w:rsidR="007D1947" w:rsidRDefault="007D1947"/>
        <w:p w14:paraId="337FDA35" w14:textId="77777777" w:rsidR="007D1947" w:rsidRDefault="007D1947"/>
        <w:p w14:paraId="4AE2F59A" w14:textId="77777777" w:rsidR="007D1947" w:rsidRDefault="007D1947"/>
        <w:p w14:paraId="7FF4E052" w14:textId="77777777" w:rsidR="007D1947" w:rsidRDefault="007D1947"/>
        <w:p w14:paraId="704E9FA6"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34F98DF" w14:textId="77777777" w:rsidR="007D1947" w:rsidRDefault="007D1947">
              <w:pPr>
                <w:pStyle w:val="TOCHeading"/>
              </w:pPr>
              <w:r>
                <w:t>Table of Contents</w:t>
              </w:r>
            </w:p>
            <w:p w14:paraId="6FA85656" w14:textId="1F86F6E6" w:rsidR="00115B96"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63944599" w:history="1">
                <w:r w:rsidR="00115B96" w:rsidRPr="009B0210">
                  <w:rPr>
                    <w:rStyle w:val="Hyperlink"/>
                    <w:noProof/>
                  </w:rPr>
                  <w:t>Executive Summary</w:t>
                </w:r>
                <w:r w:rsidR="00115B96">
                  <w:rPr>
                    <w:noProof/>
                    <w:webHidden/>
                  </w:rPr>
                  <w:tab/>
                </w:r>
                <w:r w:rsidR="0054626F">
                  <w:rPr>
                    <w:noProof/>
                    <w:webHidden/>
                  </w:rPr>
                  <w:t>2</w:t>
                </w:r>
              </w:hyperlink>
            </w:p>
            <w:p w14:paraId="28050B58" w14:textId="72714BE2" w:rsidR="00115B96" w:rsidRDefault="00046F8E">
              <w:pPr>
                <w:pStyle w:val="TOC1"/>
                <w:tabs>
                  <w:tab w:val="right" w:leader="dot" w:pos="9016"/>
                </w:tabs>
                <w:rPr>
                  <w:rFonts w:eastAsiaTheme="minorEastAsia"/>
                  <w:noProof/>
                  <w:lang w:eastAsia="en-GB"/>
                </w:rPr>
              </w:pPr>
              <w:hyperlink w:anchor="_Toc463944600" w:history="1">
                <w:r w:rsidR="00115B96" w:rsidRPr="009B0210">
                  <w:rPr>
                    <w:rStyle w:val="Hyperlink"/>
                    <w:noProof/>
                  </w:rPr>
                  <w:t>Introduction</w:t>
                </w:r>
                <w:r w:rsidR="00115B96">
                  <w:rPr>
                    <w:noProof/>
                    <w:webHidden/>
                  </w:rPr>
                  <w:tab/>
                </w:r>
                <w:r w:rsidR="004335FA">
                  <w:rPr>
                    <w:noProof/>
                    <w:webHidden/>
                  </w:rPr>
                  <w:t>4</w:t>
                </w:r>
              </w:hyperlink>
            </w:p>
            <w:p w14:paraId="6490EA3C" w14:textId="6149CEFB" w:rsidR="00115B96" w:rsidRDefault="00046F8E">
              <w:pPr>
                <w:pStyle w:val="TOC1"/>
                <w:tabs>
                  <w:tab w:val="right" w:leader="dot" w:pos="9016"/>
                </w:tabs>
                <w:rPr>
                  <w:rFonts w:eastAsiaTheme="minorEastAsia"/>
                  <w:noProof/>
                  <w:lang w:eastAsia="en-GB"/>
                </w:rPr>
              </w:pPr>
              <w:hyperlink w:anchor="_Toc463944601" w:history="1">
                <w:r w:rsidR="00115B96" w:rsidRPr="009B0210">
                  <w:rPr>
                    <w:rStyle w:val="Hyperlink"/>
                    <w:noProof/>
                  </w:rPr>
                  <w:t>Financial Analysis</w:t>
                </w:r>
                <w:r w:rsidR="00115B96">
                  <w:rPr>
                    <w:noProof/>
                    <w:webHidden/>
                  </w:rPr>
                  <w:tab/>
                </w:r>
                <w:r w:rsidR="004335FA">
                  <w:rPr>
                    <w:noProof/>
                    <w:webHidden/>
                  </w:rPr>
                  <w:t>4</w:t>
                </w:r>
              </w:hyperlink>
            </w:p>
            <w:p w14:paraId="2676F3A3" w14:textId="0CB6A99D" w:rsidR="00115B96" w:rsidRDefault="00046F8E">
              <w:pPr>
                <w:pStyle w:val="TOC1"/>
                <w:tabs>
                  <w:tab w:val="right" w:leader="dot" w:pos="9016"/>
                </w:tabs>
                <w:rPr>
                  <w:rFonts w:eastAsiaTheme="minorEastAsia"/>
                  <w:noProof/>
                  <w:lang w:eastAsia="en-GB"/>
                </w:rPr>
              </w:pPr>
              <w:hyperlink w:anchor="_Toc463944602" w:history="1">
                <w:r w:rsidR="00115B96" w:rsidRPr="009B0210">
                  <w:rPr>
                    <w:rStyle w:val="Hyperlink"/>
                    <w:noProof/>
                  </w:rPr>
                  <w:t>Financial Analysis Trends</w:t>
                </w:r>
                <w:r w:rsidR="00115B96">
                  <w:rPr>
                    <w:noProof/>
                    <w:webHidden/>
                  </w:rPr>
                  <w:tab/>
                </w:r>
                <w:r w:rsidR="004335FA">
                  <w:rPr>
                    <w:noProof/>
                    <w:webHidden/>
                  </w:rPr>
                  <w:t>4</w:t>
                </w:r>
              </w:hyperlink>
            </w:p>
            <w:p w14:paraId="3C6D8703" w14:textId="1F772C98" w:rsidR="00115B96" w:rsidRDefault="00046F8E">
              <w:pPr>
                <w:pStyle w:val="TOC2"/>
                <w:tabs>
                  <w:tab w:val="right" w:leader="dot" w:pos="9016"/>
                </w:tabs>
                <w:rPr>
                  <w:noProof/>
                </w:rPr>
              </w:pPr>
              <w:hyperlink w:anchor="_Toc463944603" w:history="1">
                <w:r w:rsidR="00115B96" w:rsidRPr="009B0210">
                  <w:rPr>
                    <w:rStyle w:val="Hyperlink"/>
                    <w:noProof/>
                  </w:rPr>
                  <w:t>Profitability</w:t>
                </w:r>
                <w:r w:rsidR="00115B96">
                  <w:rPr>
                    <w:noProof/>
                    <w:webHidden/>
                  </w:rPr>
                  <w:tab/>
                </w:r>
                <w:r w:rsidR="004335FA">
                  <w:rPr>
                    <w:noProof/>
                    <w:webHidden/>
                  </w:rPr>
                  <w:t>4</w:t>
                </w:r>
              </w:hyperlink>
            </w:p>
            <w:p w14:paraId="50E14CEA" w14:textId="44ECF813" w:rsidR="00115B96" w:rsidRDefault="00046F8E">
              <w:pPr>
                <w:pStyle w:val="TOC2"/>
                <w:tabs>
                  <w:tab w:val="right" w:leader="dot" w:pos="9016"/>
                </w:tabs>
                <w:rPr>
                  <w:noProof/>
                </w:rPr>
              </w:pPr>
              <w:hyperlink w:anchor="_Toc463944604" w:history="1">
                <w:r w:rsidR="00115B96" w:rsidRPr="009B0210">
                  <w:rPr>
                    <w:rStyle w:val="Hyperlink"/>
                    <w:noProof/>
                  </w:rPr>
                  <w:t>Liquidity</w:t>
                </w:r>
                <w:r w:rsidR="00115B96">
                  <w:rPr>
                    <w:noProof/>
                    <w:webHidden/>
                  </w:rPr>
                  <w:tab/>
                </w:r>
                <w:r w:rsidR="004335FA">
                  <w:rPr>
                    <w:noProof/>
                    <w:webHidden/>
                  </w:rPr>
                  <w:t>5</w:t>
                </w:r>
              </w:hyperlink>
            </w:p>
            <w:p w14:paraId="6E508A24" w14:textId="5A844E52" w:rsidR="00115B96" w:rsidRDefault="00046F8E">
              <w:pPr>
                <w:pStyle w:val="TOC2"/>
                <w:tabs>
                  <w:tab w:val="right" w:leader="dot" w:pos="9016"/>
                </w:tabs>
                <w:rPr>
                  <w:noProof/>
                </w:rPr>
              </w:pPr>
              <w:hyperlink w:anchor="_Toc463944605" w:history="1">
                <w:r w:rsidR="00115B96" w:rsidRPr="009B0210">
                  <w:rPr>
                    <w:rStyle w:val="Hyperlink"/>
                    <w:noProof/>
                  </w:rPr>
                  <w:t>Gearing</w:t>
                </w:r>
                <w:r w:rsidR="00115B96">
                  <w:rPr>
                    <w:noProof/>
                    <w:webHidden/>
                  </w:rPr>
                  <w:tab/>
                </w:r>
                <w:r w:rsidR="004335FA">
                  <w:rPr>
                    <w:noProof/>
                    <w:webHidden/>
                  </w:rPr>
                  <w:t>5</w:t>
                </w:r>
              </w:hyperlink>
            </w:p>
            <w:p w14:paraId="22D07ED1" w14:textId="4CD26E1E" w:rsidR="00115B96" w:rsidRDefault="00046F8E">
              <w:pPr>
                <w:pStyle w:val="TOC1"/>
                <w:tabs>
                  <w:tab w:val="right" w:leader="dot" w:pos="9016"/>
                </w:tabs>
                <w:rPr>
                  <w:rFonts w:eastAsiaTheme="minorEastAsia"/>
                  <w:noProof/>
                  <w:lang w:eastAsia="en-GB"/>
                </w:rPr>
              </w:pPr>
              <w:hyperlink w:anchor="_Toc463944606" w:history="1">
                <w:r w:rsidR="00115B96" w:rsidRPr="009B0210">
                  <w:rPr>
                    <w:rStyle w:val="Hyperlink"/>
                    <w:noProof/>
                  </w:rPr>
                  <w:t>Knowledge from Ratio Analysis</w:t>
                </w:r>
                <w:r w:rsidR="00115B96">
                  <w:rPr>
                    <w:noProof/>
                    <w:webHidden/>
                  </w:rPr>
                  <w:tab/>
                </w:r>
                <w:r w:rsidR="004335FA">
                  <w:rPr>
                    <w:noProof/>
                    <w:webHidden/>
                  </w:rPr>
                  <w:t>6</w:t>
                </w:r>
              </w:hyperlink>
            </w:p>
            <w:p w14:paraId="339DD598" w14:textId="43F9E30E" w:rsidR="00115B96" w:rsidRDefault="00046F8E">
              <w:pPr>
                <w:pStyle w:val="TOC1"/>
                <w:tabs>
                  <w:tab w:val="right" w:leader="dot" w:pos="9016"/>
                </w:tabs>
                <w:rPr>
                  <w:rFonts w:eastAsiaTheme="minorEastAsia"/>
                  <w:noProof/>
                  <w:lang w:eastAsia="en-GB"/>
                </w:rPr>
              </w:pPr>
              <w:hyperlink w:anchor="_Toc463944607" w:history="1">
                <w:r w:rsidR="00115B96" w:rsidRPr="009B0210">
                  <w:rPr>
                    <w:rStyle w:val="Hyperlink"/>
                    <w:noProof/>
                  </w:rPr>
                  <w:t>Benefits and Limitations of Ratio Analysis</w:t>
                </w:r>
                <w:r w:rsidR="00115B96">
                  <w:rPr>
                    <w:noProof/>
                    <w:webHidden/>
                  </w:rPr>
                  <w:tab/>
                </w:r>
                <w:r w:rsidR="004335FA">
                  <w:rPr>
                    <w:noProof/>
                    <w:webHidden/>
                  </w:rPr>
                  <w:t>6</w:t>
                </w:r>
              </w:hyperlink>
            </w:p>
            <w:p w14:paraId="4917EE80" w14:textId="5E54D1CA" w:rsidR="00115B96" w:rsidRDefault="00046F8E">
              <w:pPr>
                <w:pStyle w:val="TOC1"/>
                <w:tabs>
                  <w:tab w:val="right" w:leader="dot" w:pos="9016"/>
                </w:tabs>
                <w:rPr>
                  <w:rFonts w:eastAsiaTheme="minorEastAsia"/>
                  <w:noProof/>
                  <w:lang w:eastAsia="en-GB"/>
                </w:rPr>
              </w:pPr>
              <w:hyperlink w:anchor="_Toc463944608" w:history="1">
                <w:r w:rsidR="00115B96" w:rsidRPr="009B0210">
                  <w:rPr>
                    <w:rStyle w:val="Hyperlink"/>
                    <w:noProof/>
                  </w:rPr>
                  <w:t>Conclusion (average of 10% of word count)</w:t>
                </w:r>
                <w:r w:rsidR="00115B96">
                  <w:rPr>
                    <w:noProof/>
                    <w:webHidden/>
                  </w:rPr>
                  <w:tab/>
                </w:r>
                <w:r w:rsidR="004335FA">
                  <w:rPr>
                    <w:noProof/>
                    <w:webHidden/>
                  </w:rPr>
                  <w:t>7</w:t>
                </w:r>
              </w:hyperlink>
            </w:p>
            <w:p w14:paraId="36258CE0" w14:textId="7EDFB122" w:rsidR="00115B96" w:rsidRDefault="00046F8E">
              <w:pPr>
                <w:pStyle w:val="TOC1"/>
                <w:tabs>
                  <w:tab w:val="right" w:leader="dot" w:pos="9016"/>
                </w:tabs>
                <w:rPr>
                  <w:rFonts w:eastAsiaTheme="minorEastAsia"/>
                  <w:noProof/>
                  <w:lang w:eastAsia="en-GB"/>
                </w:rPr>
              </w:pPr>
              <w:hyperlink w:anchor="_Toc463944609" w:history="1">
                <w:r w:rsidR="00115B96" w:rsidRPr="009B0210">
                  <w:rPr>
                    <w:rStyle w:val="Hyperlink"/>
                    <w:noProof/>
                  </w:rPr>
                  <w:t>Bibliography</w:t>
                </w:r>
                <w:r w:rsidR="00115B96">
                  <w:rPr>
                    <w:noProof/>
                    <w:webHidden/>
                  </w:rPr>
                  <w:tab/>
                </w:r>
                <w:r w:rsidR="004335FA">
                  <w:rPr>
                    <w:noProof/>
                    <w:webHidden/>
                  </w:rPr>
                  <w:t>8</w:t>
                </w:r>
              </w:hyperlink>
            </w:p>
            <w:p w14:paraId="599A4830" w14:textId="77777777" w:rsidR="007D1947" w:rsidRDefault="007D1947">
              <w:r>
                <w:rPr>
                  <w:b/>
                  <w:bCs/>
                  <w:noProof/>
                </w:rPr>
                <w:fldChar w:fldCharType="end"/>
              </w:r>
              <w:r w:rsidR="00115B96">
                <w:rPr>
                  <w:b/>
                  <w:bCs/>
                  <w:noProof/>
                </w:rPr>
                <w:t>UPDATE TABLE FREQUENTLY – CHECK IT HAS BEEN UPDATED PRIOR TO SUBMISSION</w:t>
              </w:r>
            </w:p>
          </w:sdtContent>
        </w:sdt>
        <w:p w14:paraId="0ED038F9" w14:textId="77777777" w:rsidR="007D1947" w:rsidRDefault="007D1947"/>
        <w:p w14:paraId="652672A2" w14:textId="77777777" w:rsidR="007D1947" w:rsidRDefault="007D1947"/>
        <w:p w14:paraId="0F08AA50" w14:textId="77777777" w:rsidR="007D1947" w:rsidRDefault="007D1947"/>
        <w:p w14:paraId="5A7A8365" w14:textId="77777777" w:rsidR="007D1947" w:rsidRDefault="007D1947"/>
        <w:p w14:paraId="290FACB5" w14:textId="77777777" w:rsidR="007D1947" w:rsidRDefault="007D1947"/>
        <w:p w14:paraId="59616EA0" w14:textId="77777777" w:rsidR="007D1947" w:rsidRDefault="007D1947"/>
        <w:p w14:paraId="09DDC5EC" w14:textId="77777777" w:rsidR="007D1947" w:rsidRDefault="007D1947"/>
        <w:p w14:paraId="1BFEA163" w14:textId="77777777" w:rsidR="007D1947" w:rsidRDefault="007D1947"/>
        <w:p w14:paraId="128224B7" w14:textId="77777777" w:rsidR="007D1947" w:rsidRDefault="007D1947"/>
        <w:p w14:paraId="25C73A7A" w14:textId="77777777" w:rsidR="007D1947" w:rsidRDefault="007D1947"/>
        <w:p w14:paraId="671B246C" w14:textId="77777777" w:rsidR="007D1947" w:rsidRDefault="007D1947"/>
        <w:p w14:paraId="175135BA" w14:textId="77777777" w:rsidR="007D1947" w:rsidRDefault="007D1947"/>
        <w:p w14:paraId="2186E907" w14:textId="77777777" w:rsidR="007D1947" w:rsidRDefault="007D1947"/>
        <w:p w14:paraId="700D59DC" w14:textId="77777777" w:rsidR="007D1947" w:rsidRDefault="007D1947"/>
        <w:p w14:paraId="3E83DB16" w14:textId="77777777" w:rsidR="0054626F" w:rsidRDefault="0054626F" w:rsidP="007D1947">
          <w:pPr>
            <w:pStyle w:val="Heading1"/>
          </w:pPr>
          <w:bookmarkStart w:id="1" w:name="_Toc463944600"/>
        </w:p>
        <w:p w14:paraId="75834AAA" w14:textId="77777777" w:rsidR="004335FA" w:rsidRDefault="004335FA" w:rsidP="007D1947">
          <w:pPr>
            <w:pStyle w:val="Heading1"/>
          </w:pPr>
        </w:p>
        <w:p w14:paraId="1642228D" w14:textId="77777777" w:rsidR="004335FA" w:rsidRDefault="004335FA" w:rsidP="007D1947">
          <w:pPr>
            <w:pStyle w:val="Heading1"/>
          </w:pPr>
        </w:p>
        <w:p w14:paraId="4B3D4688" w14:textId="082889FB" w:rsidR="007D1947" w:rsidRDefault="007D1947" w:rsidP="007D1947">
          <w:pPr>
            <w:pStyle w:val="Heading1"/>
          </w:pPr>
          <w:r>
            <w:t>Introduction</w:t>
          </w:r>
          <w:bookmarkEnd w:id="1"/>
        </w:p>
        <w:p w14:paraId="6FD9D7FA" w14:textId="59B92705" w:rsidR="004A11F6" w:rsidRPr="00187BD9" w:rsidRDefault="00187BD9" w:rsidP="007D1947">
          <w:pPr>
            <w:rPr>
              <w:rFonts w:ascii="Arial" w:hAnsi="Arial" w:cs="Arial"/>
            </w:rPr>
          </w:pPr>
          <w:r w:rsidRPr="007A6795">
            <w:rPr>
              <w:rFonts w:ascii="Arial" w:hAnsi="Arial" w:cs="Arial"/>
            </w:rPr>
            <w:t xml:space="preserve">The analysis of financial statements allows for the creation of accounting ratios. These ratios can be utilised to compare performance with historical data within the company. It also allows relevant stakeholders such as directors and senior management accountants to benchmark their performance against other competitors in the same sector. </w:t>
          </w:r>
          <w:r>
            <w:rPr>
              <w:rFonts w:ascii="Arial" w:hAnsi="Arial" w:cs="Arial"/>
            </w:rPr>
            <w:t>There are three different types of ratios, profitability, liquidity and gearing,</w:t>
          </w:r>
        </w:p>
        <w:p w14:paraId="133F8570" w14:textId="77777777" w:rsidR="004A11F6" w:rsidRDefault="004D519C" w:rsidP="004D519C">
          <w:pPr>
            <w:pStyle w:val="Heading1"/>
          </w:pPr>
          <w:bookmarkStart w:id="2" w:name="_Toc463944602"/>
          <w:r>
            <w:t>Financial Analysis Trends</w:t>
          </w:r>
          <w:bookmarkEnd w:id="2"/>
        </w:p>
        <w:p w14:paraId="06EED7A8" w14:textId="77777777" w:rsidR="004D519C" w:rsidRDefault="004D519C" w:rsidP="004D519C">
          <w:pPr>
            <w:pStyle w:val="Heading2"/>
          </w:pPr>
          <w:bookmarkStart w:id="3" w:name="_Toc463944603"/>
          <w:r>
            <w:t>Profitability</w:t>
          </w:r>
          <w:bookmarkEnd w:id="3"/>
        </w:p>
        <w:p w14:paraId="13D403D4" w14:textId="370B6687" w:rsidR="004D519C" w:rsidRDefault="004D519C" w:rsidP="004D519C">
          <w:r>
            <w:t>Discuss the trends seen in the profitability ratios</w:t>
          </w:r>
        </w:p>
        <w:p w14:paraId="19E7FB3C" w14:textId="77777777" w:rsidR="00187BD9" w:rsidRDefault="00187BD9" w:rsidP="00187BD9">
          <w:pPr>
            <w:ind w:firstLine="720"/>
            <w:rPr>
              <w:rFonts w:ascii="Arial" w:hAnsi="Arial" w:cs="Arial"/>
            </w:rPr>
          </w:pPr>
          <w:r w:rsidRPr="007A6795">
            <w:rPr>
              <w:rFonts w:ascii="Arial" w:hAnsi="Arial" w:cs="Arial"/>
            </w:rPr>
            <w:t xml:space="preserve">The business’ profitability ratios consist of gross profit margin calculations for the years 2019 &amp; 2020. The rate for gross profit margin in 2019 is 91.8%. this means that for every £100 of revenue, £91.80 is gross profit. The formula for calculating is gross- profit/revenue x100. The 2020 figure is 85.8%. I have achieved this figure by calculating (5150/6000) x100. the profitability has fallen by 6%. This is because the purchases have almost doubled from 500 to 850. Thus, leaving a much lower profit margin. The reasoning behind the increase in purchases could be due to the unexpected demand from customers. However, it is not clear, and more information is needed to draw up a conclusion. </w:t>
          </w:r>
          <w:r>
            <w:rPr>
              <w:rFonts w:ascii="Arial" w:hAnsi="Arial" w:cs="Arial"/>
            </w:rPr>
            <w:t>To conclude the gross profit is very good for this business as it is a very high percentage.</w:t>
          </w:r>
        </w:p>
        <w:p w14:paraId="739DF314" w14:textId="77777777" w:rsidR="00187BD9" w:rsidRPr="007A6795" w:rsidRDefault="00187BD9" w:rsidP="00187BD9">
          <w:pPr>
            <w:rPr>
              <w:rFonts w:ascii="Arial" w:hAnsi="Arial" w:cs="Arial"/>
            </w:rPr>
          </w:pPr>
          <w:r>
            <w:rPr>
              <w:rFonts w:ascii="Arial" w:hAnsi="Arial" w:cs="Arial"/>
            </w:rPr>
            <w:tab/>
            <w:t>The formula for calculating net profit margin is very similar to the previous formula for gross profit margin. This accounting ratio allows for the analysis of how profitable the business is after operating costs have been deducted. This allows internal shareholders such as directors and shareholder to have a quick impression of how well its being run. It is calculated by the following: (net profit for the year/ sales) x100. The figure for 2019 is 72.9% (rounded to 1 d.p.)  and the 2020 rate is 67.9%. The hotel has actually declined with its profitability. A reason for this could be due the increase in bad debts that the business has incurred. To combat bad debts, the hotel could do extra credit checks before allowing debtors to take on credit terms.</w:t>
          </w:r>
        </w:p>
        <w:p w14:paraId="0D832EA5" w14:textId="77777777" w:rsidR="00187BD9" w:rsidRPr="007A6795" w:rsidRDefault="00187BD9" w:rsidP="00187BD9">
          <w:pPr>
            <w:ind w:firstLine="720"/>
            <w:rPr>
              <w:rFonts w:ascii="Arial" w:hAnsi="Arial" w:cs="Arial"/>
            </w:rPr>
          </w:pPr>
          <w:r w:rsidRPr="007A6795">
            <w:rPr>
              <w:rFonts w:ascii="Arial" w:hAnsi="Arial" w:cs="Arial"/>
            </w:rPr>
            <w:t>The next profitability ratio is concerning the hotel’s rate</w:t>
          </w:r>
          <w:r>
            <w:rPr>
              <w:rFonts w:ascii="Arial" w:hAnsi="Arial" w:cs="Arial"/>
            </w:rPr>
            <w:t xml:space="preserve"> of return</w:t>
          </w:r>
          <w:r w:rsidRPr="007A6795">
            <w:rPr>
              <w:rFonts w:ascii="Arial" w:hAnsi="Arial" w:cs="Arial"/>
            </w:rPr>
            <w:t xml:space="preserve"> on capital employed. For every pound in which the business has invested into its operation, a rate can be worked out to see how effective their investment is. The higher the ROCE percentage, the better performing the business is. As the business is a limited company, the formula is (profit from operations/ </w:t>
          </w:r>
          <w:r>
            <w:rPr>
              <w:rFonts w:ascii="Arial" w:hAnsi="Arial" w:cs="Arial"/>
            </w:rPr>
            <w:t>total assets – current liabilities</w:t>
          </w:r>
          <w:r w:rsidRPr="007A6795">
            <w:rPr>
              <w:rFonts w:ascii="Arial" w:hAnsi="Arial" w:cs="Arial"/>
            </w:rPr>
            <w:t xml:space="preserve">) x100. Profit from operations is widely considered as profit before finance(interest) costs. So, the figure loan interest figures have been added back onto the profit for the year figure, instead of deducting. The rate of ROCE for 2019 is </w:t>
          </w:r>
          <w:r>
            <w:rPr>
              <w:rFonts w:ascii="Arial" w:hAnsi="Arial" w:cs="Arial"/>
            </w:rPr>
            <w:t>64.9% (</w:t>
          </w:r>
          <m:oMath>
            <m:f>
              <m:fPr>
                <m:ctrlPr>
                  <w:rPr>
                    <w:rFonts w:ascii="Cambria Math" w:hAnsi="Cambria Math" w:cs="Arial"/>
                    <w:i/>
                    <w:sz w:val="24"/>
                    <w:szCs w:val="24"/>
                  </w:rPr>
                </m:ctrlPr>
              </m:fPr>
              <m:num>
                <m:r>
                  <w:rPr>
                    <w:rFonts w:ascii="Cambria Math" w:hAnsi="Cambria Math" w:cs="Arial"/>
                  </w:rPr>
                  <m:t>4008+20</m:t>
                </m:r>
              </m:num>
              <m:den>
                <m:r>
                  <w:rPr>
                    <w:rFonts w:ascii="Cambria Math" w:hAnsi="Cambria Math" w:cs="Arial"/>
                  </w:rPr>
                  <m:t>6226</m:t>
                </m:r>
              </m:den>
            </m:f>
          </m:oMath>
          <w:r>
            <w:rPr>
              <w:rFonts w:ascii="Arial" w:eastAsiaTheme="minorEastAsia" w:hAnsi="Arial" w:cs="Arial"/>
            </w:rPr>
            <w:t xml:space="preserve">x100) </w:t>
          </w:r>
          <w:r w:rsidRPr="007A6795">
            <w:rPr>
              <w:rFonts w:ascii="Arial" w:hAnsi="Arial" w:cs="Arial"/>
            </w:rPr>
            <w:t>and the rate for 2020 is</w:t>
          </w:r>
          <w:r>
            <w:rPr>
              <w:rFonts w:ascii="Arial" w:hAnsi="Arial" w:cs="Arial"/>
            </w:rPr>
            <w:t xml:space="preserve"> 65.2% (</w:t>
          </w:r>
          <m:oMath>
            <m:f>
              <m:fPr>
                <m:ctrlPr>
                  <w:rPr>
                    <w:rFonts w:ascii="Cambria Math" w:hAnsi="Cambria Math" w:cs="Arial"/>
                    <w:i/>
                    <w:sz w:val="24"/>
                    <w:szCs w:val="24"/>
                  </w:rPr>
                </m:ctrlPr>
              </m:fPr>
              <m:num>
                <m:r>
                  <w:rPr>
                    <w:rFonts w:ascii="Cambria Math" w:hAnsi="Cambria Math" w:cs="Arial"/>
                  </w:rPr>
                  <m:t>4073+18</m:t>
                </m:r>
              </m:num>
              <m:den>
                <m:r>
                  <w:rPr>
                    <w:rFonts w:ascii="Cambria Math" w:hAnsi="Cambria Math" w:cs="Arial"/>
                  </w:rPr>
                  <m:t>6274</m:t>
                </m:r>
              </m:den>
            </m:f>
          </m:oMath>
          <w:r>
            <w:rPr>
              <w:rFonts w:ascii="Arial" w:eastAsiaTheme="minorEastAsia" w:hAnsi="Arial" w:cs="Arial"/>
            </w:rPr>
            <w:t>x100)</w:t>
          </w:r>
          <w:r w:rsidRPr="007A6795">
            <w:rPr>
              <w:rFonts w:ascii="Arial" w:hAnsi="Arial" w:cs="Arial"/>
            </w:rPr>
            <w:t>.</w:t>
          </w:r>
          <w:r>
            <w:rPr>
              <w:rFonts w:ascii="Arial" w:hAnsi="Arial" w:cs="Arial"/>
            </w:rPr>
            <w:t xml:space="preserve"> This business is operating at a healthy rate as it is utilising the assets that it owns to generate profit. It is important that it is used to compare against industry averages to assess whether it is either underperforming or overperforming.</w:t>
          </w:r>
        </w:p>
        <w:p w14:paraId="4B6918C4" w14:textId="77777777" w:rsidR="00187BD9" w:rsidRDefault="00187BD9" w:rsidP="004D519C"/>
        <w:p w14:paraId="31DBC721" w14:textId="77777777" w:rsidR="00187BD9" w:rsidRDefault="00187BD9" w:rsidP="004D519C"/>
        <w:p w14:paraId="47A38D8B" w14:textId="77777777" w:rsidR="004D519C" w:rsidRDefault="004D519C" w:rsidP="004D519C">
          <w:pPr>
            <w:pStyle w:val="Heading2"/>
          </w:pPr>
          <w:bookmarkStart w:id="4" w:name="_Toc463944604"/>
          <w:r>
            <w:t>Liquidity</w:t>
          </w:r>
          <w:bookmarkEnd w:id="4"/>
        </w:p>
        <w:p w14:paraId="6879E9CE" w14:textId="1C3899CD" w:rsidR="004D519C" w:rsidRDefault="004D519C" w:rsidP="004D519C">
          <w:r>
            <w:t>Discuss the trends seen in the liquidity ratios</w:t>
          </w:r>
        </w:p>
        <w:p w14:paraId="0823AF14" w14:textId="77777777" w:rsidR="00187BD9" w:rsidRDefault="00187BD9" w:rsidP="00187BD9">
          <w:pPr>
            <w:ind w:firstLine="720"/>
            <w:rPr>
              <w:rFonts w:ascii="Arial" w:hAnsi="Arial" w:cs="Arial"/>
            </w:rPr>
          </w:pPr>
          <w:r w:rsidRPr="007A6795">
            <w:rPr>
              <w:rFonts w:ascii="Arial" w:hAnsi="Arial" w:cs="Arial"/>
            </w:rPr>
            <w:t xml:space="preserve">In terms of business liquidity, the following formula is used – current assets/current liability. It is the ability in which if the current liabilities were needed to be settled, how much of the current assets van be converted to cash or cash equivalents to cover it. 2019’s figures have given a ratio of 2.28:1. This means that £2.28 of current assets goes towards £1 of current liabilities. The figure for 2020 shows a ratio of 2:1. There has been a downward movement. The increase in debtors from 1600 to 1800 is mainly responsible for the downtrend. However, the business is currently operating at a healthy rate regarding the current ratio. </w:t>
          </w:r>
        </w:p>
        <w:p w14:paraId="5C003ABA" w14:textId="77777777" w:rsidR="00187BD9" w:rsidRPr="007A6795" w:rsidRDefault="00187BD9" w:rsidP="00187BD9">
          <w:pPr>
            <w:ind w:firstLine="720"/>
            <w:rPr>
              <w:rFonts w:ascii="Arial" w:hAnsi="Arial" w:cs="Arial"/>
            </w:rPr>
          </w:pPr>
          <w:r>
            <w:rPr>
              <w:rFonts w:ascii="Arial" w:hAnsi="Arial" w:cs="Arial"/>
            </w:rPr>
            <w:t xml:space="preserve">There is also another inventory ratio known as the acid ratio. This is exactly the same as the current ratio, but the difference is that it does not account for any inventory that is being held by the business. It is calculated as (current assets- closing inventory)/current liabilities. A rate of at least 1:1 is acceptable as it means the business has enough cash or cash equivalents to cover any debts associated with the business that are needed to be repaid within the next 12 months. The 2019 ratio was 1.2:1. This was calculated by the following </w:t>
          </w:r>
          <m:oMath>
            <m:f>
              <m:fPr>
                <m:ctrlPr>
                  <w:rPr>
                    <w:rFonts w:ascii="Cambria Math" w:hAnsi="Cambria Math" w:cs="Arial"/>
                    <w:i/>
                  </w:rPr>
                </m:ctrlPr>
              </m:fPr>
              <m:num>
                <m:r>
                  <w:rPr>
                    <w:rFonts w:ascii="Cambria Math" w:hAnsi="Cambria Math" w:cs="Arial"/>
                  </w:rPr>
                  <m:t>3065-1450</m:t>
                </m:r>
              </m:num>
              <m:den>
                <m:r>
                  <w:rPr>
                    <w:rFonts w:ascii="Cambria Math" w:hAnsi="Cambria Math" w:cs="Arial"/>
                  </w:rPr>
                  <m:t>1339</m:t>
                </m:r>
              </m:den>
            </m:f>
          </m:oMath>
          <w:r>
            <w:rPr>
              <w:rFonts w:ascii="Arial" w:hAnsi="Arial" w:cs="Arial"/>
            </w:rPr>
            <w:t xml:space="preserve">. The acid inventory ratio for 2020 is 1.12:1. This was calculated by the following </w:t>
          </w:r>
          <m:oMath>
            <m:f>
              <m:fPr>
                <m:ctrlPr>
                  <w:rPr>
                    <w:rFonts w:ascii="Cambria Math" w:hAnsi="Cambria Math" w:cs="Arial"/>
                    <w:i/>
                    <w:sz w:val="24"/>
                    <w:szCs w:val="24"/>
                  </w:rPr>
                </m:ctrlPr>
              </m:fPr>
              <m:num>
                <m:r>
                  <w:rPr>
                    <w:rFonts w:ascii="Cambria Math" w:hAnsi="Cambria Math" w:cs="Arial"/>
                  </w:rPr>
                  <m:t>3240-1420</m:t>
                </m:r>
              </m:num>
              <m:den>
                <m:r>
                  <w:rPr>
                    <w:rFonts w:ascii="Cambria Math" w:hAnsi="Cambria Math" w:cs="Arial"/>
                  </w:rPr>
                  <m:t>1616</m:t>
                </m:r>
              </m:den>
            </m:f>
          </m:oMath>
          <w:r>
            <w:rPr>
              <w:rFonts w:ascii="Arial" w:eastAsiaTheme="minorEastAsia" w:hAnsi="Arial" w:cs="Arial"/>
            </w:rPr>
            <w:t>. The hotel has experienced a decline in the ratio. It is important for management to understand why it is fluctuating before considering it a cause for concern. The reason for the decrease may be mainly because of the increase in the usage of the bank overdraft. The hotel may wish to utilise difference sources of finance rather than picking up that extra bit of debt. However, it doesn’t seem to be much of a problem as it allows for extra growth for the business as they can use the funding to expand their operations.</w:t>
          </w:r>
        </w:p>
        <w:p w14:paraId="42711AF3" w14:textId="77777777" w:rsidR="00187BD9" w:rsidRDefault="00187BD9" w:rsidP="004D519C"/>
        <w:p w14:paraId="280B7BA6" w14:textId="77777777" w:rsidR="004D519C" w:rsidRDefault="004D519C" w:rsidP="004D519C">
          <w:pPr>
            <w:pStyle w:val="Heading2"/>
          </w:pPr>
          <w:bookmarkStart w:id="5" w:name="_Toc463944605"/>
          <w:r w:rsidRPr="004D519C">
            <w:t>Gearing</w:t>
          </w:r>
          <w:bookmarkEnd w:id="5"/>
        </w:p>
        <w:p w14:paraId="5B9353CA" w14:textId="4D00CFBB" w:rsidR="004D519C" w:rsidRDefault="004D519C" w:rsidP="004D519C">
          <w:r>
            <w:t>Discuss the trends seen in the gearing ratios</w:t>
          </w:r>
        </w:p>
        <w:p w14:paraId="0C5BE788" w14:textId="77777777" w:rsidR="00187BD9" w:rsidRPr="007A6795" w:rsidRDefault="00187BD9" w:rsidP="00187BD9">
          <w:pPr>
            <w:ind w:firstLine="720"/>
            <w:rPr>
              <w:rFonts w:ascii="Arial" w:hAnsi="Arial" w:cs="Arial"/>
            </w:rPr>
          </w:pPr>
          <w:r w:rsidRPr="007A6795">
            <w:rPr>
              <w:rFonts w:ascii="Arial" w:hAnsi="Arial" w:cs="Arial"/>
            </w:rPr>
            <w:t xml:space="preserve">Gearing is the final accounting ratio which will be analysed. It is calculated as </w:t>
          </w:r>
          <w:r>
            <w:rPr>
              <w:rFonts w:ascii="Arial" w:hAnsi="Arial" w:cs="Arial"/>
            </w:rPr>
            <w:t>(total debt</w:t>
          </w:r>
          <w:r w:rsidRPr="007A6795">
            <w:rPr>
              <w:rFonts w:ascii="Arial" w:hAnsi="Arial" w:cs="Arial"/>
            </w:rPr>
            <w:t xml:space="preserve">/ total </w:t>
          </w:r>
          <w:r>
            <w:rPr>
              <w:rFonts w:ascii="Arial" w:hAnsi="Arial" w:cs="Arial"/>
            </w:rPr>
            <w:t>assets)</w:t>
          </w:r>
          <w:r w:rsidRPr="007A6795">
            <w:rPr>
              <w:rFonts w:ascii="Arial" w:hAnsi="Arial" w:cs="Arial"/>
            </w:rPr>
            <w:t xml:space="preserve"> x100. Anything below 50% is considered a good rate as it means the business is less likely to be unable to afford interest payments. The rate in which the hotel was operating in 2019 was</w:t>
          </w:r>
          <w:r>
            <w:rPr>
              <w:rFonts w:ascii="Arial" w:hAnsi="Arial" w:cs="Arial"/>
            </w:rPr>
            <w:t xml:space="preserve"> 22.5% (</w:t>
          </w:r>
          <m:oMath>
            <m:f>
              <m:fPr>
                <m:ctrlPr>
                  <w:rPr>
                    <w:rFonts w:ascii="Cambria Math" w:hAnsi="Cambria Math" w:cs="Arial"/>
                    <w:i/>
                    <w:sz w:val="24"/>
                    <w:szCs w:val="24"/>
                  </w:rPr>
                </m:ctrlPr>
              </m:fPr>
              <m:num>
                <m:r>
                  <w:rPr>
                    <w:rFonts w:ascii="Cambria Math" w:hAnsi="Cambria Math" w:cs="Arial"/>
                  </w:rPr>
                  <m:t>150+1339</m:t>
                </m:r>
              </m:num>
              <m:den>
                <m:r>
                  <w:rPr>
                    <w:rFonts w:ascii="Cambria Math" w:hAnsi="Cambria Math" w:cs="Arial"/>
                  </w:rPr>
                  <m:t>6626</m:t>
                </m:r>
              </m:den>
            </m:f>
            <m:r>
              <w:rPr>
                <w:rFonts w:ascii="Cambria Math" w:hAnsi="Cambria Math" w:cs="Arial"/>
              </w:rPr>
              <m:t xml:space="preserve">x100) </m:t>
            </m:r>
          </m:oMath>
          <w:r w:rsidRPr="007A6795">
            <w:rPr>
              <w:rFonts w:ascii="Arial" w:hAnsi="Arial" w:cs="Arial"/>
            </w:rPr>
            <w:t>and the 2020 rate is</w:t>
          </w:r>
          <w:r>
            <w:rPr>
              <w:rFonts w:ascii="Arial" w:hAnsi="Arial" w:cs="Arial"/>
            </w:rPr>
            <w:t xml:space="preserve"> 28.1% (</w:t>
          </w:r>
          <m:oMath>
            <m:f>
              <m:fPr>
                <m:ctrlPr>
                  <w:rPr>
                    <w:rFonts w:ascii="Cambria Math" w:hAnsi="Cambria Math" w:cs="Arial"/>
                    <w:i/>
                    <w:sz w:val="24"/>
                    <w:szCs w:val="24"/>
                  </w:rPr>
                </m:ctrlPr>
              </m:fPr>
              <m:num>
                <m:r>
                  <w:rPr>
                    <w:rFonts w:ascii="Cambria Math" w:hAnsi="Cambria Math" w:cs="Arial"/>
                  </w:rPr>
                  <m:t>145+1616</m:t>
                </m:r>
              </m:num>
              <m:den>
                <m:r>
                  <w:rPr>
                    <w:rFonts w:ascii="Cambria Math" w:hAnsi="Cambria Math" w:cs="Arial"/>
                  </w:rPr>
                  <m:t>6274</m:t>
                </m:r>
              </m:den>
            </m:f>
            <m:r>
              <w:rPr>
                <w:rFonts w:ascii="Cambria Math" w:eastAsiaTheme="minorEastAsia" w:hAnsi="Cambria Math" w:cs="Arial"/>
              </w:rPr>
              <m:t>x100)</m:t>
            </m:r>
          </m:oMath>
          <w:r w:rsidRPr="007A6795">
            <w:rPr>
              <w:rFonts w:ascii="Arial" w:hAnsi="Arial" w:cs="Arial"/>
            </w:rPr>
            <w:t xml:space="preserve">. </w:t>
          </w:r>
          <w:r>
            <w:rPr>
              <w:rFonts w:ascii="Arial" w:hAnsi="Arial" w:cs="Arial"/>
            </w:rPr>
            <w:t>I</w:t>
          </w:r>
          <w:r w:rsidRPr="007A6795">
            <w:rPr>
              <w:rFonts w:ascii="Arial" w:hAnsi="Arial" w:cs="Arial"/>
            </w:rPr>
            <w:t>t could be recommended that the business may wish to utilise more non-current liabilities such as long-term loan</w:t>
          </w:r>
          <w:r>
            <w:rPr>
              <w:rFonts w:ascii="Arial" w:hAnsi="Arial" w:cs="Arial"/>
            </w:rPr>
            <w:t>s but however these rates are fairly healthy</w:t>
          </w:r>
          <w:r w:rsidRPr="007A6795">
            <w:rPr>
              <w:rFonts w:ascii="Arial" w:hAnsi="Arial" w:cs="Arial"/>
            </w:rPr>
            <w:t>. An aim of around 20% of capital gearing shows a good sign as this extra funding will allow the business to grow with new projects.</w:t>
          </w:r>
          <w:r>
            <w:rPr>
              <w:rFonts w:ascii="Arial" w:hAnsi="Arial" w:cs="Arial"/>
            </w:rPr>
            <w:t xml:space="preserve"> A good understanding of the proportion of operations that are being operated by equity or by opening liability to debt. These debts are funded by bank loans and allows the business to achieve more growth rather just than using shareholder capital.</w:t>
          </w:r>
        </w:p>
        <w:p w14:paraId="72F0168C" w14:textId="77777777" w:rsidR="0085294F" w:rsidRDefault="0085294F" w:rsidP="00AA2A91">
          <w:pPr>
            <w:pStyle w:val="Heading1"/>
          </w:pPr>
          <w:bookmarkStart w:id="6" w:name="_Toc463944607"/>
        </w:p>
        <w:p w14:paraId="03BCE78A" w14:textId="5B73577C" w:rsidR="00AA2A91" w:rsidRPr="00AA2A91" w:rsidRDefault="0085294F" w:rsidP="00AA2A91">
          <w:pPr>
            <w:pStyle w:val="Heading1"/>
          </w:pPr>
          <w:r w:rsidRPr="0085294F">
            <w:t>Knowledge from Ratio Analysis /</w:t>
          </w:r>
          <w:r w:rsidR="00AA2A91">
            <w:t>Benefits and Limitations of Ratio Analysis</w:t>
          </w:r>
          <w:bookmarkEnd w:id="6"/>
        </w:p>
        <w:p w14:paraId="18B040D0" w14:textId="77777777" w:rsidR="00187BD9" w:rsidRPr="007A6795" w:rsidRDefault="00187BD9" w:rsidP="00187BD9">
          <w:pPr>
            <w:ind w:firstLine="720"/>
            <w:rPr>
              <w:rFonts w:ascii="Arial" w:hAnsi="Arial" w:cs="Arial"/>
            </w:rPr>
          </w:pPr>
          <w:r w:rsidRPr="007A6795">
            <w:rPr>
              <w:rFonts w:ascii="Arial" w:hAnsi="Arial" w:cs="Arial"/>
            </w:rPr>
            <w:t xml:space="preserve">The importance of ratio analysis is an essential tool for management to prepare concise and accurate targets regarding analytics as it allows for quantitative data to be measured and compared. It allows for future investors to have a broken-down glimpse into the financial performance of a company. Hotel management are able to efficiently access information. </w:t>
          </w:r>
          <w:r>
            <w:rPr>
              <w:rFonts w:ascii="Arial" w:hAnsi="Arial" w:cs="Arial"/>
            </w:rPr>
            <w:t>Another benefit of ratio analysis is that there is little or close to no cost in calculating as they are time-efficient, and it is presentable in a simple format. This allows easy interpretation when the accounts need to be reviewed.</w:t>
          </w:r>
        </w:p>
        <w:p w14:paraId="3CB32542" w14:textId="77777777" w:rsidR="00187BD9" w:rsidRDefault="00187BD9" w:rsidP="00187BD9">
          <w:pPr>
            <w:ind w:firstLine="720"/>
            <w:rPr>
              <w:rFonts w:ascii="Arial" w:hAnsi="Arial" w:cs="Arial"/>
            </w:rPr>
          </w:pPr>
          <w:r w:rsidRPr="007A6795">
            <w:rPr>
              <w:rFonts w:ascii="Arial" w:hAnsi="Arial" w:cs="Arial"/>
            </w:rPr>
            <w:t>There are many limitations when using accounting ratios. The first limitation is that these statements are all historical data, this means that it will not be able to reflect what the business is currently going through</w:t>
          </w:r>
          <w:r>
            <w:rPr>
              <w:rFonts w:ascii="Arial" w:hAnsi="Arial" w:cs="Arial"/>
            </w:rPr>
            <w:t>: for example, higher inflation rates or geographical issues such as natural disasters leading the cost of raw materials to increase</w:t>
          </w:r>
          <w:r w:rsidRPr="007A6795">
            <w:rPr>
              <w:rFonts w:ascii="Arial" w:hAnsi="Arial" w:cs="Arial"/>
            </w:rPr>
            <w:t>. Another limitation is that the accuracy of value regarding the assets are all dependant on the policies the hotel uses to value depreciation and inventory valuation.</w:t>
          </w:r>
          <w:r>
            <w:rPr>
              <w:rFonts w:ascii="Arial" w:hAnsi="Arial" w:cs="Arial"/>
            </w:rPr>
            <w:t xml:space="preserve"> A further limitation of comparing ratio analysis between two companies can be difficult to understand as two different companies may have different operation strategies. A much smaller business may be driven on customer satisfaction, which is a qualitive factor when measuring business progress. Whereas a much more established hotel which can charge much more for their services may have better performing analytics of their financial ratios. It can be recommended that management considers comparing the business to similar scale competitor business, so a better understanding is gained.</w:t>
          </w:r>
        </w:p>
        <w:p w14:paraId="3A34ED78" w14:textId="7F9DE547" w:rsidR="00AA2A91" w:rsidRPr="0085294F" w:rsidRDefault="00187BD9" w:rsidP="0085294F">
          <w:pPr>
            <w:ind w:firstLine="720"/>
            <w:rPr>
              <w:rFonts w:ascii="Arial" w:hAnsi="Arial" w:cs="Arial"/>
            </w:rPr>
          </w:pPr>
          <w:r>
            <w:rPr>
              <w:rFonts w:ascii="Arial" w:hAnsi="Arial" w:cs="Arial"/>
            </w:rPr>
            <w:t xml:space="preserve">Decision making is a complicated process that all businesses face within their day-to-day operations. It is essential that any decision should be carefully calculated, both weighing the benefits and the drawbacks that each decision imposes against the business. Accounting allows for the process to include the financial wellbeing of the business at hand. It is the process of recording data and conveying it in a way in which it is easily accessible for stakeholders to interpret. It allows scarce resources in a manner which is efficient and allows for the full utilisation of these resources. As previously mentioned, the aspect of ratio analysis has both negative and positive factors. The ratios should be used to aid decision making but should not be sole reason for following through with a decision. In the search for ideas, it is essential that the business. When considering a decision, it is important for the business to look for alternatives and choose the one with the most benefit the wellbeing of the business. </w:t>
          </w:r>
          <w:r w:rsidRPr="00063BCE">
            <w:rPr>
              <w:rFonts w:ascii="Arial" w:hAnsi="Arial" w:cs="Arial"/>
            </w:rPr>
            <w:t>Financial accounting aids managers in developing budgets, understanding public perception, tracking efficiency, analysing product performance, and developing short- and long-term goals, among other things.</w:t>
          </w:r>
          <w:r w:rsidRPr="00063BCE">
            <w:t xml:space="preserve"> </w:t>
          </w:r>
          <w:r w:rsidRPr="00063BCE">
            <w:rPr>
              <w:rFonts w:ascii="Arial" w:hAnsi="Arial" w:cs="Arial"/>
            </w:rPr>
            <w:t>Budget decisions must be made in accordance with your sales history and marketing information. This is where management accountants come in to review previous operations and determine future investments. They make financial projections for each department, project, marketing campaign, new product, and other undertaking.</w:t>
          </w:r>
          <w:r>
            <w:rPr>
              <w:rFonts w:ascii="Arial" w:hAnsi="Arial" w:cs="Arial"/>
            </w:rPr>
            <w:t xml:space="preserve"> This is important for companies operating in the hotel and tourism industry as “11,644 firms that had gone into administration” (</w:t>
          </w:r>
          <w:proofErr w:type="spellStart"/>
          <w:r>
            <w:rPr>
              <w:rFonts w:ascii="Arial" w:hAnsi="Arial" w:cs="Arial"/>
            </w:rPr>
            <w:t>IBPresearch</w:t>
          </w:r>
          <w:proofErr w:type="spellEnd"/>
          <w:r>
            <w:rPr>
              <w:rFonts w:ascii="Arial" w:hAnsi="Arial" w:cs="Arial"/>
            </w:rPr>
            <w:t>, 2021). This was due to the pandemic. This will set an example for other businesses to always prepare for a time of hardship.</w:t>
          </w:r>
        </w:p>
        <w:p w14:paraId="1B86E788" w14:textId="02342FD4" w:rsidR="00AA2A91" w:rsidRDefault="00AA2A91" w:rsidP="00AA2A91">
          <w:pPr>
            <w:pStyle w:val="Heading1"/>
          </w:pPr>
          <w:bookmarkStart w:id="7" w:name="_Toc463944608"/>
          <w:r>
            <w:lastRenderedPageBreak/>
            <w:t>Conclusion</w:t>
          </w:r>
          <w:r w:rsidR="00D854A5">
            <w:t xml:space="preserve"> </w:t>
          </w:r>
          <w:bookmarkEnd w:id="7"/>
        </w:p>
        <w:p w14:paraId="038E4C50" w14:textId="3F9D47AE" w:rsidR="0085294F" w:rsidRDefault="0085294F" w:rsidP="0085294F">
          <w:pPr>
            <w:rPr>
              <w:rFonts w:ascii="Arial" w:hAnsi="Arial" w:cs="Arial"/>
            </w:rPr>
          </w:pPr>
          <w:r>
            <w:rPr>
              <w:rFonts w:ascii="Arial" w:hAnsi="Arial" w:cs="Arial"/>
            </w:rPr>
            <w:t xml:space="preserve">To </w:t>
          </w:r>
          <w:r>
            <w:rPr>
              <w:rFonts w:ascii="Arial" w:hAnsi="Arial" w:cs="Arial"/>
            </w:rPr>
            <w:t>conclude, the tourism industry will benefit from implementing these ratio methods and accounting procedures. It is important to always follow the procedures in place before confirming a decision</w:t>
          </w:r>
          <w:r>
            <w:rPr>
              <w:rFonts w:ascii="Arial" w:hAnsi="Arial" w:cs="Arial"/>
            </w:rPr>
            <w:t xml:space="preserve"> regarding the business</w:t>
          </w:r>
          <w:r>
            <w:rPr>
              <w:rFonts w:ascii="Arial" w:hAnsi="Arial" w:cs="Arial"/>
            </w:rPr>
            <w:t xml:space="preserve">. </w:t>
          </w:r>
        </w:p>
        <w:p w14:paraId="216D19E2" w14:textId="77777777" w:rsidR="00AA2A91" w:rsidRDefault="00AA2A91" w:rsidP="00AA2A91"/>
        <w:p w14:paraId="7186C5E5" w14:textId="77777777" w:rsidR="00AA2A91" w:rsidRDefault="00AA2A91" w:rsidP="00AA2A91"/>
        <w:p w14:paraId="5A62D761" w14:textId="77777777" w:rsidR="00AA2A91" w:rsidRDefault="00AA2A91" w:rsidP="00AA2A91"/>
        <w:p w14:paraId="1CED8160" w14:textId="77777777" w:rsidR="00AA2A91" w:rsidRDefault="00AA2A91" w:rsidP="00AA2A91"/>
        <w:p w14:paraId="5E89113F" w14:textId="77777777" w:rsidR="00AA2A91" w:rsidRDefault="00AA2A91" w:rsidP="00AA2A91"/>
        <w:p w14:paraId="4B6781C4" w14:textId="77777777" w:rsidR="00AA2A91" w:rsidRDefault="00AA2A91" w:rsidP="00AA2A91"/>
        <w:p w14:paraId="5CEA1AE9" w14:textId="77777777" w:rsidR="00AA2A91" w:rsidRDefault="00AA2A91" w:rsidP="00AA2A91"/>
        <w:p w14:paraId="1C174D44" w14:textId="77777777" w:rsidR="00AA2A91" w:rsidRDefault="00AA2A91" w:rsidP="00AA2A91"/>
        <w:p w14:paraId="44FBDD67" w14:textId="77777777" w:rsidR="00AA2A91" w:rsidRDefault="00AA2A91" w:rsidP="00AA2A91"/>
        <w:p w14:paraId="0D699F00" w14:textId="77777777" w:rsidR="00AA2A91" w:rsidRDefault="00AA2A91" w:rsidP="00AA2A91"/>
        <w:p w14:paraId="280569AA" w14:textId="77777777" w:rsidR="00AA2A91" w:rsidRDefault="00AA2A91" w:rsidP="00AA2A91"/>
        <w:p w14:paraId="72B36E1B" w14:textId="77777777" w:rsidR="00AA2A91" w:rsidRDefault="00AA2A91" w:rsidP="00AA2A91"/>
        <w:p w14:paraId="6893E95B" w14:textId="77777777" w:rsidR="00AA2A91" w:rsidRDefault="00AA2A91" w:rsidP="00AA2A91"/>
        <w:p w14:paraId="0D6C4977" w14:textId="77777777" w:rsidR="00AA2A91" w:rsidRDefault="00AA2A91" w:rsidP="00AA2A91"/>
        <w:p w14:paraId="0E4B01F2" w14:textId="77777777" w:rsidR="00AA2A91" w:rsidRDefault="00AA2A91" w:rsidP="00AA2A91"/>
        <w:p w14:paraId="6E965EBA" w14:textId="77777777" w:rsidR="00AA2A91" w:rsidRDefault="00AA2A91" w:rsidP="00AA2A91"/>
        <w:p w14:paraId="19BD0028" w14:textId="77777777" w:rsidR="00AA2A91" w:rsidRDefault="00AA2A91" w:rsidP="00AA2A91"/>
        <w:p w14:paraId="02BBB84E" w14:textId="77777777" w:rsidR="00AA2A91" w:rsidRDefault="00AA2A91" w:rsidP="00AA2A91"/>
        <w:p w14:paraId="769A3D88" w14:textId="77777777" w:rsidR="00AA2A91" w:rsidRDefault="00AA2A91" w:rsidP="00AA2A91"/>
        <w:p w14:paraId="16378944" w14:textId="77777777" w:rsidR="00AA2A91" w:rsidRDefault="00AA2A91" w:rsidP="00AA2A91"/>
        <w:p w14:paraId="6B99ADAC" w14:textId="77777777" w:rsidR="00AA2A91" w:rsidRDefault="00AA2A91" w:rsidP="00AA2A91"/>
        <w:p w14:paraId="01A893A1" w14:textId="77777777" w:rsidR="00AA2A91" w:rsidRDefault="00AA2A91" w:rsidP="00AA2A91"/>
        <w:p w14:paraId="3B342995" w14:textId="77777777" w:rsidR="00AA2A91" w:rsidRDefault="00AA2A91" w:rsidP="00AA2A91"/>
        <w:p w14:paraId="5B2C0568" w14:textId="77777777" w:rsidR="00AA2A91" w:rsidRDefault="00AA2A91" w:rsidP="00AA2A91"/>
        <w:p w14:paraId="42D848A3" w14:textId="77777777" w:rsidR="00AA2A91" w:rsidRDefault="00AA2A91" w:rsidP="00AA2A91"/>
        <w:p w14:paraId="7E677798" w14:textId="77777777" w:rsidR="00AA2A91" w:rsidRDefault="00AA2A91" w:rsidP="00AA2A91"/>
        <w:p w14:paraId="6263EF03" w14:textId="77777777" w:rsidR="00AA2A91" w:rsidRDefault="00AA2A91" w:rsidP="00AA2A91"/>
        <w:p w14:paraId="1CD48332" w14:textId="77777777" w:rsidR="00AA2A91" w:rsidRDefault="00AA2A91" w:rsidP="00AA2A91"/>
        <w:p w14:paraId="1FB9D84D" w14:textId="77777777" w:rsidR="00AA2A91" w:rsidRPr="00AA2A91" w:rsidRDefault="00AA2A91" w:rsidP="00AA2A91">
          <w:pPr>
            <w:pStyle w:val="Heading1"/>
          </w:pPr>
          <w:bookmarkStart w:id="8" w:name="_Toc463944609"/>
          <w:r>
            <w:lastRenderedPageBreak/>
            <w:t>Bibliography</w:t>
          </w:r>
          <w:bookmarkEnd w:id="8"/>
        </w:p>
        <w:p w14:paraId="37ABD239" w14:textId="77777777" w:rsidR="004A11F6" w:rsidRPr="003538B1" w:rsidRDefault="004A11F6" w:rsidP="007D1947">
          <w:pPr>
            <w:rPr>
              <w:rFonts w:ascii="Arial" w:hAnsi="Arial" w:cs="Arial"/>
              <w:sz w:val="24"/>
              <w:szCs w:val="24"/>
            </w:rPr>
          </w:pPr>
        </w:p>
        <w:p w14:paraId="4D579973" w14:textId="392C7936" w:rsidR="00920EF9" w:rsidRDefault="00920EF9" w:rsidP="00450AF8">
          <w:pPr>
            <w:spacing w:after="0" w:line="240" w:lineRule="auto"/>
            <w:rPr>
              <w:rFonts w:ascii="Arial" w:eastAsia="Times New Roman" w:hAnsi="Arial" w:cs="Arial"/>
              <w:color w:val="000000"/>
              <w:sz w:val="24"/>
              <w:szCs w:val="24"/>
              <w:shd w:val="clear" w:color="auto" w:fill="FFFFFF"/>
              <w:lang w:eastAsia="en-GB"/>
            </w:rPr>
          </w:pPr>
          <w:r w:rsidRPr="00920EF9">
            <w:rPr>
              <w:rFonts w:ascii="Arial" w:eastAsia="Times New Roman" w:hAnsi="Arial" w:cs="Arial"/>
              <w:color w:val="000000"/>
              <w:sz w:val="24"/>
              <w:szCs w:val="24"/>
              <w:shd w:val="clear" w:color="auto" w:fill="FFFFFF"/>
              <w:lang w:eastAsia="en-GB"/>
            </w:rPr>
            <w:t xml:space="preserve">Camelia, B., 2013. Analysis model for return on capital employed. Annals of the “Constantin </w:t>
          </w:r>
          <w:proofErr w:type="spellStart"/>
          <w:r w:rsidRPr="00920EF9">
            <w:rPr>
              <w:rFonts w:ascii="Arial" w:eastAsia="Times New Roman" w:hAnsi="Arial" w:cs="Arial"/>
              <w:color w:val="000000"/>
              <w:sz w:val="24"/>
              <w:szCs w:val="24"/>
              <w:shd w:val="clear" w:color="auto" w:fill="FFFFFF"/>
              <w:lang w:eastAsia="en-GB"/>
            </w:rPr>
            <w:t>Brâncuşi</w:t>
          </w:r>
          <w:proofErr w:type="spellEnd"/>
          <w:r w:rsidRPr="00920EF9">
            <w:rPr>
              <w:rFonts w:ascii="Arial" w:eastAsia="Times New Roman" w:hAnsi="Arial" w:cs="Arial"/>
              <w:color w:val="000000"/>
              <w:sz w:val="24"/>
              <w:szCs w:val="24"/>
              <w:shd w:val="clear" w:color="auto" w:fill="FFFFFF"/>
              <w:lang w:eastAsia="en-GB"/>
            </w:rPr>
            <w:t xml:space="preserve">” University of </w:t>
          </w:r>
          <w:proofErr w:type="spellStart"/>
          <w:r w:rsidRPr="00920EF9">
            <w:rPr>
              <w:rFonts w:ascii="Arial" w:eastAsia="Times New Roman" w:hAnsi="Arial" w:cs="Arial"/>
              <w:color w:val="000000"/>
              <w:sz w:val="24"/>
              <w:szCs w:val="24"/>
              <w:shd w:val="clear" w:color="auto" w:fill="FFFFFF"/>
              <w:lang w:eastAsia="en-GB"/>
            </w:rPr>
            <w:t>Târgu</w:t>
          </w:r>
          <w:proofErr w:type="spellEnd"/>
          <w:r w:rsidRPr="00920EF9">
            <w:rPr>
              <w:rFonts w:ascii="Arial" w:eastAsia="Times New Roman" w:hAnsi="Arial" w:cs="Arial"/>
              <w:color w:val="000000"/>
              <w:sz w:val="24"/>
              <w:szCs w:val="24"/>
              <w:shd w:val="clear" w:color="auto" w:fill="FFFFFF"/>
              <w:lang w:eastAsia="en-GB"/>
            </w:rPr>
            <w:t xml:space="preserve"> Jiu, Economy Series, (1), pp.82-87.</w:t>
          </w:r>
        </w:p>
        <w:p w14:paraId="0DAEA8F5" w14:textId="77777777" w:rsidR="00920EF9" w:rsidRDefault="00920EF9" w:rsidP="00450AF8">
          <w:pPr>
            <w:spacing w:after="0" w:line="240" w:lineRule="auto"/>
            <w:rPr>
              <w:rFonts w:ascii="Arial" w:eastAsia="Times New Roman" w:hAnsi="Arial" w:cs="Arial"/>
              <w:color w:val="000000"/>
              <w:sz w:val="24"/>
              <w:szCs w:val="24"/>
              <w:shd w:val="clear" w:color="auto" w:fill="FFFFFF"/>
              <w:lang w:eastAsia="en-GB"/>
            </w:rPr>
          </w:pPr>
        </w:p>
        <w:p w14:paraId="6A94F855" w14:textId="5D1CBD5C" w:rsidR="00450AF8" w:rsidRDefault="00450AF8" w:rsidP="00450AF8">
          <w:pPr>
            <w:spacing w:after="0" w:line="240" w:lineRule="auto"/>
            <w:rPr>
              <w:rFonts w:ascii="Arial" w:eastAsia="Times New Roman" w:hAnsi="Arial" w:cs="Arial"/>
              <w:color w:val="000000"/>
              <w:sz w:val="24"/>
              <w:szCs w:val="24"/>
              <w:shd w:val="clear" w:color="auto" w:fill="FFFFFF"/>
              <w:lang w:eastAsia="en-GB"/>
            </w:rPr>
          </w:pPr>
          <w:r w:rsidRPr="00450AF8">
            <w:rPr>
              <w:rFonts w:ascii="Arial" w:eastAsia="Times New Roman" w:hAnsi="Arial" w:cs="Arial"/>
              <w:color w:val="000000"/>
              <w:sz w:val="24"/>
              <w:szCs w:val="24"/>
              <w:shd w:val="clear" w:color="auto" w:fill="FFFFFF"/>
              <w:lang w:eastAsia="en-GB"/>
            </w:rPr>
            <w:t xml:space="preserve">Du, C. and </w:t>
          </w:r>
          <w:proofErr w:type="spellStart"/>
          <w:r w:rsidRPr="00450AF8">
            <w:rPr>
              <w:rFonts w:ascii="Arial" w:eastAsia="Times New Roman" w:hAnsi="Arial" w:cs="Arial"/>
              <w:color w:val="000000"/>
              <w:sz w:val="24"/>
              <w:szCs w:val="24"/>
              <w:shd w:val="clear" w:color="auto" w:fill="FFFFFF"/>
              <w:lang w:eastAsia="en-GB"/>
            </w:rPr>
            <w:t>Karoglou</w:t>
          </w:r>
          <w:proofErr w:type="spellEnd"/>
          <w:r w:rsidRPr="00450AF8">
            <w:rPr>
              <w:rFonts w:ascii="Arial" w:eastAsia="Times New Roman" w:hAnsi="Arial" w:cs="Arial"/>
              <w:color w:val="000000"/>
              <w:sz w:val="24"/>
              <w:szCs w:val="24"/>
              <w:shd w:val="clear" w:color="auto" w:fill="FFFFFF"/>
              <w:lang w:eastAsia="en-GB"/>
            </w:rPr>
            <w:t>, M., 2020. </w:t>
          </w:r>
          <w:r w:rsidRPr="00450AF8">
            <w:rPr>
              <w:rFonts w:ascii="Arial" w:eastAsia="Times New Roman" w:hAnsi="Arial" w:cs="Arial"/>
              <w:i/>
              <w:iCs/>
              <w:color w:val="000000"/>
              <w:sz w:val="24"/>
              <w:szCs w:val="24"/>
              <w:shd w:val="clear" w:color="auto" w:fill="FFFFFF"/>
              <w:lang w:eastAsia="en-GB"/>
            </w:rPr>
            <w:t>UK Tourism and Hospitality Sectors through COVID-19: the dissolved, the liquidised and the dormant</w:t>
          </w:r>
          <w:r w:rsidRPr="00450AF8">
            <w:rPr>
              <w:rFonts w:ascii="Arial" w:eastAsia="Times New Roman" w:hAnsi="Arial" w:cs="Arial"/>
              <w:color w:val="000000"/>
              <w:sz w:val="24"/>
              <w:szCs w:val="24"/>
              <w:shd w:val="clear" w:color="auto" w:fill="FFFFFF"/>
              <w:lang w:eastAsia="en-GB"/>
            </w:rPr>
            <w:t xml:space="preserve">. [online] p.3. </w:t>
          </w:r>
        </w:p>
        <w:p w14:paraId="32994777" w14:textId="3D57804A" w:rsidR="00046F8E" w:rsidRDefault="00046F8E" w:rsidP="00450AF8">
          <w:pPr>
            <w:spacing w:after="0" w:line="240" w:lineRule="auto"/>
            <w:rPr>
              <w:rFonts w:ascii="Arial" w:eastAsia="Times New Roman" w:hAnsi="Arial" w:cs="Arial"/>
              <w:color w:val="000000"/>
              <w:sz w:val="24"/>
              <w:szCs w:val="24"/>
              <w:shd w:val="clear" w:color="auto" w:fill="FFFFFF"/>
              <w:lang w:eastAsia="en-GB"/>
            </w:rPr>
          </w:pPr>
        </w:p>
        <w:p w14:paraId="60E16B7A" w14:textId="35ECE56E" w:rsidR="00046F8E" w:rsidRPr="00450AF8" w:rsidRDefault="00046F8E" w:rsidP="00450AF8">
          <w:pPr>
            <w:spacing w:after="0" w:line="240" w:lineRule="auto"/>
            <w:rPr>
              <w:rFonts w:ascii="Arial" w:eastAsia="Times New Roman" w:hAnsi="Arial" w:cs="Arial"/>
              <w:sz w:val="24"/>
              <w:szCs w:val="24"/>
              <w:lang w:eastAsia="en-GB"/>
            </w:rPr>
          </w:pPr>
          <w:r w:rsidRPr="00046F8E">
            <w:rPr>
              <w:rFonts w:ascii="Arial" w:eastAsia="Times New Roman" w:hAnsi="Arial" w:cs="Arial"/>
              <w:sz w:val="24"/>
              <w:szCs w:val="24"/>
              <w:lang w:eastAsia="en-GB"/>
            </w:rPr>
            <w:t>Hicks, J.R., 1962. Liquidity. The Economic Journal, 72(288), pp.787-802.</w:t>
          </w:r>
        </w:p>
        <w:p w14:paraId="63F492C7" w14:textId="42A867D7" w:rsidR="004335FA" w:rsidRPr="003538B1" w:rsidRDefault="004335FA" w:rsidP="004335FA">
          <w:pPr>
            <w:spacing w:after="0" w:line="240" w:lineRule="auto"/>
            <w:rPr>
              <w:rFonts w:ascii="Arial" w:eastAsia="Times New Roman" w:hAnsi="Arial" w:cs="Arial"/>
              <w:color w:val="000000"/>
              <w:sz w:val="24"/>
              <w:szCs w:val="24"/>
              <w:shd w:val="clear" w:color="auto" w:fill="FFFFFF"/>
              <w:lang w:eastAsia="en-GB"/>
            </w:rPr>
          </w:pPr>
        </w:p>
        <w:p w14:paraId="4D69BB48" w14:textId="77777777" w:rsidR="003538B1" w:rsidRPr="003538B1" w:rsidRDefault="003538B1" w:rsidP="003538B1">
          <w:pPr>
            <w:spacing w:after="0" w:line="240" w:lineRule="auto"/>
            <w:rPr>
              <w:rFonts w:ascii="Arial" w:eastAsia="Times New Roman" w:hAnsi="Arial" w:cs="Arial"/>
              <w:sz w:val="24"/>
              <w:szCs w:val="24"/>
              <w:lang w:eastAsia="en-GB"/>
            </w:rPr>
          </w:pPr>
          <w:r w:rsidRPr="003538B1">
            <w:rPr>
              <w:rFonts w:ascii="Arial" w:eastAsia="Times New Roman" w:hAnsi="Arial" w:cs="Arial"/>
              <w:color w:val="222222"/>
              <w:sz w:val="24"/>
              <w:szCs w:val="24"/>
              <w:shd w:val="clear" w:color="auto" w:fill="FFFFFF"/>
              <w:lang w:eastAsia="en-GB"/>
            </w:rPr>
            <w:t>Kaplan, R.S., 1984. The evolution of management accounting. </w:t>
          </w:r>
          <w:r w:rsidRPr="003538B1">
            <w:rPr>
              <w:rFonts w:ascii="Arial" w:eastAsia="Times New Roman" w:hAnsi="Arial" w:cs="Arial"/>
              <w:i/>
              <w:iCs/>
              <w:color w:val="222222"/>
              <w:sz w:val="24"/>
              <w:szCs w:val="24"/>
              <w:shd w:val="clear" w:color="auto" w:fill="FFFFFF"/>
              <w:lang w:eastAsia="en-GB"/>
            </w:rPr>
            <w:t>Readings in accounting for management control</w:t>
          </w:r>
          <w:r w:rsidRPr="003538B1">
            <w:rPr>
              <w:rFonts w:ascii="Arial" w:eastAsia="Times New Roman" w:hAnsi="Arial" w:cs="Arial"/>
              <w:color w:val="222222"/>
              <w:sz w:val="24"/>
              <w:szCs w:val="24"/>
              <w:shd w:val="clear" w:color="auto" w:fill="FFFFFF"/>
              <w:lang w:eastAsia="en-GB"/>
            </w:rPr>
            <w:t>, pp.586-621.</w:t>
          </w:r>
        </w:p>
        <w:p w14:paraId="51A481E4" w14:textId="77777777" w:rsidR="004335FA" w:rsidRPr="004335FA" w:rsidRDefault="004335FA" w:rsidP="004335FA">
          <w:pPr>
            <w:spacing w:after="0" w:line="240" w:lineRule="auto"/>
            <w:rPr>
              <w:rFonts w:ascii="Arial" w:eastAsia="Times New Roman" w:hAnsi="Arial" w:cs="Arial"/>
              <w:sz w:val="24"/>
              <w:szCs w:val="24"/>
              <w:lang w:eastAsia="en-GB"/>
            </w:rPr>
          </w:pPr>
        </w:p>
        <w:p w14:paraId="02BC2E37" w14:textId="3CBE2D4F" w:rsidR="004335FA" w:rsidRPr="003538B1" w:rsidRDefault="00450AF8" w:rsidP="003538B1">
          <w:pPr>
            <w:spacing w:after="0" w:line="240" w:lineRule="auto"/>
            <w:rPr>
              <w:rFonts w:ascii="Arial" w:eastAsia="Times New Roman" w:hAnsi="Arial" w:cs="Arial"/>
              <w:color w:val="222222"/>
              <w:sz w:val="24"/>
              <w:szCs w:val="24"/>
              <w:shd w:val="clear" w:color="auto" w:fill="FFFFFF"/>
              <w:lang w:eastAsia="en-GB"/>
            </w:rPr>
          </w:pPr>
          <w:r w:rsidRPr="00450AF8">
            <w:rPr>
              <w:rFonts w:ascii="Arial" w:eastAsia="Times New Roman" w:hAnsi="Arial" w:cs="Arial"/>
              <w:color w:val="222222"/>
              <w:sz w:val="24"/>
              <w:szCs w:val="24"/>
              <w:shd w:val="clear" w:color="auto" w:fill="FFFFFF"/>
              <w:lang w:eastAsia="en-GB"/>
            </w:rPr>
            <w:t>Lev, B. and Sunder, S., 1979. Methodological issues in the use of financial ratios. </w:t>
          </w:r>
          <w:r w:rsidRPr="00450AF8">
            <w:rPr>
              <w:rFonts w:ascii="Arial" w:eastAsia="Times New Roman" w:hAnsi="Arial" w:cs="Arial"/>
              <w:i/>
              <w:iCs/>
              <w:color w:val="222222"/>
              <w:sz w:val="24"/>
              <w:szCs w:val="24"/>
              <w:shd w:val="clear" w:color="auto" w:fill="FFFFFF"/>
              <w:lang w:eastAsia="en-GB"/>
            </w:rPr>
            <w:t>Journal of accounting and economics</w:t>
          </w:r>
          <w:r w:rsidRPr="00450AF8">
            <w:rPr>
              <w:rFonts w:ascii="Arial" w:eastAsia="Times New Roman" w:hAnsi="Arial" w:cs="Arial"/>
              <w:color w:val="222222"/>
              <w:sz w:val="24"/>
              <w:szCs w:val="24"/>
              <w:shd w:val="clear" w:color="auto" w:fill="FFFFFF"/>
              <w:lang w:eastAsia="en-GB"/>
            </w:rPr>
            <w:t>, </w:t>
          </w:r>
          <w:r w:rsidRPr="00450AF8">
            <w:rPr>
              <w:rFonts w:ascii="Arial" w:eastAsia="Times New Roman" w:hAnsi="Arial" w:cs="Arial"/>
              <w:i/>
              <w:iCs/>
              <w:color w:val="222222"/>
              <w:sz w:val="24"/>
              <w:szCs w:val="24"/>
              <w:shd w:val="clear" w:color="auto" w:fill="FFFFFF"/>
              <w:lang w:eastAsia="en-GB"/>
            </w:rPr>
            <w:t>1</w:t>
          </w:r>
          <w:r w:rsidRPr="00450AF8">
            <w:rPr>
              <w:rFonts w:ascii="Arial" w:eastAsia="Times New Roman" w:hAnsi="Arial" w:cs="Arial"/>
              <w:color w:val="222222"/>
              <w:sz w:val="24"/>
              <w:szCs w:val="24"/>
              <w:shd w:val="clear" w:color="auto" w:fill="FFFFFF"/>
              <w:lang w:eastAsia="en-GB"/>
            </w:rPr>
            <w:t>(3), pp.187-210.</w:t>
          </w:r>
        </w:p>
        <w:p w14:paraId="761B415C" w14:textId="77777777" w:rsidR="003538B1" w:rsidRDefault="003538B1" w:rsidP="003538B1">
          <w:pPr>
            <w:spacing w:after="0" w:line="240" w:lineRule="auto"/>
            <w:rPr>
              <w:rFonts w:ascii="Arial" w:eastAsia="Times New Roman" w:hAnsi="Arial" w:cs="Arial"/>
              <w:sz w:val="24"/>
              <w:szCs w:val="24"/>
              <w:lang w:eastAsia="en-GB"/>
            </w:rPr>
          </w:pPr>
        </w:p>
        <w:p w14:paraId="66DD0A6F" w14:textId="721DA3A1" w:rsidR="003538B1" w:rsidRPr="003538B1" w:rsidRDefault="003538B1" w:rsidP="003538B1">
          <w:pPr>
            <w:spacing w:after="0" w:line="240" w:lineRule="auto"/>
            <w:rPr>
              <w:rFonts w:ascii="Arial" w:eastAsia="Times New Roman" w:hAnsi="Arial" w:cs="Arial"/>
              <w:sz w:val="24"/>
              <w:szCs w:val="24"/>
              <w:lang w:eastAsia="en-GB"/>
            </w:rPr>
          </w:pPr>
          <w:r w:rsidRPr="003538B1">
            <w:rPr>
              <w:rFonts w:ascii="Arial" w:eastAsia="Times New Roman" w:hAnsi="Arial" w:cs="Arial"/>
              <w:sz w:val="24"/>
              <w:szCs w:val="24"/>
              <w:lang w:eastAsia="en-GB"/>
            </w:rPr>
            <w:t xml:space="preserve">Moorthy, M.K., </w:t>
          </w:r>
          <w:proofErr w:type="spellStart"/>
          <w:r w:rsidRPr="003538B1">
            <w:rPr>
              <w:rFonts w:ascii="Arial" w:eastAsia="Times New Roman" w:hAnsi="Arial" w:cs="Arial"/>
              <w:sz w:val="24"/>
              <w:szCs w:val="24"/>
              <w:lang w:eastAsia="en-GB"/>
            </w:rPr>
            <w:t>Voon</w:t>
          </w:r>
          <w:proofErr w:type="spellEnd"/>
          <w:r w:rsidRPr="003538B1">
            <w:rPr>
              <w:rFonts w:ascii="Arial" w:eastAsia="Times New Roman" w:hAnsi="Arial" w:cs="Arial"/>
              <w:sz w:val="24"/>
              <w:szCs w:val="24"/>
              <w:lang w:eastAsia="en-GB"/>
            </w:rPr>
            <w:t xml:space="preserve">, O.O., </w:t>
          </w:r>
          <w:proofErr w:type="spellStart"/>
          <w:r w:rsidRPr="003538B1">
            <w:rPr>
              <w:rFonts w:ascii="Arial" w:eastAsia="Times New Roman" w:hAnsi="Arial" w:cs="Arial"/>
              <w:sz w:val="24"/>
              <w:szCs w:val="24"/>
              <w:lang w:eastAsia="en-GB"/>
            </w:rPr>
            <w:t>Samsuri</w:t>
          </w:r>
          <w:proofErr w:type="spellEnd"/>
          <w:r w:rsidRPr="003538B1">
            <w:rPr>
              <w:rFonts w:ascii="Arial" w:eastAsia="Times New Roman" w:hAnsi="Arial" w:cs="Arial"/>
              <w:sz w:val="24"/>
              <w:szCs w:val="24"/>
              <w:lang w:eastAsia="en-GB"/>
            </w:rPr>
            <w:t>, C.A.S.B., Gopalan, M. and Yew, K.T., 2012. Application of information technology in management accounting decision making. International Journal of Academic Research in Business and Social Sciences, 2(3), p.1.</w:t>
          </w:r>
        </w:p>
        <w:p w14:paraId="70BA78EE" w14:textId="617C260D" w:rsidR="003538B1" w:rsidRDefault="003538B1" w:rsidP="003538B1">
          <w:pPr>
            <w:spacing w:after="0" w:line="240" w:lineRule="auto"/>
            <w:rPr>
              <w:rFonts w:ascii="Arial" w:eastAsia="Times New Roman" w:hAnsi="Arial" w:cs="Arial"/>
              <w:sz w:val="24"/>
              <w:szCs w:val="24"/>
              <w:lang w:eastAsia="en-GB"/>
            </w:rPr>
          </w:pPr>
        </w:p>
        <w:p w14:paraId="72CC9B9C" w14:textId="110ACAFB" w:rsidR="00920EF9" w:rsidRDefault="00920EF9" w:rsidP="003538B1">
          <w:pPr>
            <w:spacing w:after="0" w:line="240" w:lineRule="auto"/>
            <w:rPr>
              <w:rFonts w:ascii="Arial" w:eastAsia="Times New Roman" w:hAnsi="Arial" w:cs="Arial"/>
              <w:sz w:val="24"/>
              <w:szCs w:val="24"/>
              <w:lang w:eastAsia="en-GB"/>
            </w:rPr>
          </w:pPr>
          <w:r w:rsidRPr="00920EF9">
            <w:rPr>
              <w:rFonts w:ascii="Arial" w:eastAsia="Times New Roman" w:hAnsi="Arial" w:cs="Arial"/>
              <w:sz w:val="24"/>
              <w:szCs w:val="24"/>
              <w:lang w:eastAsia="en-GB"/>
            </w:rPr>
            <w:t>Nissim, D. and Penman, S.H., 2001. Ratio analysis and equity valuation: From research to practice. Review of accounting studies, 6(1), pp.109-154.</w:t>
          </w:r>
        </w:p>
        <w:p w14:paraId="6619C132" w14:textId="77777777" w:rsidR="00920EF9" w:rsidRPr="003538B1" w:rsidRDefault="00920EF9" w:rsidP="003538B1">
          <w:pPr>
            <w:spacing w:after="0" w:line="240" w:lineRule="auto"/>
            <w:rPr>
              <w:rFonts w:ascii="Arial" w:eastAsia="Times New Roman" w:hAnsi="Arial" w:cs="Arial"/>
              <w:sz w:val="24"/>
              <w:szCs w:val="24"/>
              <w:lang w:eastAsia="en-GB"/>
            </w:rPr>
          </w:pPr>
        </w:p>
        <w:p w14:paraId="72D3E2CA" w14:textId="1CC43011" w:rsidR="00450AF8" w:rsidRDefault="00450AF8" w:rsidP="00450AF8">
          <w:pPr>
            <w:spacing w:after="0" w:line="240" w:lineRule="auto"/>
            <w:rPr>
              <w:rFonts w:ascii="Arial" w:eastAsia="Times New Roman" w:hAnsi="Arial" w:cs="Arial"/>
              <w:color w:val="222222"/>
              <w:sz w:val="24"/>
              <w:szCs w:val="24"/>
              <w:shd w:val="clear" w:color="auto" w:fill="FFFFFF"/>
              <w:lang w:eastAsia="en-GB"/>
            </w:rPr>
          </w:pPr>
          <w:r w:rsidRPr="00450AF8">
            <w:rPr>
              <w:rFonts w:ascii="Arial" w:eastAsia="Times New Roman" w:hAnsi="Arial" w:cs="Arial"/>
              <w:color w:val="222222"/>
              <w:sz w:val="24"/>
              <w:szCs w:val="24"/>
              <w:shd w:val="clear" w:color="auto" w:fill="FFFFFF"/>
              <w:lang w:eastAsia="en-GB"/>
            </w:rPr>
            <w:t>Scott, W.R. and O'Brien, P.C., 2003. </w:t>
          </w:r>
          <w:r w:rsidRPr="00450AF8">
            <w:rPr>
              <w:rFonts w:ascii="Arial" w:eastAsia="Times New Roman" w:hAnsi="Arial" w:cs="Arial"/>
              <w:i/>
              <w:iCs/>
              <w:color w:val="222222"/>
              <w:sz w:val="24"/>
              <w:szCs w:val="24"/>
              <w:shd w:val="clear" w:color="auto" w:fill="FFFFFF"/>
              <w:lang w:eastAsia="en-GB"/>
            </w:rPr>
            <w:t>Financial accounting theory</w:t>
          </w:r>
          <w:r w:rsidRPr="00450AF8">
            <w:rPr>
              <w:rFonts w:ascii="Arial" w:eastAsia="Times New Roman" w:hAnsi="Arial" w:cs="Arial"/>
              <w:color w:val="222222"/>
              <w:sz w:val="24"/>
              <w:szCs w:val="24"/>
              <w:shd w:val="clear" w:color="auto" w:fill="FFFFFF"/>
              <w:lang w:eastAsia="en-GB"/>
            </w:rPr>
            <w:t> (Vol. 3, pp. 141-143). Toronto: prentice hall.</w:t>
          </w:r>
        </w:p>
        <w:p w14:paraId="2D74CB27" w14:textId="74A25BE0" w:rsidR="00920EF9" w:rsidRDefault="00920EF9" w:rsidP="00450AF8">
          <w:pPr>
            <w:spacing w:after="0" w:line="240" w:lineRule="auto"/>
            <w:rPr>
              <w:rFonts w:ascii="Arial" w:eastAsia="Times New Roman" w:hAnsi="Arial" w:cs="Arial"/>
              <w:color w:val="222222"/>
              <w:sz w:val="24"/>
              <w:szCs w:val="24"/>
              <w:shd w:val="clear" w:color="auto" w:fill="FFFFFF"/>
              <w:lang w:eastAsia="en-GB"/>
            </w:rPr>
          </w:pPr>
        </w:p>
        <w:p w14:paraId="13AB8FDF" w14:textId="00946466" w:rsidR="00920EF9" w:rsidRDefault="00920EF9" w:rsidP="00450AF8">
          <w:pPr>
            <w:spacing w:after="0" w:line="240" w:lineRule="auto"/>
            <w:rPr>
              <w:rFonts w:ascii="Arial" w:eastAsia="Times New Roman" w:hAnsi="Arial" w:cs="Arial"/>
              <w:sz w:val="24"/>
              <w:szCs w:val="24"/>
              <w:lang w:eastAsia="en-GB"/>
            </w:rPr>
          </w:pPr>
          <w:proofErr w:type="spellStart"/>
          <w:r w:rsidRPr="00920EF9">
            <w:rPr>
              <w:rFonts w:ascii="Arial" w:eastAsia="Times New Roman" w:hAnsi="Arial" w:cs="Arial"/>
              <w:sz w:val="24"/>
              <w:szCs w:val="24"/>
              <w:lang w:eastAsia="en-GB"/>
            </w:rPr>
            <w:t>Socea</w:t>
          </w:r>
          <w:proofErr w:type="spellEnd"/>
          <w:r w:rsidRPr="00920EF9">
            <w:rPr>
              <w:rFonts w:ascii="Arial" w:eastAsia="Times New Roman" w:hAnsi="Arial" w:cs="Arial"/>
              <w:sz w:val="24"/>
              <w:szCs w:val="24"/>
              <w:lang w:eastAsia="en-GB"/>
            </w:rPr>
            <w:t xml:space="preserve">, A.D., 2012. Managerial decision-making and financial accounting information. Procedia-Social and </w:t>
          </w:r>
          <w:proofErr w:type="spellStart"/>
          <w:r w:rsidRPr="00920EF9">
            <w:rPr>
              <w:rFonts w:ascii="Arial" w:eastAsia="Times New Roman" w:hAnsi="Arial" w:cs="Arial"/>
              <w:sz w:val="24"/>
              <w:szCs w:val="24"/>
              <w:lang w:eastAsia="en-GB"/>
            </w:rPr>
            <w:t>Behavioral</w:t>
          </w:r>
          <w:proofErr w:type="spellEnd"/>
          <w:r w:rsidRPr="00920EF9">
            <w:rPr>
              <w:rFonts w:ascii="Arial" w:eastAsia="Times New Roman" w:hAnsi="Arial" w:cs="Arial"/>
              <w:sz w:val="24"/>
              <w:szCs w:val="24"/>
              <w:lang w:eastAsia="en-GB"/>
            </w:rPr>
            <w:t xml:space="preserve"> Sciences, 58, pp.47-55.</w:t>
          </w:r>
        </w:p>
        <w:p w14:paraId="57DC42AB" w14:textId="37F67B01" w:rsidR="00920EF9" w:rsidRDefault="00920EF9" w:rsidP="00450AF8">
          <w:pPr>
            <w:spacing w:after="0" w:line="240" w:lineRule="auto"/>
            <w:rPr>
              <w:rFonts w:ascii="Arial" w:eastAsia="Times New Roman" w:hAnsi="Arial" w:cs="Arial"/>
              <w:sz w:val="24"/>
              <w:szCs w:val="24"/>
              <w:lang w:eastAsia="en-GB"/>
            </w:rPr>
          </w:pPr>
        </w:p>
        <w:p w14:paraId="05D9B55A" w14:textId="5FEB5080" w:rsidR="00920EF9" w:rsidRPr="00450AF8" w:rsidRDefault="00920EF9" w:rsidP="00450AF8">
          <w:pPr>
            <w:spacing w:after="0" w:line="240" w:lineRule="auto"/>
            <w:rPr>
              <w:rFonts w:ascii="Arial" w:eastAsia="Times New Roman" w:hAnsi="Arial" w:cs="Arial"/>
              <w:sz w:val="24"/>
              <w:szCs w:val="24"/>
              <w:lang w:eastAsia="en-GB"/>
            </w:rPr>
          </w:pPr>
          <w:r w:rsidRPr="00920EF9">
            <w:rPr>
              <w:rFonts w:ascii="Arial" w:eastAsia="Times New Roman" w:hAnsi="Arial" w:cs="Arial"/>
              <w:sz w:val="24"/>
              <w:szCs w:val="24"/>
              <w:lang w:eastAsia="en-GB"/>
            </w:rPr>
            <w:t xml:space="preserve">White, G.I., </w:t>
          </w:r>
          <w:proofErr w:type="spellStart"/>
          <w:r w:rsidRPr="00920EF9">
            <w:rPr>
              <w:rFonts w:ascii="Arial" w:eastAsia="Times New Roman" w:hAnsi="Arial" w:cs="Arial"/>
              <w:sz w:val="24"/>
              <w:szCs w:val="24"/>
              <w:lang w:eastAsia="en-GB"/>
            </w:rPr>
            <w:t>Sondhi</w:t>
          </w:r>
          <w:proofErr w:type="spellEnd"/>
          <w:r w:rsidRPr="00920EF9">
            <w:rPr>
              <w:rFonts w:ascii="Arial" w:eastAsia="Times New Roman" w:hAnsi="Arial" w:cs="Arial"/>
              <w:sz w:val="24"/>
              <w:szCs w:val="24"/>
              <w:lang w:eastAsia="en-GB"/>
            </w:rPr>
            <w:t>, A.C. and Fried, D., 2002. The analysis and use of financial statements. John Wiley &amp; Sons.</w:t>
          </w:r>
        </w:p>
        <w:p w14:paraId="4BAD547D" w14:textId="77777777" w:rsidR="004335FA" w:rsidRDefault="004335FA"/>
        <w:p w14:paraId="55AC9CC9" w14:textId="2C92470B" w:rsidR="00CA09F3" w:rsidRDefault="00046F8E"/>
      </w:sdtContent>
    </w:sdt>
    <w:sectPr w:rsidR="00CA09F3"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46F8E"/>
    <w:rsid w:val="00115B96"/>
    <w:rsid w:val="00187BD9"/>
    <w:rsid w:val="00324CCD"/>
    <w:rsid w:val="003538B1"/>
    <w:rsid w:val="004335FA"/>
    <w:rsid w:val="00450AF8"/>
    <w:rsid w:val="004A11F6"/>
    <w:rsid w:val="004D519C"/>
    <w:rsid w:val="0054626F"/>
    <w:rsid w:val="006501D5"/>
    <w:rsid w:val="007D1947"/>
    <w:rsid w:val="0085294F"/>
    <w:rsid w:val="00920EF9"/>
    <w:rsid w:val="00AA2A91"/>
    <w:rsid w:val="00C71FB5"/>
    <w:rsid w:val="00CA09F3"/>
    <w:rsid w:val="00D854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37FFDC"/>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styleId="UnresolvedMention">
    <w:name w:val="Unresolved Mention"/>
    <w:basedOn w:val="DefaultParagraphFont"/>
    <w:uiPriority w:val="99"/>
    <w:semiHidden/>
    <w:unhideWhenUsed/>
    <w:rsid w:val="004335F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516010">
      <w:bodyDiv w:val="1"/>
      <w:marLeft w:val="0"/>
      <w:marRight w:val="0"/>
      <w:marTop w:val="0"/>
      <w:marBottom w:val="0"/>
      <w:divBdr>
        <w:top w:val="none" w:sz="0" w:space="0" w:color="auto"/>
        <w:left w:val="none" w:sz="0" w:space="0" w:color="auto"/>
        <w:bottom w:val="none" w:sz="0" w:space="0" w:color="auto"/>
        <w:right w:val="none" w:sz="0" w:space="0" w:color="auto"/>
      </w:divBdr>
    </w:div>
    <w:div w:id="138504289">
      <w:bodyDiv w:val="1"/>
      <w:marLeft w:val="0"/>
      <w:marRight w:val="0"/>
      <w:marTop w:val="0"/>
      <w:marBottom w:val="0"/>
      <w:divBdr>
        <w:top w:val="none" w:sz="0" w:space="0" w:color="auto"/>
        <w:left w:val="none" w:sz="0" w:space="0" w:color="auto"/>
        <w:bottom w:val="none" w:sz="0" w:space="0" w:color="auto"/>
        <w:right w:val="none" w:sz="0" w:space="0" w:color="auto"/>
      </w:divBdr>
    </w:div>
    <w:div w:id="488862363">
      <w:bodyDiv w:val="1"/>
      <w:marLeft w:val="0"/>
      <w:marRight w:val="0"/>
      <w:marTop w:val="0"/>
      <w:marBottom w:val="0"/>
      <w:divBdr>
        <w:top w:val="none" w:sz="0" w:space="0" w:color="auto"/>
        <w:left w:val="none" w:sz="0" w:space="0" w:color="auto"/>
        <w:bottom w:val="none" w:sz="0" w:space="0" w:color="auto"/>
        <w:right w:val="none" w:sz="0" w:space="0" w:color="auto"/>
      </w:divBdr>
    </w:div>
    <w:div w:id="489717182">
      <w:bodyDiv w:val="1"/>
      <w:marLeft w:val="0"/>
      <w:marRight w:val="0"/>
      <w:marTop w:val="0"/>
      <w:marBottom w:val="0"/>
      <w:divBdr>
        <w:top w:val="none" w:sz="0" w:space="0" w:color="auto"/>
        <w:left w:val="none" w:sz="0" w:space="0" w:color="auto"/>
        <w:bottom w:val="none" w:sz="0" w:space="0" w:color="auto"/>
        <w:right w:val="none" w:sz="0" w:space="0" w:color="auto"/>
      </w:divBdr>
    </w:div>
    <w:div w:id="947663730">
      <w:bodyDiv w:val="1"/>
      <w:marLeft w:val="0"/>
      <w:marRight w:val="0"/>
      <w:marTop w:val="0"/>
      <w:marBottom w:val="0"/>
      <w:divBdr>
        <w:top w:val="none" w:sz="0" w:space="0" w:color="auto"/>
        <w:left w:val="none" w:sz="0" w:space="0" w:color="auto"/>
        <w:bottom w:val="none" w:sz="0" w:space="0" w:color="auto"/>
        <w:right w:val="none" w:sz="0" w:space="0" w:color="auto"/>
      </w:divBdr>
    </w:div>
    <w:div w:id="1070080602">
      <w:bodyDiv w:val="1"/>
      <w:marLeft w:val="0"/>
      <w:marRight w:val="0"/>
      <w:marTop w:val="0"/>
      <w:marBottom w:val="0"/>
      <w:divBdr>
        <w:top w:val="none" w:sz="0" w:space="0" w:color="auto"/>
        <w:left w:val="none" w:sz="0" w:space="0" w:color="auto"/>
        <w:bottom w:val="none" w:sz="0" w:space="0" w:color="auto"/>
        <w:right w:val="none" w:sz="0" w:space="0" w:color="auto"/>
      </w:divBdr>
    </w:div>
    <w:div w:id="1131479140">
      <w:bodyDiv w:val="1"/>
      <w:marLeft w:val="0"/>
      <w:marRight w:val="0"/>
      <w:marTop w:val="0"/>
      <w:marBottom w:val="0"/>
      <w:divBdr>
        <w:top w:val="none" w:sz="0" w:space="0" w:color="auto"/>
        <w:left w:val="none" w:sz="0" w:space="0" w:color="auto"/>
        <w:bottom w:val="none" w:sz="0" w:space="0" w:color="auto"/>
        <w:right w:val="none" w:sz="0" w:space="0" w:color="auto"/>
      </w:divBdr>
    </w:div>
    <w:div w:id="1151366939">
      <w:bodyDiv w:val="1"/>
      <w:marLeft w:val="0"/>
      <w:marRight w:val="0"/>
      <w:marTop w:val="0"/>
      <w:marBottom w:val="0"/>
      <w:divBdr>
        <w:top w:val="none" w:sz="0" w:space="0" w:color="auto"/>
        <w:left w:val="none" w:sz="0" w:space="0" w:color="auto"/>
        <w:bottom w:val="none" w:sz="0" w:space="0" w:color="auto"/>
        <w:right w:val="none" w:sz="0" w:space="0" w:color="auto"/>
      </w:divBdr>
    </w:div>
    <w:div w:id="1331521886">
      <w:bodyDiv w:val="1"/>
      <w:marLeft w:val="0"/>
      <w:marRight w:val="0"/>
      <w:marTop w:val="0"/>
      <w:marBottom w:val="0"/>
      <w:divBdr>
        <w:top w:val="none" w:sz="0" w:space="0" w:color="auto"/>
        <w:left w:val="none" w:sz="0" w:space="0" w:color="auto"/>
        <w:bottom w:val="none" w:sz="0" w:space="0" w:color="auto"/>
        <w:right w:val="none" w:sz="0" w:space="0" w:color="auto"/>
      </w:divBdr>
    </w:div>
    <w:div w:id="1788574863">
      <w:bodyDiv w:val="1"/>
      <w:marLeft w:val="0"/>
      <w:marRight w:val="0"/>
      <w:marTop w:val="0"/>
      <w:marBottom w:val="0"/>
      <w:divBdr>
        <w:top w:val="none" w:sz="0" w:space="0" w:color="auto"/>
        <w:left w:val="none" w:sz="0" w:space="0" w:color="auto"/>
        <w:bottom w:val="none" w:sz="0" w:space="0" w:color="auto"/>
        <w:right w:val="none" w:sz="0" w:space="0" w:color="auto"/>
      </w:divBdr>
    </w:div>
    <w:div w:id="1871332773">
      <w:bodyDiv w:val="1"/>
      <w:marLeft w:val="0"/>
      <w:marRight w:val="0"/>
      <w:marTop w:val="0"/>
      <w:marBottom w:val="0"/>
      <w:divBdr>
        <w:top w:val="none" w:sz="0" w:space="0" w:color="auto"/>
        <w:left w:val="none" w:sz="0" w:space="0" w:color="auto"/>
        <w:bottom w:val="none" w:sz="0" w:space="0" w:color="auto"/>
        <w:right w:val="none" w:sz="0" w:space="0" w:color="auto"/>
      </w:divBdr>
    </w:div>
    <w:div w:id="1876187544">
      <w:bodyDiv w:val="1"/>
      <w:marLeft w:val="0"/>
      <w:marRight w:val="0"/>
      <w:marTop w:val="0"/>
      <w:marBottom w:val="0"/>
      <w:divBdr>
        <w:top w:val="none" w:sz="0" w:space="0" w:color="auto"/>
        <w:left w:val="none" w:sz="0" w:space="0" w:color="auto"/>
        <w:bottom w:val="none" w:sz="0" w:space="0" w:color="auto"/>
        <w:right w:val="none" w:sz="0" w:space="0" w:color="auto"/>
      </w:divBdr>
    </w:div>
    <w:div w:id="1896965381">
      <w:bodyDiv w:val="1"/>
      <w:marLeft w:val="0"/>
      <w:marRight w:val="0"/>
      <w:marTop w:val="0"/>
      <w:marBottom w:val="0"/>
      <w:divBdr>
        <w:top w:val="none" w:sz="0" w:space="0" w:color="auto"/>
        <w:left w:val="none" w:sz="0" w:space="0" w:color="auto"/>
        <w:bottom w:val="none" w:sz="0" w:space="0" w:color="auto"/>
        <w:right w:val="none" w:sz="0" w:space="0" w:color="auto"/>
      </w:divBdr>
    </w:div>
    <w:div w:id="2108303096">
      <w:bodyDiv w:val="1"/>
      <w:marLeft w:val="0"/>
      <w:marRight w:val="0"/>
      <w:marTop w:val="0"/>
      <w:marBottom w:val="0"/>
      <w:divBdr>
        <w:top w:val="none" w:sz="0" w:space="0" w:color="auto"/>
        <w:left w:val="none" w:sz="0" w:space="0" w:color="auto"/>
        <w:bottom w:val="none" w:sz="0" w:space="0" w:color="auto"/>
        <w:right w:val="none" w:sz="0" w:space="0" w:color="auto"/>
      </w:divBdr>
      <w:divsChild>
        <w:div w:id="35149424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474210"/>
    <w:rsid w:val="0083132B"/>
    <w:rsid w:val="00A34C42"/>
    <w:rsid w:val="00BC1251"/>
    <w:rsid w:val="00C674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2022-02-16T00:00:00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4444DF4-CE0A-4C2D-8140-0EA2B60B24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1860</Words>
  <Characters>10603</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12439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 jurys inn</dc:title>
  <dc:subject>BMIH5007</dc:subject>
  <dc:creator>Marie Pitson</dc:creator>
  <cp:keywords/>
  <dc:description/>
  <cp:lastModifiedBy>MIAH S. (2120095)</cp:lastModifiedBy>
  <cp:revision>2</cp:revision>
  <dcterms:created xsi:type="dcterms:W3CDTF">2022-02-16T22:14:00Z</dcterms:created>
  <dcterms:modified xsi:type="dcterms:W3CDTF">2022-02-16T22:14:00Z</dcterms:modified>
</cp:coreProperties>
</file>