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B4963" w:rsidRPr="003B4963" w:rsidRDefault="003B4963" w:rsidP="00583F1B">
      <w:pPr>
        <w:spacing w:line="259" w:lineRule="auto"/>
        <w:jc w:val="center"/>
        <w:rPr>
          <w:b/>
          <w:bCs/>
          <w:sz w:val="48"/>
          <w:szCs w:val="48"/>
        </w:rPr>
      </w:pPr>
      <w:r w:rsidRPr="003B4963">
        <w:rPr>
          <w:b/>
          <w:bCs/>
          <w:sz w:val="48"/>
          <w:szCs w:val="48"/>
        </w:rPr>
        <w:t>Managin</w:t>
      </w:r>
      <w:r>
        <w:rPr>
          <w:b/>
          <w:bCs/>
          <w:sz w:val="48"/>
          <w:szCs w:val="48"/>
        </w:rPr>
        <w:t>g</w:t>
      </w:r>
      <w:r w:rsidRPr="003B4963">
        <w:rPr>
          <w:b/>
          <w:bCs/>
          <w:sz w:val="48"/>
          <w:szCs w:val="48"/>
        </w:rPr>
        <w:t xml:space="preserve"> People </w:t>
      </w:r>
    </w:p>
    <w:p w:rsidR="003B4963" w:rsidRPr="003B4963" w:rsidRDefault="003B4963" w:rsidP="00583F1B">
      <w:pPr>
        <w:spacing w:line="259" w:lineRule="auto"/>
        <w:jc w:val="center"/>
        <w:rPr>
          <w:b/>
          <w:bCs/>
          <w:sz w:val="48"/>
          <w:szCs w:val="48"/>
        </w:rPr>
      </w:pPr>
      <w:r w:rsidRPr="003B4963">
        <w:rPr>
          <w:b/>
          <w:bCs/>
          <w:sz w:val="48"/>
          <w:szCs w:val="48"/>
        </w:rPr>
        <w:t xml:space="preserve">Assessment 2 Term 1 Group 2 </w:t>
      </w:r>
    </w:p>
    <w:p w:rsidR="00F04960" w:rsidRPr="00583F1B" w:rsidRDefault="003B4963" w:rsidP="00583F1B">
      <w:pPr>
        <w:spacing w:line="259" w:lineRule="auto"/>
        <w:jc w:val="center"/>
        <w:rPr>
          <w:b/>
          <w:sz w:val="48"/>
          <w:szCs w:val="48"/>
        </w:rPr>
      </w:pPr>
      <w:r w:rsidRPr="003B4963">
        <w:rPr>
          <w:b/>
          <w:bCs/>
          <w:sz w:val="48"/>
          <w:szCs w:val="48"/>
        </w:rPr>
        <w:t>Anton Antonov (1908495)</w:t>
      </w:r>
      <w:r w:rsidR="00C023DB" w:rsidRPr="00583F1B">
        <w:rPr>
          <w:b/>
          <w:sz w:val="48"/>
          <w:szCs w:val="48"/>
        </w:rPr>
        <w:br w:type="page"/>
      </w:r>
    </w:p>
    <w:sdt>
      <w:sdtPr>
        <w:rPr>
          <w:rFonts w:ascii="Times New Roman" w:eastAsiaTheme="minorHAnsi" w:hAnsi="Times New Roman" w:cstheme="minorBidi"/>
          <w:color w:val="auto"/>
          <w:sz w:val="24"/>
          <w:szCs w:val="22"/>
        </w:rPr>
        <w:id w:val="97536672"/>
        <w:docPartObj>
          <w:docPartGallery w:val="Table of Contents"/>
          <w:docPartUnique/>
        </w:docPartObj>
      </w:sdtPr>
      <w:sdtEndPr>
        <w:rPr>
          <w:b/>
          <w:bCs/>
          <w:noProof/>
        </w:rPr>
      </w:sdtEndPr>
      <w:sdtContent>
        <w:p w:rsidR="000F77D6" w:rsidRPr="000F77D6" w:rsidRDefault="00C023DB">
          <w:pPr>
            <w:pStyle w:val="TOCHeading"/>
            <w:rPr>
              <w:rStyle w:val="Heading1Char"/>
              <w:color w:val="auto"/>
            </w:rPr>
          </w:pPr>
          <w:r w:rsidRPr="000F77D6">
            <w:rPr>
              <w:rStyle w:val="Heading1Char"/>
              <w:color w:val="auto"/>
            </w:rPr>
            <w:t>Table of Contents</w:t>
          </w:r>
        </w:p>
        <w:p w:rsidR="000F77D6" w:rsidRPr="0056558B" w:rsidRDefault="00C023DB">
          <w:pPr>
            <w:pStyle w:val="TOC1"/>
            <w:tabs>
              <w:tab w:val="right" w:leader="dot" w:pos="9350"/>
            </w:tabs>
            <w:rPr>
              <w:b/>
              <w:noProof/>
            </w:rPr>
          </w:pPr>
          <w:r>
            <w:fldChar w:fldCharType="begin"/>
          </w:r>
          <w:r>
            <w:instrText xml:space="preserve"> TOC \o "1-3" \h \z \u </w:instrText>
          </w:r>
          <w:r>
            <w:fldChar w:fldCharType="separate"/>
          </w:r>
          <w:hyperlink w:anchor="_Toc57918023" w:history="1">
            <w:r w:rsidRPr="0056558B">
              <w:rPr>
                <w:rStyle w:val="Hyperlink"/>
                <w:b/>
                <w:noProof/>
              </w:rPr>
              <w:t>Introduction</w:t>
            </w:r>
            <w:r w:rsidRPr="0056558B">
              <w:rPr>
                <w:b/>
                <w:noProof/>
                <w:webHidden/>
              </w:rPr>
              <w:tab/>
            </w:r>
            <w:r w:rsidRPr="0056558B">
              <w:rPr>
                <w:b/>
                <w:noProof/>
                <w:webHidden/>
              </w:rPr>
              <w:fldChar w:fldCharType="begin"/>
            </w:r>
            <w:r w:rsidRPr="0056558B">
              <w:rPr>
                <w:b/>
                <w:noProof/>
                <w:webHidden/>
              </w:rPr>
              <w:instrText xml:space="preserve"> PAGEREF _Toc57918023 \h </w:instrText>
            </w:r>
            <w:r w:rsidRPr="0056558B">
              <w:rPr>
                <w:b/>
                <w:noProof/>
                <w:webHidden/>
              </w:rPr>
            </w:r>
            <w:r w:rsidRPr="0056558B">
              <w:rPr>
                <w:b/>
                <w:noProof/>
                <w:webHidden/>
              </w:rPr>
              <w:fldChar w:fldCharType="separate"/>
            </w:r>
            <w:r w:rsidRPr="0056558B">
              <w:rPr>
                <w:b/>
                <w:noProof/>
                <w:webHidden/>
              </w:rPr>
              <w:t>3</w:t>
            </w:r>
            <w:r w:rsidRPr="0056558B">
              <w:rPr>
                <w:b/>
                <w:noProof/>
                <w:webHidden/>
              </w:rPr>
              <w:fldChar w:fldCharType="end"/>
            </w:r>
          </w:hyperlink>
        </w:p>
        <w:p w:rsidR="000F77D6" w:rsidRPr="0056558B" w:rsidRDefault="00D907CA">
          <w:pPr>
            <w:pStyle w:val="TOC1"/>
            <w:tabs>
              <w:tab w:val="right" w:leader="dot" w:pos="9350"/>
            </w:tabs>
            <w:rPr>
              <w:b/>
              <w:noProof/>
            </w:rPr>
          </w:pPr>
          <w:hyperlink w:anchor="_Toc57918024" w:history="1">
            <w:r w:rsidR="00C023DB" w:rsidRPr="0056558B">
              <w:rPr>
                <w:rStyle w:val="Hyperlink"/>
                <w:b/>
                <w:noProof/>
              </w:rPr>
              <w:t>The concept and drivers of employee engagement</w:t>
            </w:r>
            <w:r w:rsidR="00C023DB" w:rsidRPr="0056558B">
              <w:rPr>
                <w:b/>
                <w:noProof/>
                <w:webHidden/>
              </w:rPr>
              <w:tab/>
            </w:r>
            <w:r w:rsidR="00C023DB" w:rsidRPr="0056558B">
              <w:rPr>
                <w:b/>
                <w:noProof/>
                <w:webHidden/>
              </w:rPr>
              <w:fldChar w:fldCharType="begin"/>
            </w:r>
            <w:r w:rsidR="00C023DB" w:rsidRPr="0056558B">
              <w:rPr>
                <w:b/>
                <w:noProof/>
                <w:webHidden/>
              </w:rPr>
              <w:instrText xml:space="preserve"> PAGEREF _Toc57918024 \h </w:instrText>
            </w:r>
            <w:r w:rsidR="00C023DB" w:rsidRPr="0056558B">
              <w:rPr>
                <w:b/>
                <w:noProof/>
                <w:webHidden/>
              </w:rPr>
            </w:r>
            <w:r w:rsidR="00C023DB" w:rsidRPr="0056558B">
              <w:rPr>
                <w:b/>
                <w:noProof/>
                <w:webHidden/>
              </w:rPr>
              <w:fldChar w:fldCharType="separate"/>
            </w:r>
            <w:r w:rsidR="00C023DB" w:rsidRPr="0056558B">
              <w:rPr>
                <w:b/>
                <w:noProof/>
                <w:webHidden/>
              </w:rPr>
              <w:t>3</w:t>
            </w:r>
            <w:r w:rsidR="00C023DB" w:rsidRPr="0056558B">
              <w:rPr>
                <w:b/>
                <w:noProof/>
                <w:webHidden/>
              </w:rPr>
              <w:fldChar w:fldCharType="end"/>
            </w:r>
          </w:hyperlink>
        </w:p>
        <w:p w:rsidR="000F77D6" w:rsidRPr="0056558B" w:rsidRDefault="00D907CA">
          <w:pPr>
            <w:pStyle w:val="TOC1"/>
            <w:tabs>
              <w:tab w:val="right" w:leader="dot" w:pos="9350"/>
            </w:tabs>
            <w:rPr>
              <w:b/>
              <w:noProof/>
            </w:rPr>
          </w:pPr>
          <w:hyperlink w:anchor="_Toc57918025" w:history="1">
            <w:r w:rsidR="00C023DB" w:rsidRPr="0056558B">
              <w:rPr>
                <w:rStyle w:val="Hyperlink"/>
                <w:b/>
                <w:noProof/>
              </w:rPr>
              <w:t>Evaluates diagnostic tools to measure engagement</w:t>
            </w:r>
            <w:r w:rsidR="00C023DB" w:rsidRPr="0056558B">
              <w:rPr>
                <w:b/>
                <w:noProof/>
                <w:webHidden/>
              </w:rPr>
              <w:tab/>
            </w:r>
            <w:r w:rsidR="00C023DB" w:rsidRPr="0056558B">
              <w:rPr>
                <w:b/>
                <w:noProof/>
                <w:webHidden/>
              </w:rPr>
              <w:fldChar w:fldCharType="begin"/>
            </w:r>
            <w:r w:rsidR="00C023DB" w:rsidRPr="0056558B">
              <w:rPr>
                <w:b/>
                <w:noProof/>
                <w:webHidden/>
              </w:rPr>
              <w:instrText xml:space="preserve"> PAGEREF _Toc57918025 \h </w:instrText>
            </w:r>
            <w:r w:rsidR="00C023DB" w:rsidRPr="0056558B">
              <w:rPr>
                <w:b/>
                <w:noProof/>
                <w:webHidden/>
              </w:rPr>
            </w:r>
            <w:r w:rsidR="00C023DB" w:rsidRPr="0056558B">
              <w:rPr>
                <w:b/>
                <w:noProof/>
                <w:webHidden/>
              </w:rPr>
              <w:fldChar w:fldCharType="separate"/>
            </w:r>
            <w:r w:rsidR="00C023DB" w:rsidRPr="0056558B">
              <w:rPr>
                <w:b/>
                <w:noProof/>
                <w:webHidden/>
              </w:rPr>
              <w:t>5</w:t>
            </w:r>
            <w:r w:rsidR="00C023DB" w:rsidRPr="0056558B">
              <w:rPr>
                <w:b/>
                <w:noProof/>
                <w:webHidden/>
              </w:rPr>
              <w:fldChar w:fldCharType="end"/>
            </w:r>
          </w:hyperlink>
        </w:p>
        <w:p w:rsidR="000F77D6" w:rsidRPr="0056558B" w:rsidRDefault="00D907CA">
          <w:pPr>
            <w:pStyle w:val="TOC1"/>
            <w:tabs>
              <w:tab w:val="right" w:leader="dot" w:pos="9350"/>
            </w:tabs>
            <w:rPr>
              <w:b/>
              <w:noProof/>
            </w:rPr>
          </w:pPr>
          <w:hyperlink w:anchor="_Toc57918026" w:history="1">
            <w:r w:rsidR="00C023DB" w:rsidRPr="0056558B">
              <w:rPr>
                <w:rStyle w:val="Hyperlink"/>
                <w:b/>
                <w:noProof/>
              </w:rPr>
              <w:t>An employee value proposition</w:t>
            </w:r>
            <w:r w:rsidR="00C023DB" w:rsidRPr="0056558B">
              <w:rPr>
                <w:b/>
                <w:noProof/>
                <w:webHidden/>
              </w:rPr>
              <w:tab/>
            </w:r>
            <w:r w:rsidR="00C023DB" w:rsidRPr="0056558B">
              <w:rPr>
                <w:b/>
                <w:noProof/>
                <w:webHidden/>
              </w:rPr>
              <w:fldChar w:fldCharType="begin"/>
            </w:r>
            <w:r w:rsidR="00C023DB" w:rsidRPr="0056558B">
              <w:rPr>
                <w:b/>
                <w:noProof/>
                <w:webHidden/>
              </w:rPr>
              <w:instrText xml:space="preserve"> PAGEREF _Toc57918026 \h </w:instrText>
            </w:r>
            <w:r w:rsidR="00C023DB" w:rsidRPr="0056558B">
              <w:rPr>
                <w:b/>
                <w:noProof/>
                <w:webHidden/>
              </w:rPr>
            </w:r>
            <w:r w:rsidR="00C023DB" w:rsidRPr="0056558B">
              <w:rPr>
                <w:b/>
                <w:noProof/>
                <w:webHidden/>
              </w:rPr>
              <w:fldChar w:fldCharType="separate"/>
            </w:r>
            <w:r w:rsidR="00C023DB" w:rsidRPr="0056558B">
              <w:rPr>
                <w:b/>
                <w:noProof/>
                <w:webHidden/>
              </w:rPr>
              <w:t>6</w:t>
            </w:r>
            <w:r w:rsidR="00C023DB" w:rsidRPr="0056558B">
              <w:rPr>
                <w:b/>
                <w:noProof/>
                <w:webHidden/>
              </w:rPr>
              <w:fldChar w:fldCharType="end"/>
            </w:r>
          </w:hyperlink>
        </w:p>
        <w:p w:rsidR="000F77D6" w:rsidRPr="0056558B" w:rsidRDefault="00D907CA">
          <w:pPr>
            <w:pStyle w:val="TOC1"/>
            <w:tabs>
              <w:tab w:val="right" w:leader="dot" w:pos="9350"/>
            </w:tabs>
            <w:rPr>
              <w:b/>
              <w:noProof/>
            </w:rPr>
          </w:pPr>
          <w:hyperlink w:anchor="_Toc57918027" w:history="1">
            <w:r w:rsidR="00C023DB" w:rsidRPr="0056558B">
              <w:rPr>
                <w:rStyle w:val="Hyperlink"/>
                <w:b/>
                <w:noProof/>
              </w:rPr>
              <w:t>Strategies to raise levels of employee engagement</w:t>
            </w:r>
            <w:r w:rsidR="00C023DB" w:rsidRPr="0056558B">
              <w:rPr>
                <w:b/>
                <w:noProof/>
                <w:webHidden/>
              </w:rPr>
              <w:tab/>
            </w:r>
            <w:r w:rsidR="00C023DB" w:rsidRPr="0056558B">
              <w:rPr>
                <w:b/>
                <w:noProof/>
                <w:webHidden/>
              </w:rPr>
              <w:fldChar w:fldCharType="begin"/>
            </w:r>
            <w:r w:rsidR="00C023DB" w:rsidRPr="0056558B">
              <w:rPr>
                <w:b/>
                <w:noProof/>
                <w:webHidden/>
              </w:rPr>
              <w:instrText xml:space="preserve"> PAGEREF _Toc57918027 \h </w:instrText>
            </w:r>
            <w:r w:rsidR="00C023DB" w:rsidRPr="0056558B">
              <w:rPr>
                <w:b/>
                <w:noProof/>
                <w:webHidden/>
              </w:rPr>
            </w:r>
            <w:r w:rsidR="00C023DB" w:rsidRPr="0056558B">
              <w:rPr>
                <w:b/>
                <w:noProof/>
                <w:webHidden/>
              </w:rPr>
              <w:fldChar w:fldCharType="separate"/>
            </w:r>
            <w:r w:rsidR="00C023DB" w:rsidRPr="0056558B">
              <w:rPr>
                <w:b/>
                <w:noProof/>
                <w:webHidden/>
              </w:rPr>
              <w:t>7</w:t>
            </w:r>
            <w:r w:rsidR="00C023DB" w:rsidRPr="0056558B">
              <w:rPr>
                <w:b/>
                <w:noProof/>
                <w:webHidden/>
              </w:rPr>
              <w:fldChar w:fldCharType="end"/>
            </w:r>
          </w:hyperlink>
        </w:p>
        <w:p w:rsidR="000F77D6" w:rsidRPr="0056558B" w:rsidRDefault="00D907CA">
          <w:pPr>
            <w:pStyle w:val="TOC1"/>
            <w:tabs>
              <w:tab w:val="right" w:leader="dot" w:pos="9350"/>
            </w:tabs>
            <w:rPr>
              <w:b/>
              <w:noProof/>
            </w:rPr>
          </w:pPr>
          <w:hyperlink w:anchor="_Toc57918028" w:history="1">
            <w:r w:rsidR="00C023DB" w:rsidRPr="0056558B">
              <w:rPr>
                <w:rStyle w:val="Hyperlink"/>
                <w:b/>
                <w:noProof/>
              </w:rPr>
              <w:t>Conclusion</w:t>
            </w:r>
            <w:r w:rsidR="00C023DB" w:rsidRPr="0056558B">
              <w:rPr>
                <w:b/>
                <w:noProof/>
                <w:webHidden/>
              </w:rPr>
              <w:tab/>
            </w:r>
            <w:r w:rsidR="00C023DB" w:rsidRPr="0056558B">
              <w:rPr>
                <w:b/>
                <w:noProof/>
                <w:webHidden/>
              </w:rPr>
              <w:fldChar w:fldCharType="begin"/>
            </w:r>
            <w:r w:rsidR="00C023DB" w:rsidRPr="0056558B">
              <w:rPr>
                <w:b/>
                <w:noProof/>
                <w:webHidden/>
              </w:rPr>
              <w:instrText xml:space="preserve"> PAGEREF _Toc57918028 \h </w:instrText>
            </w:r>
            <w:r w:rsidR="00C023DB" w:rsidRPr="0056558B">
              <w:rPr>
                <w:b/>
                <w:noProof/>
                <w:webHidden/>
              </w:rPr>
            </w:r>
            <w:r w:rsidR="00C023DB" w:rsidRPr="0056558B">
              <w:rPr>
                <w:b/>
                <w:noProof/>
                <w:webHidden/>
              </w:rPr>
              <w:fldChar w:fldCharType="separate"/>
            </w:r>
            <w:r w:rsidR="00C023DB" w:rsidRPr="0056558B">
              <w:rPr>
                <w:b/>
                <w:noProof/>
                <w:webHidden/>
              </w:rPr>
              <w:t>9</w:t>
            </w:r>
            <w:r w:rsidR="00C023DB" w:rsidRPr="0056558B">
              <w:rPr>
                <w:b/>
                <w:noProof/>
                <w:webHidden/>
              </w:rPr>
              <w:fldChar w:fldCharType="end"/>
            </w:r>
          </w:hyperlink>
        </w:p>
        <w:p w:rsidR="000F77D6" w:rsidRDefault="00D907CA">
          <w:pPr>
            <w:pStyle w:val="TOC1"/>
            <w:tabs>
              <w:tab w:val="right" w:leader="dot" w:pos="9350"/>
            </w:tabs>
            <w:rPr>
              <w:noProof/>
            </w:rPr>
          </w:pPr>
          <w:hyperlink w:anchor="_Toc57918029" w:history="1">
            <w:r w:rsidR="00C023DB" w:rsidRPr="0056558B">
              <w:rPr>
                <w:rStyle w:val="Hyperlink"/>
                <w:b/>
                <w:noProof/>
              </w:rPr>
              <w:t>Reference</w:t>
            </w:r>
            <w:r w:rsidR="00C023DB" w:rsidRPr="0056558B">
              <w:rPr>
                <w:b/>
                <w:noProof/>
                <w:webHidden/>
              </w:rPr>
              <w:tab/>
            </w:r>
            <w:r w:rsidR="00C023DB" w:rsidRPr="0056558B">
              <w:rPr>
                <w:b/>
                <w:noProof/>
                <w:webHidden/>
              </w:rPr>
              <w:fldChar w:fldCharType="begin"/>
            </w:r>
            <w:r w:rsidR="00C023DB" w:rsidRPr="0056558B">
              <w:rPr>
                <w:b/>
                <w:noProof/>
                <w:webHidden/>
              </w:rPr>
              <w:instrText xml:space="preserve"> PAGEREF _Toc57918029 \h </w:instrText>
            </w:r>
            <w:r w:rsidR="00C023DB" w:rsidRPr="0056558B">
              <w:rPr>
                <w:b/>
                <w:noProof/>
                <w:webHidden/>
              </w:rPr>
            </w:r>
            <w:r w:rsidR="00C023DB" w:rsidRPr="0056558B">
              <w:rPr>
                <w:b/>
                <w:noProof/>
                <w:webHidden/>
              </w:rPr>
              <w:fldChar w:fldCharType="separate"/>
            </w:r>
            <w:r w:rsidR="00C023DB" w:rsidRPr="0056558B">
              <w:rPr>
                <w:b/>
                <w:noProof/>
                <w:webHidden/>
              </w:rPr>
              <w:t>10</w:t>
            </w:r>
            <w:r w:rsidR="00C023DB" w:rsidRPr="0056558B">
              <w:rPr>
                <w:b/>
                <w:noProof/>
                <w:webHidden/>
              </w:rPr>
              <w:fldChar w:fldCharType="end"/>
            </w:r>
          </w:hyperlink>
        </w:p>
        <w:p w:rsidR="000F77D6" w:rsidRDefault="00C023DB">
          <w:r>
            <w:rPr>
              <w:b/>
              <w:bCs/>
              <w:noProof/>
            </w:rPr>
            <w:fldChar w:fldCharType="end"/>
          </w:r>
        </w:p>
      </w:sdtContent>
    </w:sdt>
    <w:p w:rsidR="00F04960" w:rsidRDefault="00C023DB">
      <w:pPr>
        <w:spacing w:line="259" w:lineRule="auto"/>
        <w:jc w:val="left"/>
      </w:pPr>
      <w:r>
        <w:br w:type="page"/>
      </w:r>
    </w:p>
    <w:p w:rsidR="00626CF6" w:rsidRDefault="00C023DB" w:rsidP="00CD39F8">
      <w:pPr>
        <w:pStyle w:val="Heading1"/>
      </w:pPr>
      <w:bookmarkStart w:id="0" w:name="_Toc57918023"/>
      <w:r>
        <w:lastRenderedPageBreak/>
        <w:t>Introduction</w:t>
      </w:r>
      <w:bookmarkEnd w:id="0"/>
    </w:p>
    <w:p w:rsidR="00811F47" w:rsidRPr="00811F47" w:rsidRDefault="00417D18" w:rsidP="00811F47">
      <w:r>
        <w:t>The Company</w:t>
      </w:r>
      <w:r w:rsidR="00C023DB" w:rsidRPr="00811F47">
        <w:t xml:space="preserve"> recently realized that their talent is key to their growth and that any company needs the only strategic resour</w:t>
      </w:r>
      <w:r>
        <w:t>ce. The company</w:t>
      </w:r>
      <w:r w:rsidR="00C023DB" w:rsidRPr="00811F47">
        <w:t xml:space="preserve"> has therefore made the transition to a strategic partner of the company from behind the scenes</w:t>
      </w:r>
      <w:r w:rsidR="007570F5">
        <w:t xml:space="preserve"> by applying proper employee engagement. It</w:t>
      </w:r>
      <w:r w:rsidR="00C023DB" w:rsidRPr="00811F47">
        <w:t xml:space="preserve"> has tried to move from transactional to strategic where the function head has become a key component</w:t>
      </w:r>
      <w:r>
        <w:t xml:space="preserve"> of the executive team now. The</w:t>
      </w:r>
      <w:r w:rsidR="00C023DB" w:rsidRPr="00811F47">
        <w:t xml:space="preserve"> organization is aware of the importance of involving and motivating its workers to perform. But what is less well-known is that employees want to get involved where they feel positive about s</w:t>
      </w:r>
      <w:r w:rsidR="007570F5">
        <w:t>omething bigger than themselves</w:t>
      </w:r>
      <w:r w:rsidR="00C023DB" w:rsidRPr="00811F47">
        <w:t>.</w:t>
      </w:r>
    </w:p>
    <w:p w:rsidR="00F04960" w:rsidRDefault="00C023DB" w:rsidP="00CD39F8">
      <w:pPr>
        <w:pStyle w:val="Heading1"/>
      </w:pPr>
      <w:bookmarkStart w:id="1" w:name="_Toc57918024"/>
      <w:r w:rsidRPr="00F04960">
        <w:t>The concept and drivers of employee engagement</w:t>
      </w:r>
      <w:bookmarkEnd w:id="1"/>
    </w:p>
    <w:p w:rsidR="00CD39F8" w:rsidRDefault="00C023DB">
      <w:r w:rsidRPr="00CD39F8">
        <w:t>Employee participation is a working atmosphere whic</w:t>
      </w:r>
      <w:r w:rsidR="00417D18">
        <w:t>h provides the members of this</w:t>
      </w:r>
      <w:r w:rsidRPr="00CD39F8">
        <w:t xml:space="preserve"> organization with the right incentives, dedicated to the aims and ideals of their organizations every day with an improved sense of wellness and motivates them to contribute to the corporate progress. The dedication of employees is built on trust, competence, commitment on different aspects, and communication among the organization and its members. It increases the probability of company success and leads to corporate and personal efficiency, competitiveness, and well-being. It is measurable. It varies between low and high. It can be nurtured and expanded dramatically; it can be destroyed and discarded</w:t>
      </w:r>
      <w:r w:rsidR="0056558B" w:rsidRPr="0056558B">
        <w:t xml:space="preserve"> (</w:t>
      </w:r>
      <w:proofErr w:type="spellStart"/>
      <w:r w:rsidR="0056558B" w:rsidRPr="0056558B">
        <w:t>Zeyar</w:t>
      </w:r>
      <w:proofErr w:type="spellEnd"/>
      <w:r w:rsidR="0056558B" w:rsidRPr="0056558B">
        <w:t>, 2016)</w:t>
      </w:r>
      <w:r w:rsidRPr="00CD39F8">
        <w:t>.</w:t>
      </w:r>
    </w:p>
    <w:p w:rsidR="00D8013F" w:rsidRDefault="00C023DB" w:rsidP="00D8013F">
      <w:r w:rsidRPr="0046502A">
        <w:rPr>
          <w:b/>
        </w:rPr>
        <w:t>Provid</w:t>
      </w:r>
      <w:r w:rsidR="0046502A" w:rsidRPr="0046502A">
        <w:rPr>
          <w:b/>
        </w:rPr>
        <w:t>ing security and value for work:</w:t>
      </w:r>
      <w:r w:rsidR="0046502A">
        <w:t xml:space="preserve"> </w:t>
      </w:r>
      <w:r w:rsidR="00417D18">
        <w:t>M</w:t>
      </w:r>
      <w:r>
        <w:t>ain factor for employee loyalty is the well-being of workers, which relies on social protection and incentive policies. This driver works in both directions when employees are inspired if they are unaware of safety at work, they work to ensure their status remains permanent, so they engage entirely in their job formation. As the fear of being tossed away would have a detrimental effect on employees' productivity. Jobs uncertainty often raises rivalry between workers to preserve their appointment.</w:t>
      </w:r>
      <w:r w:rsidRPr="00D8013F">
        <w:t xml:space="preserve"> </w:t>
      </w:r>
    </w:p>
    <w:p w:rsidR="00D8013F" w:rsidRDefault="00C023DB" w:rsidP="00D8013F">
      <w:r w:rsidRPr="00D8013F">
        <w:rPr>
          <w:b/>
        </w:rPr>
        <w:t>Self-reliance:</w:t>
      </w:r>
      <w:r>
        <w:t xml:space="preserve"> In encouraging staff to do their best, this driver played an especially important role. The antithesis of micro-management of work control ensures that workers can determine how to do their jobs better. Provided the ability to handle and use the skills they have, staff are far more likely to be involved in the business and its mission</w:t>
      </w:r>
      <w:r w:rsidR="00F91E56" w:rsidRPr="00F91E56">
        <w:t xml:space="preserve"> (Byrne, 2015)</w:t>
      </w:r>
      <w:r>
        <w:t>.</w:t>
      </w:r>
    </w:p>
    <w:p w:rsidR="00CD39F8" w:rsidRDefault="00C023DB" w:rsidP="00D8013F">
      <w:r w:rsidRPr="00D8013F">
        <w:rPr>
          <w:b/>
        </w:rPr>
        <w:t>Skills:</w:t>
      </w:r>
      <w:r>
        <w:t xml:space="preserve"> This often ignored (but incredibly important) driver relates to how relaxed staff is at work. Workers should be able to bring their work physical, analytical and mental energies. To do this it </w:t>
      </w:r>
      <w:r>
        <w:lastRenderedPageBreak/>
        <w:t>is imperative that you access the tools required to do your job efficiently and conveniently — and do it properly.</w:t>
      </w:r>
    </w:p>
    <w:p w:rsidR="00CD39F8" w:rsidRDefault="00C023DB" w:rsidP="00CD39F8">
      <w:r w:rsidRPr="0046502A">
        <w:rPr>
          <w:b/>
        </w:rPr>
        <w:t>Appreciation and co</w:t>
      </w:r>
      <w:r w:rsidR="0046502A" w:rsidRPr="0046502A">
        <w:rPr>
          <w:b/>
        </w:rPr>
        <w:t>mpensation dependent on results:</w:t>
      </w:r>
      <w:r w:rsidR="0046502A">
        <w:t xml:space="preserve"> </w:t>
      </w:r>
      <w:r>
        <w:t xml:space="preserve">For employee involvement in </w:t>
      </w:r>
      <w:r w:rsidR="00417D18">
        <w:t xml:space="preserve">this </w:t>
      </w:r>
      <w:r>
        <w:t>corporate operations and operations, all these drivers have tremendous significance. To meet its targets, the organization should consider certain facets of employee responsibilities. The corporation will aim to reach the productivity threshold with higher wages and benefits as it incentivizes work and tasks, which will improve employee commitment</w:t>
      </w:r>
      <w:r w:rsidR="00F91E56" w:rsidRPr="00F91E56">
        <w:t xml:space="preserve"> </w:t>
      </w:r>
      <w:r w:rsidR="00F91E56">
        <w:t>(O'Brien</w:t>
      </w:r>
      <w:r w:rsidR="00F91E56" w:rsidRPr="00F91E56">
        <w:t>, 2016)</w:t>
      </w:r>
      <w:r>
        <w:t>.</w:t>
      </w:r>
    </w:p>
    <w:p w:rsidR="00D8013F" w:rsidRDefault="00C023DB" w:rsidP="00D8013F">
      <w:r w:rsidRPr="0040545E">
        <w:rPr>
          <w:b/>
        </w:rPr>
        <w:t>Cooperation connections:</w:t>
      </w:r>
      <w:r>
        <w:t xml:space="preserve"> This driver applies to the partnerships between an employee and colleagues. The outcome is good ties of confidence if team members have shared regard for each other. When coworkers cooperate, coworker connections are highly important and can be nurtured by a business atmosphere that is overwhelmingly welcoming.</w:t>
      </w:r>
    </w:p>
    <w:p w:rsidR="0040545E" w:rsidRDefault="00C023DB" w:rsidP="0040545E">
      <w:r w:rsidRPr="0040545E">
        <w:rPr>
          <w:b/>
        </w:rPr>
        <w:t>Equity:</w:t>
      </w:r>
      <w:r>
        <w:t xml:space="preserve"> </w:t>
      </w:r>
      <w:r w:rsidR="00D8013F">
        <w:t xml:space="preserve">It is not just coworker interactions that affect participation. It is also crucial to know how equally workers (and others) feel about their business. The driver represents several significant indicators: how workers feel about the job they are expected to do what they think of their pay and how they assess their managements and colleagues' appreciation. </w:t>
      </w:r>
      <w:proofErr w:type="gramStart"/>
      <w:r w:rsidR="00D8013F">
        <w:t>Members,</w:t>
      </w:r>
      <w:proofErr w:type="gramEnd"/>
      <w:r w:rsidR="00D8013F">
        <w:t xml:space="preserve"> keep in mind: Workers continuously compare their job conditions to others so reasonable expectations are crucial and a transparent mechanism of incentives is required.</w:t>
      </w:r>
      <w:r w:rsidRPr="0040545E">
        <w:t xml:space="preserve"> </w:t>
      </w:r>
    </w:p>
    <w:p w:rsidR="0040545E" w:rsidRDefault="00C023DB" w:rsidP="0040545E">
      <w:r w:rsidRPr="0040545E">
        <w:rPr>
          <w:b/>
        </w:rPr>
        <w:t>Return:</w:t>
      </w:r>
      <w:r>
        <w:t xml:space="preserve"> Adequate and constructive feedback lets workers understand whether their goals are fulfilled or not, when they are most effective and how they can improve. Constructive feedback not only affects dedication but may improve partnerships between employee and boss.</w:t>
      </w:r>
    </w:p>
    <w:p w:rsidR="0040545E" w:rsidRDefault="00C023DB" w:rsidP="0040545E">
      <w:r w:rsidRPr="0040545E">
        <w:rPr>
          <w:b/>
        </w:rPr>
        <w:t>Support for the goal:</w:t>
      </w:r>
      <w:r>
        <w:t xml:space="preserve"> Will workers have the tools to accomplish their objectives? Or do distractions and a lack of help hinder significant milestones from being reached? The assessment of target assistance that assesses when workers are providing the </w:t>
      </w:r>
      <w:proofErr w:type="gramStart"/>
      <w:r>
        <w:t>support</w:t>
      </w:r>
      <w:proofErr w:type="gramEnd"/>
      <w:r>
        <w:t xml:space="preserve"> they need to succeed in their work addresses these and others like themselves.</w:t>
      </w:r>
    </w:p>
    <w:p w:rsidR="0040545E" w:rsidRDefault="00C023DB" w:rsidP="0040545E">
      <w:r w:rsidRPr="0040545E">
        <w:rPr>
          <w:b/>
        </w:rPr>
        <w:t>Availability for leader:</w:t>
      </w:r>
      <w:r>
        <w:t xml:space="preserve"> This conductor assesses the accessibility, exposure, and simple accessibility of its representatives. When workers believe that leadership is not connected or made accessible to employees, they will start to doubt the purpose and decision-making of high-level firms</w:t>
      </w:r>
      <w:r w:rsidR="00444494" w:rsidRPr="00444494">
        <w:t xml:space="preserve"> (</w:t>
      </w:r>
      <w:proofErr w:type="spellStart"/>
      <w:r w:rsidR="00444494" w:rsidRPr="00444494">
        <w:t>Runion</w:t>
      </w:r>
      <w:proofErr w:type="spellEnd"/>
      <w:r w:rsidR="00444494" w:rsidRPr="00444494">
        <w:t>, 2012)</w:t>
      </w:r>
      <w:r>
        <w:t>.</w:t>
      </w:r>
      <w:r w:rsidRPr="0040545E">
        <w:t xml:space="preserve"> </w:t>
      </w:r>
    </w:p>
    <w:p w:rsidR="0040545E" w:rsidRDefault="00C023DB" w:rsidP="0040545E">
      <w:r w:rsidRPr="0040545E">
        <w:rPr>
          <w:b/>
        </w:rPr>
        <w:lastRenderedPageBreak/>
        <w:t>Overview:</w:t>
      </w:r>
      <w:r>
        <w:t xml:space="preserve"> One of the main facets of employee participation is having a value at work. When this driver is at risk, staff think it's worth coming into work. This also means that they have a sense of mission. Most times, it draws importance from things like position, salary, or power.</w:t>
      </w:r>
    </w:p>
    <w:p w:rsidR="00CD39F8" w:rsidRDefault="00C023DB" w:rsidP="00CD39F8">
      <w:r w:rsidRPr="0040545E">
        <w:rPr>
          <w:b/>
        </w:rPr>
        <w:t>Growth of the profession:</w:t>
      </w:r>
      <w:r>
        <w:t xml:space="preserve"> This catalyst relates to the fact that managers and executives who promote employee career development are present with opportunities for advancement. In addition to providing the right tools, it is important to enabling teams to leverage these opportunities.</w:t>
      </w:r>
    </w:p>
    <w:p w:rsidR="00F04960" w:rsidRDefault="00C023DB" w:rsidP="00CD39F8">
      <w:pPr>
        <w:pStyle w:val="Heading1"/>
      </w:pPr>
      <w:bookmarkStart w:id="2" w:name="_Toc57918025"/>
      <w:r w:rsidRPr="00F04960">
        <w:t>Evaluates diagnostic tools to measure the engagement</w:t>
      </w:r>
      <w:bookmarkEnd w:id="2"/>
    </w:p>
    <w:p w:rsidR="009E7F40" w:rsidRDefault="00C023DB" w:rsidP="009E7F40">
      <w:r w:rsidRPr="009E7F40">
        <w:t>The workers' atti</w:t>
      </w:r>
      <w:r w:rsidR="00417D18">
        <w:t>tude and level of dedication can be evaluated in</w:t>
      </w:r>
      <w:r w:rsidRPr="009E7F40">
        <w:t xml:space="preserve"> several methods</w:t>
      </w:r>
      <w:r w:rsidR="00417D18">
        <w:t xml:space="preserve"> by the company</w:t>
      </w:r>
      <w:r w:rsidRPr="009E7F40">
        <w:t>. Any approach to assessing staff commitment can be used as a satisfactory method, satisfaction, and multidimensional method to quantify the efficiency of personnel or employees. The business will assess staff commitment and attitudes to the company through such approaches.</w:t>
      </w:r>
    </w:p>
    <w:p w:rsidR="00B13C5F" w:rsidRDefault="00C023DB" w:rsidP="00B13C5F">
      <w:r w:rsidRPr="007570F5">
        <w:rPr>
          <w:b/>
        </w:rPr>
        <w:t>Pulse Surveys:</w:t>
      </w:r>
      <w:r>
        <w:t xml:space="preserve"> Short, regular examinations are a good way to keep the workplace pulse consistent. This method doesn't have to be difficult. You just want to periodically talk about how people feel at work and what (if any) they will change from 5 to 10. This full guide to employee surveys can help you launch pulse tests. If you're looking for help</w:t>
      </w:r>
      <w:r w:rsidR="00444494" w:rsidRPr="00444494">
        <w:t xml:space="preserve"> (</w:t>
      </w:r>
      <w:proofErr w:type="spellStart"/>
      <w:r w:rsidR="00444494" w:rsidRPr="00444494">
        <w:t>Hedstrom</w:t>
      </w:r>
      <w:proofErr w:type="spellEnd"/>
      <w:r w:rsidR="00444494" w:rsidRPr="00444494">
        <w:t>, 2018)</w:t>
      </w:r>
      <w:r>
        <w:t>.</w:t>
      </w:r>
    </w:p>
    <w:p w:rsidR="00B13C5F" w:rsidRDefault="00C023DB" w:rsidP="00B13C5F">
      <w:r w:rsidRPr="007570F5">
        <w:rPr>
          <w:b/>
        </w:rPr>
        <w:t>1-On-1s:</w:t>
      </w:r>
      <w:r>
        <w:t xml:space="preserve"> Another perfect way to assess dedication is to interact individually with workers. It is an ideal way to get a real understanding of what goes on with and team member that you daily hourly </w:t>
      </w:r>
      <w:r w:rsidR="00417D18">
        <w:t>meetings are arranged, where they</w:t>
      </w:r>
      <w:r>
        <w:t xml:space="preserve"> can have an informal conversation. The benefit of t</w:t>
      </w:r>
      <w:r w:rsidR="00417D18">
        <w:t>his feedback process is that</w:t>
      </w:r>
      <w:r>
        <w:t xml:space="preserve"> can get even more insight on and topic posed because it's a confidential, secure discussion. The trick for managers is to get rid of this anxiety to loosen up.</w:t>
      </w:r>
    </w:p>
    <w:p w:rsidR="00B13C5F" w:rsidRDefault="00C023DB" w:rsidP="00B13C5F">
      <w:r w:rsidRPr="007570F5">
        <w:rPr>
          <w:b/>
        </w:rPr>
        <w:t>Stay/Exit interviews:</w:t>
      </w:r>
      <w:r>
        <w:t xml:space="preserve"> Structured interviews with staff are an effective means of collecting feedback and figuring out what engages and keeps them from being involved. In most companies, departure interviews are very popular, but a better thing to do more frequently are interviews where you ask workers who are happy at work what makes them want to continue. Exit interviews may be fantastic, but the only thing is that you may be too late for that. In your company, preferably, you use both. The intention is to figure out what you may best have done to boost your commitment and the purpose of a stay interview is to understand what you are doing well (and what you could improve on)</w:t>
      </w:r>
      <w:r w:rsidR="00444494" w:rsidRPr="00444494">
        <w:t xml:space="preserve"> (Goad, 2018)</w:t>
      </w:r>
      <w:r>
        <w:t>.</w:t>
      </w:r>
    </w:p>
    <w:p w:rsidR="00B13C5F" w:rsidRDefault="00C023DB" w:rsidP="00B13C5F">
      <w:r w:rsidRPr="00B13C5F">
        <w:rPr>
          <w:noProof/>
          <w:lang w:val="en-GB" w:eastAsia="en-GB"/>
        </w:rPr>
        <w:lastRenderedPageBreak/>
        <w:drawing>
          <wp:anchor distT="0" distB="0" distL="114300" distR="114300" simplePos="0" relativeHeight="251658240" behindDoc="0" locked="0" layoutInCell="1" allowOverlap="1">
            <wp:simplePos x="0" y="0"/>
            <wp:positionH relativeFrom="margin">
              <wp:posOffset>0</wp:posOffset>
            </wp:positionH>
            <wp:positionV relativeFrom="paragraph">
              <wp:posOffset>1552575</wp:posOffset>
            </wp:positionV>
            <wp:extent cx="6055995" cy="1657350"/>
            <wp:effectExtent l="0" t="0" r="1905" b="0"/>
            <wp:wrapTopAndBottom/>
            <wp:docPr id="1" name="Picture 1" descr="net promoter score promoters and detr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19653" name="Picture 1" descr="net promoter score promoters and detractors"/>
                    <pic:cNvPicPr>
                      <a:picLocks noChangeAspect="1" noChangeArrowheads="1"/>
                    </pic:cNvPicPr>
                  </pic:nvPicPr>
                  <pic:blipFill>
                    <a:blip r:embed="rId7">
                      <a:extLst>
                        <a:ext uri="{28A0092B-C50C-407E-A947-70E740481C1C}">
                          <a14:useLocalDpi xmlns:a14="http://schemas.microsoft.com/office/drawing/2010/main" val="0"/>
                        </a:ext>
                      </a:extLst>
                    </a:blip>
                    <a:srcRect t="6542" b="12149"/>
                    <a:stretch>
                      <a:fillRect/>
                    </a:stretch>
                  </pic:blipFill>
                  <pic:spPr bwMode="auto">
                    <a:xfrm>
                      <a:off x="0" y="0"/>
                      <a:ext cx="6055995" cy="16573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roofErr w:type="spellStart"/>
      <w:r w:rsidRPr="007570F5">
        <w:rPr>
          <w:b/>
        </w:rPr>
        <w:t>eNPS</w:t>
      </w:r>
      <w:proofErr w:type="spellEnd"/>
      <w:r w:rsidRPr="007570F5">
        <w:rPr>
          <w:b/>
        </w:rPr>
        <w:t>:</w:t>
      </w:r>
      <w:r>
        <w:t xml:space="preserve"> One of the most reliable and easy ways to evaluate contribution </w:t>
      </w:r>
      <w:r w:rsidR="00417D18">
        <w:t>for the company can be</w:t>
      </w:r>
      <w:r>
        <w:t xml:space="preserve"> by the Net Promoter (</w:t>
      </w:r>
      <w:proofErr w:type="spellStart"/>
      <w:r>
        <w:t>eNPS</w:t>
      </w:r>
      <w:proofErr w:type="spellEnd"/>
      <w:r>
        <w:t>) workforce ranking. It is a simple matter which test</w:t>
      </w:r>
      <w:r w:rsidR="00417D18">
        <w:t>s loyalty. One thing is that the employee</w:t>
      </w:r>
      <w:r w:rsidR="003B47BF">
        <w:t>s</w:t>
      </w:r>
      <w:r>
        <w:t xml:space="preserve"> are </w:t>
      </w:r>
      <w:r w:rsidR="003B47BF">
        <w:t>satisfied at work, but would they</w:t>
      </w:r>
      <w:r>
        <w:t xml:space="preserve"> like to suggest that the organization operates as a good place? Will the products/services you offer be prepared to recommend?</w:t>
      </w:r>
      <w:r w:rsidRPr="00B13C5F">
        <w:t xml:space="preserve"> Those who spoke about how the importance of the net promoter for the workers can be interesting.</w:t>
      </w:r>
    </w:p>
    <w:p w:rsidR="007570F5" w:rsidRDefault="00C023DB" w:rsidP="00B13C5F">
      <w:r>
        <w:t xml:space="preserve">               </w:t>
      </w:r>
      <w:r w:rsidR="0068539D">
        <w:t xml:space="preserve">            </w:t>
      </w:r>
      <w:r>
        <w:t xml:space="preserve"> Figure: Marking process for expressing compa</w:t>
      </w:r>
      <w:r w:rsidR="0068539D">
        <w:t>ny review</w:t>
      </w:r>
      <w:r w:rsidR="00444494" w:rsidRPr="00444494">
        <w:t xml:space="preserve"> (Novak, 2015)</w:t>
      </w:r>
    </w:p>
    <w:p w:rsidR="0068539D" w:rsidRDefault="0068539D" w:rsidP="00B13C5F"/>
    <w:p w:rsidR="00F0267F" w:rsidRDefault="00C023DB" w:rsidP="00F0267F">
      <w:pPr>
        <w:pStyle w:val="Heading1"/>
      </w:pPr>
      <w:bookmarkStart w:id="3" w:name="_Toc57918026"/>
      <w:r>
        <w:t>An employee value proposition</w:t>
      </w:r>
      <w:bookmarkEnd w:id="3"/>
      <w:r>
        <w:t xml:space="preserve"> </w:t>
      </w:r>
    </w:p>
    <w:p w:rsidR="00F0267F" w:rsidRDefault="00C023DB" w:rsidP="00FE7BF8">
      <w:r>
        <w:t>The special package of incentives that the employee enjoys for the knowledge, skills, and expertise he carries into his business is an employee's value proposition (EVP). An EVP describes the company's identity – how distinctive it is and what it stands for. This comprises the key causes, such as inspirational vision or distinguishing society, why people are proud and inspired. Integrated into all facets of a business, a good EVP helps sustain leading performers and draw the best outside talent.</w:t>
      </w:r>
      <w:r w:rsidRPr="00F0267F">
        <w:t xml:space="preserve"> The plans for employee appraisal are business schedules to retain workers and to show their employees their importance to the company. To recruit new employees, good EVS would give the business competitive advantages</w:t>
      </w:r>
      <w:r w:rsidR="00444494" w:rsidRPr="00444494">
        <w:t xml:space="preserve"> (</w:t>
      </w:r>
      <w:proofErr w:type="spellStart"/>
      <w:r w:rsidR="00444494" w:rsidRPr="00444494">
        <w:t>Maylett</w:t>
      </w:r>
      <w:proofErr w:type="spellEnd"/>
      <w:r w:rsidR="00444494" w:rsidRPr="00444494">
        <w:t>, 2017)</w:t>
      </w:r>
      <w:r w:rsidRPr="00F0267F">
        <w:t xml:space="preserve">. To retain the competitive gain of profitable employment business, it can bring value to the employee's profiles and incorporate all benefits in the company's EVP. </w:t>
      </w:r>
      <w:r>
        <w:t xml:space="preserve">And </w:t>
      </w:r>
      <w:r w:rsidRPr="00FE7BF8">
        <w:t>In consideration of the present pandemic and the modern ways of operating in the organization, it is worried that the low degree of participation of workers may influence the viability of firms. The Corporation does not aim to quantify employee involvement in the past.</w:t>
      </w:r>
      <w:r>
        <w:t xml:space="preserve"> But the company is now thinking about this and the steps that the company is following are a way of employee's value proposition. These steps are described below: </w:t>
      </w:r>
    </w:p>
    <w:p w:rsidR="00FE7BF8" w:rsidRDefault="00C023DB" w:rsidP="00FE7BF8">
      <w:r w:rsidRPr="00012AFD">
        <w:rPr>
          <w:b/>
        </w:rPr>
        <w:lastRenderedPageBreak/>
        <w:t>Working from home:</w:t>
      </w:r>
      <w:r>
        <w:t xml:space="preserve"> </w:t>
      </w:r>
      <w:r w:rsidRPr="00FE7BF8">
        <w:t>WFH means that an employee does not work in the office from his workplace, apartment, or home. Many firms have a WFH policy or remote working policies that encourage their workers to operate either at home in full or as flexible as possible. WFH workers often have a better balance of work and life, often more so because they spend no time in the office and can do their work faster in a concentrated environment.</w:t>
      </w:r>
      <w:r>
        <w:t xml:space="preserve"> And this creates </w:t>
      </w:r>
      <w:r w:rsidR="00012AFD">
        <w:t>interest in this company to employees, they are more interested to work in this pandemic, and it increases the EVP</w:t>
      </w:r>
      <w:r w:rsidR="00444494" w:rsidRPr="00444494">
        <w:t xml:space="preserve"> (Powers, 2020)</w:t>
      </w:r>
      <w:r w:rsidR="00012AFD">
        <w:t>.</w:t>
      </w:r>
    </w:p>
    <w:p w:rsidR="00012AFD" w:rsidRDefault="00C023DB" w:rsidP="00FE7BF8">
      <w:r w:rsidRPr="0068539D">
        <w:rPr>
          <w:b/>
        </w:rPr>
        <w:t>Flexible working time:</w:t>
      </w:r>
      <w:r>
        <w:t xml:space="preserve"> </w:t>
      </w:r>
      <w:r w:rsidRPr="00012AFD">
        <w:t xml:space="preserve">Flexible hours also called </w:t>
      </w:r>
      <w:proofErr w:type="gramStart"/>
      <w:r w:rsidRPr="00012AFD">
        <w:t>versatility</w:t>
      </w:r>
      <w:proofErr w:type="gramEnd"/>
      <w:r w:rsidRPr="00012AFD">
        <w:t xml:space="preserve"> or a flexible job day mean that the workday begins and finishes differently than normal 9 a.m. At five p.m. In essence, the versatility of working hours encourages workers to start their jobs earlier than the initial timetable or </w:t>
      </w:r>
      <w:r w:rsidR="000F77D6" w:rsidRPr="00012AFD">
        <w:t>later.</w:t>
      </w:r>
      <w:r w:rsidR="000F77D6">
        <w:t xml:space="preserve"> And this is helpful for the employee, in this pandemic. </w:t>
      </w:r>
    </w:p>
    <w:p w:rsidR="00B07A80" w:rsidRDefault="00C023DB" w:rsidP="00FE7BF8">
      <w:r w:rsidRPr="0068539D">
        <w:rPr>
          <w:b/>
        </w:rPr>
        <w:t>Job design/restructuring roles:</w:t>
      </w:r>
      <w:r w:rsidRPr="00B07A80">
        <w:t xml:space="preserve"> Jobs are restructured as the essence and role of your job is modified by your boss. This can entail lateral consolidation, which ensures that the existing work specifications are updated to include certain new activities carried out at the same level as other jobs.</w:t>
      </w:r>
      <w:r w:rsidR="000F77D6">
        <w:t xml:space="preserve"> This helps the employee not to get bored, to find interest in their work</w:t>
      </w:r>
      <w:r w:rsidR="00444494" w:rsidRPr="00444494">
        <w:t xml:space="preserve"> (Harris, 2017)</w:t>
      </w:r>
      <w:r w:rsidR="000F77D6">
        <w:t>.</w:t>
      </w:r>
    </w:p>
    <w:p w:rsidR="00C65D81" w:rsidRDefault="00C023DB" w:rsidP="00FE7BF8">
      <w:r w:rsidRPr="000F77D6">
        <w:rPr>
          <w:b/>
        </w:rPr>
        <w:t>Making the workplace “Covid-19 safe”:</w:t>
      </w:r>
      <w:r>
        <w:t xml:space="preserve"> </w:t>
      </w:r>
      <w:r w:rsidRPr="00C65D81">
        <w:t>We saw a huge increase in the number of employees working from home as a result of this pandemic.</w:t>
      </w:r>
      <w:r w:rsidR="000F77D6">
        <w:t xml:space="preserve"> </w:t>
      </w:r>
      <w:proofErr w:type="gramStart"/>
      <w:r w:rsidR="000F77D6">
        <w:t>But,</w:t>
      </w:r>
      <w:proofErr w:type="gramEnd"/>
      <w:r w:rsidR="000F77D6">
        <w:t xml:space="preserve"> some workers need to work in the office too, the company is ensuring the proper workplace for these employees. So, they are not afraid of going to the office in this pandemic. </w:t>
      </w:r>
    </w:p>
    <w:p w:rsidR="00B07A80" w:rsidRDefault="00C023DB" w:rsidP="00B07A80">
      <w:pPr>
        <w:pStyle w:val="Heading1"/>
      </w:pPr>
      <w:bookmarkStart w:id="4" w:name="_Toc57918027"/>
      <w:r>
        <w:t xml:space="preserve">Strategies to raise levels of </w:t>
      </w:r>
      <w:r w:rsidR="00C65D81">
        <w:t xml:space="preserve">employee </w:t>
      </w:r>
      <w:r>
        <w:t>engagement</w:t>
      </w:r>
      <w:bookmarkEnd w:id="4"/>
    </w:p>
    <w:p w:rsidR="00B07A80" w:rsidRDefault="00C023DB" w:rsidP="00C65D81">
      <w:r>
        <w:t>Contact consciously and periodically</w:t>
      </w:r>
      <w:r w:rsidR="00583F1B">
        <w:t xml:space="preserve">: </w:t>
      </w:r>
      <w:r>
        <w:t>As organizations grow, the links that bind colleagues can loosen and weaken and departments work alone before it becomes too late, and employees become separated from their employees. Without a dedicated internal communication team, HR likely takes over corporate communications (possibly with help from your marketing team). You will have to make your communication more aware of managers who work remotely or manage remote teams; encourage them to use their selected digital tool fully (for example, whether Slack, Microsoft Teams, or Facebook's workplace); and schedule periodic checks with their direct reportage and management colleagues.</w:t>
      </w:r>
    </w:p>
    <w:p w:rsidR="00583F1B" w:rsidRDefault="00C023DB" w:rsidP="00583F1B">
      <w:r w:rsidRPr="000F77D6">
        <w:rPr>
          <w:b/>
        </w:rPr>
        <w:lastRenderedPageBreak/>
        <w:t>Call for reviews – and do so</w:t>
      </w:r>
      <w:r w:rsidR="000F77D6" w:rsidRPr="000F77D6">
        <w:rPr>
          <w:b/>
        </w:rPr>
        <w:t>:</w:t>
      </w:r>
      <w:r w:rsidR="000F77D6">
        <w:t xml:space="preserve"> </w:t>
      </w:r>
      <w:r>
        <w:t>The voice of workers is one of E4S's four 'enablers' of commitment; senior management and managers search for feedback, listen to and take action. Technology allows workers to constantly gather and look for input from customers – for example by voluntary online polls - but it does not affect if representatives do not support and respond to their views. This could entail a step-by-stepping transition in your culture that your company is not ready for, so think carefully about what systematic feedback processes you should build, when, and why</w:t>
      </w:r>
      <w:r w:rsidR="00444494" w:rsidRPr="00444494">
        <w:t xml:space="preserve"> </w:t>
      </w:r>
      <w:r w:rsidR="00111D92">
        <w:t>(</w:t>
      </w:r>
      <w:proofErr w:type="spellStart"/>
      <w:r w:rsidR="00111D92">
        <w:t>Maegaard</w:t>
      </w:r>
      <w:proofErr w:type="spellEnd"/>
      <w:r w:rsidR="00444494" w:rsidRPr="00444494">
        <w:t>, 2019)</w:t>
      </w:r>
      <w:r>
        <w:t>.</w:t>
      </w:r>
    </w:p>
    <w:p w:rsidR="00583F1B" w:rsidRDefault="00C023DB" w:rsidP="00583F1B">
      <w:r w:rsidRPr="000F77D6">
        <w:rPr>
          <w:b/>
        </w:rPr>
        <w:t>Specify and share</w:t>
      </w:r>
      <w:r w:rsidR="000F77D6" w:rsidRPr="000F77D6">
        <w:rPr>
          <w:b/>
        </w:rPr>
        <w:t xml:space="preserve"> the intent of the organization:</w:t>
      </w:r>
      <w:r w:rsidR="000F77D6">
        <w:t xml:space="preserve"> </w:t>
      </w:r>
      <w:r>
        <w:t>When the aim and goal of a company are established not only explicitly, but lived," by its senior management, staff can buy more deeply into their mission and more fully appreciate how tasks and activities are matched with their ultimate priorities. Next, ask the senior leaders to make strides in this area: does the enterprise still justify its defined objective, or does the company continue? How will this transition be necessary? How do people add their thoughts and feelings to the company? Then question your own human resources practices and behavior.</w:t>
      </w:r>
    </w:p>
    <w:p w:rsidR="00583F1B" w:rsidRDefault="00C023DB" w:rsidP="00583F1B">
      <w:r w:rsidRPr="000F77D6">
        <w:rPr>
          <w:b/>
        </w:rPr>
        <w:t>Empower the employees:</w:t>
      </w:r>
      <w:r>
        <w:t xml:space="preserve"> In crisis conditions, it is understandable that certain executives use micro-management, or team members are unwilling or incompetent to respond to pressing timescales. However, where micromanagement is a norm, employee participation is threatened. The passion and imagination of the staff are continually </w:t>
      </w:r>
      <w:proofErr w:type="gramStart"/>
      <w:r>
        <w:t>corrected</w:t>
      </w:r>
      <w:proofErr w:type="gramEnd"/>
      <w:r>
        <w:t xml:space="preserve"> and negative criticism is minimized. Managers that serve as roadblocks to action can stifle workflows. Both retention and recruiting will inevitably be impacted.  The alternative is that your people would be motivated, encouraged, and confident to operate independently and rely on you for guidance. Talk to the boss in question as an HR professional if you see micromanagement at work. Help them understand their organizational styles and build an action plan to trust their staff and assign more authority</w:t>
      </w:r>
      <w:r w:rsidR="00111D92" w:rsidRPr="00111D92">
        <w:t xml:space="preserve"> (Lauritsen, 2020)</w:t>
      </w:r>
      <w:r>
        <w:t>.</w:t>
      </w:r>
    </w:p>
    <w:p w:rsidR="00583F1B" w:rsidRPr="00B07A80" w:rsidRDefault="00C023DB" w:rsidP="00583F1B">
      <w:r w:rsidRPr="000F77D6">
        <w:rPr>
          <w:b/>
        </w:rPr>
        <w:t>Recognize</w:t>
      </w:r>
      <w:r w:rsidR="000F77D6" w:rsidRPr="000F77D6">
        <w:rPr>
          <w:b/>
        </w:rPr>
        <w:t xml:space="preserve"> good work:</w:t>
      </w:r>
      <w:r w:rsidR="000F77D6">
        <w:t xml:space="preserve"> </w:t>
      </w:r>
      <w:r>
        <w:t>Does your organization regularly, publicly, and willingly recognize and reward its people? Even if a few of your leaders and managers thank their staff for their efforts, there’s always more to be done – at all levels of an organization. Putting in place digital channels through which staff can thank each other for going the extra mile – Totem is a great example – or introducing an incentive-based scheme or awards program are great ways of cultivating a culture of public thanks and recognition.</w:t>
      </w:r>
    </w:p>
    <w:p w:rsidR="0046502A" w:rsidRDefault="00C023DB" w:rsidP="0046502A">
      <w:pPr>
        <w:pStyle w:val="Heading1"/>
      </w:pPr>
      <w:bookmarkStart w:id="5" w:name="_Toc57918028"/>
      <w:r>
        <w:lastRenderedPageBreak/>
        <w:t>Conclusion</w:t>
      </w:r>
      <w:bookmarkEnd w:id="5"/>
    </w:p>
    <w:p w:rsidR="000F77D6" w:rsidRDefault="00C023DB" w:rsidP="0046502A">
      <w:r>
        <w:t xml:space="preserve">All and all an organization </w:t>
      </w:r>
      <w:proofErr w:type="gramStart"/>
      <w:r>
        <w:t>aims</w:t>
      </w:r>
      <w:proofErr w:type="gramEnd"/>
      <w:r>
        <w:t xml:space="preserve"> to win the best in the industry and talent by getting a competitive edge over its competition. A strong proposition on employee valuation also improves morale as new hires also own the company, as they are owned by the company. The managers must then keep an eye on the plan for the benefit of workers to hire new high energy employees. This involves the concepts and drivers of employee engagement. And to calculate their performance the company needs to include the </w:t>
      </w:r>
      <w:r w:rsidRPr="000F77D6">
        <w:t>diagnostic tools to measure engagement</w:t>
      </w:r>
      <w:r>
        <w:t>. These all are the steps and needs for a perfect and strong employee value proposition for the company.</w:t>
      </w:r>
    </w:p>
    <w:p w:rsidR="000F77D6" w:rsidRDefault="00C023DB">
      <w:pPr>
        <w:spacing w:line="259" w:lineRule="auto"/>
        <w:jc w:val="left"/>
      </w:pPr>
      <w:r>
        <w:br w:type="page"/>
      </w:r>
    </w:p>
    <w:p w:rsidR="0046502A" w:rsidRDefault="00C023DB" w:rsidP="000F77D6">
      <w:pPr>
        <w:pStyle w:val="Heading1"/>
      </w:pPr>
      <w:bookmarkStart w:id="6" w:name="_Toc57918029"/>
      <w:r>
        <w:lastRenderedPageBreak/>
        <w:t>Reference</w:t>
      </w:r>
      <w:bookmarkEnd w:id="6"/>
    </w:p>
    <w:p w:rsidR="00111D92" w:rsidRPr="00444494" w:rsidRDefault="00C023DB" w:rsidP="00111D92">
      <w:r w:rsidRPr="00444494">
        <w:t>Byrne, Z., 2015. </w:t>
      </w:r>
      <w:r w:rsidRPr="00444494">
        <w:rPr>
          <w:i/>
          <w:iCs/>
        </w:rPr>
        <w:t>Understanding Employee Engagement</w:t>
      </w:r>
      <w:r w:rsidRPr="00444494">
        <w:t>. New York: Routledge.</w:t>
      </w:r>
    </w:p>
    <w:p w:rsidR="00111D92" w:rsidRPr="00444494" w:rsidRDefault="00C023DB" w:rsidP="00111D92">
      <w:r w:rsidRPr="00444494">
        <w:t>Goad, M., 2018. </w:t>
      </w:r>
      <w:r w:rsidRPr="00444494">
        <w:rPr>
          <w:i/>
          <w:iCs/>
        </w:rPr>
        <w:t xml:space="preserve">Improving </w:t>
      </w:r>
      <w:proofErr w:type="gramStart"/>
      <w:r w:rsidRPr="00444494">
        <w:rPr>
          <w:i/>
          <w:iCs/>
        </w:rPr>
        <w:t>The</w:t>
      </w:r>
      <w:proofErr w:type="gramEnd"/>
      <w:r w:rsidRPr="00444494">
        <w:rPr>
          <w:i/>
          <w:iCs/>
        </w:rPr>
        <w:t xml:space="preserve"> Problem Of Teacher Retention In A Rural Middle School In Southwestern Virginia</w:t>
      </w:r>
      <w:r w:rsidRPr="00444494">
        <w:t>.</w:t>
      </w:r>
    </w:p>
    <w:p w:rsidR="00111D92" w:rsidRPr="00444494" w:rsidRDefault="00C023DB" w:rsidP="00111D92">
      <w:r w:rsidRPr="00444494">
        <w:t>Harris, D., 2017. </w:t>
      </w:r>
      <w:r w:rsidRPr="00444494">
        <w:rPr>
          <w:i/>
          <w:iCs/>
        </w:rPr>
        <w:t xml:space="preserve">Engineering Psychology </w:t>
      </w:r>
      <w:proofErr w:type="gramStart"/>
      <w:r w:rsidRPr="00444494">
        <w:rPr>
          <w:i/>
          <w:iCs/>
        </w:rPr>
        <w:t>And</w:t>
      </w:r>
      <w:proofErr w:type="gramEnd"/>
      <w:r w:rsidRPr="00444494">
        <w:rPr>
          <w:i/>
          <w:iCs/>
        </w:rPr>
        <w:t xml:space="preserve"> Cognitive Ergonomics</w:t>
      </w:r>
      <w:r w:rsidRPr="00444494">
        <w:t>.</w:t>
      </w:r>
    </w:p>
    <w:p w:rsidR="00111D92" w:rsidRPr="00444494" w:rsidRDefault="00C023DB" w:rsidP="00111D92">
      <w:proofErr w:type="spellStart"/>
      <w:r w:rsidRPr="00444494">
        <w:t>Hedstrom</w:t>
      </w:r>
      <w:proofErr w:type="spellEnd"/>
      <w:r w:rsidRPr="00444494">
        <w:t>, G., 2018. </w:t>
      </w:r>
      <w:r w:rsidRPr="00444494">
        <w:rPr>
          <w:i/>
          <w:iCs/>
        </w:rPr>
        <w:t>Sustainability</w:t>
      </w:r>
      <w:r w:rsidRPr="00444494">
        <w:t>. Boston: DEG Press.</w:t>
      </w:r>
    </w:p>
    <w:p w:rsidR="00111D92" w:rsidRPr="00111D92" w:rsidRDefault="00C023DB" w:rsidP="00111D92">
      <w:r w:rsidRPr="00111D92">
        <w:t>Lauritsen, J., 2020. </w:t>
      </w:r>
      <w:r w:rsidRPr="00111D92">
        <w:rPr>
          <w:i/>
          <w:iCs/>
        </w:rPr>
        <w:t>Unlocking High Performance</w:t>
      </w:r>
      <w:r w:rsidRPr="00111D92">
        <w:t>.</w:t>
      </w:r>
    </w:p>
    <w:p w:rsidR="00111D92" w:rsidRPr="00111D92" w:rsidRDefault="00C023DB" w:rsidP="00111D92">
      <w:proofErr w:type="spellStart"/>
      <w:r w:rsidRPr="00111D92">
        <w:t>Maegaard</w:t>
      </w:r>
      <w:proofErr w:type="spellEnd"/>
      <w:r w:rsidRPr="00111D92">
        <w:t xml:space="preserve">, P., </w:t>
      </w:r>
      <w:proofErr w:type="spellStart"/>
      <w:r w:rsidRPr="00111D92">
        <w:t>Krenz</w:t>
      </w:r>
      <w:proofErr w:type="spellEnd"/>
      <w:r w:rsidRPr="00111D92">
        <w:t xml:space="preserve">, A., and </w:t>
      </w:r>
      <w:proofErr w:type="spellStart"/>
      <w:r w:rsidRPr="00111D92">
        <w:t>Palz</w:t>
      </w:r>
      <w:proofErr w:type="spellEnd"/>
      <w:r w:rsidRPr="00111D92">
        <w:t>, W., 2019. </w:t>
      </w:r>
      <w:r w:rsidRPr="00111D92">
        <w:rPr>
          <w:i/>
          <w:iCs/>
        </w:rPr>
        <w:t xml:space="preserve">Wind Power </w:t>
      </w:r>
      <w:proofErr w:type="gramStart"/>
      <w:r w:rsidRPr="00111D92">
        <w:rPr>
          <w:i/>
          <w:iCs/>
        </w:rPr>
        <w:t>For</w:t>
      </w:r>
      <w:proofErr w:type="gramEnd"/>
      <w:r w:rsidRPr="00111D92">
        <w:rPr>
          <w:i/>
          <w:iCs/>
        </w:rPr>
        <w:t xml:space="preserve"> The World</w:t>
      </w:r>
      <w:r w:rsidRPr="00111D92">
        <w:t>.</w:t>
      </w:r>
    </w:p>
    <w:p w:rsidR="00111D92" w:rsidRPr="00444494" w:rsidRDefault="00C023DB" w:rsidP="00111D92">
      <w:proofErr w:type="spellStart"/>
      <w:r w:rsidRPr="00444494">
        <w:t>Maylett</w:t>
      </w:r>
      <w:proofErr w:type="spellEnd"/>
      <w:r w:rsidRPr="00444494">
        <w:t xml:space="preserve">, T., and Patterson, K., 2017. </w:t>
      </w:r>
      <w:r w:rsidRPr="00444494">
        <w:rPr>
          <w:i/>
          <w:iCs/>
        </w:rPr>
        <w:t xml:space="preserve">Bridging </w:t>
      </w:r>
      <w:proofErr w:type="gramStart"/>
      <w:r w:rsidRPr="00444494">
        <w:rPr>
          <w:i/>
          <w:iCs/>
        </w:rPr>
        <w:t>The</w:t>
      </w:r>
      <w:proofErr w:type="gramEnd"/>
      <w:r w:rsidRPr="00444494">
        <w:rPr>
          <w:i/>
          <w:iCs/>
        </w:rPr>
        <w:t xml:space="preserve"> Expectation Gap</w:t>
      </w:r>
      <w:r w:rsidRPr="00444494">
        <w:t>. Somerset: John Wiley &amp; Sons, Incorporated.</w:t>
      </w:r>
    </w:p>
    <w:p w:rsidR="00111D92" w:rsidRPr="00444494" w:rsidRDefault="00C023DB" w:rsidP="00111D92">
      <w:r w:rsidRPr="00444494">
        <w:t xml:space="preserve">Novak, S., </w:t>
      </w:r>
      <w:proofErr w:type="spellStart"/>
      <w:r w:rsidRPr="00444494">
        <w:t>Drobne</w:t>
      </w:r>
      <w:proofErr w:type="spellEnd"/>
      <w:r w:rsidRPr="00444494">
        <w:t xml:space="preserve">, D., and </w:t>
      </w:r>
      <w:proofErr w:type="spellStart"/>
      <w:r w:rsidRPr="00444494">
        <w:t>Jemec</w:t>
      </w:r>
      <w:proofErr w:type="spellEnd"/>
      <w:r w:rsidRPr="00444494">
        <w:t xml:space="preserve"> </w:t>
      </w:r>
      <w:proofErr w:type="spellStart"/>
      <w:r w:rsidRPr="00444494">
        <w:t>Kokalj</w:t>
      </w:r>
      <w:proofErr w:type="spellEnd"/>
      <w:r w:rsidRPr="00444494">
        <w:t>, A., 2015. </w:t>
      </w:r>
      <w:r w:rsidRPr="00444494">
        <w:rPr>
          <w:i/>
          <w:iCs/>
        </w:rPr>
        <w:t xml:space="preserve">In Vivo Screening System </w:t>
      </w:r>
      <w:proofErr w:type="gramStart"/>
      <w:r w:rsidRPr="00444494">
        <w:rPr>
          <w:i/>
          <w:iCs/>
        </w:rPr>
        <w:t>For</w:t>
      </w:r>
      <w:proofErr w:type="gramEnd"/>
      <w:r w:rsidRPr="00444494">
        <w:rPr>
          <w:i/>
          <w:iCs/>
        </w:rPr>
        <w:t xml:space="preserve"> Environmental Effects Of </w:t>
      </w:r>
      <w:proofErr w:type="spellStart"/>
      <w:r w:rsidRPr="00444494">
        <w:rPr>
          <w:i/>
          <w:iCs/>
        </w:rPr>
        <w:t>Enps</w:t>
      </w:r>
      <w:proofErr w:type="spellEnd"/>
      <w:r w:rsidRPr="00444494">
        <w:t xml:space="preserve">. [S. l.]: </w:t>
      </w:r>
      <w:proofErr w:type="spellStart"/>
      <w:r w:rsidRPr="00444494">
        <w:t>NanoValid</w:t>
      </w:r>
      <w:proofErr w:type="spellEnd"/>
      <w:r w:rsidRPr="00444494">
        <w:t xml:space="preserve"> Consortium.</w:t>
      </w:r>
    </w:p>
    <w:p w:rsidR="00111D92" w:rsidRPr="00444494" w:rsidRDefault="00C023DB" w:rsidP="00111D92">
      <w:r w:rsidRPr="00444494">
        <w:t>O'Brien, J., and Olshan, R., 2016. </w:t>
      </w:r>
      <w:r w:rsidRPr="00444494">
        <w:rPr>
          <w:i/>
          <w:iCs/>
        </w:rPr>
        <w:t xml:space="preserve">Hot Issues </w:t>
      </w:r>
      <w:proofErr w:type="gramStart"/>
      <w:r w:rsidRPr="00444494">
        <w:rPr>
          <w:i/>
          <w:iCs/>
        </w:rPr>
        <w:t>In</w:t>
      </w:r>
      <w:proofErr w:type="gramEnd"/>
      <w:r w:rsidRPr="00444494">
        <w:rPr>
          <w:i/>
          <w:iCs/>
        </w:rPr>
        <w:t xml:space="preserve"> Executive Compensation, 2016</w:t>
      </w:r>
      <w:r w:rsidRPr="00444494">
        <w:t>.</w:t>
      </w:r>
    </w:p>
    <w:p w:rsidR="00111D92" w:rsidRPr="00444494" w:rsidRDefault="00C023DB" w:rsidP="00111D92">
      <w:r w:rsidRPr="00444494">
        <w:t>Powers, T., 2020. </w:t>
      </w:r>
      <w:r w:rsidRPr="00444494">
        <w:rPr>
          <w:i/>
          <w:iCs/>
        </w:rPr>
        <w:t xml:space="preserve">Working </w:t>
      </w:r>
      <w:proofErr w:type="gramStart"/>
      <w:r w:rsidRPr="00444494">
        <w:rPr>
          <w:i/>
          <w:iCs/>
        </w:rPr>
        <w:t>From</w:t>
      </w:r>
      <w:proofErr w:type="gramEnd"/>
      <w:r w:rsidRPr="00444494">
        <w:rPr>
          <w:i/>
          <w:iCs/>
        </w:rPr>
        <w:t xml:space="preserve"> Home For Dummies</w:t>
      </w:r>
      <w:r w:rsidRPr="00444494">
        <w:t>. Newark: John Wiley &amp; Sons, Incorporated.</w:t>
      </w:r>
    </w:p>
    <w:p w:rsidR="00111D92" w:rsidRPr="00444494" w:rsidRDefault="00C023DB" w:rsidP="00111D92">
      <w:proofErr w:type="spellStart"/>
      <w:r w:rsidRPr="00444494">
        <w:t>Runion</w:t>
      </w:r>
      <w:proofErr w:type="spellEnd"/>
      <w:r w:rsidRPr="00444494">
        <w:t xml:space="preserve">, M., and McDermott, L., 2012. </w:t>
      </w:r>
      <w:r w:rsidRPr="00444494">
        <w:rPr>
          <w:i/>
          <w:iCs/>
        </w:rPr>
        <w:t xml:space="preserve">Perfect Phrases </w:t>
      </w:r>
      <w:proofErr w:type="gramStart"/>
      <w:r w:rsidRPr="00444494">
        <w:rPr>
          <w:i/>
          <w:iCs/>
        </w:rPr>
        <w:t>For</w:t>
      </w:r>
      <w:proofErr w:type="gramEnd"/>
      <w:r w:rsidRPr="00444494">
        <w:rPr>
          <w:i/>
          <w:iCs/>
        </w:rPr>
        <w:t xml:space="preserve"> Virtual Teamwork</w:t>
      </w:r>
      <w:r w:rsidRPr="00444494">
        <w:t>. New York: McGraw-Hill.</w:t>
      </w:r>
    </w:p>
    <w:p w:rsidR="00111D92" w:rsidRPr="00444494" w:rsidRDefault="00C023DB" w:rsidP="00111D92">
      <w:proofErr w:type="spellStart"/>
      <w:r w:rsidRPr="00444494">
        <w:t>Zeyar</w:t>
      </w:r>
      <w:proofErr w:type="spellEnd"/>
      <w:r w:rsidRPr="00444494">
        <w:t xml:space="preserve"> </w:t>
      </w:r>
      <w:proofErr w:type="spellStart"/>
      <w:r w:rsidRPr="00444494">
        <w:t>Myo</w:t>
      </w:r>
      <w:proofErr w:type="spellEnd"/>
      <w:r w:rsidRPr="00444494">
        <w:t xml:space="preserve"> Aung and </w:t>
      </w:r>
      <w:proofErr w:type="spellStart"/>
      <w:r w:rsidRPr="00444494">
        <w:t>Ordóñez</w:t>
      </w:r>
      <w:proofErr w:type="spellEnd"/>
      <w:r w:rsidRPr="00444494">
        <w:t xml:space="preserve"> de </w:t>
      </w:r>
      <w:proofErr w:type="spellStart"/>
      <w:r w:rsidRPr="00444494">
        <w:t>Pablos</w:t>
      </w:r>
      <w:proofErr w:type="spellEnd"/>
      <w:r w:rsidRPr="00444494">
        <w:t>, P., 2016. </w:t>
      </w:r>
      <w:r w:rsidRPr="00444494">
        <w:rPr>
          <w:i/>
          <w:iCs/>
        </w:rPr>
        <w:t xml:space="preserve">Managerial Strategies </w:t>
      </w:r>
      <w:proofErr w:type="gramStart"/>
      <w:r w:rsidRPr="00444494">
        <w:rPr>
          <w:i/>
          <w:iCs/>
        </w:rPr>
        <w:t>And</w:t>
      </w:r>
      <w:proofErr w:type="gramEnd"/>
      <w:r w:rsidRPr="00444494">
        <w:rPr>
          <w:i/>
          <w:iCs/>
        </w:rPr>
        <w:t xml:space="preserve"> Practice In The Asian Business Sector</w:t>
      </w:r>
      <w:r w:rsidRPr="00444494">
        <w:t>. Hershey, PA: Business Science Reference.</w:t>
      </w:r>
    </w:p>
    <w:p w:rsidR="000F77D6" w:rsidRPr="00F0267F" w:rsidRDefault="000F77D6" w:rsidP="0046502A"/>
    <w:sectPr w:rsidR="000F77D6" w:rsidRPr="00F0267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907CA" w:rsidRDefault="00D907CA" w:rsidP="00721787">
      <w:pPr>
        <w:spacing w:after="0" w:line="240" w:lineRule="auto"/>
      </w:pPr>
      <w:r>
        <w:separator/>
      </w:r>
    </w:p>
  </w:endnote>
  <w:endnote w:type="continuationSeparator" w:id="0">
    <w:p w:rsidR="00D907CA" w:rsidRDefault="00D907CA" w:rsidP="00721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600447"/>
      <w:docPartObj>
        <w:docPartGallery w:val="Page Numbers (Bottom of Page)"/>
        <w:docPartUnique/>
      </w:docPartObj>
    </w:sdtPr>
    <w:sdtEndPr>
      <w:rPr>
        <w:noProof/>
      </w:rPr>
    </w:sdtEndPr>
    <w:sdtContent>
      <w:p w:rsidR="00721787" w:rsidRDefault="00721787">
        <w:pPr>
          <w:pStyle w:val="Footer"/>
          <w:jc w:val="right"/>
        </w:pPr>
        <w:r>
          <w:fldChar w:fldCharType="begin"/>
        </w:r>
        <w:r>
          <w:instrText xml:space="preserve"> PAGE   \* MERGEFORMAT </w:instrText>
        </w:r>
        <w:r>
          <w:fldChar w:fldCharType="separate"/>
        </w:r>
        <w:r w:rsidR="00BB10F3">
          <w:rPr>
            <w:noProof/>
          </w:rPr>
          <w:t>1</w:t>
        </w:r>
        <w:r>
          <w:rPr>
            <w:noProof/>
          </w:rPr>
          <w:fldChar w:fldCharType="end"/>
        </w:r>
      </w:p>
    </w:sdtContent>
  </w:sdt>
  <w:p w:rsidR="00721787" w:rsidRDefault="00721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907CA" w:rsidRDefault="00D907CA" w:rsidP="00721787">
      <w:pPr>
        <w:spacing w:after="0" w:line="240" w:lineRule="auto"/>
      </w:pPr>
      <w:r>
        <w:separator/>
      </w:r>
    </w:p>
  </w:footnote>
  <w:footnote w:type="continuationSeparator" w:id="0">
    <w:p w:rsidR="00D907CA" w:rsidRDefault="00D907CA" w:rsidP="007217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1NzQ0MTMxNzI3NTZV0lEKTi0uzszPAykwrAUAUfiNcCwAAAA="/>
  </w:docVars>
  <w:rsids>
    <w:rsidRoot w:val="00F04960"/>
    <w:rsid w:val="00012AFD"/>
    <w:rsid w:val="000B2884"/>
    <w:rsid w:val="000F77D6"/>
    <w:rsid w:val="00111D92"/>
    <w:rsid w:val="003B47BF"/>
    <w:rsid w:val="003B4963"/>
    <w:rsid w:val="0040545E"/>
    <w:rsid w:val="00417D18"/>
    <w:rsid w:val="00444494"/>
    <w:rsid w:val="0046502A"/>
    <w:rsid w:val="00522CAD"/>
    <w:rsid w:val="0056558B"/>
    <w:rsid w:val="00583F1B"/>
    <w:rsid w:val="00626CF6"/>
    <w:rsid w:val="0068539D"/>
    <w:rsid w:val="00721787"/>
    <w:rsid w:val="007570F5"/>
    <w:rsid w:val="007A423B"/>
    <w:rsid w:val="00811F47"/>
    <w:rsid w:val="009E7F40"/>
    <w:rsid w:val="00B07A80"/>
    <w:rsid w:val="00B13C5F"/>
    <w:rsid w:val="00BB10F3"/>
    <w:rsid w:val="00C023DB"/>
    <w:rsid w:val="00C65D81"/>
    <w:rsid w:val="00C97763"/>
    <w:rsid w:val="00CD39F8"/>
    <w:rsid w:val="00D73B48"/>
    <w:rsid w:val="00D8013F"/>
    <w:rsid w:val="00D907CA"/>
    <w:rsid w:val="00F0267F"/>
    <w:rsid w:val="00F04960"/>
    <w:rsid w:val="00F91E56"/>
    <w:rsid w:val="00FE7B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4EC46"/>
  <w15:chartTrackingRefBased/>
  <w15:docId w15:val="{880BFE7D-7BF9-4AFA-AF2A-0102EF747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23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A423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7A423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23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7A423B"/>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0F77D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F77D6"/>
    <w:pPr>
      <w:spacing w:after="100"/>
    </w:pPr>
  </w:style>
  <w:style w:type="character" w:styleId="Hyperlink">
    <w:name w:val="Hyperlink"/>
    <w:basedOn w:val="DefaultParagraphFont"/>
    <w:uiPriority w:val="99"/>
    <w:unhideWhenUsed/>
    <w:rsid w:val="000F77D6"/>
    <w:rPr>
      <w:color w:val="0563C1" w:themeColor="hyperlink"/>
      <w:u w:val="single"/>
    </w:rPr>
  </w:style>
  <w:style w:type="paragraph" w:styleId="Header">
    <w:name w:val="header"/>
    <w:basedOn w:val="Normal"/>
    <w:link w:val="HeaderChar"/>
    <w:uiPriority w:val="99"/>
    <w:unhideWhenUsed/>
    <w:rsid w:val="007217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1787"/>
    <w:rPr>
      <w:rFonts w:ascii="Times New Roman" w:hAnsi="Times New Roman"/>
      <w:sz w:val="24"/>
    </w:rPr>
  </w:style>
  <w:style w:type="paragraph" w:styleId="Footer">
    <w:name w:val="footer"/>
    <w:basedOn w:val="Normal"/>
    <w:link w:val="FooterChar"/>
    <w:uiPriority w:val="99"/>
    <w:unhideWhenUsed/>
    <w:rsid w:val="00721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1787"/>
    <w:rPr>
      <w:rFonts w:ascii="Times New Roman" w:hAnsi="Times New Roman"/>
      <w:sz w:val="24"/>
    </w:rPr>
  </w:style>
  <w:style w:type="character" w:styleId="CommentReference">
    <w:name w:val="annotation reference"/>
    <w:basedOn w:val="DefaultParagraphFont"/>
    <w:uiPriority w:val="99"/>
    <w:semiHidden/>
    <w:unhideWhenUsed/>
    <w:rsid w:val="00417D18"/>
    <w:rPr>
      <w:sz w:val="16"/>
      <w:szCs w:val="16"/>
    </w:rPr>
  </w:style>
  <w:style w:type="paragraph" w:styleId="CommentText">
    <w:name w:val="annotation text"/>
    <w:basedOn w:val="Normal"/>
    <w:link w:val="CommentTextChar"/>
    <w:uiPriority w:val="99"/>
    <w:semiHidden/>
    <w:unhideWhenUsed/>
    <w:rsid w:val="00417D18"/>
    <w:pPr>
      <w:spacing w:line="240" w:lineRule="auto"/>
    </w:pPr>
    <w:rPr>
      <w:sz w:val="20"/>
      <w:szCs w:val="20"/>
    </w:rPr>
  </w:style>
  <w:style w:type="character" w:customStyle="1" w:styleId="CommentTextChar">
    <w:name w:val="Comment Text Char"/>
    <w:basedOn w:val="DefaultParagraphFont"/>
    <w:link w:val="CommentText"/>
    <w:uiPriority w:val="99"/>
    <w:semiHidden/>
    <w:rsid w:val="00417D1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17D18"/>
    <w:rPr>
      <w:b/>
      <w:bCs/>
    </w:rPr>
  </w:style>
  <w:style w:type="character" w:customStyle="1" w:styleId="CommentSubjectChar">
    <w:name w:val="Comment Subject Char"/>
    <w:basedOn w:val="CommentTextChar"/>
    <w:link w:val="CommentSubject"/>
    <w:uiPriority w:val="99"/>
    <w:semiHidden/>
    <w:rsid w:val="00417D18"/>
    <w:rPr>
      <w:rFonts w:ascii="Times New Roman" w:hAnsi="Times New Roman"/>
      <w:b/>
      <w:bCs/>
      <w:sz w:val="20"/>
      <w:szCs w:val="20"/>
    </w:rPr>
  </w:style>
  <w:style w:type="paragraph" w:styleId="BalloonText">
    <w:name w:val="Balloon Text"/>
    <w:basedOn w:val="Normal"/>
    <w:link w:val="BalloonTextChar"/>
    <w:uiPriority w:val="99"/>
    <w:semiHidden/>
    <w:unhideWhenUsed/>
    <w:rsid w:val="00417D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7D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22354C-D354-4C50-8244-D4A60EE63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2516</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Anton Antonov (1908495)</cp:lastModifiedBy>
  <cp:revision>3</cp:revision>
  <dcterms:created xsi:type="dcterms:W3CDTF">2020-12-04T15:59:00Z</dcterms:created>
  <dcterms:modified xsi:type="dcterms:W3CDTF">2020-12-15T17:30:00Z</dcterms:modified>
</cp:coreProperties>
</file>