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14E394B" w14:textId="7F1AB305" w:rsidR="004A3565" w:rsidRDefault="0067559C" w:rsidP="004A3565">
      <w:pPr>
        <w:pStyle w:val="Title"/>
      </w:pPr>
      <w:r w:rsidRPr="004A3565">
        <w:t>Moving away from the traditional classroom: Outdoor education and learning</w:t>
      </w:r>
      <w:r w:rsidRPr="004A3565">
        <w:t xml:space="preserve"> </w:t>
      </w:r>
      <w:r w:rsidR="004A3565" w:rsidRPr="004A3565">
        <w:t>ECIE6001</w:t>
      </w:r>
    </w:p>
    <w:p w14:paraId="0E56602D" w14:textId="7CFD3154" w:rsidR="00083733" w:rsidRPr="00083733" w:rsidRDefault="00083733" w:rsidP="00083733">
      <w:pPr>
        <w:pStyle w:val="Heading1"/>
        <w:rPr>
          <w:rStyle w:val="BookTitle"/>
          <w:b w:val="0"/>
          <w:bCs w:val="0"/>
          <w:i w:val="0"/>
          <w:iCs w:val="0"/>
        </w:rPr>
      </w:pPr>
      <w:r w:rsidRPr="00083733">
        <w:rPr>
          <w:rStyle w:val="BookTitle"/>
          <w:b w:val="0"/>
          <w:bCs w:val="0"/>
          <w:i w:val="0"/>
          <w:iCs w:val="0"/>
        </w:rPr>
        <w:t xml:space="preserve">Portfolio </w:t>
      </w:r>
    </w:p>
    <w:p w14:paraId="06BF069F" w14:textId="77777777" w:rsidR="0030094F" w:rsidRPr="00083733" w:rsidRDefault="5C72346C" w:rsidP="00083733">
      <w:pPr>
        <w:pStyle w:val="Heading1"/>
        <w:rPr>
          <w:rStyle w:val="BookTitle"/>
          <w:b w:val="0"/>
          <w:bCs w:val="0"/>
          <w:i w:val="0"/>
          <w:iCs w:val="0"/>
        </w:rPr>
      </w:pPr>
      <w:r w:rsidRPr="00083733">
        <w:rPr>
          <w:rStyle w:val="BookTitle"/>
          <w:b w:val="0"/>
          <w:bCs w:val="0"/>
          <w:i w:val="0"/>
          <w:iCs w:val="0"/>
        </w:rPr>
        <w:t xml:space="preserve">By Ieuan Morgan </w:t>
      </w:r>
    </w:p>
    <w:p w14:paraId="1215DB16" w14:textId="1C0703A8" w:rsidR="5C72346C" w:rsidRPr="00083733" w:rsidRDefault="0030094F" w:rsidP="00083733">
      <w:pPr>
        <w:pStyle w:val="Heading1"/>
        <w:rPr>
          <w:rStyle w:val="BookTitle"/>
          <w:b w:val="0"/>
          <w:bCs w:val="0"/>
          <w:i w:val="0"/>
          <w:iCs w:val="0"/>
        </w:rPr>
      </w:pPr>
      <w:r w:rsidRPr="00083733">
        <w:rPr>
          <w:rStyle w:val="BookTitle"/>
          <w:b w:val="0"/>
          <w:bCs w:val="0"/>
          <w:i w:val="0"/>
          <w:iCs w:val="0"/>
        </w:rPr>
        <w:t xml:space="preserve">Student Number: </w:t>
      </w:r>
      <w:r w:rsidR="5C72346C" w:rsidRPr="00083733">
        <w:rPr>
          <w:rStyle w:val="BookTitle"/>
          <w:b w:val="0"/>
          <w:bCs w:val="0"/>
          <w:i w:val="0"/>
          <w:iCs w:val="0"/>
        </w:rPr>
        <w:t>2214077</w:t>
      </w:r>
    </w:p>
    <w:p w14:paraId="76D47BF5" w14:textId="4C041303" w:rsidR="73CB5389" w:rsidRDefault="73CB5389"/>
    <w:p w14:paraId="01ED7CF2" w14:textId="0F7F329B" w:rsidR="73CB5389" w:rsidRDefault="73CB5389"/>
    <w:p w14:paraId="7D3561DB" w14:textId="08E69389" w:rsidR="73CB5389" w:rsidRDefault="73CB5389"/>
    <w:p w14:paraId="3B14F79E" w14:textId="3DBD92CE" w:rsidR="73CB5389" w:rsidRDefault="73CB5389"/>
    <w:p w14:paraId="5E9C101E" w14:textId="6EE8D70C" w:rsidR="73CB5389" w:rsidRDefault="73CB5389"/>
    <w:p w14:paraId="74C61DA3" w14:textId="4B36BA69" w:rsidR="73CB5389" w:rsidRDefault="73CB5389"/>
    <w:p w14:paraId="243676AE" w14:textId="615976D0" w:rsidR="73CB5389" w:rsidRDefault="73CB5389"/>
    <w:p w14:paraId="14365804" w14:textId="5D73F425" w:rsidR="73CB5389" w:rsidRDefault="73CB5389"/>
    <w:p w14:paraId="6F81E9B3" w14:textId="1BC5978F" w:rsidR="73CB5389" w:rsidRDefault="73CB5389"/>
    <w:p w14:paraId="10B78863" w14:textId="47DE03A2" w:rsidR="73CB5389" w:rsidRDefault="73CB5389"/>
    <w:p w14:paraId="2E389584" w14:textId="08298EDF" w:rsidR="73CB5389" w:rsidRDefault="73CB5389"/>
    <w:p w14:paraId="5F0A506A" w14:textId="77BFB345" w:rsidR="73CB5389" w:rsidRDefault="73CB5389"/>
    <w:p w14:paraId="1EE92AE6" w14:textId="6FEC3F17" w:rsidR="73CB5389" w:rsidRDefault="73CB5389"/>
    <w:p w14:paraId="2CBE4658" w14:textId="3DA2D2DD" w:rsidR="73CB5389" w:rsidRDefault="73CB5389"/>
    <w:p w14:paraId="79A595E2" w14:textId="41E59B0A" w:rsidR="73CB5389" w:rsidRDefault="73CB5389"/>
    <w:p w14:paraId="0F39797F" w14:textId="59044B4C" w:rsidR="73CB5389" w:rsidRDefault="73CB5389"/>
    <w:p w14:paraId="52B33D63" w14:textId="6A4BB9C6" w:rsidR="73CB5389" w:rsidRDefault="73CB5389"/>
    <w:p w14:paraId="3C392919" w14:textId="1B55F164" w:rsidR="73CB5389" w:rsidRDefault="73CB5389"/>
    <w:p w14:paraId="29F9B283" w14:textId="0FD81B87" w:rsidR="5C72346C" w:rsidRPr="00A126CB" w:rsidRDefault="00083733" w:rsidP="00083733">
      <w:pPr>
        <w:pStyle w:val="Title"/>
        <w:rPr>
          <w:b/>
          <w:bCs/>
        </w:rPr>
      </w:pPr>
      <w:r>
        <w:rPr>
          <w:b/>
          <w:bCs/>
        </w:rPr>
        <w:lastRenderedPageBreak/>
        <w:t xml:space="preserve">                         </w:t>
      </w:r>
      <w:r w:rsidR="5C72346C" w:rsidRPr="00A126CB">
        <w:rPr>
          <w:b/>
          <w:bCs/>
        </w:rPr>
        <w:t>Contents Page</w:t>
      </w:r>
    </w:p>
    <w:p w14:paraId="1A0126B1" w14:textId="3F284B75" w:rsidR="73CB5389" w:rsidRDefault="73CB5389" w:rsidP="73CB5389"/>
    <w:p w14:paraId="4FECA576" w14:textId="0EAF9F76" w:rsidR="0030094F" w:rsidRPr="0030094F" w:rsidRDefault="32E20157" w:rsidP="0030094F">
      <w:pPr>
        <w:pStyle w:val="Heading1"/>
        <w:jc w:val="center"/>
        <w:rPr>
          <w:b/>
          <w:bCs/>
        </w:rPr>
      </w:pPr>
      <w:r w:rsidRPr="0030094F">
        <w:rPr>
          <w:b/>
          <w:bCs/>
        </w:rPr>
        <w:t>Essay: A comparative analysis of Outdoor Learning in Forest Schools and Secondary school settings.</w:t>
      </w:r>
    </w:p>
    <w:p w14:paraId="1E6771AB" w14:textId="02852C77" w:rsidR="32E20157" w:rsidRPr="00F02EED" w:rsidRDefault="007936D3" w:rsidP="0030094F">
      <w:pPr>
        <w:pStyle w:val="Subtitle"/>
        <w:jc w:val="center"/>
      </w:pPr>
      <w:r w:rsidRPr="00F02EED">
        <w:t>Pages 3</w:t>
      </w:r>
      <w:r w:rsidR="002A7783" w:rsidRPr="00F02EED">
        <w:t xml:space="preserve"> </w:t>
      </w:r>
      <w:r w:rsidRPr="00F02EED">
        <w:t>-</w:t>
      </w:r>
      <w:r w:rsidR="002A7783" w:rsidRPr="00F02EED">
        <w:t xml:space="preserve"> </w:t>
      </w:r>
      <w:r w:rsidRPr="00F02EED">
        <w:t>6</w:t>
      </w:r>
    </w:p>
    <w:p w14:paraId="3FEC9EE3" w14:textId="4A07865B" w:rsidR="0030094F" w:rsidRPr="0030094F" w:rsidRDefault="32E20157" w:rsidP="0030094F">
      <w:pPr>
        <w:pStyle w:val="Heading1"/>
        <w:jc w:val="center"/>
        <w:rPr>
          <w:b/>
          <w:bCs/>
        </w:rPr>
      </w:pPr>
      <w:r w:rsidRPr="0030094F">
        <w:rPr>
          <w:b/>
          <w:bCs/>
        </w:rPr>
        <w:t>References:</w:t>
      </w:r>
    </w:p>
    <w:p w14:paraId="4423F81D" w14:textId="1DBA2296" w:rsidR="32E20157" w:rsidRPr="00F02EED" w:rsidRDefault="002A7783" w:rsidP="0030094F">
      <w:pPr>
        <w:pStyle w:val="Subtitle"/>
        <w:jc w:val="center"/>
      </w:pPr>
      <w:r w:rsidRPr="00F02EED">
        <w:t xml:space="preserve">Pages 7 - </w:t>
      </w:r>
      <w:r w:rsidR="00FD7C5C" w:rsidRPr="00F02EED">
        <w:t>9</w:t>
      </w:r>
    </w:p>
    <w:p w14:paraId="00CDFBE9" w14:textId="08CD9097" w:rsidR="0030094F" w:rsidRPr="0030094F" w:rsidRDefault="32E20157" w:rsidP="0030094F">
      <w:pPr>
        <w:pStyle w:val="Heading1"/>
        <w:jc w:val="center"/>
        <w:rPr>
          <w:b/>
          <w:bCs/>
        </w:rPr>
      </w:pPr>
      <w:r w:rsidRPr="0030094F">
        <w:rPr>
          <w:b/>
          <w:bCs/>
        </w:rPr>
        <w:t>Flyer: Outdoor Education GCSE.</w:t>
      </w:r>
    </w:p>
    <w:p w14:paraId="64F98000" w14:textId="513097E4" w:rsidR="73CB5389" w:rsidRPr="00F02EED" w:rsidRDefault="32E20157" w:rsidP="0030094F">
      <w:pPr>
        <w:pStyle w:val="Subtitle"/>
        <w:jc w:val="center"/>
      </w:pPr>
      <w:r w:rsidRPr="00F02EED">
        <w:t>Page</w:t>
      </w:r>
      <w:r w:rsidR="002A7783" w:rsidRPr="00F02EED">
        <w:t xml:space="preserve"> 1</w:t>
      </w:r>
      <w:r w:rsidR="00FD7C5C" w:rsidRPr="00F02EED">
        <w:t>0</w:t>
      </w:r>
    </w:p>
    <w:p w14:paraId="06BE05B9" w14:textId="503FF805" w:rsidR="0030094F" w:rsidRPr="0030094F" w:rsidRDefault="0038106F" w:rsidP="0030094F">
      <w:pPr>
        <w:pStyle w:val="Heading1"/>
        <w:jc w:val="center"/>
        <w:rPr>
          <w:b/>
          <w:bCs/>
        </w:rPr>
      </w:pPr>
      <w:r w:rsidRPr="0030094F">
        <w:rPr>
          <w:b/>
          <w:bCs/>
        </w:rPr>
        <w:t>Risk Benefit Analysis:</w:t>
      </w:r>
    </w:p>
    <w:p w14:paraId="5B47EC5E" w14:textId="7945D309" w:rsidR="002A7783" w:rsidRPr="00F02EED" w:rsidRDefault="00AA5A13" w:rsidP="0030094F">
      <w:pPr>
        <w:pStyle w:val="Subtitle"/>
        <w:jc w:val="center"/>
        <w:rPr>
          <w:b/>
          <w:bCs/>
        </w:rPr>
      </w:pPr>
      <w:r w:rsidRPr="00F02EED">
        <w:t>Pages 1</w:t>
      </w:r>
      <w:r w:rsidR="00FD7C5C" w:rsidRPr="00F02EED">
        <w:t>1</w:t>
      </w:r>
      <w:r w:rsidRPr="00F02EED">
        <w:t xml:space="preserve">- </w:t>
      </w:r>
      <w:r w:rsidR="00FD7C5C" w:rsidRPr="00F02EED">
        <w:t>13</w:t>
      </w:r>
    </w:p>
    <w:p w14:paraId="479C0170" w14:textId="411AAAC3" w:rsidR="0030094F" w:rsidRPr="0030094F" w:rsidRDefault="002A7783" w:rsidP="0030094F">
      <w:pPr>
        <w:pStyle w:val="Heading1"/>
        <w:jc w:val="center"/>
        <w:rPr>
          <w:b/>
          <w:bCs/>
        </w:rPr>
      </w:pPr>
      <w:r w:rsidRPr="0030094F">
        <w:rPr>
          <w:b/>
          <w:bCs/>
        </w:rPr>
        <w:t xml:space="preserve">Literature Review: The Role of Outdoor </w:t>
      </w:r>
      <w:r w:rsidR="0038106F" w:rsidRPr="0030094F">
        <w:rPr>
          <w:b/>
          <w:bCs/>
        </w:rPr>
        <w:t>Learning.</w:t>
      </w:r>
    </w:p>
    <w:p w14:paraId="50FDE2F9" w14:textId="14673B18" w:rsidR="002A7783" w:rsidRPr="00F02EED" w:rsidRDefault="0030094F" w:rsidP="0030094F">
      <w:pPr>
        <w:pStyle w:val="Subtitle"/>
        <w:jc w:val="center"/>
      </w:pPr>
      <w:r>
        <w:t xml:space="preserve">Pages </w:t>
      </w:r>
      <w:r w:rsidR="0038106F" w:rsidRPr="00F02EED">
        <w:t>14- 1</w:t>
      </w:r>
      <w:r w:rsidR="00FE01F6">
        <w:t>7</w:t>
      </w:r>
    </w:p>
    <w:p w14:paraId="683F3D42" w14:textId="77777777" w:rsidR="00FD7C5C" w:rsidRPr="00F02EED" w:rsidRDefault="00FD7C5C" w:rsidP="0030094F">
      <w:pPr>
        <w:jc w:val="center"/>
        <w:rPr>
          <w:sz w:val="32"/>
          <w:szCs w:val="32"/>
        </w:rPr>
      </w:pPr>
    </w:p>
    <w:p w14:paraId="4C6AEBA2" w14:textId="3715D79A" w:rsidR="0030094F" w:rsidRPr="0030094F" w:rsidRDefault="00FD7C5C" w:rsidP="0030094F">
      <w:pPr>
        <w:pStyle w:val="Heading1"/>
        <w:jc w:val="center"/>
        <w:rPr>
          <w:b/>
          <w:bCs/>
        </w:rPr>
      </w:pPr>
      <w:r w:rsidRPr="0030094F">
        <w:rPr>
          <w:b/>
          <w:bCs/>
        </w:rPr>
        <w:t>References:</w:t>
      </w:r>
    </w:p>
    <w:p w14:paraId="627F8B51" w14:textId="0518C566" w:rsidR="00FD7C5C" w:rsidRPr="00F02EED" w:rsidRDefault="00FD7C5C" w:rsidP="0030094F">
      <w:pPr>
        <w:pStyle w:val="Subtitle"/>
        <w:jc w:val="center"/>
        <w:rPr>
          <w:b/>
          <w:bCs/>
        </w:rPr>
      </w:pPr>
      <w:r w:rsidRPr="00F02EED">
        <w:t>Pages 1</w:t>
      </w:r>
      <w:r w:rsidR="00FE01F6">
        <w:t>8</w:t>
      </w:r>
      <w:r w:rsidRPr="00F02EED">
        <w:t xml:space="preserve"> - </w:t>
      </w:r>
      <w:r w:rsidR="00FE01F6">
        <w:t>19</w:t>
      </w:r>
    </w:p>
    <w:p w14:paraId="7E1B058D" w14:textId="77777777" w:rsidR="00083733" w:rsidRDefault="00083733" w:rsidP="00083733">
      <w:pPr>
        <w:rPr>
          <w:rFonts w:ascii="Aptos Display" w:eastAsia="Aptos Display" w:hAnsi="Aptos Display" w:cs="Aptos Display"/>
          <w:sz w:val="52"/>
          <w:szCs w:val="52"/>
        </w:rPr>
      </w:pPr>
    </w:p>
    <w:p w14:paraId="35C1AED5" w14:textId="77777777" w:rsidR="00083733" w:rsidRDefault="00083733" w:rsidP="00083733">
      <w:pPr>
        <w:rPr>
          <w:rFonts w:ascii="Aptos Display" w:eastAsia="Aptos Display" w:hAnsi="Aptos Display" w:cs="Aptos Display"/>
          <w:sz w:val="52"/>
          <w:szCs w:val="52"/>
        </w:rPr>
      </w:pPr>
    </w:p>
    <w:p w14:paraId="084F53C9" w14:textId="6DB0E157" w:rsidR="32E20157" w:rsidRPr="00083733" w:rsidRDefault="32E20157" w:rsidP="00083733">
      <w:r w:rsidRPr="73CB5389">
        <w:rPr>
          <w:rFonts w:ascii="Aptos Display" w:eastAsia="Aptos Display" w:hAnsi="Aptos Display" w:cs="Aptos Display"/>
          <w:sz w:val="52"/>
          <w:szCs w:val="52"/>
        </w:rPr>
        <w:lastRenderedPageBreak/>
        <w:t xml:space="preserve">A comparative analysis of Outdoor Learning in Forest Schools and Secondary school settings </w:t>
      </w:r>
    </w:p>
    <w:p w14:paraId="177021E0" w14:textId="12598788" w:rsidR="32E20157" w:rsidRDefault="32E20157" w:rsidP="73CB5389">
      <w:pPr>
        <w:pStyle w:val="Subtitle"/>
        <w:rPr>
          <w:rFonts w:ascii="Aptos" w:eastAsia="Aptos" w:hAnsi="Aptos" w:cs="Aptos"/>
        </w:rPr>
      </w:pPr>
      <w:r w:rsidRPr="73CB5389">
        <w:rPr>
          <w:rFonts w:ascii="Aptos" w:eastAsia="Aptos" w:hAnsi="Aptos" w:cs="Aptos"/>
        </w:rPr>
        <w:t xml:space="preserve">By Ieuan Morgan </w:t>
      </w:r>
    </w:p>
    <w:p w14:paraId="29F4E2B3" w14:textId="4F488A99" w:rsidR="32E20157" w:rsidRDefault="32E20157" w:rsidP="73CB5389">
      <w:pPr>
        <w:pStyle w:val="Subtitle"/>
        <w:rPr>
          <w:rFonts w:ascii="Aptos" w:eastAsia="Aptos" w:hAnsi="Aptos" w:cs="Aptos"/>
        </w:rPr>
      </w:pPr>
      <w:r w:rsidRPr="73CB5389">
        <w:rPr>
          <w:rFonts w:ascii="Aptos" w:eastAsia="Aptos" w:hAnsi="Aptos" w:cs="Aptos"/>
        </w:rPr>
        <w:t xml:space="preserve">2214077 </w:t>
      </w:r>
    </w:p>
    <w:p w14:paraId="2B0CF87B" w14:textId="03468207" w:rsidR="32E20157" w:rsidRDefault="32E20157" w:rsidP="73CB5389">
      <w:pPr>
        <w:rPr>
          <w:rFonts w:ascii="Aptos" w:eastAsia="Aptos" w:hAnsi="Aptos" w:cs="Aptos"/>
        </w:rPr>
      </w:pPr>
      <w:r w:rsidRPr="73CB5389">
        <w:rPr>
          <w:rFonts w:ascii="Aptos" w:eastAsia="Aptos" w:hAnsi="Aptos" w:cs="Aptos"/>
        </w:rPr>
        <w:t>Outdoor Learning can be identified as an active, experiential approach to learning which seeks to use the outdoor environment as a vehicle for the development of knowledge, skills, behaviours and attitudes (Harvey, 2012). This essay will aim to explore the scope and approach of outdoor learning in Forest schools and Secondary schools, exploring how each setting utilises the outdoor environment to support learning, general well-being and the curriculum. In the UK, Forest Schools typically operate alongside mainstream education rather than replacing it, with learners attending regular school while participating in nature-based sessions (Prince and Diggory, 2024)</w:t>
      </w:r>
      <w:r w:rsidRPr="73CB5389">
        <w:rPr>
          <w:rFonts w:ascii="Aptos" w:eastAsia="Aptos" w:hAnsi="Aptos" w:cs="Aptos"/>
          <w:b/>
          <w:bCs/>
        </w:rPr>
        <w:t>.</w:t>
      </w:r>
      <w:r w:rsidRPr="73CB5389">
        <w:rPr>
          <w:rFonts w:ascii="Aptos" w:eastAsia="Aptos" w:hAnsi="Aptos" w:cs="Aptos"/>
        </w:rPr>
        <w:t xml:space="preserve">  The chosen settings have been selected as the contrast between them provides discussion towards the clear differences in pedagogy and structure.  Furthermore, the availability of existing literature on this subject allows the writer to compare the academic ambition with the practice and implementation.</w:t>
      </w:r>
    </w:p>
    <w:p w14:paraId="2BA46C1F" w14:textId="5BB47746" w:rsidR="32E20157" w:rsidRDefault="32E20157" w:rsidP="73CB5389">
      <w:pPr>
        <w:rPr>
          <w:rFonts w:ascii="Aptos" w:eastAsia="Aptos" w:hAnsi="Aptos" w:cs="Aptos"/>
        </w:rPr>
      </w:pPr>
      <w:r w:rsidRPr="73CB5389">
        <w:rPr>
          <w:rFonts w:ascii="Aptos" w:eastAsia="Aptos" w:hAnsi="Aptos" w:cs="Aptos"/>
        </w:rPr>
        <w:t>In secondary school settings, the scope of outdoor learning is closely linked to curriculum expectations while aiming to include a range of personal, social and wellbeing-centred outcomes (Welsh Government, 2021). Outdoor provision promotes the development of transferable personal skills such as leadership, teamwork and communication, enabling students to collaborate effectively and engage positively with peers in a less formal learning environment (Learning Through Landscapes, 2023). Furthermore, outdoor learning seeks to support the development of resilience and confidence by providing opportunities for challenge, problem-solving and adaptation to unfamiliar situations which can contribute to learners’ personal growth and self-efficacy (Estyn, 2023).</w:t>
      </w:r>
    </w:p>
    <w:p w14:paraId="3080E8ED" w14:textId="129FF30F" w:rsidR="32E20157" w:rsidRDefault="32E20157" w:rsidP="73CB5389">
      <w:pPr>
        <w:rPr>
          <w:rFonts w:ascii="Aptos" w:eastAsia="Aptos" w:hAnsi="Aptos" w:cs="Aptos"/>
        </w:rPr>
      </w:pPr>
      <w:r w:rsidRPr="73CB5389">
        <w:rPr>
          <w:rFonts w:ascii="Aptos" w:eastAsia="Aptos" w:hAnsi="Aptos" w:cs="Aptos"/>
        </w:rPr>
        <w:t xml:space="preserve">Secondary schools can incorporate outdoor provision to promote positive mental health and wellbeing, an area of increasing concern during adolescence, due to academic pressure and emotional vulnerability (The Guardian, 2026). By supporting the learners holistically, links can be made toBronfenbrenner’s ecological systems theory which highlights the influence of environmental contexts on individual development (1979) However, outdoor learning in secondary schools may be limited by timetable restraints, curriculum demands and exam related priorities, meaning not all learners </w:t>
      </w:r>
      <w:r w:rsidRPr="73CB5389">
        <w:rPr>
          <w:rFonts w:ascii="Aptos" w:eastAsia="Aptos" w:hAnsi="Aptos" w:cs="Aptos"/>
        </w:rPr>
        <w:lastRenderedPageBreak/>
        <w:t>can access these opportunities equally (Williams and Scott, 2019).</w:t>
      </w:r>
      <w:r w:rsidRPr="73CB5389">
        <w:rPr>
          <w:rFonts w:ascii="Aptos" w:eastAsia="Aptos" w:hAnsi="Aptos" w:cs="Aptos"/>
          <w:b/>
          <w:bCs/>
        </w:rPr>
        <w:t xml:space="preserve"> </w:t>
      </w:r>
      <w:r w:rsidRPr="73CB5389">
        <w:rPr>
          <w:rFonts w:ascii="Aptos" w:eastAsia="Aptos" w:hAnsi="Aptos" w:cs="Aptos"/>
        </w:rPr>
        <w:t xml:space="preserve">The scope of this setting can also be criticised as outdoor learning is often treated as an additional provision rather than being integrated into the pedagogical foundations of the setting (Garden and Downes, 2021). Despite this, in Wales, outdoor provision is supported in legislation as local authorities must provide sufficient outdoor play opportunities </w:t>
      </w:r>
      <w:r w:rsidRPr="73CB5389">
        <w:rPr>
          <w:rFonts w:ascii="Aptos" w:eastAsia="Aptos" w:hAnsi="Aptos" w:cs="Aptos"/>
          <w:color w:val="000000" w:themeColor="text1"/>
        </w:rPr>
        <w:t>(Children and Families (Wales) Measure 2010).</w:t>
      </w:r>
      <w:r w:rsidRPr="73CB5389">
        <w:rPr>
          <w:rFonts w:ascii="Aptos" w:eastAsia="Aptos" w:hAnsi="Aptos" w:cs="Aptos"/>
        </w:rPr>
        <w:t xml:space="preserve"> While secondary schools utilise the outdoors as an extension of their main provision, Forest Schools intentionally position the outdoor environment as the central foundation of their pedagogical approach. This difference in foundational philosophy highlights a contrast to the overall scope of outdoor learning. </w:t>
      </w:r>
    </w:p>
    <w:p w14:paraId="7008CE81" w14:textId="36EFA6DD" w:rsidR="32E20157" w:rsidRDefault="32E20157" w:rsidP="73CB5389">
      <w:pPr>
        <w:rPr>
          <w:rFonts w:ascii="Aptos" w:eastAsia="Aptos" w:hAnsi="Aptos" w:cs="Aptos"/>
        </w:rPr>
      </w:pPr>
      <w:r w:rsidRPr="73CB5389">
        <w:rPr>
          <w:rFonts w:ascii="Aptos" w:eastAsia="Aptos" w:hAnsi="Aptos" w:cs="Aptos"/>
        </w:rPr>
        <w:t xml:space="preserve">Rather than viewing the outdoors as an additional learning space, Forest Schools use natural environments as the primary context for holistic development, enabling learners to explore, play and connect with nature (Forest School Association, n.d). This focus supports children’s confidence, independence and risk assessment capabilities through sensory exploration and hands-on experiences that cannot be replicated indoors. The scope of Forest school practice also emphasises emotional wellbeing, offering freedom of movement and inclusive spaces that accommodate diverse learning needs (Blackwell, 2025). For example, a study in an English Forest school found that pupils with SEND showed deeper levels of involvement and engagement from the forest school approach which enabled all children, including those with ALN, to access the curriculum in meaningful ways (Stavrianos, 2024). Forest Schools emphasise social interaction as well as problem solving through activities, deepening children’s engagement with the natural environment and their peers. This aligns with Froebel’s philosophy of children learning through direct engagement with nature, supporting holistic development (Froebel Trust, n.d). Key differences in scope between the two settings are evident in their intended purposes, with secondary schools aiming to support curriculum objectives, well-being and transferable skills whereas Forest Schools place greater emphasis on holistic development (Forest School Association, 2018). </w:t>
      </w:r>
    </w:p>
    <w:p w14:paraId="7CFF7D67" w14:textId="6077E8F8" w:rsidR="32E20157" w:rsidRDefault="32E20157" w:rsidP="73CB5389">
      <w:pPr>
        <w:rPr>
          <w:rFonts w:ascii="Aptos" w:eastAsia="Aptos" w:hAnsi="Aptos" w:cs="Aptos"/>
        </w:rPr>
      </w:pPr>
      <w:r w:rsidRPr="73CB5389">
        <w:rPr>
          <w:rFonts w:ascii="Aptos" w:eastAsia="Aptos" w:hAnsi="Aptos" w:cs="Aptos"/>
        </w:rPr>
        <w:t xml:space="preserve">In secondary school settings, the approach to outdoor learning is characterised by planned, teacher-led pedagogical methods that integrate outdoor experience into the established curriculum and assessment frameworks. An example of this approach can be seen in the requirement for teachers to create lesson plans as part of their formal work schedule in secondary schools (Department for Education, 2021). In the writer’s own workplace setting, the outdoor environment has been used as an extension of the classroom, engaging pupils in hands-on activities such as shelter building which has supported learners in building confidence and developing teamwork skills (Estyn, 2023). This demonstrates how outdoor learning is formally planned and designed to follow curriculum objectives rather than being spontaneous and pupil led. This </w:t>
      </w:r>
      <w:r w:rsidRPr="73CB5389">
        <w:rPr>
          <w:rFonts w:ascii="Aptos" w:eastAsia="Aptos" w:hAnsi="Aptos" w:cs="Aptos"/>
        </w:rPr>
        <w:lastRenderedPageBreak/>
        <w:t xml:space="preserve">methodology can be positive as it allows the teacher to focus on the development of a specific skill or subject knowledge which learners may need extra time for. However, the inflexible nature of planned activities may not accommodate learners who are more spontaneous in their curiosity and therefore can hinder engagement (Christie, Beames &amp; Higgins, 2015).  Furthermore, singular experiences such as these may also be dependent on external factors such as weather conditions which can disrupt the learning if no alternative options or adaptations are available. Consequently, the delivery of outdoor learning in secondary settings is not guaranteed and is dependent on the preparedness of the teacher and availability of resources. This is supported by the Schools for Nature report (2024) which shares that only 24% of schools out of 1,885 in this study offer daily opportunities for experiencing nature (WWF, 2024). </w:t>
      </w:r>
    </w:p>
    <w:p w14:paraId="395007F7" w14:textId="03FC72B0" w:rsidR="32E20157" w:rsidRDefault="32E20157" w:rsidP="73CB5389">
      <w:pPr>
        <w:rPr>
          <w:rFonts w:ascii="Aptos" w:eastAsia="Aptos" w:hAnsi="Aptos" w:cs="Aptos"/>
        </w:rPr>
      </w:pPr>
      <w:r w:rsidRPr="73CB5389">
        <w:rPr>
          <w:rFonts w:ascii="Aptos" w:eastAsia="Aptos" w:hAnsi="Aptos" w:cs="Aptos"/>
        </w:rPr>
        <w:t xml:space="preserve">Whereas secondary settings are limited in their outdoor provision, Forest Schools have outdoor learning embedded in their pedagogy. In contrast, the approach to outdoor learning in Forest Schools is characterised by child-led experiential learning in which the natural environment is central to the teaching and learning process (Forest School, 2021). This philosophy adopts principles which can be linked to the Reggio Emilia approach, in which great emphasis on the holistic development of the child is central to their pedagogy, making the environment itself an educator and giving the child agency over their learning (Reggio Children, 2022). </w:t>
      </w:r>
    </w:p>
    <w:p w14:paraId="2AE08C68" w14:textId="51B710B4" w:rsidR="32E20157" w:rsidRDefault="32E20157" w:rsidP="73CB5389">
      <w:pPr>
        <w:rPr>
          <w:rFonts w:ascii="Aptos" w:eastAsia="Aptos" w:hAnsi="Aptos" w:cs="Aptos"/>
        </w:rPr>
      </w:pPr>
      <w:r w:rsidRPr="73CB5389">
        <w:rPr>
          <w:rFonts w:ascii="Aptos" w:eastAsia="Aptos" w:hAnsi="Aptos" w:cs="Aptos"/>
        </w:rPr>
        <w:t xml:space="preserve">As sessions do not follow a typical subject-based timetable, the approach to teaching is more flexible and relaxed which allows the learner to feel less restricted or confined to exploration of a singular academic theme such as geography or science. In this context, learning is an emergent element of the environment rather than being predetermined by a teacher or facilitator (Institute for Outdoor Learning, 2025). This can be beneficial as learning is now exploratory and founded on curiosity which allows the students to develop a positive relationship with learning, encouraging them to become lifelong learners (Jeffs &amp; Ord, 2019).  </w:t>
      </w:r>
    </w:p>
    <w:p w14:paraId="45E7263A" w14:textId="4B280676" w:rsidR="32E20157" w:rsidRDefault="32E20157" w:rsidP="73CB5389">
      <w:pPr>
        <w:rPr>
          <w:rFonts w:ascii="Aptos" w:eastAsia="Aptos" w:hAnsi="Aptos" w:cs="Aptos"/>
        </w:rPr>
      </w:pPr>
      <w:r w:rsidRPr="73CB5389">
        <w:rPr>
          <w:rFonts w:ascii="Aptos" w:eastAsia="Aptos" w:hAnsi="Aptos" w:cs="Aptos"/>
        </w:rPr>
        <w:t xml:space="preserve">While Forest Schools can be offered as an additional provision, acting as an additional learning environment alongside regular schooling, there is more focus on individual development rather than building academic knowledge (Forest School Association, 2018). For example, leaders in this setting may encourage pupils in supported risk-taking whereas a secondary setting may place emphasis on linking the experience to a subject specific context. This represents a clear contrast to the secondary school’s approach where learning is more structured and curriculum driven, which may limit flexibility and have been linked to potential disengagement among some learners (Williams &amp; Scott, 2019). This method of practice can be linked to Froebel’s philosophy, which emphasises learning through nature and holistic development (Froebel Trust, n.d).  Vygotsky’s sociocultural theory (1978) can also be linked, as the importance of </w:t>
      </w:r>
      <w:r w:rsidRPr="73CB5389">
        <w:rPr>
          <w:rFonts w:ascii="Aptos" w:eastAsia="Aptos" w:hAnsi="Aptos" w:cs="Aptos"/>
        </w:rPr>
        <w:lastRenderedPageBreak/>
        <w:t xml:space="preserve">social interaction and scaffolded support is highlighted to promote learning and wellbeing. </w:t>
      </w:r>
    </w:p>
    <w:p w14:paraId="210FE281" w14:textId="5D812602" w:rsidR="73CB5389" w:rsidRDefault="73CB5389" w:rsidP="73CB5389">
      <w:pPr>
        <w:rPr>
          <w:rFonts w:ascii="Aptos" w:eastAsia="Aptos" w:hAnsi="Aptos" w:cs="Aptos"/>
        </w:rPr>
      </w:pPr>
    </w:p>
    <w:p w14:paraId="0232918F" w14:textId="6DF5FD9C" w:rsidR="73CB5389" w:rsidRPr="00C72B1A" w:rsidRDefault="32E20157" w:rsidP="00C72B1A">
      <w:pPr>
        <w:rPr>
          <w:rFonts w:ascii="Aptos" w:eastAsia="Aptos" w:hAnsi="Aptos" w:cs="Aptos"/>
        </w:rPr>
      </w:pPr>
      <w:r w:rsidRPr="73CB5389">
        <w:rPr>
          <w:rFonts w:ascii="Aptos" w:eastAsia="Aptos" w:hAnsi="Aptos" w:cs="Aptos"/>
        </w:rPr>
        <w:t xml:space="preserve">In conclusion, there are clear differences in the scope and approach of secondary school settings and Forest Schools, with secondary schools typically utilising outdoor provision as a structured extension of the curriculum (WWF, 2024) and Forest Schools positioning the outdoor environment as the central context of holistic, child-led learning (Forest School, 2021). Overall, the role of outdoor learning remains significant in both settings; however, its impact is shaped by the implementation, resources and developmental aims of each context. </w:t>
      </w:r>
    </w:p>
    <w:p w14:paraId="76272064" w14:textId="77777777" w:rsidR="008376F8" w:rsidRDefault="008376F8" w:rsidP="73CB5389">
      <w:pPr>
        <w:pStyle w:val="Heading1"/>
        <w:tabs>
          <w:tab w:val="left" w:pos="2800"/>
        </w:tabs>
        <w:rPr>
          <w:rFonts w:ascii="Aptos Display" w:eastAsia="Aptos Display" w:hAnsi="Aptos Display" w:cs="Aptos Display"/>
        </w:rPr>
      </w:pPr>
    </w:p>
    <w:p w14:paraId="22458801" w14:textId="77777777" w:rsidR="008376F8" w:rsidRDefault="008376F8" w:rsidP="73CB5389">
      <w:pPr>
        <w:pStyle w:val="Heading1"/>
        <w:tabs>
          <w:tab w:val="left" w:pos="2800"/>
        </w:tabs>
        <w:rPr>
          <w:rFonts w:ascii="Aptos Display" w:eastAsia="Aptos Display" w:hAnsi="Aptos Display" w:cs="Aptos Display"/>
        </w:rPr>
      </w:pPr>
    </w:p>
    <w:p w14:paraId="788B60DD" w14:textId="77777777" w:rsidR="008376F8" w:rsidRDefault="008376F8" w:rsidP="73CB5389">
      <w:pPr>
        <w:pStyle w:val="Heading1"/>
        <w:tabs>
          <w:tab w:val="left" w:pos="2800"/>
        </w:tabs>
        <w:rPr>
          <w:rFonts w:ascii="Aptos Display" w:eastAsia="Aptos Display" w:hAnsi="Aptos Display" w:cs="Aptos Display"/>
        </w:rPr>
      </w:pPr>
    </w:p>
    <w:p w14:paraId="6FE214D4" w14:textId="77777777" w:rsidR="00A207ED" w:rsidRDefault="00A207ED" w:rsidP="73CB5389">
      <w:pPr>
        <w:pStyle w:val="Heading1"/>
        <w:tabs>
          <w:tab w:val="left" w:pos="2800"/>
        </w:tabs>
        <w:rPr>
          <w:rFonts w:ascii="Aptos Display" w:eastAsia="Aptos Display" w:hAnsi="Aptos Display" w:cs="Aptos Display"/>
        </w:rPr>
      </w:pPr>
    </w:p>
    <w:p w14:paraId="4C27632A" w14:textId="77777777" w:rsidR="00A207ED" w:rsidRDefault="00A207ED" w:rsidP="73CB5389">
      <w:pPr>
        <w:pStyle w:val="Heading1"/>
        <w:tabs>
          <w:tab w:val="left" w:pos="2800"/>
        </w:tabs>
        <w:rPr>
          <w:rFonts w:ascii="Aptos Display" w:eastAsia="Aptos Display" w:hAnsi="Aptos Display" w:cs="Aptos Display"/>
        </w:rPr>
      </w:pPr>
    </w:p>
    <w:p w14:paraId="031F6CEC" w14:textId="77777777" w:rsidR="00A207ED" w:rsidRDefault="00A207ED" w:rsidP="73CB5389">
      <w:pPr>
        <w:pStyle w:val="Heading1"/>
        <w:tabs>
          <w:tab w:val="left" w:pos="2800"/>
        </w:tabs>
        <w:rPr>
          <w:rFonts w:ascii="Aptos Display" w:eastAsia="Aptos Display" w:hAnsi="Aptos Display" w:cs="Aptos Display"/>
        </w:rPr>
      </w:pPr>
    </w:p>
    <w:p w14:paraId="5ADD26BE" w14:textId="77777777" w:rsidR="00A207ED" w:rsidRDefault="00A207ED" w:rsidP="73CB5389">
      <w:pPr>
        <w:pStyle w:val="Heading1"/>
        <w:tabs>
          <w:tab w:val="left" w:pos="2800"/>
        </w:tabs>
        <w:rPr>
          <w:rFonts w:ascii="Aptos Display" w:eastAsia="Aptos Display" w:hAnsi="Aptos Display" w:cs="Aptos Display"/>
        </w:rPr>
      </w:pPr>
    </w:p>
    <w:p w14:paraId="161E2125" w14:textId="77777777" w:rsidR="00A207ED" w:rsidRDefault="00A207ED" w:rsidP="73CB5389">
      <w:pPr>
        <w:pStyle w:val="Heading1"/>
        <w:tabs>
          <w:tab w:val="left" w:pos="2800"/>
        </w:tabs>
        <w:rPr>
          <w:rFonts w:ascii="Aptos Display" w:eastAsia="Aptos Display" w:hAnsi="Aptos Display" w:cs="Aptos Display"/>
        </w:rPr>
      </w:pPr>
    </w:p>
    <w:p w14:paraId="619EF151" w14:textId="77777777" w:rsidR="00A207ED" w:rsidRDefault="00A207ED" w:rsidP="73CB5389">
      <w:pPr>
        <w:pStyle w:val="Heading1"/>
        <w:tabs>
          <w:tab w:val="left" w:pos="2800"/>
        </w:tabs>
        <w:rPr>
          <w:rFonts w:ascii="Aptos Display" w:eastAsia="Aptos Display" w:hAnsi="Aptos Display" w:cs="Aptos Display"/>
        </w:rPr>
      </w:pPr>
    </w:p>
    <w:p w14:paraId="78194771" w14:textId="77777777" w:rsidR="00275AC3" w:rsidRDefault="00275AC3" w:rsidP="73CB5389">
      <w:pPr>
        <w:pStyle w:val="Heading1"/>
        <w:tabs>
          <w:tab w:val="left" w:pos="2800"/>
        </w:tabs>
        <w:rPr>
          <w:rFonts w:ascii="Aptos Display" w:eastAsia="Aptos Display" w:hAnsi="Aptos Display" w:cs="Aptos Display"/>
        </w:rPr>
      </w:pPr>
      <w:r>
        <w:rPr>
          <w:rFonts w:ascii="Aptos Display" w:eastAsia="Aptos Display" w:hAnsi="Aptos Display" w:cs="Aptos Display"/>
        </w:rPr>
        <w:br w:type="page"/>
      </w:r>
    </w:p>
    <w:p w14:paraId="196F5B47" w14:textId="68C56750" w:rsidR="32E20157" w:rsidRDefault="32E20157" w:rsidP="73CB5389">
      <w:pPr>
        <w:pStyle w:val="Heading1"/>
        <w:tabs>
          <w:tab w:val="left" w:pos="2800"/>
        </w:tabs>
        <w:rPr>
          <w:rFonts w:ascii="Aptos Display" w:eastAsia="Aptos Display" w:hAnsi="Aptos Display" w:cs="Aptos Display"/>
        </w:rPr>
      </w:pPr>
      <w:r w:rsidRPr="73CB5389">
        <w:rPr>
          <w:rFonts w:ascii="Aptos Display" w:eastAsia="Aptos Display" w:hAnsi="Aptos Display" w:cs="Aptos Display"/>
        </w:rPr>
        <w:lastRenderedPageBreak/>
        <w:t xml:space="preserve">References </w:t>
      </w:r>
      <w:r>
        <w:tab/>
      </w:r>
    </w:p>
    <w:p w14:paraId="24129B73" w14:textId="66486466" w:rsidR="32E20157" w:rsidRDefault="32E20157" w:rsidP="73CB5389">
      <w:pPr>
        <w:rPr>
          <w:rFonts w:ascii="Aptos" w:eastAsia="Aptos" w:hAnsi="Aptos" w:cs="Aptos"/>
          <w:color w:val="000000" w:themeColor="text1"/>
        </w:rPr>
      </w:pPr>
      <w:r w:rsidRPr="73CB5389">
        <w:rPr>
          <w:rFonts w:ascii="Aptos" w:eastAsia="Aptos" w:hAnsi="Aptos" w:cs="Aptos"/>
          <w:color w:val="000000" w:themeColor="text1"/>
        </w:rPr>
        <w:t xml:space="preserve">Bronfenbrenner, U. (1979) </w:t>
      </w:r>
      <w:r w:rsidRPr="73CB5389">
        <w:rPr>
          <w:rFonts w:ascii="Aptos" w:eastAsia="Aptos" w:hAnsi="Aptos" w:cs="Aptos"/>
          <w:i/>
          <w:iCs/>
          <w:color w:val="000000" w:themeColor="text1"/>
        </w:rPr>
        <w:t xml:space="preserve">The Ecology of Human Development. </w:t>
      </w:r>
      <w:r w:rsidRPr="73CB5389">
        <w:rPr>
          <w:rFonts w:ascii="Aptos" w:eastAsia="Aptos" w:hAnsi="Aptos" w:cs="Aptos"/>
          <w:color w:val="000000" w:themeColor="text1"/>
        </w:rPr>
        <w:t xml:space="preserve">Cambridge, MA: Harvard University Press. </w:t>
      </w:r>
    </w:p>
    <w:p w14:paraId="5838C70F" w14:textId="25D98C93" w:rsidR="32E20157" w:rsidRDefault="32E20157" w:rsidP="73CB5389">
      <w:pPr>
        <w:rPr>
          <w:rFonts w:ascii="Aptos" w:eastAsia="Aptos" w:hAnsi="Aptos" w:cs="Aptos"/>
        </w:rPr>
      </w:pPr>
      <w:r w:rsidRPr="73CB5389">
        <w:rPr>
          <w:rFonts w:ascii="Aptos" w:eastAsia="Aptos" w:hAnsi="Aptos" w:cs="Aptos"/>
        </w:rPr>
        <w:t xml:space="preserve">Blackwell, S. J. (2025) </w:t>
      </w:r>
      <w:r w:rsidRPr="73CB5389">
        <w:rPr>
          <w:rFonts w:ascii="Aptos" w:eastAsia="Aptos" w:hAnsi="Aptos" w:cs="Aptos"/>
          <w:i/>
          <w:iCs/>
        </w:rPr>
        <w:t xml:space="preserve">Impacts of Long Term Forest School Programmes on Children’s Resilience, Confidence and Wellbeing </w:t>
      </w:r>
      <w:r w:rsidRPr="73CB5389">
        <w:rPr>
          <w:rFonts w:ascii="Aptos" w:eastAsia="Aptos" w:hAnsi="Aptos" w:cs="Aptos"/>
        </w:rPr>
        <w:t xml:space="preserve">Available: </w:t>
      </w:r>
      <w:hyperlink r:id="rId7">
        <w:r w:rsidRPr="73CB5389">
          <w:rPr>
            <w:rStyle w:val="Hyperlink"/>
            <w:rFonts w:ascii="Aptos" w:eastAsia="Aptos" w:hAnsi="Aptos" w:cs="Aptos"/>
          </w:rPr>
          <w:t>https://www.academia.edu/13182036/Impacts_of_Long_Term_Forest_School_Programmes_on_Children_s_Resilience_Confidence_and_Wellbeing</w:t>
        </w:r>
      </w:hyperlink>
      <w:r w:rsidRPr="73CB5389">
        <w:rPr>
          <w:rFonts w:ascii="Aptos" w:eastAsia="Aptos" w:hAnsi="Aptos" w:cs="Aptos"/>
        </w:rPr>
        <w:t xml:space="preserve"> (Accessed: 09 April 2026)</w:t>
      </w:r>
    </w:p>
    <w:p w14:paraId="3662C2D9" w14:textId="2DF69E43" w:rsidR="32E20157" w:rsidRDefault="32E20157" w:rsidP="73CB5389">
      <w:pPr>
        <w:rPr>
          <w:rFonts w:ascii="Aptos" w:eastAsia="Aptos" w:hAnsi="Aptos" w:cs="Aptos"/>
        </w:rPr>
      </w:pPr>
      <w:r w:rsidRPr="73CB5389">
        <w:rPr>
          <w:rFonts w:ascii="Aptos" w:eastAsia="Aptos" w:hAnsi="Aptos" w:cs="Aptos"/>
        </w:rPr>
        <w:t xml:space="preserve">Children and Families (Wales) Measure 2010 Available: </w:t>
      </w:r>
      <w:hyperlink r:id="rId8">
        <w:r w:rsidRPr="73CB5389">
          <w:rPr>
            <w:rStyle w:val="Hyperlink"/>
            <w:rFonts w:ascii="Aptos" w:eastAsia="Aptos" w:hAnsi="Aptos" w:cs="Aptos"/>
          </w:rPr>
          <w:t>https://www.legislation.gov.uk/mwa/2010/1/contents</w:t>
        </w:r>
      </w:hyperlink>
      <w:r w:rsidRPr="73CB5389">
        <w:rPr>
          <w:rFonts w:ascii="Aptos" w:eastAsia="Aptos" w:hAnsi="Aptos" w:cs="Aptos"/>
        </w:rPr>
        <w:t xml:space="preserve"> (Accessed: 29 March 2026) </w:t>
      </w:r>
    </w:p>
    <w:p w14:paraId="36855CBA" w14:textId="186DFA43" w:rsidR="32E20157" w:rsidRDefault="32E20157" w:rsidP="73CB5389">
      <w:pPr>
        <w:rPr>
          <w:rFonts w:ascii="Aptos" w:eastAsia="Aptos" w:hAnsi="Aptos" w:cs="Aptos"/>
        </w:rPr>
      </w:pPr>
      <w:r w:rsidRPr="73CB5389">
        <w:rPr>
          <w:rFonts w:ascii="Aptos" w:eastAsia="Aptos" w:hAnsi="Aptos" w:cs="Aptos"/>
        </w:rPr>
        <w:t>Christie, B. Beames, S. and Higgins, P</w:t>
      </w:r>
      <w:r w:rsidRPr="73CB5389">
        <w:rPr>
          <w:rFonts w:ascii="Aptos" w:eastAsia="Aptos" w:hAnsi="Aptos" w:cs="Aptos"/>
          <w:i/>
          <w:iCs/>
        </w:rPr>
        <w:t xml:space="preserve">. ‘Context, culture and critical thinking: Scottish secondary school teachers’ and pupils’ experiences of outdoor learning’ </w:t>
      </w:r>
      <w:r w:rsidRPr="73CB5389">
        <w:rPr>
          <w:rFonts w:ascii="Aptos" w:eastAsia="Aptos" w:hAnsi="Aptos" w:cs="Aptos"/>
        </w:rPr>
        <w:t xml:space="preserve">British Educational Research Journal, 42(3) pp. 417-437 doi: </w:t>
      </w:r>
      <w:hyperlink r:id="rId9">
        <w:r w:rsidRPr="73CB5389">
          <w:rPr>
            <w:rStyle w:val="Hyperlink"/>
            <w:rFonts w:ascii="Open Sans" w:eastAsia="Open Sans" w:hAnsi="Open Sans" w:cs="Open Sans"/>
            <w:b/>
            <w:bCs/>
            <w:sz w:val="21"/>
            <w:szCs w:val="21"/>
          </w:rPr>
          <w:t>https://doi.org/10.1002/berj.3213</w:t>
        </w:r>
      </w:hyperlink>
      <w:r w:rsidRPr="73CB5389">
        <w:rPr>
          <w:rFonts w:ascii="Aptos" w:eastAsia="Aptos" w:hAnsi="Aptos" w:cs="Aptos"/>
        </w:rPr>
        <w:t xml:space="preserve"> </w:t>
      </w:r>
    </w:p>
    <w:p w14:paraId="02EBE763" w14:textId="723B7B85" w:rsidR="32E20157" w:rsidRDefault="32E20157" w:rsidP="73CB5389">
      <w:pPr>
        <w:rPr>
          <w:rFonts w:ascii="Arial" w:eastAsia="Arial" w:hAnsi="Arial" w:cs="Arial"/>
          <w:color w:val="0A0A0A"/>
        </w:rPr>
      </w:pPr>
      <w:r w:rsidRPr="73CB5389">
        <w:rPr>
          <w:rFonts w:ascii="Arial" w:eastAsia="Arial" w:hAnsi="Arial" w:cs="Arial"/>
          <w:i/>
          <w:iCs/>
          <w:color w:val="0A0A0A"/>
        </w:rPr>
        <w:t>Curriculum and Assessment (Wales) Act 2021</w:t>
      </w:r>
      <w:r w:rsidRPr="73CB5389">
        <w:rPr>
          <w:rFonts w:ascii="Arial" w:eastAsia="Arial" w:hAnsi="Arial" w:cs="Arial"/>
          <w:color w:val="0A0A0A"/>
        </w:rPr>
        <w:t xml:space="preserve">. (asc 4). Available: </w:t>
      </w:r>
      <w:hyperlink r:id="rId10">
        <w:r w:rsidRPr="73CB5389">
          <w:rPr>
            <w:rStyle w:val="Hyperlink"/>
            <w:rFonts w:ascii="Arial" w:eastAsia="Arial" w:hAnsi="Arial" w:cs="Arial"/>
          </w:rPr>
          <w:t>https://www.legislation.gov.uk/asc/2021/4</w:t>
        </w:r>
      </w:hyperlink>
      <w:r w:rsidRPr="73CB5389">
        <w:rPr>
          <w:rFonts w:ascii="Arial" w:eastAsia="Arial" w:hAnsi="Arial" w:cs="Arial"/>
          <w:color w:val="0A0A0A"/>
        </w:rPr>
        <w:t xml:space="preserve"> (Accessed: 26 March 2026) </w:t>
      </w:r>
    </w:p>
    <w:p w14:paraId="51402414" w14:textId="0E1BFF0C" w:rsidR="32E20157" w:rsidRDefault="32E20157" w:rsidP="73CB5389">
      <w:pPr>
        <w:rPr>
          <w:rFonts w:ascii="Aptos" w:eastAsia="Aptos" w:hAnsi="Aptos" w:cs="Aptos"/>
        </w:rPr>
      </w:pPr>
      <w:r w:rsidRPr="73CB5389">
        <w:rPr>
          <w:rFonts w:ascii="Arial" w:eastAsia="Arial" w:hAnsi="Arial" w:cs="Arial"/>
          <w:color w:val="0A0A0A"/>
        </w:rPr>
        <w:t xml:space="preserve">Department for Education (2021) </w:t>
      </w:r>
      <w:r w:rsidRPr="73CB5389">
        <w:rPr>
          <w:rFonts w:ascii="Aptos" w:eastAsia="Aptos" w:hAnsi="Aptos" w:cs="Aptos"/>
          <w:i/>
          <w:iCs/>
        </w:rPr>
        <w:t xml:space="preserve">Teachers’ Standards Guidance for school leaders, school staff and governing bodies </w:t>
      </w:r>
      <w:r w:rsidRPr="73CB5389">
        <w:rPr>
          <w:rFonts w:ascii="Aptos" w:eastAsia="Aptos" w:hAnsi="Aptos" w:cs="Aptos"/>
        </w:rPr>
        <w:t xml:space="preserve">Available: </w:t>
      </w:r>
      <w:hyperlink r:id="rId11">
        <w:r w:rsidRPr="73CB5389">
          <w:rPr>
            <w:rStyle w:val="Hyperlink"/>
            <w:rFonts w:ascii="Aptos" w:eastAsia="Aptos" w:hAnsi="Aptos" w:cs="Aptos"/>
          </w:rPr>
          <w:t>https://assets.publishing.service.gov.uk/media/61b73d6c8fa8f50384489c9a/Teachers__Standards_Dec_2021.pdf</w:t>
        </w:r>
      </w:hyperlink>
      <w:r w:rsidRPr="73CB5389">
        <w:rPr>
          <w:rFonts w:ascii="Aptos" w:eastAsia="Aptos" w:hAnsi="Aptos" w:cs="Aptos"/>
        </w:rPr>
        <w:t xml:space="preserve"> (Accessed: 09 April 2026) </w:t>
      </w:r>
    </w:p>
    <w:p w14:paraId="2CA25B79" w14:textId="6C0180E5" w:rsidR="32E20157" w:rsidRDefault="32E20157" w:rsidP="73CB5389">
      <w:pPr>
        <w:rPr>
          <w:rFonts w:ascii="Aptos" w:eastAsia="Aptos" w:hAnsi="Aptos" w:cs="Aptos"/>
        </w:rPr>
      </w:pPr>
      <w:r w:rsidRPr="73CB5389">
        <w:rPr>
          <w:rFonts w:ascii="Aptos" w:eastAsia="Aptos" w:hAnsi="Aptos" w:cs="Aptos"/>
        </w:rPr>
        <w:t>Estyn (2023)</w:t>
      </w:r>
      <w:r w:rsidRPr="73CB5389">
        <w:rPr>
          <w:rFonts w:ascii="Aptos" w:eastAsia="Aptos" w:hAnsi="Aptos" w:cs="Aptos"/>
          <w:i/>
          <w:iCs/>
        </w:rPr>
        <w:t xml:space="preserve"> The use of the outdoor learning environment to support pupils learning and well-being </w:t>
      </w:r>
      <w:r w:rsidRPr="73CB5389">
        <w:rPr>
          <w:rFonts w:ascii="Aptos" w:eastAsia="Aptos" w:hAnsi="Aptos" w:cs="Aptos"/>
        </w:rPr>
        <w:t xml:space="preserve">Available: </w:t>
      </w:r>
      <w:hyperlink r:id="rId12" w:anchor=":~:text=teaching%20and%20learning.-,Description%20of%20nature%20of%20strategy%20or%20activity,any%20pupils%20who%20need%20them">
        <w:r w:rsidRPr="73CB5389">
          <w:rPr>
            <w:rStyle w:val="Hyperlink"/>
            <w:rFonts w:ascii="Aptos" w:eastAsia="Aptos" w:hAnsi="Aptos" w:cs="Aptos"/>
          </w:rPr>
          <w:t>https://estyn.gov.wales/improvement-resources/the-use-of-the-outdoor-learning-environment-to-support-pupils-learning-and-well-being/#:~:text=teaching%20and%20learning.-,Description%20of%20nature%20of%20strategy%20or%20activity,any%20pupils%20who%20need%20them</w:t>
        </w:r>
      </w:hyperlink>
      <w:r w:rsidRPr="73CB5389">
        <w:rPr>
          <w:rFonts w:ascii="Aptos" w:eastAsia="Aptos" w:hAnsi="Aptos" w:cs="Aptos"/>
        </w:rPr>
        <w:t xml:space="preserve">. (Accessed: 26 March 2026) </w:t>
      </w:r>
    </w:p>
    <w:p w14:paraId="38621894" w14:textId="01E862D7" w:rsidR="32E20157" w:rsidRDefault="32E20157" w:rsidP="73CB5389">
      <w:pPr>
        <w:rPr>
          <w:rFonts w:ascii="Aptos" w:eastAsia="Aptos" w:hAnsi="Aptos" w:cs="Aptos"/>
        </w:rPr>
      </w:pPr>
      <w:r w:rsidRPr="73CB5389">
        <w:rPr>
          <w:rFonts w:ascii="Aptos" w:eastAsia="Aptos" w:hAnsi="Aptos" w:cs="Aptos"/>
        </w:rPr>
        <w:t xml:space="preserve">Froebel Trust (n.d) </w:t>
      </w:r>
      <w:r w:rsidRPr="73CB5389">
        <w:rPr>
          <w:rFonts w:ascii="Aptos" w:eastAsia="Aptos" w:hAnsi="Aptos" w:cs="Aptos"/>
          <w:i/>
          <w:iCs/>
        </w:rPr>
        <w:t xml:space="preserve">Froebelian principles </w:t>
      </w:r>
      <w:r w:rsidRPr="73CB5389">
        <w:rPr>
          <w:rFonts w:ascii="Aptos" w:eastAsia="Aptos" w:hAnsi="Aptos" w:cs="Aptos"/>
        </w:rPr>
        <w:t xml:space="preserve">Available: </w:t>
      </w:r>
      <w:hyperlink r:id="rId13">
        <w:r w:rsidRPr="73CB5389">
          <w:rPr>
            <w:rStyle w:val="Hyperlink"/>
            <w:rFonts w:ascii="Aptos" w:eastAsia="Aptos" w:hAnsi="Aptos" w:cs="Aptos"/>
          </w:rPr>
          <w:t>https://www.froebel.org.uk/about-us/froebelian-principles</w:t>
        </w:r>
      </w:hyperlink>
      <w:r w:rsidRPr="73CB5389">
        <w:rPr>
          <w:rFonts w:ascii="Aptos" w:eastAsia="Aptos" w:hAnsi="Aptos" w:cs="Aptos"/>
        </w:rPr>
        <w:t xml:space="preserve"> (Accessed: 30 March 2026) </w:t>
      </w:r>
    </w:p>
    <w:p w14:paraId="5F49CF90" w14:textId="2783B996" w:rsidR="32E20157" w:rsidRDefault="32E20157" w:rsidP="73CB5389">
      <w:pPr>
        <w:rPr>
          <w:rFonts w:ascii="Aptos" w:eastAsia="Aptos" w:hAnsi="Aptos" w:cs="Aptos"/>
        </w:rPr>
      </w:pPr>
      <w:r w:rsidRPr="73CB5389">
        <w:rPr>
          <w:rFonts w:ascii="Aptos" w:eastAsia="Aptos" w:hAnsi="Aptos" w:cs="Aptos"/>
        </w:rPr>
        <w:t xml:space="preserve">Forest School Association (2018) </w:t>
      </w:r>
      <w:r w:rsidRPr="73CB5389">
        <w:rPr>
          <w:rFonts w:ascii="Aptos" w:eastAsia="Aptos" w:hAnsi="Aptos" w:cs="Aptos"/>
          <w:i/>
          <w:iCs/>
        </w:rPr>
        <w:t xml:space="preserve">Why join the Forest School Association? </w:t>
      </w:r>
      <w:r w:rsidRPr="73CB5389">
        <w:rPr>
          <w:rFonts w:ascii="Aptos" w:eastAsia="Aptos" w:hAnsi="Aptos" w:cs="Aptos"/>
        </w:rPr>
        <w:t xml:space="preserve">Available: </w:t>
      </w:r>
      <w:hyperlink r:id="rId14">
        <w:r w:rsidRPr="73CB5389">
          <w:rPr>
            <w:rStyle w:val="Hyperlink"/>
            <w:rFonts w:ascii="Aptos" w:eastAsia="Aptos" w:hAnsi="Aptos" w:cs="Aptos"/>
          </w:rPr>
          <w:t>https://forestschoolassociation.org/why-join-the-forest-school-association/</w:t>
        </w:r>
      </w:hyperlink>
      <w:r w:rsidRPr="73CB5389">
        <w:rPr>
          <w:rFonts w:ascii="Aptos" w:eastAsia="Aptos" w:hAnsi="Aptos" w:cs="Aptos"/>
        </w:rPr>
        <w:t xml:space="preserve"> (Accessed: 09 April 2026) </w:t>
      </w:r>
    </w:p>
    <w:p w14:paraId="2656EE69" w14:textId="327A4C18" w:rsidR="32E20157" w:rsidRDefault="32E20157" w:rsidP="73CB5389">
      <w:pPr>
        <w:rPr>
          <w:rFonts w:ascii="Aptos" w:eastAsia="Aptos" w:hAnsi="Aptos" w:cs="Aptos"/>
        </w:rPr>
      </w:pPr>
      <w:r w:rsidRPr="73CB5389">
        <w:rPr>
          <w:rFonts w:ascii="Aptos" w:eastAsia="Aptos" w:hAnsi="Aptos" w:cs="Aptos"/>
        </w:rPr>
        <w:t xml:space="preserve">Forest School Association (n.d) </w:t>
      </w:r>
      <w:r w:rsidRPr="73CB5389">
        <w:rPr>
          <w:rFonts w:ascii="Aptos" w:eastAsia="Aptos" w:hAnsi="Aptos" w:cs="Aptos"/>
          <w:i/>
          <w:iCs/>
        </w:rPr>
        <w:t xml:space="preserve">What is Forest School? </w:t>
      </w:r>
      <w:r w:rsidRPr="73CB5389">
        <w:rPr>
          <w:rFonts w:ascii="Aptos" w:eastAsia="Aptos" w:hAnsi="Aptos" w:cs="Aptos"/>
        </w:rPr>
        <w:t xml:space="preserve">Available: </w:t>
      </w:r>
      <w:hyperlink r:id="rId15">
        <w:r w:rsidRPr="73CB5389">
          <w:rPr>
            <w:rStyle w:val="Hyperlink"/>
            <w:rFonts w:ascii="Aptos" w:eastAsia="Aptos" w:hAnsi="Aptos" w:cs="Aptos"/>
          </w:rPr>
          <w:t>https://forestschoolassociation.org/what-is-forest-school/</w:t>
        </w:r>
      </w:hyperlink>
      <w:r w:rsidRPr="73CB5389">
        <w:rPr>
          <w:rFonts w:ascii="Aptos" w:eastAsia="Aptos" w:hAnsi="Aptos" w:cs="Aptos"/>
        </w:rPr>
        <w:t xml:space="preserve"> (Accessed: 09 Apri; 2026) </w:t>
      </w:r>
    </w:p>
    <w:p w14:paraId="5B8C3F6E" w14:textId="75BDBACA" w:rsidR="32E20157" w:rsidRDefault="32E20157" w:rsidP="73CB5389">
      <w:pPr>
        <w:rPr>
          <w:rFonts w:ascii="Aptos" w:eastAsia="Aptos" w:hAnsi="Aptos" w:cs="Aptos"/>
        </w:rPr>
      </w:pPr>
      <w:r w:rsidRPr="73CB5389">
        <w:rPr>
          <w:rFonts w:ascii="Aptos" w:eastAsia="Aptos" w:hAnsi="Aptos" w:cs="Aptos"/>
        </w:rPr>
        <w:t xml:space="preserve">Forest School (2021) </w:t>
      </w:r>
      <w:r w:rsidRPr="73CB5389">
        <w:rPr>
          <w:rFonts w:ascii="Aptos" w:eastAsia="Aptos" w:hAnsi="Aptos" w:cs="Aptos"/>
          <w:i/>
          <w:iCs/>
        </w:rPr>
        <w:t xml:space="preserve">What is Forest School? (In a 5 minute nutshell) </w:t>
      </w:r>
      <w:r w:rsidRPr="73CB5389">
        <w:rPr>
          <w:rFonts w:ascii="Aptos" w:eastAsia="Aptos" w:hAnsi="Aptos" w:cs="Aptos"/>
        </w:rPr>
        <w:t xml:space="preserve">[ YouTube video] Available: </w:t>
      </w:r>
      <w:hyperlink r:id="rId16">
        <w:r w:rsidRPr="73CB5389">
          <w:rPr>
            <w:rStyle w:val="Hyperlink"/>
            <w:rFonts w:ascii="Aptos" w:eastAsia="Aptos" w:hAnsi="Aptos" w:cs="Aptos"/>
          </w:rPr>
          <w:t>https://www.youtube.com/watch?v=5qCN0JHeR-Y</w:t>
        </w:r>
      </w:hyperlink>
      <w:r w:rsidRPr="73CB5389">
        <w:rPr>
          <w:rFonts w:ascii="Aptos" w:eastAsia="Aptos" w:hAnsi="Aptos" w:cs="Aptos"/>
        </w:rPr>
        <w:t xml:space="preserve"> (Accessed: 09 April 2026) </w:t>
      </w:r>
    </w:p>
    <w:p w14:paraId="37611F07" w14:textId="5A589D62" w:rsidR="32E20157" w:rsidRDefault="32E20157" w:rsidP="73CB5389">
      <w:pPr>
        <w:rPr>
          <w:rFonts w:ascii="Aptos" w:eastAsia="Aptos" w:hAnsi="Aptos" w:cs="Aptos"/>
        </w:rPr>
      </w:pPr>
      <w:r w:rsidRPr="73CB5389">
        <w:rPr>
          <w:rFonts w:ascii="Aptos" w:eastAsia="Aptos" w:hAnsi="Aptos" w:cs="Aptos"/>
        </w:rPr>
        <w:lastRenderedPageBreak/>
        <w:t>Garden, A. and Downes, G. (2021)</w:t>
      </w:r>
      <w:r w:rsidRPr="73CB5389">
        <w:rPr>
          <w:rFonts w:ascii="Aptos" w:eastAsia="Aptos" w:hAnsi="Aptos" w:cs="Aptos"/>
          <w:i/>
          <w:iCs/>
        </w:rPr>
        <w:t xml:space="preserve"> </w:t>
      </w:r>
      <w:r w:rsidRPr="73CB5389">
        <w:rPr>
          <w:rFonts w:ascii="Aptos" w:eastAsia="Aptos" w:hAnsi="Aptos" w:cs="Aptos"/>
        </w:rPr>
        <w:t xml:space="preserve">‘A systematic review of forest schools literature in England’ </w:t>
      </w:r>
      <w:r w:rsidRPr="73CB5389">
        <w:rPr>
          <w:rFonts w:ascii="Aptos" w:eastAsia="Aptos" w:hAnsi="Aptos" w:cs="Aptos"/>
          <w:i/>
          <w:iCs/>
        </w:rPr>
        <w:t xml:space="preserve">Education 3-13, </w:t>
      </w:r>
      <w:r w:rsidRPr="73CB5389">
        <w:rPr>
          <w:rFonts w:ascii="Aptos" w:eastAsia="Aptos" w:hAnsi="Aptos" w:cs="Aptos"/>
        </w:rPr>
        <w:t xml:space="preserve">51(1) </w:t>
      </w:r>
      <w:r w:rsidRPr="73CB5389">
        <w:rPr>
          <w:rFonts w:ascii="Aptos" w:eastAsia="Aptos" w:hAnsi="Aptos" w:cs="Aptos"/>
          <w:color w:val="000000" w:themeColor="text1"/>
        </w:rPr>
        <w:t>DOI</w:t>
      </w:r>
      <w:r w:rsidRPr="73CB5389">
        <w:rPr>
          <w:rFonts w:ascii="Roboto" w:eastAsia="Roboto" w:hAnsi="Roboto" w:cs="Roboto"/>
          <w:color w:val="555555"/>
          <w:sz w:val="21"/>
          <w:szCs w:val="21"/>
        </w:rPr>
        <w:t>:</w:t>
      </w:r>
      <w:hyperlink r:id="rId17">
        <w:r w:rsidRPr="73CB5389">
          <w:rPr>
            <w:rStyle w:val="Hyperlink"/>
            <w:rFonts w:ascii="Roboto" w:eastAsia="Roboto" w:hAnsi="Roboto" w:cs="Roboto"/>
            <w:sz w:val="21"/>
            <w:szCs w:val="21"/>
          </w:rPr>
          <w:t>10.1080/03004279.2021.1971275</w:t>
        </w:r>
      </w:hyperlink>
      <w:r w:rsidRPr="73CB5389">
        <w:rPr>
          <w:rFonts w:ascii="Aptos" w:eastAsia="Aptos" w:hAnsi="Aptos" w:cs="Aptos"/>
        </w:rPr>
        <w:t xml:space="preserve"> </w:t>
      </w:r>
    </w:p>
    <w:p w14:paraId="6FE3B3A0" w14:textId="70C751D5" w:rsidR="32E20157" w:rsidRDefault="32E20157" w:rsidP="73CB5389">
      <w:pPr>
        <w:rPr>
          <w:rFonts w:ascii="Aptos" w:eastAsia="Aptos" w:hAnsi="Aptos" w:cs="Aptos"/>
        </w:rPr>
      </w:pPr>
      <w:r w:rsidRPr="73CB5389">
        <w:rPr>
          <w:rFonts w:ascii="Aptos" w:eastAsia="Aptos" w:hAnsi="Aptos" w:cs="Aptos"/>
        </w:rPr>
        <w:t xml:space="preserve"> Harvey, D. (2012) </w:t>
      </w:r>
      <w:r w:rsidRPr="73CB5389">
        <w:rPr>
          <w:rFonts w:ascii="Aptos" w:eastAsia="Aptos" w:hAnsi="Aptos" w:cs="Aptos"/>
          <w:i/>
          <w:iCs/>
        </w:rPr>
        <w:t>What is Outdoor Learning?</w:t>
      </w:r>
      <w:r w:rsidRPr="73CB5389">
        <w:rPr>
          <w:rFonts w:ascii="Aptos" w:eastAsia="Aptos" w:hAnsi="Aptos" w:cs="Aptos"/>
        </w:rPr>
        <w:t xml:space="preserve"> Available: </w:t>
      </w:r>
      <w:hyperlink r:id="rId18">
        <w:r w:rsidRPr="73CB5389">
          <w:rPr>
            <w:rStyle w:val="Hyperlink"/>
            <w:rFonts w:ascii="Aptos" w:eastAsia="Aptos" w:hAnsi="Aptos" w:cs="Aptos"/>
          </w:rPr>
          <w:t>https://www.outdoor-learning-research.org/Portals/0/Research%20Documents/Horizons%20Archive/H57.WhatIsOutdoorLearning.pdf</w:t>
        </w:r>
      </w:hyperlink>
      <w:r w:rsidRPr="73CB5389">
        <w:rPr>
          <w:rFonts w:ascii="Aptos" w:eastAsia="Aptos" w:hAnsi="Aptos" w:cs="Aptos"/>
        </w:rPr>
        <w:t xml:space="preserve"> (Accessed: 23 March 2026) </w:t>
      </w:r>
    </w:p>
    <w:p w14:paraId="767E2353" w14:textId="64508D52" w:rsidR="32E20157" w:rsidRDefault="32E20157" w:rsidP="73CB5389">
      <w:pPr>
        <w:rPr>
          <w:rFonts w:ascii="Aptos" w:eastAsia="Aptos" w:hAnsi="Aptos" w:cs="Aptos"/>
        </w:rPr>
      </w:pPr>
      <w:r w:rsidRPr="73CB5389">
        <w:rPr>
          <w:rFonts w:ascii="Aptos" w:eastAsia="Aptos" w:hAnsi="Aptos" w:cs="Aptos"/>
        </w:rPr>
        <w:t xml:space="preserve">Institute for Outdoor Learning (2025) </w:t>
      </w:r>
      <w:r w:rsidRPr="73CB5389">
        <w:rPr>
          <w:rFonts w:ascii="Aptos" w:eastAsia="Aptos" w:hAnsi="Aptos" w:cs="Aptos"/>
          <w:i/>
          <w:iCs/>
        </w:rPr>
        <w:t>High Quality Outdoor Learning.</w:t>
      </w:r>
      <w:r w:rsidRPr="73CB5389">
        <w:rPr>
          <w:rFonts w:ascii="Aptos" w:eastAsia="Aptos" w:hAnsi="Aptos" w:cs="Aptos"/>
        </w:rPr>
        <w:t xml:space="preserve"> Available: </w:t>
      </w:r>
      <w:hyperlink r:id="rId19">
        <w:r w:rsidRPr="73CB5389">
          <w:rPr>
            <w:rStyle w:val="Hyperlink"/>
            <w:rFonts w:ascii="Aptos" w:eastAsia="Aptos" w:hAnsi="Aptos" w:cs="Aptos"/>
          </w:rPr>
          <w:t>https://www.outdoor-learning.org/standards/high-quality-outdoor-learning.html</w:t>
        </w:r>
      </w:hyperlink>
      <w:r w:rsidRPr="73CB5389">
        <w:rPr>
          <w:rFonts w:ascii="Aptos" w:eastAsia="Aptos" w:hAnsi="Aptos" w:cs="Aptos"/>
        </w:rPr>
        <w:t xml:space="preserve"> (Accessed: 09 April 2026) </w:t>
      </w:r>
    </w:p>
    <w:p w14:paraId="0EC35415" w14:textId="1A165A2E" w:rsidR="32E20157" w:rsidRDefault="32E20157" w:rsidP="73CB5389">
      <w:pPr>
        <w:rPr>
          <w:rFonts w:ascii="Aptos" w:eastAsia="Aptos" w:hAnsi="Aptos" w:cs="Aptos"/>
          <w:color w:val="000000" w:themeColor="text1"/>
        </w:rPr>
      </w:pPr>
      <w:r w:rsidRPr="73CB5389">
        <w:rPr>
          <w:rFonts w:ascii="Aptos" w:eastAsia="Aptos" w:hAnsi="Aptos" w:cs="Aptos"/>
          <w:color w:val="000000" w:themeColor="text1"/>
        </w:rPr>
        <w:t>Jeffs, T. and Ord, J. (eds.) (2019)</w:t>
      </w:r>
      <w:r w:rsidRPr="73CB5389">
        <w:rPr>
          <w:rStyle w:val="apple-converted-space"/>
          <w:rFonts w:ascii="Aptos" w:eastAsia="Aptos" w:hAnsi="Aptos" w:cs="Aptos"/>
          <w:color w:val="000000" w:themeColor="text1"/>
        </w:rPr>
        <w:t> </w:t>
      </w:r>
      <w:r w:rsidRPr="73CB5389">
        <w:rPr>
          <w:rFonts w:ascii="Aptos" w:eastAsia="Aptos" w:hAnsi="Aptos" w:cs="Aptos"/>
          <w:i/>
          <w:iCs/>
          <w:color w:val="000000" w:themeColor="text1"/>
        </w:rPr>
        <w:t>Rethinking outdoor, experiential and informal education</w:t>
      </w:r>
      <w:r w:rsidRPr="73CB5389">
        <w:rPr>
          <w:rFonts w:ascii="Arial" w:eastAsia="Arial" w:hAnsi="Arial" w:cs="Arial"/>
          <w:i/>
          <w:iCs/>
          <w:color w:val="000000" w:themeColor="text1"/>
        </w:rPr>
        <w:t> </w:t>
      </w:r>
      <w:r w:rsidRPr="73CB5389">
        <w:rPr>
          <w:rFonts w:ascii="Aptos" w:eastAsia="Aptos" w:hAnsi="Aptos" w:cs="Aptos"/>
          <w:i/>
          <w:iCs/>
          <w:color w:val="000000" w:themeColor="text1"/>
        </w:rPr>
        <w:t>: beyond the confines</w:t>
      </w:r>
      <w:r w:rsidRPr="73CB5389">
        <w:rPr>
          <w:rFonts w:ascii="Aptos" w:eastAsia="Aptos" w:hAnsi="Aptos" w:cs="Aptos"/>
          <w:color w:val="000000" w:themeColor="text1"/>
        </w:rPr>
        <w:t>. 1st ed. London, [England]</w:t>
      </w:r>
      <w:r w:rsidRPr="73CB5389">
        <w:rPr>
          <w:rFonts w:ascii="Arial" w:eastAsia="Arial" w:hAnsi="Arial" w:cs="Arial"/>
          <w:color w:val="000000" w:themeColor="text1"/>
        </w:rPr>
        <w:t> </w:t>
      </w:r>
      <w:r w:rsidRPr="73CB5389">
        <w:rPr>
          <w:rFonts w:ascii="Aptos" w:eastAsia="Aptos" w:hAnsi="Aptos" w:cs="Aptos"/>
          <w:color w:val="000000" w:themeColor="text1"/>
        </w:rPr>
        <w:t xml:space="preserve">; Routledge. </w:t>
      </w:r>
    </w:p>
    <w:p w14:paraId="5DE3A191" w14:textId="6EC0B6DA" w:rsidR="32E20157" w:rsidRDefault="32E20157" w:rsidP="73CB5389">
      <w:pPr>
        <w:pStyle w:val="Heading2"/>
        <w:spacing w:before="0" w:after="210" w:line="312" w:lineRule="atLeast"/>
        <w:rPr>
          <w:rFonts w:ascii="Aptos" w:eastAsia="Aptos" w:hAnsi="Aptos" w:cs="Aptos"/>
          <w:color w:val="000000" w:themeColor="text1"/>
          <w:sz w:val="24"/>
          <w:szCs w:val="24"/>
        </w:rPr>
      </w:pPr>
      <w:r w:rsidRPr="73CB5389">
        <w:rPr>
          <w:rFonts w:ascii="Aptos" w:eastAsia="Aptos" w:hAnsi="Aptos" w:cs="Aptos"/>
          <w:color w:val="000000" w:themeColor="text1"/>
          <w:sz w:val="24"/>
          <w:szCs w:val="24"/>
        </w:rPr>
        <w:t xml:space="preserve">Learning Through Landscapes (2023) </w:t>
      </w:r>
      <w:r w:rsidRPr="73CB5389">
        <w:rPr>
          <w:rFonts w:ascii="Aptos" w:eastAsia="Aptos" w:hAnsi="Aptos" w:cs="Aptos"/>
          <w:i/>
          <w:iCs/>
          <w:color w:val="000000" w:themeColor="text1"/>
          <w:sz w:val="24"/>
          <w:szCs w:val="24"/>
        </w:rPr>
        <w:t xml:space="preserve">How outdoor learning can help you fulfil the four purposes of the new Curriculum for Wales </w:t>
      </w:r>
      <w:r w:rsidRPr="73CB5389">
        <w:rPr>
          <w:rFonts w:ascii="Aptos" w:eastAsia="Aptos" w:hAnsi="Aptos" w:cs="Aptos"/>
          <w:color w:val="000000" w:themeColor="text1"/>
          <w:sz w:val="24"/>
          <w:szCs w:val="24"/>
        </w:rPr>
        <w:t xml:space="preserve">Available: </w:t>
      </w:r>
      <w:hyperlink r:id="rId20">
        <w:r w:rsidRPr="73CB5389">
          <w:rPr>
            <w:rStyle w:val="Hyperlink"/>
            <w:rFonts w:ascii="Aptos" w:eastAsia="Aptos" w:hAnsi="Aptos" w:cs="Aptos"/>
            <w:sz w:val="24"/>
            <w:szCs w:val="24"/>
          </w:rPr>
          <w:t>https://ltl.org.uk/news/how-outdoor-learning-can-help-you-fulfil-the-four-purposes-of-the-new-curriculum-for-wales/</w:t>
        </w:r>
      </w:hyperlink>
      <w:r w:rsidRPr="73CB5389">
        <w:rPr>
          <w:rFonts w:ascii="Aptos" w:eastAsia="Aptos" w:hAnsi="Aptos" w:cs="Aptos"/>
          <w:color w:val="000000" w:themeColor="text1"/>
          <w:sz w:val="24"/>
          <w:szCs w:val="24"/>
        </w:rPr>
        <w:t xml:space="preserve"> (Accessed: 23 March 2026) </w:t>
      </w:r>
    </w:p>
    <w:p w14:paraId="1AE39E4C" w14:textId="647777FB" w:rsidR="32E20157" w:rsidRDefault="32E20157" w:rsidP="73CB5389">
      <w:pPr>
        <w:rPr>
          <w:rFonts w:ascii="Aptos" w:eastAsia="Aptos" w:hAnsi="Aptos" w:cs="Aptos"/>
        </w:rPr>
      </w:pPr>
      <w:r w:rsidRPr="73CB5389">
        <w:rPr>
          <w:rFonts w:ascii="Aptos" w:eastAsia="Aptos" w:hAnsi="Aptos" w:cs="Aptos"/>
          <w:color w:val="222222"/>
        </w:rPr>
        <w:t xml:space="preserve">Prince, H. &amp; Diggory, O. (2024) ‘Recognition and reporting of Outdoor learning in primary schools in England’, </w:t>
      </w:r>
      <w:r w:rsidRPr="73CB5389">
        <w:rPr>
          <w:rFonts w:ascii="Aptos" w:eastAsia="Aptos" w:hAnsi="Aptos" w:cs="Aptos"/>
          <w:i/>
          <w:iCs/>
          <w:color w:val="222222"/>
        </w:rPr>
        <w:t xml:space="preserve">Journal of </w:t>
      </w:r>
      <w:r w:rsidRPr="73CB5389">
        <w:rPr>
          <w:rFonts w:ascii="Aptos" w:eastAsia="Aptos" w:hAnsi="Aptos" w:cs="Aptos"/>
          <w:color w:val="222222"/>
        </w:rPr>
        <w:t xml:space="preserve">Adventure Education and Outdoor Learning, 24(4) pp.553-565. Doi: </w:t>
      </w:r>
      <w:hyperlink r:id="rId21">
        <w:r w:rsidRPr="73CB5389">
          <w:rPr>
            <w:rStyle w:val="Hyperlink"/>
            <w:rFonts w:ascii="Aptos" w:eastAsia="Aptos" w:hAnsi="Aptos" w:cs="Aptos"/>
          </w:rPr>
          <w:t>https://doi.org/10.1080/14729679.2023.2166544</w:t>
        </w:r>
      </w:hyperlink>
      <w:r w:rsidRPr="73CB5389">
        <w:rPr>
          <w:rFonts w:ascii="Aptos" w:eastAsia="Aptos" w:hAnsi="Aptos" w:cs="Aptos"/>
        </w:rPr>
        <w:t xml:space="preserve"> </w:t>
      </w:r>
    </w:p>
    <w:p w14:paraId="24E3B0DB" w14:textId="5416B8E8" w:rsidR="32E20157" w:rsidRDefault="32E20157" w:rsidP="73CB5389">
      <w:pPr>
        <w:rPr>
          <w:rFonts w:ascii="Aptos" w:eastAsia="Aptos" w:hAnsi="Aptos" w:cs="Aptos"/>
        </w:rPr>
      </w:pPr>
      <w:r w:rsidRPr="73CB5389">
        <w:rPr>
          <w:rFonts w:ascii="Aptos" w:eastAsia="Aptos" w:hAnsi="Aptos" w:cs="Aptos"/>
        </w:rPr>
        <w:t xml:space="preserve">Reggio Children (2022) </w:t>
      </w:r>
      <w:r w:rsidRPr="73CB5389">
        <w:rPr>
          <w:rFonts w:ascii="Aptos" w:eastAsia="Aptos" w:hAnsi="Aptos" w:cs="Aptos"/>
          <w:i/>
          <w:iCs/>
        </w:rPr>
        <w:t>Values</w:t>
      </w:r>
      <w:r w:rsidRPr="73CB5389">
        <w:rPr>
          <w:rFonts w:ascii="Aptos" w:eastAsia="Aptos" w:hAnsi="Aptos" w:cs="Aptos"/>
        </w:rPr>
        <w:t xml:space="preserve"> Available: </w:t>
      </w:r>
      <w:hyperlink r:id="rId22">
        <w:r w:rsidRPr="73CB5389">
          <w:rPr>
            <w:rStyle w:val="Hyperlink"/>
            <w:rFonts w:ascii="Aptos" w:eastAsia="Aptos" w:hAnsi="Aptos" w:cs="Aptos"/>
          </w:rPr>
          <w:t>https://www.reggiochildren.it/en/reggio-emilia-approach/valori-en/</w:t>
        </w:r>
      </w:hyperlink>
      <w:r w:rsidRPr="73CB5389">
        <w:rPr>
          <w:rFonts w:ascii="Aptos" w:eastAsia="Aptos" w:hAnsi="Aptos" w:cs="Aptos"/>
        </w:rPr>
        <w:t xml:space="preserve"> (Accessed: 09 April 2026) </w:t>
      </w:r>
    </w:p>
    <w:p w14:paraId="1276B527" w14:textId="77FA2B61" w:rsidR="32E20157" w:rsidRDefault="32E20157" w:rsidP="73CB5389">
      <w:pPr>
        <w:rPr>
          <w:rFonts w:ascii="Aptos" w:eastAsia="Aptos" w:hAnsi="Aptos" w:cs="Aptos"/>
        </w:rPr>
      </w:pPr>
      <w:r w:rsidRPr="73CB5389">
        <w:rPr>
          <w:rFonts w:ascii="Aptos" w:eastAsia="Aptos" w:hAnsi="Aptos" w:cs="Aptos"/>
        </w:rPr>
        <w:t xml:space="preserve">Stavrianos, A. (2024) </w:t>
      </w:r>
      <w:r w:rsidRPr="73CB5389">
        <w:rPr>
          <w:rFonts w:ascii="Aptos" w:eastAsia="Aptos" w:hAnsi="Aptos" w:cs="Aptos"/>
          <w:i/>
          <w:iCs/>
        </w:rPr>
        <w:t>how</w:t>
      </w:r>
      <w:r w:rsidRPr="73CB5389">
        <w:rPr>
          <w:rStyle w:val="s1"/>
          <w:rFonts w:ascii="Arial" w:eastAsia="Arial" w:hAnsi="Arial" w:cs="Arial"/>
          <w:i/>
          <w:iCs/>
        </w:rPr>
        <w:t xml:space="preserve"> </w:t>
      </w:r>
      <w:r w:rsidRPr="73CB5389">
        <w:rPr>
          <w:rFonts w:ascii="Aptos" w:eastAsia="Aptos" w:hAnsi="Aptos" w:cs="Aptos"/>
          <w:i/>
          <w:iCs/>
        </w:rPr>
        <w:t>forest</w:t>
      </w:r>
      <w:r w:rsidRPr="73CB5389">
        <w:rPr>
          <w:rStyle w:val="s1"/>
          <w:rFonts w:ascii="Arial" w:eastAsia="Arial" w:hAnsi="Arial" w:cs="Arial"/>
          <w:i/>
          <w:iCs/>
        </w:rPr>
        <w:t xml:space="preserve"> </w:t>
      </w:r>
      <w:r w:rsidRPr="73CB5389">
        <w:rPr>
          <w:rFonts w:ascii="Aptos" w:eastAsia="Aptos" w:hAnsi="Aptos" w:cs="Aptos"/>
          <w:i/>
          <w:iCs/>
        </w:rPr>
        <w:t>school</w:t>
      </w:r>
      <w:r w:rsidRPr="73CB5389">
        <w:rPr>
          <w:rStyle w:val="s1"/>
          <w:rFonts w:ascii="Arial" w:eastAsia="Arial" w:hAnsi="Arial" w:cs="Arial"/>
          <w:i/>
          <w:iCs/>
        </w:rPr>
        <w:t xml:space="preserve"> </w:t>
      </w:r>
      <w:r w:rsidRPr="73CB5389">
        <w:rPr>
          <w:rFonts w:ascii="Aptos" w:eastAsia="Aptos" w:hAnsi="Aptos" w:cs="Aptos"/>
          <w:i/>
          <w:iCs/>
        </w:rPr>
        <w:t>supports</w:t>
      </w:r>
      <w:r w:rsidRPr="73CB5389">
        <w:rPr>
          <w:rStyle w:val="s1"/>
          <w:rFonts w:ascii="Arial" w:eastAsia="Arial" w:hAnsi="Arial" w:cs="Arial"/>
          <w:i/>
          <w:iCs/>
        </w:rPr>
        <w:t xml:space="preserve"> </w:t>
      </w:r>
      <w:r w:rsidRPr="73CB5389">
        <w:rPr>
          <w:rFonts w:ascii="Aptos" w:eastAsia="Aptos" w:hAnsi="Aptos" w:cs="Aptos"/>
          <w:i/>
          <w:iCs/>
        </w:rPr>
        <w:t>inclusive practices:</w:t>
      </w:r>
      <w:r w:rsidRPr="73CB5389">
        <w:rPr>
          <w:rStyle w:val="s1"/>
          <w:rFonts w:ascii="Arial" w:eastAsia="Arial" w:hAnsi="Arial" w:cs="Arial"/>
          <w:i/>
          <w:iCs/>
        </w:rPr>
        <w:t xml:space="preserve"> </w:t>
      </w:r>
      <w:r w:rsidRPr="73CB5389">
        <w:rPr>
          <w:rFonts w:ascii="Aptos" w:eastAsia="Aptos" w:hAnsi="Aptos" w:cs="Aptos"/>
          <w:i/>
          <w:iCs/>
        </w:rPr>
        <w:t>observations</w:t>
      </w:r>
      <w:r w:rsidRPr="73CB5389">
        <w:rPr>
          <w:rStyle w:val="s1"/>
          <w:rFonts w:ascii="Arial" w:eastAsia="Arial" w:hAnsi="Arial" w:cs="Arial"/>
          <w:i/>
          <w:iCs/>
        </w:rPr>
        <w:t xml:space="preserve"> </w:t>
      </w:r>
      <w:r w:rsidRPr="73CB5389">
        <w:rPr>
          <w:rFonts w:ascii="Aptos" w:eastAsia="Aptos" w:hAnsi="Aptos" w:cs="Aptos"/>
          <w:i/>
          <w:iCs/>
        </w:rPr>
        <w:t>of</w:t>
      </w:r>
      <w:r w:rsidRPr="73CB5389">
        <w:rPr>
          <w:rStyle w:val="s1"/>
          <w:rFonts w:ascii="Arial" w:eastAsia="Arial" w:hAnsi="Arial" w:cs="Arial"/>
          <w:i/>
          <w:iCs/>
        </w:rPr>
        <w:t xml:space="preserve"> </w:t>
      </w:r>
      <w:r w:rsidRPr="73CB5389">
        <w:rPr>
          <w:rFonts w:ascii="Aptos" w:eastAsia="Aptos" w:hAnsi="Aptos" w:cs="Aptos"/>
          <w:i/>
          <w:iCs/>
        </w:rPr>
        <w:t>child engagement</w:t>
      </w:r>
      <w:r w:rsidRPr="73CB5389">
        <w:rPr>
          <w:rStyle w:val="s1"/>
          <w:rFonts w:ascii="Arial" w:eastAsia="Arial" w:hAnsi="Arial" w:cs="Arial"/>
          <w:i/>
          <w:iCs/>
        </w:rPr>
        <w:t xml:space="preserve"> </w:t>
      </w:r>
      <w:r w:rsidRPr="73CB5389">
        <w:rPr>
          <w:rFonts w:ascii="Aptos" w:eastAsia="Aptos" w:hAnsi="Aptos" w:cs="Aptos"/>
          <w:i/>
          <w:iCs/>
        </w:rPr>
        <w:t>and</w:t>
      </w:r>
      <w:r w:rsidRPr="73CB5389">
        <w:rPr>
          <w:rStyle w:val="s1"/>
          <w:rFonts w:ascii="Arial" w:eastAsia="Arial" w:hAnsi="Arial" w:cs="Arial"/>
          <w:i/>
          <w:iCs/>
        </w:rPr>
        <w:t xml:space="preserve"> </w:t>
      </w:r>
      <w:r w:rsidRPr="73CB5389">
        <w:rPr>
          <w:rFonts w:ascii="Aptos" w:eastAsia="Aptos" w:hAnsi="Aptos" w:cs="Aptos"/>
          <w:i/>
          <w:iCs/>
        </w:rPr>
        <w:t>views</w:t>
      </w:r>
      <w:r w:rsidRPr="73CB5389">
        <w:rPr>
          <w:rStyle w:val="s1"/>
          <w:rFonts w:ascii="Arial" w:eastAsia="Arial" w:hAnsi="Arial" w:cs="Arial"/>
          <w:i/>
          <w:iCs/>
        </w:rPr>
        <w:t xml:space="preserve"> </w:t>
      </w:r>
      <w:r w:rsidRPr="73CB5389">
        <w:rPr>
          <w:rFonts w:ascii="Aptos" w:eastAsia="Aptos" w:hAnsi="Aptos" w:cs="Aptos"/>
          <w:i/>
          <w:iCs/>
        </w:rPr>
        <w:t>of</w:t>
      </w:r>
      <w:r w:rsidRPr="73CB5389">
        <w:rPr>
          <w:rStyle w:val="s1"/>
          <w:rFonts w:ascii="Arial" w:eastAsia="Arial" w:hAnsi="Arial" w:cs="Arial"/>
          <w:i/>
          <w:iCs/>
        </w:rPr>
        <w:t xml:space="preserve"> </w:t>
      </w:r>
      <w:r w:rsidRPr="73CB5389">
        <w:rPr>
          <w:rFonts w:ascii="Aptos" w:eastAsia="Aptos" w:hAnsi="Aptos" w:cs="Aptos"/>
          <w:i/>
          <w:iCs/>
        </w:rPr>
        <w:t>teachers</w:t>
      </w:r>
      <w:r w:rsidRPr="73CB5389">
        <w:rPr>
          <w:rStyle w:val="s1"/>
          <w:rFonts w:ascii="Arial" w:eastAsia="Arial" w:hAnsi="Arial" w:cs="Arial"/>
          <w:i/>
          <w:iCs/>
        </w:rPr>
        <w:t xml:space="preserve"> </w:t>
      </w:r>
      <w:r w:rsidRPr="73CB5389">
        <w:rPr>
          <w:rFonts w:ascii="Aptos" w:eastAsia="Aptos" w:hAnsi="Aptos" w:cs="Aptos"/>
          <w:i/>
          <w:iCs/>
        </w:rPr>
        <w:t>and parents</w:t>
      </w:r>
      <w:r w:rsidRPr="73CB5389">
        <w:rPr>
          <w:rStyle w:val="s1"/>
          <w:rFonts w:ascii="Arial" w:eastAsia="Arial" w:hAnsi="Arial" w:cs="Arial"/>
          <w:i/>
          <w:iCs/>
        </w:rPr>
        <w:t xml:space="preserve"> </w:t>
      </w:r>
      <w:r w:rsidRPr="73CB5389">
        <w:rPr>
          <w:rFonts w:ascii="Aptos" w:eastAsia="Aptos" w:hAnsi="Aptos" w:cs="Aptos"/>
          <w:i/>
          <w:iCs/>
        </w:rPr>
        <w:t>in</w:t>
      </w:r>
      <w:r w:rsidRPr="73CB5389">
        <w:rPr>
          <w:rStyle w:val="s1"/>
          <w:rFonts w:ascii="Arial" w:eastAsia="Arial" w:hAnsi="Arial" w:cs="Arial"/>
          <w:i/>
          <w:iCs/>
        </w:rPr>
        <w:t xml:space="preserve"> </w:t>
      </w:r>
      <w:r w:rsidRPr="73CB5389">
        <w:rPr>
          <w:rFonts w:ascii="Aptos" w:eastAsia="Aptos" w:hAnsi="Aptos" w:cs="Aptos"/>
          <w:i/>
          <w:iCs/>
        </w:rPr>
        <w:t>one</w:t>
      </w:r>
      <w:r w:rsidRPr="73CB5389">
        <w:rPr>
          <w:rStyle w:val="s1"/>
          <w:rFonts w:ascii="Arial" w:eastAsia="Arial" w:hAnsi="Arial" w:cs="Arial"/>
          <w:i/>
          <w:iCs/>
        </w:rPr>
        <w:t xml:space="preserve"> </w:t>
      </w:r>
      <w:r w:rsidRPr="73CB5389">
        <w:rPr>
          <w:rFonts w:ascii="Aptos" w:eastAsia="Aptos" w:hAnsi="Aptos" w:cs="Aptos"/>
          <w:i/>
          <w:iCs/>
        </w:rPr>
        <w:t>English</w:t>
      </w:r>
      <w:r w:rsidRPr="73CB5389">
        <w:rPr>
          <w:rStyle w:val="s1"/>
          <w:rFonts w:ascii="Arial" w:eastAsia="Arial" w:hAnsi="Arial" w:cs="Arial"/>
          <w:i/>
          <w:iCs/>
        </w:rPr>
        <w:t xml:space="preserve"> </w:t>
      </w:r>
      <w:r w:rsidRPr="73CB5389">
        <w:rPr>
          <w:rFonts w:ascii="Aptos" w:eastAsia="Aptos" w:hAnsi="Aptos" w:cs="Aptos"/>
          <w:i/>
          <w:iCs/>
        </w:rPr>
        <w:t>primary</w:t>
      </w:r>
      <w:r w:rsidRPr="73CB5389">
        <w:rPr>
          <w:rStyle w:val="s1"/>
          <w:rFonts w:ascii="Arial" w:eastAsia="Arial" w:hAnsi="Arial" w:cs="Arial"/>
          <w:i/>
          <w:iCs/>
        </w:rPr>
        <w:t xml:space="preserve"> </w:t>
      </w:r>
      <w:r w:rsidRPr="73CB5389">
        <w:rPr>
          <w:rFonts w:ascii="Aptos" w:eastAsia="Aptos" w:hAnsi="Aptos" w:cs="Aptos"/>
          <w:i/>
          <w:iCs/>
        </w:rPr>
        <w:t xml:space="preserve">school </w:t>
      </w:r>
      <w:r w:rsidRPr="73CB5389">
        <w:rPr>
          <w:rFonts w:ascii="Aptos" w:eastAsia="Aptos" w:hAnsi="Aptos" w:cs="Aptos"/>
        </w:rPr>
        <w:t xml:space="preserve">Available: </w:t>
      </w:r>
      <w:hyperlink r:id="rId23">
        <w:r w:rsidRPr="73CB5389">
          <w:rPr>
            <w:rStyle w:val="Hyperlink"/>
            <w:rFonts w:ascii="Aptos" w:eastAsia="Aptos" w:hAnsi="Aptos" w:cs="Aptos"/>
          </w:rPr>
          <w:t>https://www.researchgate.net/profile/Alexandros-Stavrianos/publication/386019418_HOW_FOREST_SCHOOL_SUPPORTS_INCLUSIVE_PRACTICES_OBSERVATIONS_OF_CHILD_ENGAGEMENT_AND_VIEWS_OF_TEACHERS_AND_PARENTS_IN_ONE_ENGLISH_PRIMARY_SCHOOL_ALEXANDROS_STAVRIANOS/links/673f91b4b5bd9d17d6b0399a/HOW-FOREST-SCHOOL-SUPPORTS-INCLUSIVE-PRACTICES-OBSERVATIONS-OF-CHILD-ENGAGEMENT-AND-VIEWS-OF-TEACHERS-AND-PARENTS-IN-ONE-ENGLISH-PRIMARY-SCHOOL-ALEXANDROS-STAVRIANOS.pdf</w:t>
        </w:r>
      </w:hyperlink>
      <w:r w:rsidRPr="73CB5389">
        <w:rPr>
          <w:rFonts w:ascii="Aptos" w:eastAsia="Aptos" w:hAnsi="Aptos" w:cs="Aptos"/>
        </w:rPr>
        <w:t xml:space="preserve"> (Accessed: 30 March 2026) </w:t>
      </w:r>
    </w:p>
    <w:p w14:paraId="4B9BE5FA" w14:textId="7A969F50" w:rsidR="32E20157" w:rsidRDefault="32E20157" w:rsidP="73CB5389">
      <w:pPr>
        <w:rPr>
          <w:rFonts w:ascii="Aptos" w:eastAsia="Aptos" w:hAnsi="Aptos" w:cs="Aptos"/>
        </w:rPr>
      </w:pPr>
      <w:r w:rsidRPr="73CB5389">
        <w:rPr>
          <w:rFonts w:ascii="Aptos" w:eastAsia="Aptos" w:hAnsi="Aptos" w:cs="Aptos"/>
        </w:rPr>
        <w:t xml:space="preserve">The Guardian (2026) </w:t>
      </w:r>
      <w:r w:rsidRPr="73CB5389">
        <w:rPr>
          <w:rFonts w:ascii="Aptos" w:eastAsia="Aptos" w:hAnsi="Aptos" w:cs="Aptos"/>
          <w:i/>
          <w:iCs/>
        </w:rPr>
        <w:t xml:space="preserve">More exam stress at 15 linked to higher risk of depression as young adult – study </w:t>
      </w:r>
      <w:r w:rsidRPr="73CB5389">
        <w:rPr>
          <w:rFonts w:ascii="Aptos" w:eastAsia="Aptos" w:hAnsi="Aptos" w:cs="Aptos"/>
        </w:rPr>
        <w:t xml:space="preserve">Available: </w:t>
      </w:r>
      <w:hyperlink r:id="rId24">
        <w:r w:rsidRPr="73CB5389">
          <w:rPr>
            <w:rStyle w:val="Hyperlink"/>
            <w:rFonts w:ascii="Aptos" w:eastAsia="Aptos" w:hAnsi="Aptos" w:cs="Aptos"/>
          </w:rPr>
          <w:t>https://www.theguardian.com/education/2026/feb/12/exam-stress-higher-risk-depression-self-harm-study</w:t>
        </w:r>
      </w:hyperlink>
      <w:r w:rsidRPr="73CB5389">
        <w:rPr>
          <w:rFonts w:ascii="Aptos" w:eastAsia="Aptos" w:hAnsi="Aptos" w:cs="Aptos"/>
        </w:rPr>
        <w:t xml:space="preserve"> (Accessed: 09 April 2026) </w:t>
      </w:r>
    </w:p>
    <w:p w14:paraId="62129409" w14:textId="14111361" w:rsidR="32E20157" w:rsidRDefault="32E20157" w:rsidP="73CB5389">
      <w:pPr>
        <w:rPr>
          <w:rFonts w:ascii="Aptos" w:eastAsia="Aptos" w:hAnsi="Aptos" w:cs="Aptos"/>
        </w:rPr>
      </w:pPr>
      <w:r w:rsidRPr="73CB5389">
        <w:rPr>
          <w:rFonts w:ascii="Aptos" w:eastAsia="Aptos" w:hAnsi="Aptos" w:cs="Aptos"/>
        </w:rPr>
        <w:t xml:space="preserve">Vygotsky, L.S (1978) Mind in society: The development of higher psychological processes. Cambridge, MA: Harvard University Press. </w:t>
      </w:r>
    </w:p>
    <w:p w14:paraId="00275A83" w14:textId="1998EA47" w:rsidR="32E20157" w:rsidRDefault="32E20157" w:rsidP="73CB5389">
      <w:pPr>
        <w:rPr>
          <w:rFonts w:ascii="Aptos" w:eastAsia="Aptos" w:hAnsi="Aptos" w:cs="Aptos"/>
        </w:rPr>
      </w:pPr>
      <w:r w:rsidRPr="73CB5389">
        <w:rPr>
          <w:rFonts w:ascii="Aptos" w:eastAsia="Aptos" w:hAnsi="Aptos" w:cs="Aptos"/>
        </w:rPr>
        <w:lastRenderedPageBreak/>
        <w:t xml:space="preserve">Welsh Government (2021). </w:t>
      </w:r>
      <w:r w:rsidRPr="73CB5389">
        <w:rPr>
          <w:rFonts w:ascii="Aptos" w:eastAsia="Aptos" w:hAnsi="Aptos" w:cs="Aptos"/>
          <w:i/>
          <w:iCs/>
        </w:rPr>
        <w:t xml:space="preserve">Curriculum and Assessment (Wales) Act. </w:t>
      </w:r>
      <w:r w:rsidRPr="73CB5389">
        <w:rPr>
          <w:rFonts w:ascii="Aptos" w:eastAsia="Aptos" w:hAnsi="Aptos" w:cs="Aptos"/>
        </w:rPr>
        <w:t xml:space="preserve">[Online] </w:t>
      </w:r>
      <w:r>
        <w:br/>
      </w:r>
      <w:r w:rsidRPr="73CB5389">
        <w:rPr>
          <w:rFonts w:ascii="Aptos" w:eastAsia="Aptos" w:hAnsi="Aptos" w:cs="Aptos"/>
        </w:rPr>
        <w:t xml:space="preserve">Available at: </w:t>
      </w:r>
      <w:hyperlink r:id="rId25">
        <w:r w:rsidRPr="73CB5389">
          <w:rPr>
            <w:rStyle w:val="Hyperlink"/>
            <w:rFonts w:ascii="Aptos" w:eastAsia="Aptos" w:hAnsi="Aptos" w:cs="Aptos"/>
          </w:rPr>
          <w:t>https://www.legislation.gov.uk/asc/2021/4/pdfs/asc_20210004_en.pdf</w:t>
        </w:r>
      </w:hyperlink>
      <w:r w:rsidRPr="73CB5389">
        <w:rPr>
          <w:rFonts w:ascii="Aptos" w:eastAsia="Aptos" w:hAnsi="Aptos" w:cs="Aptos"/>
        </w:rPr>
        <w:t xml:space="preserve"> (Accessed 07 April 2026).</w:t>
      </w:r>
    </w:p>
    <w:p w14:paraId="6E04FC31" w14:textId="2059C156" w:rsidR="32E20157" w:rsidRDefault="32E20157" w:rsidP="73CB5389">
      <w:pPr>
        <w:rPr>
          <w:rFonts w:ascii="Aptos" w:eastAsia="Aptos" w:hAnsi="Aptos" w:cs="Aptos"/>
        </w:rPr>
      </w:pPr>
      <w:r w:rsidRPr="73CB5389">
        <w:rPr>
          <w:rFonts w:ascii="Aptos" w:eastAsia="Aptos" w:hAnsi="Aptos" w:cs="Aptos"/>
        </w:rPr>
        <w:t>Williams, R.T and Scott, C.D. (2019) ‘The Current State of Outdoor Learning in a U.K Secondary Setting: Exploring the Benefits, Drawbacks and Recommendations’</w:t>
      </w:r>
      <w:r w:rsidRPr="73CB5389">
        <w:rPr>
          <w:rFonts w:ascii="Aptos" w:eastAsia="Aptos" w:hAnsi="Aptos" w:cs="Aptos"/>
          <w:i/>
          <w:iCs/>
        </w:rPr>
        <w:t xml:space="preserve">  ABC Journal of Advanced Research 8(2) pp-109-122 </w:t>
      </w:r>
      <w:r w:rsidRPr="73CB5389">
        <w:rPr>
          <w:rFonts w:ascii="Aptos" w:eastAsia="Aptos" w:hAnsi="Aptos" w:cs="Aptos"/>
        </w:rPr>
        <w:t xml:space="preserve">Available: </w:t>
      </w:r>
      <w:hyperlink r:id="rId26">
        <w:r w:rsidRPr="73CB5389">
          <w:rPr>
            <w:rStyle w:val="Hyperlink"/>
            <w:rFonts w:ascii="Aptos" w:eastAsia="Aptos" w:hAnsi="Aptos" w:cs="Aptos"/>
          </w:rPr>
          <w:t>https://www.researchgate.net/publication/349018838_The_Current_State_of_Outdoor_Learning_in_a_UK_Secondary_Setting_Exploring_the_Benefits_Drawbacks_and_Recommendations/citation/download</w:t>
        </w:r>
      </w:hyperlink>
      <w:r w:rsidRPr="73CB5389">
        <w:rPr>
          <w:rFonts w:ascii="Aptos" w:eastAsia="Aptos" w:hAnsi="Aptos" w:cs="Aptos"/>
        </w:rPr>
        <w:t xml:space="preserve"> (Accessed: 09 April 2026) </w:t>
      </w:r>
    </w:p>
    <w:p w14:paraId="6DC889FA" w14:textId="6242D923" w:rsidR="32E20157" w:rsidRDefault="32E20157" w:rsidP="73CB5389">
      <w:pPr>
        <w:rPr>
          <w:rFonts w:ascii="Aptos" w:eastAsia="Aptos" w:hAnsi="Aptos" w:cs="Aptos"/>
        </w:rPr>
      </w:pPr>
      <w:r w:rsidRPr="73CB5389">
        <w:rPr>
          <w:rFonts w:ascii="Aptos" w:eastAsia="Aptos" w:hAnsi="Aptos" w:cs="Aptos"/>
        </w:rPr>
        <w:t xml:space="preserve">WWF (2024) </w:t>
      </w:r>
      <w:r w:rsidRPr="73CB5389">
        <w:rPr>
          <w:rFonts w:ascii="Aptos" w:eastAsia="Aptos" w:hAnsi="Aptos" w:cs="Aptos"/>
          <w:i/>
          <w:iCs/>
        </w:rPr>
        <w:t xml:space="preserve">Majority of UK schoolchildren missing out on benefits of regular access to nature and outdoor learning, reveals WWF </w:t>
      </w:r>
      <w:r w:rsidRPr="73CB5389">
        <w:rPr>
          <w:rFonts w:ascii="Aptos" w:eastAsia="Aptos" w:hAnsi="Aptos" w:cs="Aptos"/>
        </w:rPr>
        <w:t xml:space="preserve">Available: </w:t>
      </w:r>
      <w:hyperlink r:id="rId27">
        <w:r w:rsidRPr="73CB5389">
          <w:rPr>
            <w:rStyle w:val="Hyperlink"/>
            <w:rFonts w:ascii="Aptos" w:eastAsia="Aptos" w:hAnsi="Aptos" w:cs="Aptos"/>
          </w:rPr>
          <w:t>https://www.wwf.org.uk/press-release/schools-nature</w:t>
        </w:r>
      </w:hyperlink>
      <w:r w:rsidRPr="73CB5389">
        <w:rPr>
          <w:rFonts w:ascii="Aptos" w:eastAsia="Aptos" w:hAnsi="Aptos" w:cs="Aptos"/>
        </w:rPr>
        <w:t xml:space="preserve"> (Accessed: 09 April 2026)</w:t>
      </w:r>
    </w:p>
    <w:p w14:paraId="3204A0DA" w14:textId="56047227" w:rsidR="00275AC3" w:rsidRDefault="00275AC3" w:rsidP="73CB5389">
      <w:pPr>
        <w:rPr>
          <w:rFonts w:ascii="Aptos" w:eastAsia="Aptos" w:hAnsi="Aptos" w:cs="Aptos"/>
          <w:i/>
          <w:iCs/>
        </w:rPr>
      </w:pPr>
      <w:r>
        <w:rPr>
          <w:rFonts w:ascii="Aptos" w:eastAsia="Aptos" w:hAnsi="Aptos" w:cs="Aptos"/>
          <w:i/>
          <w:iCs/>
        </w:rPr>
        <w:br w:type="page"/>
      </w:r>
    </w:p>
    <w:p w14:paraId="039C2C32" w14:textId="77777777" w:rsidR="73CB5389" w:rsidRDefault="73CB5389" w:rsidP="73CB5389">
      <w:pPr>
        <w:rPr>
          <w:rFonts w:ascii="Aptos" w:eastAsia="Aptos" w:hAnsi="Aptos" w:cs="Aptos"/>
          <w:i/>
          <w:iCs/>
        </w:rPr>
      </w:pPr>
    </w:p>
    <w:p w14:paraId="6EA6F78B" w14:textId="7713F28F" w:rsidR="73CB5389" w:rsidRDefault="73CB5389" w:rsidP="73CB5389">
      <w:pPr>
        <w:rPr>
          <w:rFonts w:ascii="Aptos" w:eastAsia="Aptos" w:hAnsi="Aptos" w:cs="Aptos"/>
          <w:i/>
          <w:iCs/>
        </w:rPr>
      </w:pPr>
    </w:p>
    <w:p w14:paraId="09070064" w14:textId="3E135F56" w:rsidR="73CB5389" w:rsidRDefault="008376F8" w:rsidP="008376F8">
      <w:pPr>
        <w:pStyle w:val="Title"/>
        <w:rPr>
          <w:rFonts w:eastAsia="Aptos"/>
        </w:rPr>
      </w:pPr>
      <w:r>
        <w:rPr>
          <w:rFonts w:eastAsia="Aptos"/>
        </w:rPr>
        <w:t xml:space="preserve">Flyer: Outdoor Education GCSE </w:t>
      </w:r>
    </w:p>
    <w:p w14:paraId="2E7336F5" w14:textId="15100F4D" w:rsidR="00B42CDA" w:rsidRPr="00B42CDA" w:rsidRDefault="00B42CDA" w:rsidP="00B42CDA">
      <w:r w:rsidRPr="00035C38">
        <w:rPr>
          <w:rFonts w:ascii="Aptos" w:eastAsia="Times New Roman" w:hAnsi="Aptos" w:cs="Segoe UI"/>
          <w:color w:val="595959"/>
          <w:sz w:val="28"/>
          <w:szCs w:val="28"/>
          <w:lang w:eastAsia="en-GB"/>
        </w:rPr>
        <w:t>Ieuan Morgan (2214077)  </w:t>
      </w:r>
    </w:p>
    <w:p w14:paraId="3A788C10" w14:textId="3E9A0D73" w:rsidR="73CB5389" w:rsidRDefault="73CB5389" w:rsidP="73CB5389">
      <w:pPr>
        <w:rPr>
          <w:rFonts w:ascii="Aptos" w:eastAsia="Aptos" w:hAnsi="Aptos" w:cs="Aptos"/>
          <w:i/>
          <w:iCs/>
        </w:rPr>
      </w:pPr>
    </w:p>
    <w:p w14:paraId="0BAF9895" w14:textId="3C8B68D3" w:rsidR="73CB5389" w:rsidRDefault="008376F8" w:rsidP="73CB5389">
      <w:pPr>
        <w:rPr>
          <w:rFonts w:ascii="Aptos" w:eastAsia="Aptos" w:hAnsi="Aptos" w:cs="Aptos"/>
          <w:i/>
          <w:iCs/>
        </w:rPr>
      </w:pPr>
      <w:r>
        <w:rPr>
          <w:noProof/>
        </w:rPr>
        <w:drawing>
          <wp:anchor distT="0" distB="0" distL="114300" distR="114300" simplePos="0" relativeHeight="251658240" behindDoc="0" locked="0" layoutInCell="1" allowOverlap="1" wp14:anchorId="36B79184" wp14:editId="45D7F7ED">
            <wp:simplePos x="0" y="0"/>
            <wp:positionH relativeFrom="column">
              <wp:posOffset>-835025</wp:posOffset>
            </wp:positionH>
            <wp:positionV relativeFrom="paragraph">
              <wp:posOffset>511329</wp:posOffset>
            </wp:positionV>
            <wp:extent cx="7449079" cy="4964173"/>
            <wp:effectExtent l="0" t="0" r="0" b="0"/>
            <wp:wrapNone/>
            <wp:docPr id="17645012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501249" name="Picture 1764501249"/>
                    <pic:cNvPicPr/>
                  </pic:nvPicPr>
                  <pic:blipFill>
                    <a:blip r:embed="rId28">
                      <a:extLst>
                        <a:ext uri="{28A0092B-C50C-407E-A947-70E740481C1C}">
                          <a14:useLocalDpi xmlns:a14="http://schemas.microsoft.com/office/drawing/2010/main"/>
                        </a:ext>
                      </a:extLst>
                    </a:blip>
                    <a:stretch>
                      <a:fillRect/>
                    </a:stretch>
                  </pic:blipFill>
                  <pic:spPr>
                    <a:xfrm>
                      <a:off x="0" y="0"/>
                      <a:ext cx="7449079" cy="4964173"/>
                    </a:xfrm>
                    <a:prstGeom prst="rect">
                      <a:avLst/>
                    </a:prstGeom>
                  </pic:spPr>
                </pic:pic>
              </a:graphicData>
            </a:graphic>
            <wp14:sizeRelH relativeFrom="page">
              <wp14:pctWidth>0</wp14:pctWidth>
            </wp14:sizeRelH>
            <wp14:sizeRelV relativeFrom="page">
              <wp14:pctHeight>0</wp14:pctHeight>
            </wp14:sizeRelV>
          </wp:anchor>
        </w:drawing>
      </w:r>
    </w:p>
    <w:p w14:paraId="53DA637D" w14:textId="142B25C2" w:rsidR="73CB5389" w:rsidRDefault="73CB5389" w:rsidP="73CB5389">
      <w:pPr>
        <w:rPr>
          <w:rFonts w:ascii="Aptos" w:eastAsia="Aptos" w:hAnsi="Aptos" w:cs="Aptos"/>
          <w:i/>
          <w:iCs/>
        </w:rPr>
      </w:pPr>
    </w:p>
    <w:p w14:paraId="443A8C97" w14:textId="045EEAB3" w:rsidR="73CB5389" w:rsidRDefault="73CB5389" w:rsidP="48DFACA6">
      <w:pPr>
        <w:rPr>
          <w:rFonts w:ascii="Aptos" w:eastAsia="Aptos" w:hAnsi="Aptos" w:cs="Aptos"/>
          <w:i/>
          <w:iCs/>
        </w:rPr>
      </w:pPr>
    </w:p>
    <w:p w14:paraId="40AC3296" w14:textId="0ADE295E" w:rsidR="73CB5389" w:rsidRDefault="73CB5389" w:rsidP="73CB5389"/>
    <w:p w14:paraId="165525BB" w14:textId="0D83733C" w:rsidR="73CB5389" w:rsidRDefault="73CB5389" w:rsidP="73CB5389"/>
    <w:p w14:paraId="23E11385" w14:textId="791BCAF4" w:rsidR="73CB5389" w:rsidRDefault="73CB5389"/>
    <w:p w14:paraId="0C862ABD" w14:textId="05CEE00C" w:rsidR="73CB5389" w:rsidRDefault="73CB5389"/>
    <w:p w14:paraId="675A2E7A" w14:textId="78FF0782" w:rsidR="73CB5389" w:rsidRDefault="73CB5389"/>
    <w:p w14:paraId="402AEC6B" w14:textId="0E738A93" w:rsidR="1B246978" w:rsidRDefault="1B246978"/>
    <w:p w14:paraId="6FA55DAC" w14:textId="74DCB78B" w:rsidR="1B246978" w:rsidRDefault="1B246978"/>
    <w:p w14:paraId="1CDA5B6A" w14:textId="11B75940" w:rsidR="00FF5C77" w:rsidRPr="00AE76DC" w:rsidRDefault="00FF5C77" w:rsidP="00AE76DC">
      <w:pPr>
        <w:sectPr w:rsidR="00FF5C77" w:rsidRPr="00AE76DC" w:rsidSect="00FF5C77">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20" w:footer="720" w:gutter="0"/>
          <w:cols w:space="720"/>
          <w:docGrid w:linePitch="360"/>
        </w:sectPr>
      </w:pPr>
    </w:p>
    <w:p w14:paraId="12F9C997" w14:textId="32309F72" w:rsidR="2E84192B" w:rsidRDefault="2E84192B" w:rsidP="1B246978">
      <w:pPr>
        <w:widowControl w:val="0"/>
        <w:tabs>
          <w:tab w:val="center" w:pos="4320"/>
          <w:tab w:val="right" w:pos="8640"/>
        </w:tabs>
        <w:spacing w:after="0" w:line="240" w:lineRule="auto"/>
        <w:rPr>
          <w:rFonts w:ascii="Calibri" w:eastAsia="Calibri" w:hAnsi="Calibri" w:cs="Calibri"/>
          <w:sz w:val="56"/>
          <w:szCs w:val="56"/>
        </w:rPr>
      </w:pPr>
      <w:r w:rsidRPr="1B246978">
        <w:rPr>
          <w:rFonts w:ascii="Calibri" w:eastAsia="Calibri" w:hAnsi="Calibri" w:cs="Calibri"/>
          <w:b/>
          <w:bCs/>
          <w:sz w:val="56"/>
          <w:szCs w:val="56"/>
        </w:rPr>
        <w:lastRenderedPageBreak/>
        <w:t>RISK BENEFIT ASSESSMENT</w:t>
      </w:r>
    </w:p>
    <w:p w14:paraId="51393252" w14:textId="7A140682" w:rsidR="1B246978" w:rsidRDefault="1B246978" w:rsidP="1B246978">
      <w:pPr>
        <w:widowControl w:val="0"/>
        <w:tabs>
          <w:tab w:val="left" w:pos="1418"/>
          <w:tab w:val="center" w:pos="4320"/>
          <w:tab w:val="right" w:pos="8640"/>
        </w:tabs>
        <w:spacing w:after="0" w:line="240" w:lineRule="auto"/>
        <w:rPr>
          <w:rFonts w:ascii="Calibri" w:eastAsia="Calibri" w:hAnsi="Calibri" w:cs="Calibri"/>
          <w:sz w:val="22"/>
          <w:szCs w:val="22"/>
        </w:rPr>
      </w:pPr>
    </w:p>
    <w:tbl>
      <w:tblPr>
        <w:tblStyle w:val="TableGrid"/>
        <w:tblW w:w="0" w:type="auto"/>
        <w:tblInd w:w="105"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1415"/>
        <w:gridCol w:w="4779"/>
        <w:gridCol w:w="1059"/>
        <w:gridCol w:w="1762"/>
      </w:tblGrid>
      <w:tr w:rsidR="1B246978" w14:paraId="7180457D" w14:textId="77777777" w:rsidTr="1B246978">
        <w:trPr>
          <w:trHeight w:val="300"/>
        </w:trPr>
        <w:tc>
          <w:tcPr>
            <w:tcW w:w="141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vAlign w:val="center"/>
          </w:tcPr>
          <w:p w14:paraId="04C6A363" w14:textId="32330B96" w:rsidR="1B246978" w:rsidRDefault="1B246978" w:rsidP="1B246978">
            <w:pPr>
              <w:widowControl w:val="0"/>
              <w:rPr>
                <w:rFonts w:ascii="Calibri" w:eastAsia="Calibri" w:hAnsi="Calibri" w:cs="Calibri"/>
              </w:rPr>
            </w:pPr>
            <w:r w:rsidRPr="1B246978">
              <w:rPr>
                <w:rFonts w:ascii="Calibri" w:eastAsia="Calibri" w:hAnsi="Calibri" w:cs="Calibri"/>
                <w:b/>
                <w:bCs/>
              </w:rPr>
              <w:t>Location / Activity:</w:t>
            </w:r>
          </w:p>
        </w:tc>
        <w:tc>
          <w:tcPr>
            <w:tcW w:w="4779"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7A8C3DF0" w14:textId="60A08A43" w:rsidR="1B246978" w:rsidRDefault="1B246978" w:rsidP="1B246978">
            <w:pPr>
              <w:widowControl w:val="0"/>
              <w:rPr>
                <w:rFonts w:ascii="Calibri" w:eastAsia="Calibri" w:hAnsi="Calibri" w:cs="Calibri"/>
              </w:rPr>
            </w:pPr>
            <w:r w:rsidRPr="1B246978">
              <w:rPr>
                <w:rFonts w:ascii="Calibri" w:eastAsia="Calibri" w:hAnsi="Calibri" w:cs="Calibri"/>
              </w:rPr>
              <w:t>Nature Reserve/Shelter Building and Mindfulness</w:t>
            </w:r>
          </w:p>
        </w:tc>
        <w:tc>
          <w:tcPr>
            <w:tcW w:w="10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vAlign w:val="center"/>
          </w:tcPr>
          <w:p w14:paraId="50BAC7A4" w14:textId="06B0EC6A" w:rsidR="1B246978" w:rsidRDefault="1B246978" w:rsidP="1B246978">
            <w:pPr>
              <w:widowControl w:val="0"/>
              <w:rPr>
                <w:rFonts w:ascii="Calibri" w:eastAsia="Calibri" w:hAnsi="Calibri" w:cs="Calibri"/>
              </w:rPr>
            </w:pPr>
            <w:r w:rsidRPr="1B246978">
              <w:rPr>
                <w:rFonts w:ascii="Calibri" w:eastAsia="Calibri" w:hAnsi="Calibri" w:cs="Calibri"/>
                <w:b/>
                <w:bCs/>
              </w:rPr>
              <w:t>Date:</w:t>
            </w:r>
          </w:p>
        </w:tc>
        <w:tc>
          <w:tcPr>
            <w:tcW w:w="1762"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7A6CB08F" w14:textId="36170240" w:rsidR="1B246978" w:rsidRDefault="1B246978" w:rsidP="1B246978">
            <w:pPr>
              <w:widowControl w:val="0"/>
              <w:rPr>
                <w:rFonts w:ascii="Calibri" w:eastAsia="Calibri" w:hAnsi="Calibri" w:cs="Calibri"/>
              </w:rPr>
            </w:pPr>
            <w:r w:rsidRPr="1B246978">
              <w:rPr>
                <w:rFonts w:ascii="Calibri" w:eastAsia="Calibri" w:hAnsi="Calibri" w:cs="Calibri"/>
              </w:rPr>
              <w:t>30</w:t>
            </w:r>
            <w:r w:rsidRPr="1B246978">
              <w:rPr>
                <w:rFonts w:ascii="Calibri" w:eastAsia="Calibri" w:hAnsi="Calibri" w:cs="Calibri"/>
                <w:vertAlign w:val="superscript"/>
              </w:rPr>
              <w:t>th</w:t>
            </w:r>
            <w:r w:rsidRPr="1B246978">
              <w:rPr>
                <w:rFonts w:ascii="Calibri" w:eastAsia="Calibri" w:hAnsi="Calibri" w:cs="Calibri"/>
              </w:rPr>
              <w:t xml:space="preserve"> March 2026</w:t>
            </w:r>
          </w:p>
        </w:tc>
      </w:tr>
      <w:tr w:rsidR="1B246978" w14:paraId="3A8C9F46" w14:textId="77777777" w:rsidTr="1B246978">
        <w:trPr>
          <w:trHeight w:val="300"/>
        </w:trPr>
        <w:tc>
          <w:tcPr>
            <w:tcW w:w="141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vAlign w:val="center"/>
          </w:tcPr>
          <w:p w14:paraId="4696B86C" w14:textId="26A9E5BE" w:rsidR="1B246978" w:rsidRDefault="1B246978" w:rsidP="1B246978">
            <w:pPr>
              <w:widowControl w:val="0"/>
              <w:rPr>
                <w:rFonts w:ascii="Calibri" w:eastAsia="Calibri" w:hAnsi="Calibri" w:cs="Calibri"/>
              </w:rPr>
            </w:pPr>
            <w:r w:rsidRPr="1B246978">
              <w:rPr>
                <w:rFonts w:ascii="Calibri" w:eastAsia="Calibri" w:hAnsi="Calibri" w:cs="Calibri"/>
                <w:b/>
                <w:bCs/>
              </w:rPr>
              <w:t>Assessor:</w:t>
            </w:r>
            <w:r w:rsidRPr="1B246978">
              <w:rPr>
                <w:rFonts w:ascii="Calibri" w:eastAsia="Calibri" w:hAnsi="Calibri" w:cs="Calibri"/>
              </w:rPr>
              <w:t xml:space="preserve">  </w:t>
            </w:r>
          </w:p>
        </w:tc>
        <w:tc>
          <w:tcPr>
            <w:tcW w:w="4779"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7A868167" w14:textId="11CC1E20" w:rsidR="1B246978" w:rsidRDefault="1B246978" w:rsidP="1B246978">
            <w:pPr>
              <w:widowControl w:val="0"/>
              <w:rPr>
                <w:rFonts w:ascii="Calibri" w:eastAsia="Calibri" w:hAnsi="Calibri" w:cs="Calibri"/>
              </w:rPr>
            </w:pPr>
            <w:r w:rsidRPr="1B246978">
              <w:rPr>
                <w:rFonts w:ascii="Calibri" w:eastAsia="Calibri" w:hAnsi="Calibri" w:cs="Calibri"/>
              </w:rPr>
              <w:t>Ieuan Morgan</w:t>
            </w:r>
          </w:p>
        </w:tc>
        <w:tc>
          <w:tcPr>
            <w:tcW w:w="10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vAlign w:val="center"/>
          </w:tcPr>
          <w:p w14:paraId="5ACDBD6F" w14:textId="48D76C93" w:rsidR="1B246978" w:rsidRDefault="1B246978" w:rsidP="1B246978">
            <w:pPr>
              <w:widowControl w:val="0"/>
              <w:rPr>
                <w:rFonts w:ascii="Calibri" w:eastAsia="Calibri" w:hAnsi="Calibri" w:cs="Calibri"/>
              </w:rPr>
            </w:pPr>
            <w:r w:rsidRPr="1B246978">
              <w:rPr>
                <w:rFonts w:ascii="Calibri" w:eastAsia="Calibri" w:hAnsi="Calibri" w:cs="Calibri"/>
                <w:b/>
                <w:bCs/>
              </w:rPr>
              <w:t>Review date:</w:t>
            </w:r>
            <w:r w:rsidRPr="1B246978">
              <w:rPr>
                <w:rFonts w:ascii="Calibri" w:eastAsia="Calibri" w:hAnsi="Calibri" w:cs="Calibri"/>
              </w:rPr>
              <w:t xml:space="preserve">  </w:t>
            </w:r>
          </w:p>
        </w:tc>
        <w:tc>
          <w:tcPr>
            <w:tcW w:w="1762"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0AFC04E2" w14:textId="1975BFBE" w:rsidR="1B246978" w:rsidRDefault="1B246978" w:rsidP="1B246978">
            <w:pPr>
              <w:widowControl w:val="0"/>
              <w:rPr>
                <w:rFonts w:ascii="Calibri" w:eastAsia="Calibri" w:hAnsi="Calibri" w:cs="Calibri"/>
              </w:rPr>
            </w:pPr>
          </w:p>
        </w:tc>
      </w:tr>
    </w:tbl>
    <w:p w14:paraId="75754B3F" w14:textId="0FDBC192" w:rsidR="1B246978" w:rsidRDefault="1B246978" w:rsidP="1B246978">
      <w:pPr>
        <w:widowControl w:val="0"/>
        <w:spacing w:after="0" w:line="240" w:lineRule="auto"/>
        <w:rPr>
          <w:rFonts w:ascii="Calibri" w:eastAsia="Calibri" w:hAnsi="Calibri" w:cs="Calibri"/>
          <w:sz w:val="16"/>
          <w:szCs w:val="16"/>
        </w:rPr>
      </w:pPr>
    </w:p>
    <w:p w14:paraId="4A50708E" w14:textId="4B660E9C" w:rsidR="2E84192B" w:rsidRDefault="2E84192B" w:rsidP="1B246978">
      <w:pPr>
        <w:widowControl w:val="0"/>
        <w:spacing w:after="0" w:line="240" w:lineRule="auto"/>
        <w:rPr>
          <w:rFonts w:ascii="Calibri" w:eastAsia="Calibri" w:hAnsi="Calibri" w:cs="Calibri"/>
          <w:sz w:val="16"/>
          <w:szCs w:val="16"/>
        </w:rPr>
      </w:pPr>
      <w:r w:rsidRPr="1B246978">
        <w:rPr>
          <w:rFonts w:ascii="Calibri" w:eastAsia="Calibri" w:hAnsi="Calibri" w:cs="Calibri"/>
          <w:sz w:val="16"/>
          <w:szCs w:val="16"/>
        </w:rPr>
        <w:t>The boxes in the table below will expand as you type into them; pre-entered text is simply for illustration.  You should delete irrelevant items and replace with text relevant to your circumstances.</w:t>
      </w:r>
    </w:p>
    <w:p w14:paraId="5D987867" w14:textId="7939C5A4" w:rsidR="2E84192B" w:rsidRDefault="2E84192B" w:rsidP="1B246978">
      <w:pPr>
        <w:widowControl w:val="0"/>
        <w:spacing w:after="0" w:line="240" w:lineRule="auto"/>
        <w:rPr>
          <w:rFonts w:ascii="Calibri" w:eastAsia="Calibri" w:hAnsi="Calibri" w:cs="Calibri"/>
          <w:sz w:val="16"/>
          <w:szCs w:val="16"/>
        </w:rPr>
      </w:pPr>
      <w:r w:rsidRPr="1B246978">
        <w:rPr>
          <w:rFonts w:ascii="Calibri" w:eastAsia="Calibri" w:hAnsi="Calibri" w:cs="Calibri"/>
          <w:b/>
          <w:bCs/>
          <w:sz w:val="16"/>
          <w:szCs w:val="16"/>
        </w:rPr>
        <w:t>Your overall risk rating – Low, medium or high – is based on your judgement about whether the BENEFITS of the activity or opportunity outweigh the RISKS.</w:t>
      </w:r>
    </w:p>
    <w:p w14:paraId="4B7DF935" w14:textId="09598292" w:rsidR="1B246978" w:rsidRDefault="1B246978" w:rsidP="1B246978">
      <w:pPr>
        <w:widowControl w:val="0"/>
        <w:spacing w:after="0" w:line="240" w:lineRule="auto"/>
        <w:rPr>
          <w:rFonts w:ascii="Calibri" w:eastAsia="Calibri" w:hAnsi="Calibri" w:cs="Calibri"/>
          <w:sz w:val="16"/>
          <w:szCs w:val="16"/>
        </w:rPr>
      </w:pPr>
    </w:p>
    <w:tbl>
      <w:tblPr>
        <w:tblStyle w:val="TableGrid"/>
        <w:tblW w:w="0" w:type="auto"/>
        <w:tblInd w:w="105"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1311"/>
        <w:gridCol w:w="2641"/>
        <w:gridCol w:w="2342"/>
        <w:gridCol w:w="1721"/>
        <w:gridCol w:w="3215"/>
        <w:gridCol w:w="981"/>
      </w:tblGrid>
      <w:tr w:rsidR="1B246978" w14:paraId="5C39CCB1" w14:textId="77777777" w:rsidTr="00AE76DC">
        <w:trPr>
          <w:trHeight w:val="300"/>
        </w:trPr>
        <w:tc>
          <w:tcPr>
            <w:tcW w:w="131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vAlign w:val="center"/>
          </w:tcPr>
          <w:p w14:paraId="022D0DA9" w14:textId="5324F74D" w:rsidR="1B246978" w:rsidRDefault="1B246978" w:rsidP="1B246978">
            <w:pPr>
              <w:widowControl w:val="0"/>
              <w:rPr>
                <w:rFonts w:ascii="Calibri" w:eastAsia="Calibri" w:hAnsi="Calibri" w:cs="Calibri"/>
                <w:sz w:val="22"/>
                <w:szCs w:val="22"/>
              </w:rPr>
            </w:pPr>
            <w:r w:rsidRPr="1B246978">
              <w:rPr>
                <w:rFonts w:ascii="Calibri" w:eastAsia="Calibri" w:hAnsi="Calibri" w:cs="Calibri"/>
                <w:b/>
                <w:bCs/>
                <w:sz w:val="22"/>
                <w:szCs w:val="22"/>
              </w:rPr>
              <w:t>ACTIVITY</w:t>
            </w:r>
          </w:p>
        </w:tc>
        <w:tc>
          <w:tcPr>
            <w:tcW w:w="264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vAlign w:val="center"/>
          </w:tcPr>
          <w:p w14:paraId="15811E7C" w14:textId="5FDC97ED" w:rsidR="1B246978" w:rsidRDefault="1B246978" w:rsidP="1B246978">
            <w:pPr>
              <w:widowControl w:val="0"/>
              <w:rPr>
                <w:rFonts w:ascii="Calibri" w:eastAsia="Calibri" w:hAnsi="Calibri" w:cs="Calibri"/>
                <w:sz w:val="22"/>
                <w:szCs w:val="22"/>
              </w:rPr>
            </w:pPr>
            <w:r w:rsidRPr="1B246978">
              <w:rPr>
                <w:rFonts w:ascii="Calibri" w:eastAsia="Calibri" w:hAnsi="Calibri" w:cs="Calibri"/>
                <w:b/>
                <w:bCs/>
                <w:sz w:val="22"/>
                <w:szCs w:val="22"/>
              </w:rPr>
              <w:t>How will young people BENEFIT from this activity?</w:t>
            </w:r>
          </w:p>
        </w:tc>
        <w:tc>
          <w:tcPr>
            <w:tcW w:w="234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vAlign w:val="center"/>
          </w:tcPr>
          <w:p w14:paraId="36CE0656" w14:textId="7B23A4F7" w:rsidR="1B246978" w:rsidRDefault="1B246978" w:rsidP="1B246978">
            <w:pPr>
              <w:widowControl w:val="0"/>
              <w:rPr>
                <w:rFonts w:ascii="Calibri" w:eastAsia="Calibri" w:hAnsi="Calibri" w:cs="Calibri"/>
                <w:sz w:val="22"/>
                <w:szCs w:val="22"/>
              </w:rPr>
            </w:pPr>
            <w:r w:rsidRPr="1B246978">
              <w:rPr>
                <w:rFonts w:ascii="Calibri" w:eastAsia="Calibri" w:hAnsi="Calibri" w:cs="Calibri"/>
                <w:b/>
                <w:bCs/>
                <w:sz w:val="22"/>
                <w:szCs w:val="22"/>
              </w:rPr>
              <w:t>Possible hazards</w:t>
            </w:r>
          </w:p>
        </w:tc>
        <w:tc>
          <w:tcPr>
            <w:tcW w:w="172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vAlign w:val="center"/>
          </w:tcPr>
          <w:p w14:paraId="2D277CE7" w14:textId="617C4DB2" w:rsidR="1B246978" w:rsidRDefault="1B246978" w:rsidP="1B246978">
            <w:pPr>
              <w:widowControl w:val="0"/>
              <w:rPr>
                <w:rFonts w:ascii="Calibri" w:eastAsia="Calibri" w:hAnsi="Calibri" w:cs="Calibri"/>
                <w:sz w:val="22"/>
                <w:szCs w:val="22"/>
              </w:rPr>
            </w:pPr>
            <w:r w:rsidRPr="1B246978">
              <w:rPr>
                <w:rFonts w:ascii="Calibri" w:eastAsia="Calibri" w:hAnsi="Calibri" w:cs="Calibri"/>
                <w:b/>
                <w:bCs/>
                <w:sz w:val="22"/>
                <w:szCs w:val="22"/>
              </w:rPr>
              <w:t>Who is at risk?</w:t>
            </w:r>
          </w:p>
        </w:tc>
        <w:tc>
          <w:tcPr>
            <w:tcW w:w="321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vAlign w:val="center"/>
          </w:tcPr>
          <w:p w14:paraId="049DE41A" w14:textId="016CB46A" w:rsidR="1B246978" w:rsidRDefault="1B246978" w:rsidP="1B246978">
            <w:pPr>
              <w:widowControl w:val="0"/>
              <w:rPr>
                <w:rFonts w:ascii="Calibri" w:eastAsia="Calibri" w:hAnsi="Calibri" w:cs="Calibri"/>
                <w:sz w:val="22"/>
                <w:szCs w:val="22"/>
              </w:rPr>
            </w:pPr>
            <w:r w:rsidRPr="1B246978">
              <w:rPr>
                <w:rFonts w:ascii="Calibri" w:eastAsia="Calibri" w:hAnsi="Calibri" w:cs="Calibri"/>
                <w:b/>
                <w:bCs/>
                <w:sz w:val="22"/>
                <w:szCs w:val="22"/>
              </w:rPr>
              <w:t>PRECAUTIONS in place to reduce the risk of injury</w:t>
            </w:r>
          </w:p>
        </w:tc>
        <w:tc>
          <w:tcPr>
            <w:tcW w:w="28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105" w:type="dxa"/>
              <w:right w:w="105" w:type="dxa"/>
            </w:tcMar>
            <w:vAlign w:val="center"/>
          </w:tcPr>
          <w:p w14:paraId="001FF532" w14:textId="788B52CF" w:rsidR="1B246978" w:rsidRDefault="1B246978" w:rsidP="1B246978">
            <w:pPr>
              <w:widowControl w:val="0"/>
              <w:rPr>
                <w:rFonts w:ascii="Calibri" w:eastAsia="Calibri" w:hAnsi="Calibri" w:cs="Calibri"/>
                <w:sz w:val="22"/>
                <w:szCs w:val="22"/>
              </w:rPr>
            </w:pPr>
            <w:r w:rsidRPr="1B246978">
              <w:rPr>
                <w:rFonts w:ascii="Calibri" w:eastAsia="Calibri" w:hAnsi="Calibri" w:cs="Calibri"/>
                <w:b/>
                <w:bCs/>
                <w:sz w:val="22"/>
                <w:szCs w:val="22"/>
              </w:rPr>
              <w:t>Overall risk RATING: L/M/H</w:t>
            </w:r>
          </w:p>
        </w:tc>
      </w:tr>
      <w:tr w:rsidR="1B246978" w14:paraId="3B2935DF" w14:textId="77777777" w:rsidTr="00AE76DC">
        <w:trPr>
          <w:trHeight w:val="1350"/>
        </w:trPr>
        <w:tc>
          <w:tcPr>
            <w:tcW w:w="1311"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63992362" w14:textId="726D4B5A" w:rsidR="1B246978" w:rsidRDefault="1B246978" w:rsidP="1B246978">
            <w:pPr>
              <w:widowControl w:val="0"/>
              <w:rPr>
                <w:rFonts w:ascii="Calibri" w:eastAsia="Calibri" w:hAnsi="Calibri" w:cs="Calibri"/>
                <w:sz w:val="22"/>
                <w:szCs w:val="22"/>
              </w:rPr>
            </w:pPr>
            <w:r w:rsidRPr="1B246978">
              <w:rPr>
                <w:rFonts w:ascii="Calibri" w:eastAsia="Calibri" w:hAnsi="Calibri" w:cs="Calibri"/>
                <w:sz w:val="22"/>
                <w:szCs w:val="22"/>
              </w:rPr>
              <w:t>Shelter Building</w:t>
            </w:r>
          </w:p>
          <w:p w14:paraId="4725FCCF" w14:textId="6C1B172E" w:rsidR="1B246978" w:rsidRDefault="1B246978" w:rsidP="1B246978">
            <w:pPr>
              <w:widowControl w:val="0"/>
              <w:rPr>
                <w:rFonts w:ascii="Calibri" w:eastAsia="Calibri" w:hAnsi="Calibri" w:cs="Calibri"/>
                <w:sz w:val="22"/>
                <w:szCs w:val="22"/>
              </w:rPr>
            </w:pPr>
          </w:p>
        </w:tc>
        <w:tc>
          <w:tcPr>
            <w:tcW w:w="2641"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1A518DA3" w14:textId="35B73664" w:rsidR="1B246978" w:rsidRDefault="1B246978" w:rsidP="1B246978">
            <w:pPr>
              <w:pStyle w:val="ListParagraph"/>
              <w:widowControl w:val="0"/>
              <w:numPr>
                <w:ilvl w:val="0"/>
                <w:numId w:val="7"/>
              </w:numPr>
              <w:contextualSpacing w:val="0"/>
              <w:rPr>
                <w:rFonts w:ascii="Calibri" w:eastAsia="Calibri" w:hAnsi="Calibri" w:cs="Calibri"/>
                <w:sz w:val="22"/>
                <w:szCs w:val="22"/>
              </w:rPr>
            </w:pPr>
            <w:r w:rsidRPr="1B246978">
              <w:rPr>
                <w:rFonts w:ascii="Calibri" w:eastAsia="Calibri" w:hAnsi="Calibri" w:cs="Calibri"/>
                <w:sz w:val="22"/>
                <w:szCs w:val="22"/>
              </w:rPr>
              <w:t>Session to take place with STF Class (group of 6)</w:t>
            </w:r>
          </w:p>
          <w:p w14:paraId="2D88A08E" w14:textId="6B1288F3" w:rsidR="1B246978" w:rsidRDefault="1B246978" w:rsidP="1B246978">
            <w:pPr>
              <w:widowControl w:val="0"/>
              <w:rPr>
                <w:rFonts w:ascii="Calibri" w:eastAsia="Calibri" w:hAnsi="Calibri" w:cs="Calibri"/>
                <w:sz w:val="22"/>
                <w:szCs w:val="22"/>
              </w:rPr>
            </w:pPr>
          </w:p>
          <w:p w14:paraId="16D8A712" w14:textId="1775FC9B" w:rsidR="1B246978" w:rsidRDefault="1B246978" w:rsidP="1B246978">
            <w:pPr>
              <w:pStyle w:val="ListParagraph"/>
              <w:widowControl w:val="0"/>
              <w:numPr>
                <w:ilvl w:val="0"/>
                <w:numId w:val="7"/>
              </w:numPr>
              <w:contextualSpacing w:val="0"/>
              <w:rPr>
                <w:rFonts w:ascii="Calibri" w:eastAsia="Calibri" w:hAnsi="Calibri" w:cs="Calibri"/>
                <w:sz w:val="22"/>
                <w:szCs w:val="22"/>
              </w:rPr>
            </w:pPr>
            <w:r w:rsidRPr="1B246978">
              <w:rPr>
                <w:rFonts w:ascii="Calibri" w:eastAsia="Calibri" w:hAnsi="Calibri" w:cs="Calibri"/>
                <w:sz w:val="22"/>
                <w:szCs w:val="22"/>
              </w:rPr>
              <w:t xml:space="preserve">Students will work as a team, aiming to use communication skills and co-ordination to achieve a common goal. </w:t>
            </w:r>
          </w:p>
          <w:p w14:paraId="08F884A2" w14:textId="208825CA" w:rsidR="1B246978" w:rsidRDefault="1B246978" w:rsidP="1B246978">
            <w:pPr>
              <w:widowControl w:val="0"/>
              <w:rPr>
                <w:rFonts w:ascii="Calibri" w:eastAsia="Calibri" w:hAnsi="Calibri" w:cs="Calibri"/>
                <w:sz w:val="22"/>
                <w:szCs w:val="22"/>
              </w:rPr>
            </w:pPr>
          </w:p>
          <w:p w14:paraId="12F0C835" w14:textId="704A4E28" w:rsidR="1B246978" w:rsidRDefault="1B246978" w:rsidP="1B246978">
            <w:pPr>
              <w:pStyle w:val="ListParagraph"/>
              <w:widowControl w:val="0"/>
              <w:numPr>
                <w:ilvl w:val="0"/>
                <w:numId w:val="7"/>
              </w:numPr>
              <w:contextualSpacing w:val="0"/>
              <w:rPr>
                <w:rFonts w:ascii="Calibri" w:eastAsia="Calibri" w:hAnsi="Calibri" w:cs="Calibri"/>
                <w:sz w:val="22"/>
                <w:szCs w:val="22"/>
              </w:rPr>
            </w:pPr>
            <w:r w:rsidRPr="1B246978">
              <w:rPr>
                <w:rFonts w:ascii="Calibri" w:eastAsia="Calibri" w:hAnsi="Calibri" w:cs="Calibri"/>
                <w:sz w:val="22"/>
                <w:szCs w:val="22"/>
              </w:rPr>
              <w:t xml:space="preserve">Sense of achievement/pride </w:t>
            </w:r>
          </w:p>
          <w:p w14:paraId="1CABE8B1" w14:textId="78D61C43" w:rsidR="1B246978" w:rsidRDefault="1B246978" w:rsidP="1B246978">
            <w:pPr>
              <w:widowControl w:val="0"/>
              <w:rPr>
                <w:rFonts w:ascii="Calibri" w:eastAsia="Calibri" w:hAnsi="Calibri" w:cs="Calibri"/>
                <w:sz w:val="22"/>
                <w:szCs w:val="22"/>
              </w:rPr>
            </w:pPr>
          </w:p>
          <w:p w14:paraId="2F835892" w14:textId="33CD4FB7" w:rsidR="1B246978" w:rsidRDefault="1B246978" w:rsidP="1B246978">
            <w:pPr>
              <w:pStyle w:val="ListParagraph"/>
              <w:widowControl w:val="0"/>
              <w:numPr>
                <w:ilvl w:val="0"/>
                <w:numId w:val="7"/>
              </w:numPr>
              <w:contextualSpacing w:val="0"/>
              <w:rPr>
                <w:rFonts w:ascii="Calibri" w:eastAsia="Calibri" w:hAnsi="Calibri" w:cs="Calibri"/>
                <w:sz w:val="22"/>
                <w:szCs w:val="22"/>
              </w:rPr>
            </w:pPr>
            <w:r w:rsidRPr="1B246978">
              <w:rPr>
                <w:rFonts w:ascii="Calibri" w:eastAsia="Calibri" w:hAnsi="Calibri" w:cs="Calibri"/>
                <w:sz w:val="22"/>
                <w:szCs w:val="22"/>
              </w:rPr>
              <w:t xml:space="preserve">Sensory experience – </w:t>
            </w:r>
            <w:r w:rsidRPr="1B246978">
              <w:rPr>
                <w:rFonts w:ascii="Calibri" w:eastAsia="Calibri" w:hAnsi="Calibri" w:cs="Calibri"/>
                <w:sz w:val="22"/>
                <w:szCs w:val="22"/>
              </w:rPr>
              <w:lastRenderedPageBreak/>
              <w:t xml:space="preserve">Hands on activity involving woodland smells, calming sounds of wind and birds chirping. </w:t>
            </w:r>
          </w:p>
          <w:p w14:paraId="402925E7" w14:textId="6AFF7332" w:rsidR="1B246978" w:rsidRDefault="1B246978" w:rsidP="1B246978">
            <w:pPr>
              <w:widowControl w:val="0"/>
              <w:rPr>
                <w:rFonts w:ascii="Calibri" w:eastAsia="Calibri" w:hAnsi="Calibri" w:cs="Calibri"/>
                <w:sz w:val="22"/>
                <w:szCs w:val="22"/>
              </w:rPr>
            </w:pPr>
          </w:p>
          <w:p w14:paraId="4937068B" w14:textId="48DA0FD7" w:rsidR="1B246978" w:rsidRDefault="1B246978" w:rsidP="1B246978">
            <w:pPr>
              <w:widowControl w:val="0"/>
              <w:rPr>
                <w:rFonts w:ascii="Calibri" w:eastAsia="Calibri" w:hAnsi="Calibri" w:cs="Calibri"/>
                <w:sz w:val="22"/>
                <w:szCs w:val="22"/>
              </w:rPr>
            </w:pPr>
          </w:p>
        </w:tc>
        <w:tc>
          <w:tcPr>
            <w:tcW w:w="2342"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493A1184" w14:textId="0EE6EE37" w:rsidR="1B246978" w:rsidRDefault="1B246978" w:rsidP="1B246978">
            <w:pPr>
              <w:pStyle w:val="ListParagraph"/>
              <w:widowControl w:val="0"/>
              <w:numPr>
                <w:ilvl w:val="0"/>
                <w:numId w:val="6"/>
              </w:numPr>
              <w:contextualSpacing w:val="0"/>
              <w:rPr>
                <w:rFonts w:ascii="Calibri" w:eastAsia="Calibri" w:hAnsi="Calibri" w:cs="Calibri"/>
                <w:sz w:val="22"/>
                <w:szCs w:val="22"/>
              </w:rPr>
            </w:pPr>
            <w:r w:rsidRPr="1B246978">
              <w:rPr>
                <w:rFonts w:ascii="Calibri" w:eastAsia="Calibri" w:hAnsi="Calibri" w:cs="Calibri"/>
                <w:sz w:val="22"/>
                <w:szCs w:val="22"/>
              </w:rPr>
              <w:lastRenderedPageBreak/>
              <w:t>Cuts</w:t>
            </w:r>
          </w:p>
          <w:p w14:paraId="699C52FD" w14:textId="3745232B" w:rsidR="1B246978" w:rsidRDefault="1B246978" w:rsidP="1B246978">
            <w:pPr>
              <w:pStyle w:val="ListParagraph"/>
              <w:widowControl w:val="0"/>
              <w:numPr>
                <w:ilvl w:val="0"/>
                <w:numId w:val="6"/>
              </w:numPr>
              <w:contextualSpacing w:val="0"/>
              <w:rPr>
                <w:rFonts w:ascii="Calibri" w:eastAsia="Calibri" w:hAnsi="Calibri" w:cs="Calibri"/>
                <w:sz w:val="22"/>
                <w:szCs w:val="22"/>
              </w:rPr>
            </w:pPr>
            <w:r w:rsidRPr="1B246978">
              <w:rPr>
                <w:rFonts w:ascii="Calibri" w:eastAsia="Calibri" w:hAnsi="Calibri" w:cs="Calibri"/>
                <w:sz w:val="22"/>
                <w:szCs w:val="22"/>
              </w:rPr>
              <w:t xml:space="preserve"> Bruises</w:t>
            </w:r>
          </w:p>
          <w:p w14:paraId="37258BC8" w14:textId="134B4B89" w:rsidR="1B246978" w:rsidRDefault="1B246978" w:rsidP="1B246978">
            <w:pPr>
              <w:pStyle w:val="ListParagraph"/>
              <w:widowControl w:val="0"/>
              <w:numPr>
                <w:ilvl w:val="0"/>
                <w:numId w:val="6"/>
              </w:numPr>
              <w:contextualSpacing w:val="0"/>
              <w:rPr>
                <w:rFonts w:ascii="Calibri" w:eastAsia="Calibri" w:hAnsi="Calibri" w:cs="Calibri"/>
                <w:sz w:val="22"/>
                <w:szCs w:val="22"/>
              </w:rPr>
            </w:pPr>
            <w:r w:rsidRPr="1B246978">
              <w:rPr>
                <w:rFonts w:ascii="Calibri" w:eastAsia="Calibri" w:hAnsi="Calibri" w:cs="Calibri"/>
                <w:sz w:val="22"/>
                <w:szCs w:val="22"/>
              </w:rPr>
              <w:t xml:space="preserve"> Slips in mud. </w:t>
            </w:r>
          </w:p>
          <w:p w14:paraId="19A7E2C1" w14:textId="36EBF3D4" w:rsidR="1B246978" w:rsidRDefault="1B246978" w:rsidP="1B246978">
            <w:pPr>
              <w:pStyle w:val="ListParagraph"/>
              <w:widowControl w:val="0"/>
              <w:numPr>
                <w:ilvl w:val="0"/>
                <w:numId w:val="6"/>
              </w:numPr>
              <w:contextualSpacing w:val="0"/>
              <w:rPr>
                <w:rFonts w:ascii="Calibri" w:eastAsia="Calibri" w:hAnsi="Calibri" w:cs="Calibri"/>
                <w:sz w:val="22"/>
                <w:szCs w:val="22"/>
              </w:rPr>
            </w:pPr>
            <w:r w:rsidRPr="1B246978">
              <w:rPr>
                <w:rFonts w:ascii="Calibri" w:eastAsia="Calibri" w:hAnsi="Calibri" w:cs="Calibri"/>
                <w:sz w:val="22"/>
                <w:szCs w:val="22"/>
              </w:rPr>
              <w:t>Head Injury</w:t>
            </w:r>
          </w:p>
          <w:p w14:paraId="7CAEE7CE" w14:textId="3344B16B" w:rsidR="1B246978" w:rsidRDefault="1B246978" w:rsidP="1B246978">
            <w:pPr>
              <w:widowControl w:val="0"/>
              <w:rPr>
                <w:rFonts w:ascii="Calibri" w:eastAsia="Calibri" w:hAnsi="Calibri" w:cs="Calibri"/>
                <w:sz w:val="22"/>
                <w:szCs w:val="22"/>
              </w:rPr>
            </w:pPr>
          </w:p>
        </w:tc>
        <w:tc>
          <w:tcPr>
            <w:tcW w:w="1721"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5F1C2B87" w14:textId="72A92602" w:rsidR="1B246978" w:rsidRDefault="1B246978" w:rsidP="1B246978">
            <w:pPr>
              <w:pStyle w:val="ListParagraph"/>
              <w:widowControl w:val="0"/>
              <w:numPr>
                <w:ilvl w:val="0"/>
                <w:numId w:val="6"/>
              </w:numPr>
              <w:contextualSpacing w:val="0"/>
              <w:rPr>
                <w:rFonts w:ascii="Calibri" w:eastAsia="Calibri" w:hAnsi="Calibri" w:cs="Calibri"/>
                <w:sz w:val="22"/>
                <w:szCs w:val="22"/>
              </w:rPr>
            </w:pPr>
            <w:r w:rsidRPr="1B246978">
              <w:rPr>
                <w:rFonts w:ascii="Calibri" w:eastAsia="Calibri" w:hAnsi="Calibri" w:cs="Calibri"/>
                <w:sz w:val="22"/>
                <w:szCs w:val="22"/>
              </w:rPr>
              <w:t>Students</w:t>
            </w:r>
          </w:p>
          <w:p w14:paraId="53C1CA63" w14:textId="711AA814" w:rsidR="1B246978" w:rsidRDefault="1B246978" w:rsidP="1B246978">
            <w:pPr>
              <w:pStyle w:val="ListParagraph"/>
              <w:widowControl w:val="0"/>
              <w:numPr>
                <w:ilvl w:val="0"/>
                <w:numId w:val="6"/>
              </w:numPr>
              <w:contextualSpacing w:val="0"/>
              <w:rPr>
                <w:rFonts w:ascii="Calibri" w:eastAsia="Calibri" w:hAnsi="Calibri" w:cs="Calibri"/>
                <w:sz w:val="22"/>
                <w:szCs w:val="22"/>
              </w:rPr>
            </w:pPr>
            <w:r w:rsidRPr="1B246978">
              <w:rPr>
                <w:rFonts w:ascii="Calibri" w:eastAsia="Calibri" w:hAnsi="Calibri" w:cs="Calibri"/>
                <w:sz w:val="22"/>
                <w:szCs w:val="22"/>
              </w:rPr>
              <w:t>Staff</w:t>
            </w:r>
          </w:p>
          <w:p w14:paraId="078620A3" w14:textId="629A851C" w:rsidR="1B246978" w:rsidRDefault="1B246978" w:rsidP="1B246978">
            <w:pPr>
              <w:widowControl w:val="0"/>
              <w:rPr>
                <w:rFonts w:ascii="Calibri" w:eastAsia="Calibri" w:hAnsi="Calibri" w:cs="Calibri"/>
                <w:sz w:val="22"/>
                <w:szCs w:val="22"/>
              </w:rPr>
            </w:pPr>
          </w:p>
        </w:tc>
        <w:tc>
          <w:tcPr>
            <w:tcW w:w="3215"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68A9E4A8" w14:textId="70B1006E" w:rsidR="1B246978" w:rsidRDefault="1B246978" w:rsidP="1B246978">
            <w:pPr>
              <w:pStyle w:val="ListParagraph"/>
              <w:widowControl w:val="0"/>
              <w:numPr>
                <w:ilvl w:val="0"/>
                <w:numId w:val="5"/>
              </w:numPr>
              <w:contextualSpacing w:val="0"/>
              <w:rPr>
                <w:rFonts w:ascii="Calibri" w:eastAsia="Calibri" w:hAnsi="Calibri" w:cs="Calibri"/>
                <w:sz w:val="22"/>
                <w:szCs w:val="22"/>
              </w:rPr>
            </w:pPr>
            <w:r w:rsidRPr="1B246978">
              <w:rPr>
                <w:rFonts w:ascii="Calibri" w:eastAsia="Calibri" w:hAnsi="Calibri" w:cs="Calibri"/>
                <w:sz w:val="22"/>
                <w:szCs w:val="22"/>
              </w:rPr>
              <w:t xml:space="preserve">Students are instructed to remain within designated areas outlined by staff with out of bounds areas clearly marked by red tape. </w:t>
            </w:r>
          </w:p>
          <w:p w14:paraId="6A1C0A5E" w14:textId="67CBC8FC" w:rsidR="1B246978" w:rsidRDefault="1B246978" w:rsidP="1B246978">
            <w:pPr>
              <w:pStyle w:val="ListParagraph"/>
              <w:widowControl w:val="0"/>
              <w:numPr>
                <w:ilvl w:val="0"/>
                <w:numId w:val="5"/>
              </w:numPr>
              <w:contextualSpacing w:val="0"/>
              <w:rPr>
                <w:rFonts w:ascii="Calibri" w:eastAsia="Calibri" w:hAnsi="Calibri" w:cs="Calibri"/>
                <w:sz w:val="22"/>
                <w:szCs w:val="22"/>
              </w:rPr>
            </w:pPr>
            <w:r w:rsidRPr="1B246978">
              <w:rPr>
                <w:rFonts w:ascii="Calibri" w:eastAsia="Calibri" w:hAnsi="Calibri" w:cs="Calibri"/>
                <w:sz w:val="22"/>
                <w:szCs w:val="22"/>
              </w:rPr>
              <w:t xml:space="preserve">Students will wear PPE (Hard hat and goggles) when entering shelter to protect against injuries if shelter collapses. </w:t>
            </w:r>
          </w:p>
          <w:p w14:paraId="2E87C694" w14:textId="5AEA9979" w:rsidR="1B246978" w:rsidRDefault="1B246978" w:rsidP="1B246978">
            <w:pPr>
              <w:pStyle w:val="ListParagraph"/>
              <w:widowControl w:val="0"/>
              <w:numPr>
                <w:ilvl w:val="0"/>
                <w:numId w:val="5"/>
              </w:numPr>
              <w:contextualSpacing w:val="0"/>
              <w:rPr>
                <w:rFonts w:ascii="Calibri" w:eastAsia="Calibri" w:hAnsi="Calibri" w:cs="Calibri"/>
                <w:sz w:val="22"/>
                <w:szCs w:val="22"/>
              </w:rPr>
            </w:pPr>
            <w:r w:rsidRPr="1B246978">
              <w:rPr>
                <w:rFonts w:ascii="Calibri" w:eastAsia="Calibri" w:hAnsi="Calibri" w:cs="Calibri"/>
                <w:sz w:val="22"/>
                <w:szCs w:val="22"/>
              </w:rPr>
              <w:t xml:space="preserve">Building area will be away from protruding tree roots/nettles. </w:t>
            </w:r>
          </w:p>
          <w:p w14:paraId="6232790D" w14:textId="39FCE9E9" w:rsidR="1B246978" w:rsidRDefault="1B246978" w:rsidP="1B246978">
            <w:pPr>
              <w:pStyle w:val="ListParagraph"/>
              <w:widowControl w:val="0"/>
              <w:numPr>
                <w:ilvl w:val="0"/>
                <w:numId w:val="5"/>
              </w:numPr>
              <w:contextualSpacing w:val="0"/>
              <w:rPr>
                <w:rFonts w:ascii="Calibri" w:eastAsia="Calibri" w:hAnsi="Calibri" w:cs="Calibri"/>
                <w:sz w:val="22"/>
                <w:szCs w:val="22"/>
              </w:rPr>
            </w:pPr>
            <w:r w:rsidRPr="1B246978">
              <w:rPr>
                <w:rFonts w:ascii="Calibri" w:eastAsia="Calibri" w:hAnsi="Calibri" w:cs="Calibri"/>
                <w:sz w:val="22"/>
                <w:szCs w:val="22"/>
              </w:rPr>
              <w:lastRenderedPageBreak/>
              <w:t xml:space="preserve">Discussion at beginning of session to make learners aware of potential hazards </w:t>
            </w:r>
          </w:p>
          <w:p w14:paraId="2DFEBE39" w14:textId="16237EE7" w:rsidR="1B246978" w:rsidRDefault="1B246978" w:rsidP="1B246978">
            <w:pPr>
              <w:pStyle w:val="ListParagraph"/>
              <w:widowControl w:val="0"/>
              <w:numPr>
                <w:ilvl w:val="0"/>
                <w:numId w:val="5"/>
              </w:numPr>
              <w:contextualSpacing w:val="0"/>
              <w:rPr>
                <w:rFonts w:ascii="Calibri" w:eastAsia="Calibri" w:hAnsi="Calibri" w:cs="Calibri"/>
                <w:sz w:val="22"/>
                <w:szCs w:val="22"/>
              </w:rPr>
            </w:pPr>
            <w:r w:rsidRPr="1B246978">
              <w:rPr>
                <w:rFonts w:ascii="Calibri" w:eastAsia="Calibri" w:hAnsi="Calibri" w:cs="Calibri"/>
                <w:sz w:val="22"/>
                <w:szCs w:val="22"/>
              </w:rPr>
              <w:t>First aid kit brought in the event of an injury to minimize impact</w:t>
            </w:r>
          </w:p>
          <w:p w14:paraId="1CCBB9E4" w14:textId="3CD4BDF8" w:rsidR="1B246978" w:rsidRDefault="1B246978" w:rsidP="1B246978">
            <w:pPr>
              <w:pStyle w:val="ListParagraph"/>
              <w:widowControl w:val="0"/>
              <w:numPr>
                <w:ilvl w:val="0"/>
                <w:numId w:val="5"/>
              </w:numPr>
              <w:contextualSpacing w:val="0"/>
              <w:rPr>
                <w:rFonts w:ascii="Calibri" w:eastAsia="Calibri" w:hAnsi="Calibri" w:cs="Calibri"/>
                <w:sz w:val="22"/>
                <w:szCs w:val="22"/>
              </w:rPr>
            </w:pPr>
            <w:r w:rsidRPr="1B246978">
              <w:rPr>
                <w:rFonts w:ascii="Calibri" w:eastAsia="Calibri" w:hAnsi="Calibri" w:cs="Calibri"/>
                <w:sz w:val="22"/>
                <w:szCs w:val="22"/>
              </w:rPr>
              <w:t>Area is checked for wildlife (Birds’ nests etc.)</w:t>
            </w:r>
          </w:p>
          <w:p w14:paraId="27BC26D6" w14:textId="31B72D7F" w:rsidR="1B246978" w:rsidRDefault="1B246978" w:rsidP="1B246978">
            <w:pPr>
              <w:pStyle w:val="ListParagraph"/>
              <w:widowControl w:val="0"/>
              <w:numPr>
                <w:ilvl w:val="0"/>
                <w:numId w:val="5"/>
              </w:numPr>
              <w:contextualSpacing w:val="0"/>
              <w:rPr>
                <w:rFonts w:ascii="Calibri" w:eastAsia="Calibri" w:hAnsi="Calibri" w:cs="Calibri"/>
                <w:sz w:val="22"/>
                <w:szCs w:val="22"/>
              </w:rPr>
            </w:pPr>
            <w:r w:rsidRPr="1B246978">
              <w:rPr>
                <w:rFonts w:ascii="Calibri" w:eastAsia="Calibri" w:hAnsi="Calibri" w:cs="Calibri"/>
                <w:sz w:val="22"/>
                <w:szCs w:val="22"/>
              </w:rPr>
              <w:t>Fully charged mobile phone in case of emergencies</w:t>
            </w:r>
          </w:p>
          <w:p w14:paraId="5CCF5953" w14:textId="7E4CEFFC" w:rsidR="1B246978" w:rsidRDefault="1B246978" w:rsidP="1B246978">
            <w:pPr>
              <w:pStyle w:val="ListParagraph"/>
              <w:widowControl w:val="0"/>
              <w:numPr>
                <w:ilvl w:val="0"/>
                <w:numId w:val="5"/>
              </w:numPr>
              <w:contextualSpacing w:val="0"/>
              <w:rPr>
                <w:rFonts w:ascii="Calibri" w:eastAsia="Calibri" w:hAnsi="Calibri" w:cs="Calibri"/>
                <w:sz w:val="22"/>
                <w:szCs w:val="22"/>
              </w:rPr>
            </w:pPr>
            <w:r w:rsidRPr="1B246978">
              <w:rPr>
                <w:rFonts w:ascii="Calibri" w:eastAsia="Calibri" w:hAnsi="Calibri" w:cs="Calibri"/>
                <w:sz w:val="22"/>
                <w:szCs w:val="22"/>
              </w:rPr>
              <w:t>Appropriate ratio of staff to pupils (2 adults)</w:t>
            </w:r>
          </w:p>
          <w:p w14:paraId="3F6A58BA" w14:textId="6CE9A68E" w:rsidR="1B246978" w:rsidRDefault="1B246978" w:rsidP="1B246978">
            <w:pPr>
              <w:widowControl w:val="0"/>
              <w:rPr>
                <w:rFonts w:ascii="Calibri" w:eastAsia="Calibri" w:hAnsi="Calibri" w:cs="Calibri"/>
                <w:sz w:val="22"/>
                <w:szCs w:val="22"/>
              </w:rPr>
            </w:pPr>
          </w:p>
        </w:tc>
        <w:tc>
          <w:tcPr>
            <w:tcW w:w="284"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11B3D4A6" w14:textId="142577AD" w:rsidR="1B246978" w:rsidRDefault="1B246978" w:rsidP="1B246978">
            <w:pPr>
              <w:widowControl w:val="0"/>
              <w:rPr>
                <w:rFonts w:ascii="Calibri" w:eastAsia="Calibri" w:hAnsi="Calibri" w:cs="Calibri"/>
                <w:sz w:val="22"/>
                <w:szCs w:val="22"/>
              </w:rPr>
            </w:pPr>
            <w:r w:rsidRPr="1B246978">
              <w:rPr>
                <w:rFonts w:ascii="Calibri" w:eastAsia="Calibri" w:hAnsi="Calibri" w:cs="Calibri"/>
                <w:sz w:val="22"/>
                <w:szCs w:val="22"/>
              </w:rPr>
              <w:lastRenderedPageBreak/>
              <w:t>L</w:t>
            </w:r>
          </w:p>
          <w:p w14:paraId="0AFB30CA" w14:textId="00C27B08" w:rsidR="1B246978" w:rsidRDefault="1B246978" w:rsidP="1B246978">
            <w:pPr>
              <w:widowControl w:val="0"/>
              <w:rPr>
                <w:rFonts w:ascii="Calibri" w:eastAsia="Calibri" w:hAnsi="Calibri" w:cs="Calibri"/>
                <w:sz w:val="22"/>
                <w:szCs w:val="22"/>
              </w:rPr>
            </w:pPr>
          </w:p>
        </w:tc>
      </w:tr>
      <w:tr w:rsidR="1B246978" w14:paraId="776F339D" w14:textId="77777777" w:rsidTr="00AE76DC">
        <w:trPr>
          <w:trHeight w:val="1275"/>
        </w:trPr>
        <w:tc>
          <w:tcPr>
            <w:tcW w:w="1311"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3441CE94" w14:textId="38220269" w:rsidR="1B246978" w:rsidRDefault="1B246978" w:rsidP="1B246978">
            <w:pPr>
              <w:widowControl w:val="0"/>
              <w:rPr>
                <w:rFonts w:ascii="Calibri" w:eastAsia="Calibri" w:hAnsi="Calibri" w:cs="Calibri"/>
                <w:sz w:val="22"/>
                <w:szCs w:val="22"/>
              </w:rPr>
            </w:pPr>
            <w:r w:rsidRPr="1B246978">
              <w:rPr>
                <w:rFonts w:ascii="Calibri" w:eastAsia="Calibri" w:hAnsi="Calibri" w:cs="Calibri"/>
                <w:sz w:val="22"/>
                <w:szCs w:val="22"/>
              </w:rPr>
              <w:t xml:space="preserve">Mindfulness session </w:t>
            </w:r>
          </w:p>
        </w:tc>
        <w:tc>
          <w:tcPr>
            <w:tcW w:w="2641"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1B51855A" w14:textId="74548AC2" w:rsidR="1B246978" w:rsidRDefault="1B246978" w:rsidP="1B246978">
            <w:pPr>
              <w:pStyle w:val="ListParagraph"/>
              <w:widowControl w:val="0"/>
              <w:numPr>
                <w:ilvl w:val="0"/>
                <w:numId w:val="4"/>
              </w:numPr>
              <w:contextualSpacing w:val="0"/>
              <w:rPr>
                <w:rFonts w:ascii="Calibri" w:eastAsia="Calibri" w:hAnsi="Calibri" w:cs="Calibri"/>
                <w:sz w:val="22"/>
                <w:szCs w:val="22"/>
              </w:rPr>
            </w:pPr>
            <w:r w:rsidRPr="1B246978">
              <w:rPr>
                <w:rFonts w:ascii="Calibri" w:eastAsia="Calibri" w:hAnsi="Calibri" w:cs="Calibri"/>
                <w:sz w:val="22"/>
                <w:szCs w:val="22"/>
              </w:rPr>
              <w:t>Promoting wellbeing and regulation strategies</w:t>
            </w:r>
          </w:p>
        </w:tc>
        <w:tc>
          <w:tcPr>
            <w:tcW w:w="2342"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7328AB84" w14:textId="17570139" w:rsidR="1B246978" w:rsidRDefault="1B246978" w:rsidP="1B246978">
            <w:pPr>
              <w:pStyle w:val="ListParagraph"/>
              <w:widowControl w:val="0"/>
              <w:numPr>
                <w:ilvl w:val="0"/>
                <w:numId w:val="3"/>
              </w:numPr>
              <w:contextualSpacing w:val="0"/>
              <w:rPr>
                <w:rFonts w:ascii="Calibri" w:eastAsia="Calibri" w:hAnsi="Calibri" w:cs="Calibri"/>
                <w:sz w:val="22"/>
                <w:szCs w:val="22"/>
              </w:rPr>
            </w:pPr>
            <w:r w:rsidRPr="1B246978">
              <w:rPr>
                <w:rFonts w:ascii="Calibri" w:eastAsia="Calibri" w:hAnsi="Calibri" w:cs="Calibri"/>
                <w:sz w:val="22"/>
                <w:szCs w:val="22"/>
              </w:rPr>
              <w:t xml:space="preserve">Sensory hypersensitivity </w:t>
            </w:r>
          </w:p>
          <w:p w14:paraId="18511193" w14:textId="04301B4A" w:rsidR="1B246978" w:rsidRDefault="1B246978" w:rsidP="1B246978">
            <w:pPr>
              <w:widowControl w:val="0"/>
              <w:ind w:left="360"/>
              <w:rPr>
                <w:rFonts w:ascii="Calibri" w:eastAsia="Calibri" w:hAnsi="Calibri" w:cs="Calibri"/>
                <w:sz w:val="22"/>
                <w:szCs w:val="22"/>
              </w:rPr>
            </w:pPr>
          </w:p>
        </w:tc>
        <w:tc>
          <w:tcPr>
            <w:tcW w:w="1721"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3E82347E" w14:textId="69AA6ED2" w:rsidR="1B246978" w:rsidRDefault="1B246978" w:rsidP="1B246978">
            <w:pPr>
              <w:pStyle w:val="ListParagraph"/>
              <w:widowControl w:val="0"/>
              <w:numPr>
                <w:ilvl w:val="0"/>
                <w:numId w:val="2"/>
              </w:numPr>
              <w:contextualSpacing w:val="0"/>
              <w:rPr>
                <w:rFonts w:ascii="Calibri" w:eastAsia="Calibri" w:hAnsi="Calibri" w:cs="Calibri"/>
                <w:sz w:val="22"/>
                <w:szCs w:val="22"/>
              </w:rPr>
            </w:pPr>
            <w:r w:rsidRPr="1B246978">
              <w:rPr>
                <w:rFonts w:ascii="Calibri" w:eastAsia="Calibri" w:hAnsi="Calibri" w:cs="Calibri"/>
                <w:sz w:val="22"/>
                <w:szCs w:val="22"/>
              </w:rPr>
              <w:t>Students</w:t>
            </w:r>
          </w:p>
          <w:p w14:paraId="4912CC8A" w14:textId="188ED4AC" w:rsidR="1B246978" w:rsidRDefault="1B246978" w:rsidP="1B246978">
            <w:pPr>
              <w:pStyle w:val="ListParagraph"/>
              <w:widowControl w:val="0"/>
              <w:numPr>
                <w:ilvl w:val="0"/>
                <w:numId w:val="2"/>
              </w:numPr>
              <w:contextualSpacing w:val="0"/>
              <w:rPr>
                <w:rFonts w:ascii="Calibri" w:eastAsia="Calibri" w:hAnsi="Calibri" w:cs="Calibri"/>
                <w:sz w:val="22"/>
                <w:szCs w:val="22"/>
              </w:rPr>
            </w:pPr>
            <w:r w:rsidRPr="1B246978">
              <w:rPr>
                <w:rFonts w:ascii="Calibri" w:eastAsia="Calibri" w:hAnsi="Calibri" w:cs="Calibri"/>
                <w:sz w:val="22"/>
                <w:szCs w:val="22"/>
              </w:rPr>
              <w:t xml:space="preserve">Staff </w:t>
            </w:r>
          </w:p>
        </w:tc>
        <w:tc>
          <w:tcPr>
            <w:tcW w:w="3215"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27BFA2C1" w14:textId="6D608705" w:rsidR="1B246978" w:rsidRDefault="1B246978" w:rsidP="1B246978">
            <w:pPr>
              <w:pStyle w:val="ListParagraph"/>
              <w:widowControl w:val="0"/>
              <w:numPr>
                <w:ilvl w:val="0"/>
                <w:numId w:val="1"/>
              </w:numPr>
              <w:contextualSpacing w:val="0"/>
              <w:rPr>
                <w:rFonts w:ascii="Calibri" w:eastAsia="Calibri" w:hAnsi="Calibri" w:cs="Calibri"/>
                <w:sz w:val="22"/>
                <w:szCs w:val="22"/>
              </w:rPr>
            </w:pPr>
            <w:r w:rsidRPr="1B246978">
              <w:rPr>
                <w:rFonts w:ascii="Calibri" w:eastAsia="Calibri" w:hAnsi="Calibri" w:cs="Calibri"/>
                <w:sz w:val="22"/>
                <w:szCs w:val="22"/>
              </w:rPr>
              <w:t xml:space="preserve">Students to use small foam seats </w:t>
            </w:r>
          </w:p>
          <w:p w14:paraId="1882E58F" w14:textId="2E2B1BBF" w:rsidR="1B246978" w:rsidRDefault="1B246978" w:rsidP="1B246978">
            <w:pPr>
              <w:widowControl w:val="0"/>
              <w:ind w:left="360"/>
              <w:rPr>
                <w:rFonts w:ascii="Calibri" w:eastAsia="Calibri" w:hAnsi="Calibri" w:cs="Calibri"/>
                <w:sz w:val="22"/>
                <w:szCs w:val="22"/>
              </w:rPr>
            </w:pPr>
          </w:p>
          <w:p w14:paraId="028D4B51" w14:textId="1C096259" w:rsidR="1B246978" w:rsidRDefault="1B246978" w:rsidP="1B246978">
            <w:pPr>
              <w:pStyle w:val="ListParagraph"/>
              <w:widowControl w:val="0"/>
              <w:numPr>
                <w:ilvl w:val="0"/>
                <w:numId w:val="1"/>
              </w:numPr>
              <w:contextualSpacing w:val="0"/>
              <w:rPr>
                <w:rFonts w:ascii="Calibri" w:eastAsia="Calibri" w:hAnsi="Calibri" w:cs="Calibri"/>
                <w:sz w:val="22"/>
                <w:szCs w:val="22"/>
              </w:rPr>
            </w:pPr>
            <w:r w:rsidRPr="1B246978">
              <w:rPr>
                <w:rFonts w:ascii="Calibri" w:eastAsia="Calibri" w:hAnsi="Calibri" w:cs="Calibri"/>
                <w:sz w:val="22"/>
                <w:szCs w:val="22"/>
              </w:rPr>
              <w:t>Staff to be aware of hypersensitivity and prepared for possible student response</w:t>
            </w:r>
          </w:p>
          <w:p w14:paraId="72F42C43" w14:textId="719A1017" w:rsidR="1B246978" w:rsidRDefault="1B246978" w:rsidP="1B246978">
            <w:pPr>
              <w:pStyle w:val="ListParagraph"/>
              <w:widowControl w:val="0"/>
              <w:numPr>
                <w:ilvl w:val="0"/>
                <w:numId w:val="1"/>
              </w:numPr>
              <w:contextualSpacing w:val="0"/>
              <w:rPr>
                <w:rFonts w:ascii="Calibri" w:eastAsia="Calibri" w:hAnsi="Calibri" w:cs="Calibri"/>
                <w:sz w:val="22"/>
                <w:szCs w:val="22"/>
              </w:rPr>
            </w:pPr>
            <w:r w:rsidRPr="1B246978">
              <w:rPr>
                <w:rFonts w:ascii="Calibri" w:eastAsia="Calibri" w:hAnsi="Calibri" w:cs="Calibri"/>
                <w:sz w:val="22"/>
                <w:szCs w:val="22"/>
              </w:rPr>
              <w:t>First aid kit brought in the event of an injury to minimize impact</w:t>
            </w:r>
          </w:p>
          <w:p w14:paraId="70149457" w14:textId="18FC038E" w:rsidR="1B246978" w:rsidRDefault="1B246978" w:rsidP="1B246978">
            <w:pPr>
              <w:pStyle w:val="ListParagraph"/>
              <w:widowControl w:val="0"/>
              <w:numPr>
                <w:ilvl w:val="0"/>
                <w:numId w:val="1"/>
              </w:numPr>
              <w:contextualSpacing w:val="0"/>
              <w:rPr>
                <w:rFonts w:ascii="Calibri" w:eastAsia="Calibri" w:hAnsi="Calibri" w:cs="Calibri"/>
                <w:sz w:val="22"/>
                <w:szCs w:val="22"/>
              </w:rPr>
            </w:pPr>
            <w:r w:rsidRPr="1B246978">
              <w:rPr>
                <w:rFonts w:ascii="Calibri" w:eastAsia="Calibri" w:hAnsi="Calibri" w:cs="Calibri"/>
                <w:sz w:val="22"/>
                <w:szCs w:val="22"/>
              </w:rPr>
              <w:t>Area is checked for wildlife (Birds’ nests etc.)</w:t>
            </w:r>
          </w:p>
          <w:p w14:paraId="6E723F44" w14:textId="29B6AFFF" w:rsidR="1B246978" w:rsidRDefault="1B246978" w:rsidP="1B246978">
            <w:pPr>
              <w:pStyle w:val="ListParagraph"/>
              <w:widowControl w:val="0"/>
              <w:numPr>
                <w:ilvl w:val="0"/>
                <w:numId w:val="1"/>
              </w:numPr>
              <w:contextualSpacing w:val="0"/>
              <w:rPr>
                <w:rFonts w:ascii="Calibri" w:eastAsia="Calibri" w:hAnsi="Calibri" w:cs="Calibri"/>
                <w:sz w:val="22"/>
                <w:szCs w:val="22"/>
              </w:rPr>
            </w:pPr>
            <w:r w:rsidRPr="1B246978">
              <w:rPr>
                <w:rFonts w:ascii="Calibri" w:eastAsia="Calibri" w:hAnsi="Calibri" w:cs="Calibri"/>
                <w:sz w:val="22"/>
                <w:szCs w:val="22"/>
              </w:rPr>
              <w:t xml:space="preserve">Fully charged mobile </w:t>
            </w:r>
            <w:r w:rsidRPr="1B246978">
              <w:rPr>
                <w:rFonts w:ascii="Calibri" w:eastAsia="Calibri" w:hAnsi="Calibri" w:cs="Calibri"/>
                <w:sz w:val="22"/>
                <w:szCs w:val="22"/>
              </w:rPr>
              <w:lastRenderedPageBreak/>
              <w:t>phone in case of emergencies</w:t>
            </w:r>
          </w:p>
          <w:p w14:paraId="6AB16940" w14:textId="205BDFC2" w:rsidR="1B246978" w:rsidRDefault="1B246978" w:rsidP="1B246978">
            <w:pPr>
              <w:pStyle w:val="ListParagraph"/>
              <w:widowControl w:val="0"/>
              <w:numPr>
                <w:ilvl w:val="0"/>
                <w:numId w:val="1"/>
              </w:numPr>
              <w:contextualSpacing w:val="0"/>
              <w:rPr>
                <w:rFonts w:ascii="Calibri" w:eastAsia="Calibri" w:hAnsi="Calibri" w:cs="Calibri"/>
                <w:sz w:val="22"/>
                <w:szCs w:val="22"/>
              </w:rPr>
            </w:pPr>
            <w:r w:rsidRPr="1B246978">
              <w:rPr>
                <w:rFonts w:ascii="Calibri" w:eastAsia="Calibri" w:hAnsi="Calibri" w:cs="Calibri"/>
                <w:sz w:val="22"/>
                <w:szCs w:val="22"/>
              </w:rPr>
              <w:t xml:space="preserve">Appropriate ratio of staff to pupils (2 adults) </w:t>
            </w:r>
          </w:p>
          <w:p w14:paraId="2444A6AD" w14:textId="40B42A81" w:rsidR="1B246978" w:rsidRDefault="1B246978" w:rsidP="1B246978">
            <w:pPr>
              <w:widowControl w:val="0"/>
              <w:ind w:left="360"/>
              <w:rPr>
                <w:rFonts w:ascii="Calibri" w:eastAsia="Calibri" w:hAnsi="Calibri" w:cs="Calibri"/>
                <w:sz w:val="22"/>
                <w:szCs w:val="22"/>
              </w:rPr>
            </w:pPr>
          </w:p>
        </w:tc>
        <w:tc>
          <w:tcPr>
            <w:tcW w:w="284"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62595244" w14:textId="5A6A1DE7" w:rsidR="1B246978" w:rsidRDefault="1B246978" w:rsidP="1B246978">
            <w:pPr>
              <w:widowControl w:val="0"/>
              <w:rPr>
                <w:rFonts w:ascii="Calibri" w:eastAsia="Calibri" w:hAnsi="Calibri" w:cs="Calibri"/>
                <w:sz w:val="22"/>
                <w:szCs w:val="22"/>
              </w:rPr>
            </w:pPr>
            <w:r w:rsidRPr="1B246978">
              <w:rPr>
                <w:rFonts w:ascii="Calibri" w:eastAsia="Calibri" w:hAnsi="Calibri" w:cs="Calibri"/>
                <w:sz w:val="22"/>
                <w:szCs w:val="22"/>
              </w:rPr>
              <w:lastRenderedPageBreak/>
              <w:t>L</w:t>
            </w:r>
          </w:p>
        </w:tc>
      </w:tr>
      <w:tr w:rsidR="1B246978" w14:paraId="4D6F4685" w14:textId="77777777" w:rsidTr="00AE76DC">
        <w:trPr>
          <w:trHeight w:val="1275"/>
        </w:trPr>
        <w:tc>
          <w:tcPr>
            <w:tcW w:w="1311"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5DDE215F" w14:textId="030D74B3" w:rsidR="1B246978" w:rsidRDefault="1B246978" w:rsidP="1B246978">
            <w:pPr>
              <w:widowControl w:val="0"/>
              <w:rPr>
                <w:rFonts w:ascii="Calibri" w:eastAsia="Calibri" w:hAnsi="Calibri" w:cs="Calibri"/>
              </w:rPr>
            </w:pPr>
          </w:p>
        </w:tc>
        <w:tc>
          <w:tcPr>
            <w:tcW w:w="2641"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3BA411E1" w14:textId="3E5B6D58" w:rsidR="1B246978" w:rsidRDefault="1B246978" w:rsidP="1B246978">
            <w:pPr>
              <w:widowControl w:val="0"/>
              <w:rPr>
                <w:rFonts w:ascii="Calibri" w:eastAsia="Calibri" w:hAnsi="Calibri" w:cs="Calibri"/>
              </w:rPr>
            </w:pPr>
          </w:p>
        </w:tc>
        <w:tc>
          <w:tcPr>
            <w:tcW w:w="2342"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7EE95F6C" w14:textId="516939E0" w:rsidR="1B246978" w:rsidRDefault="1B246978" w:rsidP="1B246978">
            <w:pPr>
              <w:widowControl w:val="0"/>
              <w:ind w:left="360"/>
              <w:rPr>
                <w:rFonts w:ascii="Calibri" w:eastAsia="Calibri" w:hAnsi="Calibri" w:cs="Calibri"/>
              </w:rPr>
            </w:pPr>
          </w:p>
        </w:tc>
        <w:tc>
          <w:tcPr>
            <w:tcW w:w="1721"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2FF3DBDD" w14:textId="139325C3" w:rsidR="1B246978" w:rsidRDefault="1B246978" w:rsidP="1B246978">
            <w:pPr>
              <w:widowControl w:val="0"/>
              <w:rPr>
                <w:rFonts w:ascii="Calibri" w:eastAsia="Calibri" w:hAnsi="Calibri" w:cs="Calibri"/>
              </w:rPr>
            </w:pPr>
          </w:p>
        </w:tc>
        <w:tc>
          <w:tcPr>
            <w:tcW w:w="3215"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642F7406" w14:textId="3661ED53" w:rsidR="1B246978" w:rsidRDefault="1B246978" w:rsidP="1B246978">
            <w:pPr>
              <w:widowControl w:val="0"/>
              <w:ind w:left="360"/>
              <w:rPr>
                <w:rFonts w:ascii="Calibri" w:eastAsia="Calibri" w:hAnsi="Calibri" w:cs="Calibri"/>
              </w:rPr>
            </w:pPr>
          </w:p>
        </w:tc>
        <w:tc>
          <w:tcPr>
            <w:tcW w:w="284" w:type="dxa"/>
            <w:tcBorders>
              <w:top w:val="single" w:sz="4" w:space="0" w:color="auto"/>
              <w:left w:val="single" w:sz="4" w:space="0" w:color="auto"/>
              <w:bottom w:val="single" w:sz="4" w:space="0" w:color="auto"/>
              <w:right w:val="single" w:sz="4" w:space="0" w:color="auto"/>
            </w:tcBorders>
            <w:tcMar>
              <w:left w:w="105" w:type="dxa"/>
              <w:right w:w="105" w:type="dxa"/>
            </w:tcMar>
            <w:vAlign w:val="center"/>
          </w:tcPr>
          <w:p w14:paraId="32531A36" w14:textId="30554B39" w:rsidR="1B246978" w:rsidRDefault="1B246978" w:rsidP="1B246978">
            <w:pPr>
              <w:widowControl w:val="0"/>
              <w:rPr>
                <w:rFonts w:ascii="Calibri" w:eastAsia="Calibri" w:hAnsi="Calibri" w:cs="Calibri"/>
              </w:rPr>
            </w:pPr>
          </w:p>
        </w:tc>
      </w:tr>
    </w:tbl>
    <w:p w14:paraId="003324AA" w14:textId="72E519B8" w:rsidR="1B246978" w:rsidRDefault="1B246978" w:rsidP="1B246978">
      <w:pPr>
        <w:widowControl w:val="0"/>
        <w:spacing w:after="0" w:line="240" w:lineRule="auto"/>
        <w:rPr>
          <w:rFonts w:ascii="Calibri" w:eastAsia="Calibri" w:hAnsi="Calibri" w:cs="Calibri"/>
          <w:sz w:val="12"/>
          <w:szCs w:val="12"/>
        </w:rPr>
      </w:pPr>
    </w:p>
    <w:p w14:paraId="7FF1AB46" w14:textId="77777777" w:rsidR="00FF5C77" w:rsidRDefault="00FF5C77" w:rsidP="1B246978">
      <w:pPr>
        <w:widowControl w:val="0"/>
        <w:rPr>
          <w:rFonts w:ascii="Calibri" w:eastAsia="Calibri" w:hAnsi="Calibri" w:cs="Calibri"/>
          <w:sz w:val="22"/>
          <w:szCs w:val="22"/>
        </w:rPr>
        <w:sectPr w:rsidR="00FF5C77" w:rsidSect="00FF5C77">
          <w:pgSz w:w="16838" w:h="11906" w:orient="landscape"/>
          <w:pgMar w:top="1440" w:right="1440" w:bottom="1440" w:left="1440" w:header="720" w:footer="720" w:gutter="0"/>
          <w:cols w:space="720"/>
          <w:docGrid w:linePitch="360"/>
        </w:sectPr>
      </w:pPr>
    </w:p>
    <w:p w14:paraId="73B642B7" w14:textId="4F1412C3" w:rsidR="1B246978" w:rsidRDefault="1B246978" w:rsidP="1B246978">
      <w:pPr>
        <w:widowControl w:val="0"/>
        <w:rPr>
          <w:rFonts w:ascii="Calibri" w:eastAsia="Calibri" w:hAnsi="Calibri" w:cs="Calibri"/>
          <w:sz w:val="22"/>
          <w:szCs w:val="22"/>
        </w:rPr>
      </w:pPr>
    </w:p>
    <w:p w14:paraId="71A5D0EC" w14:textId="0B412DF7" w:rsidR="1B246978" w:rsidRDefault="1B246978" w:rsidP="1B246978">
      <w:pPr>
        <w:widowControl w:val="0"/>
      </w:pPr>
    </w:p>
    <w:p w14:paraId="069A2433" w14:textId="77777777" w:rsidR="00035C38" w:rsidRPr="00035C38" w:rsidRDefault="00035C38" w:rsidP="00B11BA1">
      <w:pPr>
        <w:pStyle w:val="Title"/>
        <w:rPr>
          <w:rFonts w:ascii="Segoe UI" w:eastAsia="Times New Roman" w:hAnsi="Segoe UI"/>
          <w:sz w:val="18"/>
          <w:szCs w:val="18"/>
          <w:lang w:eastAsia="en-GB"/>
        </w:rPr>
      </w:pPr>
      <w:r w:rsidRPr="00035C38">
        <w:rPr>
          <w:rFonts w:eastAsia="Times New Roman"/>
          <w:lang w:eastAsia="en-GB"/>
        </w:rPr>
        <w:t>Literature Review: The Role of Outdoor Education </w:t>
      </w:r>
    </w:p>
    <w:p w14:paraId="626B70F2" w14:textId="77777777" w:rsidR="00035C38" w:rsidRPr="00035C38" w:rsidRDefault="00035C38" w:rsidP="00035C38">
      <w:pPr>
        <w:spacing w:after="0" w:line="240" w:lineRule="auto"/>
        <w:textAlignment w:val="baseline"/>
        <w:rPr>
          <w:rFonts w:ascii="Segoe UI" w:eastAsia="Times New Roman" w:hAnsi="Segoe UI" w:cs="Segoe UI"/>
          <w:color w:val="595959"/>
          <w:sz w:val="18"/>
          <w:szCs w:val="18"/>
          <w:lang w:eastAsia="en-GB"/>
        </w:rPr>
      </w:pPr>
      <w:r w:rsidRPr="00035C38">
        <w:rPr>
          <w:rFonts w:ascii="Aptos" w:eastAsia="Times New Roman" w:hAnsi="Aptos" w:cs="Segoe UI"/>
          <w:color w:val="595959"/>
          <w:sz w:val="28"/>
          <w:szCs w:val="28"/>
          <w:lang w:eastAsia="en-GB"/>
        </w:rPr>
        <w:t>Ieuan Morgan (2214077)  </w:t>
      </w:r>
    </w:p>
    <w:p w14:paraId="4ED8EB80"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 </w:t>
      </w:r>
    </w:p>
    <w:p w14:paraId="1926CD01"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Outdoor learning is a broad concept which educational environments across the globe can interpret and implement differently. While no definitive definition exists for outdoor learning or outdoor education, for the purposes of this literature review, the writer will use the definition provided by Waite (2020).  In this context, outdoor education involves </w:t>
      </w:r>
      <w:r w:rsidRPr="00035C38">
        <w:rPr>
          <w:rFonts w:ascii="Aptos" w:eastAsia="Times New Roman" w:hAnsi="Aptos" w:cs="Segoe UI"/>
          <w:color w:val="000000"/>
          <w:lang w:eastAsia="en-GB"/>
        </w:rPr>
        <w:t>play, teaching, and learning that take place in natural environments for children in formal education and care settings</w:t>
      </w:r>
      <w:r w:rsidRPr="00035C38">
        <w:rPr>
          <w:rFonts w:ascii="Open Sans" w:eastAsia="Times New Roman" w:hAnsi="Open Sans" w:cs="Open Sans"/>
          <w:color w:val="000000"/>
          <w:lang w:eastAsia="en-GB"/>
        </w:rPr>
        <w:t>. </w:t>
      </w:r>
      <w:r w:rsidRPr="00035C38">
        <w:rPr>
          <w:rFonts w:ascii="Aptos" w:eastAsia="Times New Roman" w:hAnsi="Aptos" w:cs="Segoe UI"/>
          <w:lang w:eastAsia="en-GB"/>
        </w:rPr>
        <w:t>In Scandinavian countries such as Norway or Denmark, the outdoor environment can be central to their pedagogical philosophy, utilising nature itself as a classroom in which students engage physically through play and discovery to enhance their knowledge (Perlinger, 2025). In western countries such as the UK, formal learning environments such as the classroom often remain the primary space in which teaching is delivered, with outdoor learning being treated as an additional provision (Prince and Diggory, 2024). This literature review examines the role of outdoor learning through three key themes: the physical benefits associated with outdoor learning, the development of social skills and outdoor education as an experiential pedagogical approach which can support learners beyond the traditional classroom setting.  </w:t>
      </w:r>
    </w:p>
    <w:p w14:paraId="009368DF"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 </w:t>
      </w:r>
    </w:p>
    <w:p w14:paraId="322AEDC2" w14:textId="77777777" w:rsidR="00035C38" w:rsidRPr="00035C38" w:rsidRDefault="00035C38" w:rsidP="00035C38">
      <w:pPr>
        <w:spacing w:after="0" w:line="240" w:lineRule="auto"/>
        <w:textAlignment w:val="baseline"/>
        <w:rPr>
          <w:rFonts w:ascii="Segoe UI" w:eastAsia="Times New Roman" w:hAnsi="Segoe UI" w:cs="Segoe UI"/>
          <w:color w:val="0F4761"/>
          <w:sz w:val="18"/>
          <w:szCs w:val="18"/>
          <w:lang w:eastAsia="en-GB"/>
        </w:rPr>
      </w:pPr>
      <w:r w:rsidRPr="00035C38">
        <w:rPr>
          <w:rFonts w:ascii="Aptos Display" w:eastAsia="Times New Roman" w:hAnsi="Aptos Display" w:cs="Segoe UI"/>
          <w:color w:val="0F4761"/>
          <w:sz w:val="40"/>
          <w:szCs w:val="40"/>
          <w:lang w:eastAsia="en-GB"/>
        </w:rPr>
        <w:t>Part 1: Physical Benefits </w:t>
      </w:r>
    </w:p>
    <w:p w14:paraId="33EFEE8A"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There is a substantial amount of literature which outlines the physical benefits to be gained from outdoor learning (White et al., 2019). Research in this area suggests that educational outdoor experiences can support increased physical activity, development of positive lifestyle habits and broader outcomes such as improved sleep and emotional regulation (Vasilaki et al, 2025). However, the nature and strength of this evidence vary with some studies offering broader perspectives on physical health and others providing more specific data linked to structured programmes. With this in mind, the writer will aim to explore research and compare how different sources with varying motivations and methods interpret the physical benefits of outdoor learning.  </w:t>
      </w:r>
    </w:p>
    <w:p w14:paraId="169EF8EB"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Research conducted by J. Cottrell and S. Cottrell (2020) highlights the broader physical benefits of outdoor learning by emphasising its role in promoting physical activity and long-term health behaviours associated with outdoor skills education. This broader perspective is supported by Learning Through Landscapes (n.d)</w:t>
      </w:r>
      <w:r w:rsidRPr="00035C38">
        <w:rPr>
          <w:rFonts w:ascii="Aptos" w:eastAsia="Times New Roman" w:hAnsi="Aptos" w:cs="Segoe UI"/>
          <w:b/>
          <w:bCs/>
          <w:lang w:eastAsia="en-GB"/>
        </w:rPr>
        <w:t> </w:t>
      </w:r>
      <w:r w:rsidRPr="00035C38">
        <w:rPr>
          <w:rFonts w:ascii="Aptos" w:eastAsia="Times New Roman" w:hAnsi="Aptos" w:cs="Segoe UI"/>
          <w:lang w:eastAsia="en-GB"/>
        </w:rPr>
        <w:t>which highlights that regular opportunities for outdoor learning can increase physical activity levels and reduce inactivity across the school day, therefore contributing to long-term wellbeing.  </w:t>
      </w:r>
    </w:p>
    <w:p w14:paraId="6BC003DB"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 xml:space="preserve">In contrast to these general perspectives, Barfield et al. (2021) provide more specific, measurable results from an after-school programme which encouraged students to </w:t>
      </w:r>
      <w:r w:rsidRPr="00035C38">
        <w:rPr>
          <w:rFonts w:ascii="Aptos" w:eastAsia="Times New Roman" w:hAnsi="Aptos" w:cs="Segoe UI"/>
          <w:lang w:eastAsia="en-GB"/>
        </w:rPr>
        <w:lastRenderedPageBreak/>
        <w:t>increase levels of physical engagement through noncompetitive activities. After completion of the programme, students reported a variety of physical benefits. For example, 85% of students agreed they were getting better sleep despite not making changes to their bedtime routine. Additionally, 50% of participants agreed that just being outside eliminated or alleviated their stress levels. One student from this study found they were more able to regulate their emotions, from past behaviours such as punching walls to going out in nature to feel calm. Some students who engaged in this study also reported going outdoors more frequently as a direct result of feeling the benefits from the programme.  </w:t>
      </w:r>
    </w:p>
    <w:p w14:paraId="4060DEC2"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However, the structured and voluntary nature of this study may limit the extent to which these results can be generalised and compared to compulsory educational settings. Despite this, when considered collectively, evidence indicates that outdoor learning can play a positive role in supporting physical wellbeing, especially when opportunities for regular and meaningful engagement in outdoor activity are included in educational settings.   </w:t>
      </w:r>
    </w:p>
    <w:p w14:paraId="5F4E93D0"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 </w:t>
      </w:r>
    </w:p>
    <w:p w14:paraId="64897C82" w14:textId="77777777" w:rsidR="00035C38" w:rsidRPr="00035C38" w:rsidRDefault="00035C38" w:rsidP="00035C38">
      <w:pPr>
        <w:spacing w:after="0" w:line="240" w:lineRule="auto"/>
        <w:textAlignment w:val="baseline"/>
        <w:rPr>
          <w:rFonts w:ascii="Segoe UI" w:eastAsia="Times New Roman" w:hAnsi="Segoe UI" w:cs="Segoe UI"/>
          <w:color w:val="0F4761"/>
          <w:sz w:val="18"/>
          <w:szCs w:val="18"/>
          <w:lang w:eastAsia="en-GB"/>
        </w:rPr>
      </w:pPr>
      <w:r w:rsidRPr="00035C38">
        <w:rPr>
          <w:rFonts w:ascii="Aptos Display" w:eastAsia="Times New Roman" w:hAnsi="Aptos Display" w:cs="Segoe UI"/>
          <w:color w:val="0F4761"/>
          <w:sz w:val="40"/>
          <w:szCs w:val="40"/>
          <w:lang w:eastAsia="en-GB"/>
        </w:rPr>
        <w:t>Part 2: Development of Social Skills </w:t>
      </w:r>
    </w:p>
    <w:p w14:paraId="097A814A"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 </w:t>
      </w:r>
    </w:p>
    <w:p w14:paraId="3BBEA33D"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In the context of education in Wales, the development of social skills for learners is a priority as it closely aligns with the four purposes outlined in the Curriculum for Wales (2021), which emphasise learners’ ability to form positive relationships and work collaboratively as healthy, confident individuals. This focus on the development of social skills is supported by educational theorists such as Vygotsky (1978), who argued that learning is a fundamentally social experience, taking place first between people before the individual can internalise the knowledge. This perspective is further supported by Bandura (1977), who emphasised the role of observation and modelling in social learning and Bronfenbrenner (1979), who highlighted the influence of social and environmental experiences on individual development. This section will focus on recent studies which offer insight into how outdoor education can encourage and strengthen the development of social skills as well as the outcomes which students may experience due to engaging in learning outdoors.   </w:t>
      </w:r>
    </w:p>
    <w:p w14:paraId="1B892D36"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 xml:space="preserve">Papadopoulou and Vincent (2025) provide insight into how outdoor learning environments can support the development of social skills through a qualitative study conducted in nursery and primary school settings.  Their findings suggest that learning in this context offers opportunities for interaction with peers and collaboration as children engaged in shared tasks, discussed roles and communicated more freely than in traditional classroom environments. The authors argue that being in a less structured environment allows more flexibility in social pairings, promoting turn-taking, co-operation and problem solving in an authentic manner. Furthermore, Papadopoulou and Vincent (2025) highlight how outdoor environments can foster more inclusivity, particularly for learners who may experience social or behavioural challenges within classroom settings. These findings reflect Vygotsky’s emphasis on social interaction having a significant role to learning, suggesting that outdoor environments may provide contexts for the development of social skills through collaborative activities (Vygotsky, 1978). However, as this study is focused on only two settings, the </w:t>
      </w:r>
      <w:r w:rsidRPr="00035C38">
        <w:rPr>
          <w:rFonts w:ascii="Aptos" w:eastAsia="Times New Roman" w:hAnsi="Aptos" w:cs="Segoe UI"/>
          <w:lang w:eastAsia="en-GB"/>
        </w:rPr>
        <w:lastRenderedPageBreak/>
        <w:t>extent to which these findings can be applied universally across different age groups and other educational settings may be limited.  </w:t>
      </w:r>
    </w:p>
    <w:p w14:paraId="7898201E" w14:textId="21343E30"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Estyn (2019) share findings from Myddelton College, a boarding school with a diverse range of learners from 7 to 18 years old, 23% coming from minority ethnic groups and 32% are international pupils drawn from 16 different nationalities. This case study is useful as it demonstrates how outdoor activity can be beneficial to learners who may not necessarily share the same background. Myddelton College indirectly makes positive links to frameworks and policies such as the Curriculum for Wales (2021) as the school teaches skills which allow pupils to be confident and successful individuals. Through the outdoor learning programme, pupils have developed life skills such as building resilience, social skills and </w:t>
      </w:r>
      <w:r w:rsidR="00B11BA1" w:rsidRPr="00035C38">
        <w:rPr>
          <w:rFonts w:ascii="Aptos" w:eastAsia="Times New Roman" w:hAnsi="Aptos" w:cs="Segoe UI"/>
          <w:lang w:eastAsia="en-GB"/>
        </w:rPr>
        <w:t>teamwork. Additionally</w:t>
      </w:r>
      <w:r w:rsidRPr="00035C38">
        <w:rPr>
          <w:rFonts w:ascii="Aptos" w:eastAsia="Times New Roman" w:hAnsi="Aptos" w:cs="Segoe UI"/>
          <w:lang w:eastAsia="en-GB"/>
        </w:rPr>
        <w:t>, this case study can be used to demonstrate how learners with a history of challenges can utilise skills built in outdoor sessions to achieve personal growth and transferable skills which serve them in future. However, one criticism may be that findings may not be applicable across all settings as this programme was highly structured and planned </w:t>
      </w:r>
      <w:r w:rsidR="00B11BA1" w:rsidRPr="00035C38">
        <w:rPr>
          <w:rFonts w:ascii="Aptos" w:eastAsia="Times New Roman" w:hAnsi="Aptos" w:cs="Segoe UI"/>
          <w:lang w:eastAsia="en-GB"/>
        </w:rPr>
        <w:t>whereas other</w:t>
      </w:r>
      <w:r w:rsidRPr="00035C38">
        <w:rPr>
          <w:rFonts w:ascii="Aptos" w:eastAsia="Times New Roman" w:hAnsi="Aptos" w:cs="Segoe UI"/>
          <w:lang w:eastAsia="en-GB"/>
        </w:rPr>
        <w:t xml:space="preserve"> settings may offer provision for spontaneous exploration of the outdoors.   </w:t>
      </w:r>
    </w:p>
    <w:p w14:paraId="7F15253E"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When taken together, the literature suggests that outdoor education can play a meaningful role in supporting the development of social skills by providing contexts which promote building resilience, collaboration and inclusive participation. Policy guidance within the Curriculum for Wales (2021) places such skills as a central educational priority while educational theory places emphasis on the importance of social interaction in learning and development (Vygotsky, 1978). Despite limitations presented in each example, the literature collectively indicates that outdoor learning offers valuable opportunities to support learners holistically through intentionally structured experiences which encourage inclusive interaction.  </w:t>
      </w:r>
    </w:p>
    <w:p w14:paraId="6942AF96"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 </w:t>
      </w:r>
    </w:p>
    <w:p w14:paraId="3E56F545" w14:textId="77777777" w:rsidR="00035C38" w:rsidRPr="00035C38" w:rsidRDefault="00035C38" w:rsidP="00035C38">
      <w:pPr>
        <w:spacing w:after="0" w:line="240" w:lineRule="auto"/>
        <w:textAlignment w:val="baseline"/>
        <w:rPr>
          <w:rFonts w:ascii="Segoe UI" w:eastAsia="Times New Roman" w:hAnsi="Segoe UI" w:cs="Segoe UI"/>
          <w:color w:val="0F4761"/>
          <w:sz w:val="18"/>
          <w:szCs w:val="18"/>
          <w:lang w:eastAsia="en-GB"/>
        </w:rPr>
      </w:pPr>
      <w:r w:rsidRPr="00035C38">
        <w:rPr>
          <w:rFonts w:ascii="Aptos Display" w:eastAsia="Times New Roman" w:hAnsi="Aptos Display" w:cs="Segoe UI"/>
          <w:color w:val="0F4761"/>
          <w:sz w:val="40"/>
          <w:szCs w:val="40"/>
          <w:lang w:eastAsia="en-GB"/>
        </w:rPr>
        <w:t>Part 3: Experiential Learning as an Alternative to the Traditional Learning Environment  </w:t>
      </w:r>
    </w:p>
    <w:p w14:paraId="290C217F"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Not all learners thrive in traditional classroom environments, which often rely on formal, text-based approaches to learning (Becker et al., 2018). Outdoor education has been cited as an experiential and hands-on approach that may offer alternative opportunities for engagement, particularly for learners who respond positively to practical, active or vocational forms of learning (Dewey, 1938). This section explores literature which examines outdoor education as an experiential learning approach, focusing on its effectiveness in supporting engagement for pupils who may struggle to access education or thrive in a traditional classroom environment.  </w:t>
      </w:r>
    </w:p>
    <w:p w14:paraId="516DDF46"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Mann (2022) notes that nature-specific learning has measurable socio-emotional, academic and well-being benefits.  By observing 147 original research studies across various settings and a wide variety of demographics, this review offers a balanced perspective on the effectiveness of outdoor learning. One benefit outlined by Mann is the increased engagement from learners who previously struggled in classic learning environments with formal, text-based structures. Through outdoor provision, learners were able to demonstrate competence through problem-solving and real-world tasks.  This supports the development of skills which are often related to vocational and applied learning pathways, engaging learners and enabling positive learning outcomes for those who may struggle in the formal academic setting.  </w:t>
      </w:r>
    </w:p>
    <w:p w14:paraId="7F1B6DF9"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lastRenderedPageBreak/>
        <w:t>Jeffs and Ord (2017) further support the role of outdoor education as an experiential alternative in pedagogical approach by challenging the prevailing traditional classroom-based learning models. They argue that formal education has historically prioritised abstract and text-based forms of teaching and assessment which may limit opportunities for learners who engage more effectively through active participation. From this perspective, outdoor provision can widen access to learning by offering alternative ways to demonstrate understanding and competence, particularly for learners who benefit from immediate, tangible learning experiences.  </w:t>
      </w:r>
    </w:p>
    <w:p w14:paraId="5A56D8B9"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This argument is reinforced by international curriculum evidence. Perlinger (2025) outlines in a comparative study of Norwegian and German education systems, how outdoor education is embedded within everyday teaching practices rather than an additional provision. Integration at this level, allows outdoor learning to function as a core pedagogical approach, supporting learning through practical experiences.  </w:t>
      </w:r>
    </w:p>
    <w:p w14:paraId="50C5275E"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When considered collectively, the literature suggests that outdoor education can function effectively as an experiential pedagogical approach for learners who would benefit from an alternative to traditional classroom environments. While Becker et al. (2018) highlight the limitations of conventional academic models, experiential learning theories emphasise the value of learning through experience and active engagement (Dewey, 1938). Evidence from Mann (2022) demonstrates that outdoor learning can enhance engagement through real-world tasks, while Jeffs and Ord (2017) argue that such approaches broaden access to learning by valuing alternative ways of demonstrating understanding.    </w:t>
      </w:r>
    </w:p>
    <w:p w14:paraId="36842C26"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 </w:t>
      </w:r>
    </w:p>
    <w:p w14:paraId="079E6FF8" w14:textId="77777777" w:rsidR="00035C38" w:rsidRPr="00035C38" w:rsidRDefault="00035C38" w:rsidP="00035C38">
      <w:pPr>
        <w:spacing w:after="0" w:line="240" w:lineRule="auto"/>
        <w:textAlignment w:val="baseline"/>
        <w:rPr>
          <w:rFonts w:ascii="Segoe UI" w:eastAsia="Times New Roman" w:hAnsi="Segoe UI" w:cs="Segoe UI"/>
          <w:color w:val="0F4761"/>
          <w:sz w:val="18"/>
          <w:szCs w:val="18"/>
          <w:lang w:eastAsia="en-GB"/>
        </w:rPr>
      </w:pPr>
      <w:r w:rsidRPr="00035C38">
        <w:rPr>
          <w:rFonts w:ascii="Aptos Display" w:eastAsia="Times New Roman" w:hAnsi="Aptos Display" w:cs="Segoe UI"/>
          <w:color w:val="0F4761"/>
          <w:sz w:val="40"/>
          <w:szCs w:val="40"/>
          <w:lang w:eastAsia="en-GB"/>
        </w:rPr>
        <w:t>Conclusion:  </w:t>
      </w:r>
    </w:p>
    <w:p w14:paraId="643A3F7A"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In conclusion, this literature review has explored the role of education through three key themes comprised of physical, social and academic benefits. By utilising outdoor education as an additional provision or as a primary setting, learners can benefit holistically by promoting collaboration, development of soft skills and meaningful learning opportunities for those who may struggle in traditional environments (Cottrell &amp; Cottrell, 2020). The evidence suggests that outdoor provision is particularly effective when sessions are intentionally planned to meet the unique needs of each individual while educational theory highlights the value that hands on experiences may have on the development of the individual (Dewey, 1938). Moving forward, the role of outdoor education may be strengthened through greater integration in the curriculum, staff training and policy support, ensuring that all learners can benefit from learning beyond the traditional classroom environment.  </w:t>
      </w:r>
    </w:p>
    <w:p w14:paraId="29A228FA" w14:textId="77777777" w:rsidR="00035C38" w:rsidRDefault="00035C38" w:rsidP="00035C38">
      <w:pPr>
        <w:spacing w:after="0" w:line="240" w:lineRule="auto"/>
        <w:textAlignment w:val="baseline"/>
        <w:rPr>
          <w:rFonts w:ascii="Aptos" w:eastAsia="Times New Roman" w:hAnsi="Aptos" w:cs="Segoe UI"/>
          <w:lang w:eastAsia="en-GB"/>
        </w:rPr>
      </w:pPr>
      <w:r w:rsidRPr="00035C38">
        <w:rPr>
          <w:rFonts w:ascii="Aptos" w:eastAsia="Times New Roman" w:hAnsi="Aptos" w:cs="Segoe UI"/>
          <w:lang w:eastAsia="en-GB"/>
        </w:rPr>
        <w:t> </w:t>
      </w:r>
    </w:p>
    <w:p w14:paraId="693FB1B1" w14:textId="77777777" w:rsidR="00035C38" w:rsidRDefault="00035C38" w:rsidP="00035C38">
      <w:pPr>
        <w:spacing w:after="0" w:line="240" w:lineRule="auto"/>
        <w:textAlignment w:val="baseline"/>
        <w:rPr>
          <w:rFonts w:ascii="Aptos" w:eastAsia="Times New Roman" w:hAnsi="Aptos" w:cs="Segoe UI"/>
          <w:lang w:eastAsia="en-GB"/>
        </w:rPr>
      </w:pPr>
    </w:p>
    <w:p w14:paraId="08D069EF" w14:textId="77777777" w:rsidR="00035C38" w:rsidRDefault="00035C38" w:rsidP="00035C38">
      <w:pPr>
        <w:spacing w:after="0" w:line="240" w:lineRule="auto"/>
        <w:textAlignment w:val="baseline"/>
        <w:rPr>
          <w:rFonts w:ascii="Aptos" w:eastAsia="Times New Roman" w:hAnsi="Aptos" w:cs="Segoe UI"/>
          <w:lang w:eastAsia="en-GB"/>
        </w:rPr>
      </w:pPr>
    </w:p>
    <w:p w14:paraId="505AD66D" w14:textId="77777777" w:rsidR="00035C38" w:rsidRDefault="00035C38" w:rsidP="00035C38">
      <w:pPr>
        <w:spacing w:after="0" w:line="240" w:lineRule="auto"/>
        <w:textAlignment w:val="baseline"/>
        <w:rPr>
          <w:rFonts w:ascii="Aptos" w:eastAsia="Times New Roman" w:hAnsi="Aptos" w:cs="Segoe UI"/>
          <w:lang w:eastAsia="en-GB"/>
        </w:rPr>
      </w:pPr>
    </w:p>
    <w:p w14:paraId="1DE47220" w14:textId="77777777" w:rsidR="00035C38" w:rsidRDefault="00035C38" w:rsidP="00035C38">
      <w:pPr>
        <w:spacing w:after="0" w:line="240" w:lineRule="auto"/>
        <w:textAlignment w:val="baseline"/>
        <w:rPr>
          <w:rFonts w:ascii="Aptos" w:eastAsia="Times New Roman" w:hAnsi="Aptos" w:cs="Segoe UI"/>
          <w:lang w:eastAsia="en-GB"/>
        </w:rPr>
      </w:pPr>
    </w:p>
    <w:p w14:paraId="39FDE2E6" w14:textId="77777777" w:rsidR="00035C38" w:rsidRDefault="00035C38" w:rsidP="00035C38">
      <w:pPr>
        <w:spacing w:after="0" w:line="240" w:lineRule="auto"/>
        <w:textAlignment w:val="baseline"/>
        <w:rPr>
          <w:rFonts w:ascii="Aptos" w:eastAsia="Times New Roman" w:hAnsi="Aptos" w:cs="Segoe UI"/>
          <w:lang w:eastAsia="en-GB"/>
        </w:rPr>
      </w:pPr>
    </w:p>
    <w:p w14:paraId="17BF30A6" w14:textId="77777777" w:rsidR="00035C38" w:rsidRDefault="00035C38" w:rsidP="00035C38">
      <w:pPr>
        <w:spacing w:after="0" w:line="240" w:lineRule="auto"/>
        <w:textAlignment w:val="baseline"/>
        <w:rPr>
          <w:rFonts w:ascii="Aptos" w:eastAsia="Times New Roman" w:hAnsi="Aptos" w:cs="Segoe UI"/>
          <w:lang w:eastAsia="en-GB"/>
        </w:rPr>
      </w:pPr>
    </w:p>
    <w:p w14:paraId="2B65D0D5" w14:textId="77777777" w:rsidR="00035C38" w:rsidRDefault="00035C38" w:rsidP="00035C38">
      <w:pPr>
        <w:spacing w:after="0" w:line="240" w:lineRule="auto"/>
        <w:textAlignment w:val="baseline"/>
        <w:rPr>
          <w:rFonts w:ascii="Aptos" w:eastAsia="Times New Roman" w:hAnsi="Aptos" w:cs="Segoe UI"/>
          <w:lang w:eastAsia="en-GB"/>
        </w:rPr>
      </w:pPr>
    </w:p>
    <w:p w14:paraId="0B650A8C" w14:textId="77777777" w:rsidR="00035C38" w:rsidRDefault="00035C38" w:rsidP="00035C38">
      <w:pPr>
        <w:spacing w:after="0" w:line="240" w:lineRule="auto"/>
        <w:textAlignment w:val="baseline"/>
        <w:rPr>
          <w:rFonts w:ascii="Aptos" w:eastAsia="Times New Roman" w:hAnsi="Aptos" w:cs="Segoe UI"/>
          <w:lang w:eastAsia="en-GB"/>
        </w:rPr>
      </w:pPr>
    </w:p>
    <w:p w14:paraId="781736F2" w14:textId="77777777" w:rsidR="00035C38" w:rsidRDefault="00035C38" w:rsidP="00035C38">
      <w:pPr>
        <w:spacing w:after="0" w:line="240" w:lineRule="auto"/>
        <w:textAlignment w:val="baseline"/>
        <w:rPr>
          <w:rFonts w:ascii="Aptos" w:eastAsia="Times New Roman" w:hAnsi="Aptos" w:cs="Segoe UI"/>
          <w:lang w:eastAsia="en-GB"/>
        </w:rPr>
      </w:pPr>
    </w:p>
    <w:p w14:paraId="7F9FD340" w14:textId="77777777" w:rsidR="00035C38" w:rsidRDefault="00035C38" w:rsidP="00035C38">
      <w:pPr>
        <w:spacing w:after="0" w:line="240" w:lineRule="auto"/>
        <w:textAlignment w:val="baseline"/>
        <w:rPr>
          <w:rFonts w:ascii="Aptos" w:eastAsia="Times New Roman" w:hAnsi="Aptos" w:cs="Segoe UI"/>
          <w:lang w:eastAsia="en-GB"/>
        </w:rPr>
      </w:pPr>
    </w:p>
    <w:p w14:paraId="6C6E2068"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p>
    <w:p w14:paraId="4D0AC9C0" w14:textId="77777777" w:rsidR="00035C38" w:rsidRPr="00035C38" w:rsidRDefault="00035C38" w:rsidP="00035C38">
      <w:pPr>
        <w:spacing w:after="0" w:line="240" w:lineRule="auto"/>
        <w:textAlignment w:val="baseline"/>
        <w:rPr>
          <w:rFonts w:ascii="Segoe UI" w:eastAsia="Times New Roman" w:hAnsi="Segoe UI" w:cs="Segoe UI"/>
          <w:color w:val="0F4761"/>
          <w:sz w:val="18"/>
          <w:szCs w:val="18"/>
          <w:lang w:eastAsia="en-GB"/>
        </w:rPr>
      </w:pPr>
      <w:r w:rsidRPr="00035C38">
        <w:rPr>
          <w:rFonts w:ascii="Aptos Display" w:eastAsia="Times New Roman" w:hAnsi="Aptos Display" w:cs="Segoe UI"/>
          <w:color w:val="0F4761"/>
          <w:sz w:val="40"/>
          <w:szCs w:val="40"/>
          <w:lang w:eastAsia="en-GB"/>
        </w:rPr>
        <w:t>References: </w:t>
      </w:r>
    </w:p>
    <w:p w14:paraId="31EA96CE"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Bandura, A., 1971. </w:t>
      </w:r>
      <w:r w:rsidRPr="00035C38">
        <w:rPr>
          <w:rFonts w:ascii="Aptos" w:eastAsia="Times New Roman" w:hAnsi="Aptos" w:cs="Segoe UI"/>
          <w:i/>
          <w:iCs/>
          <w:lang w:eastAsia="en-GB"/>
        </w:rPr>
        <w:t>Social learning theory. </w:t>
      </w:r>
      <w:r w:rsidRPr="00035C38">
        <w:rPr>
          <w:rFonts w:ascii="Aptos" w:eastAsia="Times New Roman" w:hAnsi="Aptos" w:cs="Segoe UI"/>
          <w:lang w:eastAsia="en-GB"/>
        </w:rPr>
        <w:t>New York: General Learning Press. </w:t>
      </w:r>
    </w:p>
    <w:p w14:paraId="0FA81E54"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000000"/>
          <w:shd w:val="clear" w:color="auto" w:fill="FFFFFF"/>
          <w:lang w:eastAsia="en-GB"/>
        </w:rPr>
        <w:t>BARFIELD, P.A., RIDDER, K., HUGHES, J. and RICE-MCNEIL, K., 2021. Get Outside! Promoting Adolescent Health through Outdoor After-School Activity.</w:t>
      </w:r>
      <w:r w:rsidRPr="00035C38">
        <w:rPr>
          <w:rFonts w:ascii="Arial" w:eastAsia="Times New Roman" w:hAnsi="Arial" w:cs="Arial"/>
          <w:color w:val="000000"/>
          <w:shd w:val="clear" w:color="auto" w:fill="FFFFFF"/>
          <w:lang w:eastAsia="en-GB"/>
        </w:rPr>
        <w:t> </w:t>
      </w:r>
      <w:r w:rsidRPr="00035C38">
        <w:rPr>
          <w:rFonts w:ascii="Aptos" w:eastAsia="Times New Roman" w:hAnsi="Aptos" w:cs="Segoe UI"/>
          <w:i/>
          <w:iCs/>
          <w:color w:val="000000"/>
          <w:lang w:eastAsia="en-GB"/>
        </w:rPr>
        <w:t>International Journal of Environmental Research and Public Health,</w:t>
      </w:r>
      <w:r w:rsidRPr="00035C38">
        <w:rPr>
          <w:rFonts w:ascii="Arial" w:eastAsia="Times New Roman" w:hAnsi="Arial" w:cs="Arial"/>
          <w:i/>
          <w:iCs/>
          <w:color w:val="000000"/>
          <w:lang w:eastAsia="en-GB"/>
        </w:rPr>
        <w:t> </w:t>
      </w:r>
      <w:r w:rsidRPr="00035C38">
        <w:rPr>
          <w:rFonts w:ascii="Aptos" w:eastAsia="Times New Roman" w:hAnsi="Aptos" w:cs="Segoe UI"/>
          <w:color w:val="000000"/>
          <w:lang w:eastAsia="en-GB"/>
        </w:rPr>
        <w:t>18</w:t>
      </w:r>
      <w:r w:rsidRPr="00035C38">
        <w:rPr>
          <w:rFonts w:ascii="Aptos" w:eastAsia="Times New Roman" w:hAnsi="Aptos" w:cs="Segoe UI"/>
          <w:color w:val="000000"/>
          <w:shd w:val="clear" w:color="auto" w:fill="FFFFFF"/>
          <w:lang w:eastAsia="en-GB"/>
        </w:rPr>
        <w:t>(14), pp. 7223. Available: </w:t>
      </w:r>
      <w:hyperlink r:id="rId35" w:tgtFrame="_blank" w:history="1">
        <w:r w:rsidRPr="00035C38">
          <w:rPr>
            <w:rFonts w:ascii="Aptos" w:eastAsia="Times New Roman" w:hAnsi="Aptos" w:cs="Segoe UI"/>
            <w:color w:val="467886"/>
            <w:u w:val="single"/>
            <w:shd w:val="clear" w:color="auto" w:fill="FFFFFF"/>
            <w:lang w:eastAsia="en-GB"/>
          </w:rPr>
          <w:t>https://www.proquest.com/docview/2554543379?OpenUrlRefId=info:xri/sid:primo&amp;accountid=130472&amp;sourcetype=Scholarly%20Journals</w:t>
        </w:r>
      </w:hyperlink>
      <w:r w:rsidRPr="00035C38">
        <w:rPr>
          <w:rFonts w:ascii="Aptos" w:eastAsia="Times New Roman" w:hAnsi="Aptos" w:cs="Segoe UI"/>
          <w:color w:val="000000"/>
          <w:shd w:val="clear" w:color="auto" w:fill="FFFFFF"/>
          <w:lang w:eastAsia="en-GB"/>
        </w:rPr>
        <w:t> (Accessed: 03 April 2026) </w:t>
      </w:r>
      <w:r w:rsidRPr="00035C38">
        <w:rPr>
          <w:rFonts w:ascii="Aptos" w:eastAsia="Times New Roman" w:hAnsi="Aptos" w:cs="Segoe UI"/>
          <w:color w:val="000000"/>
          <w:lang w:eastAsia="en-GB"/>
        </w:rPr>
        <w:t> </w:t>
      </w:r>
    </w:p>
    <w:p w14:paraId="3FA0268D"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000000"/>
          <w:shd w:val="clear" w:color="auto" w:fill="FFFFFF"/>
          <w:lang w:eastAsia="en-GB"/>
        </w:rPr>
        <w:t>Becker, P, Humberstone, B, Loynes, C, &amp; Schirp, J (eds) 2018, The Changing World of Outdoor Learning in Europe, Taylor &amp; Francis Group, Oxford. Available:</w:t>
      </w:r>
      <w:hyperlink r:id="rId36" w:tgtFrame="_blank" w:history="1">
        <w:r w:rsidRPr="00035C38">
          <w:rPr>
            <w:rFonts w:ascii="Aptos" w:eastAsia="Times New Roman" w:hAnsi="Aptos" w:cs="Segoe UI"/>
            <w:color w:val="467886"/>
            <w:u w:val="single"/>
            <w:shd w:val="clear" w:color="auto" w:fill="FFFFFF"/>
            <w:lang w:eastAsia="en-GB"/>
          </w:rPr>
          <w:t>https://ebookcentral.proquest.com/lib/trinity/reader.action?docID=5426768&amp;c=RVBVQg&amp;ppg=1</w:t>
        </w:r>
      </w:hyperlink>
      <w:r w:rsidRPr="00035C38">
        <w:rPr>
          <w:rFonts w:ascii="Aptos" w:eastAsia="Times New Roman" w:hAnsi="Aptos" w:cs="Segoe UI"/>
          <w:color w:val="000000"/>
          <w:shd w:val="clear" w:color="auto" w:fill="FFFFFF"/>
          <w:lang w:eastAsia="en-GB"/>
        </w:rPr>
        <w:t> (Accessed: 03 April 2026) </w:t>
      </w:r>
      <w:r w:rsidRPr="00035C38">
        <w:rPr>
          <w:rFonts w:ascii="Aptos" w:eastAsia="Times New Roman" w:hAnsi="Aptos" w:cs="Segoe UI"/>
          <w:color w:val="000000"/>
          <w:lang w:eastAsia="en-GB"/>
        </w:rPr>
        <w:t> </w:t>
      </w:r>
    </w:p>
    <w:p w14:paraId="7DF3C53D"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000000"/>
          <w:shd w:val="clear" w:color="auto" w:fill="FFFFFF"/>
          <w:lang w:eastAsia="en-GB"/>
        </w:rPr>
        <w:t>Bronfenbrenner, U. (1979) </w:t>
      </w:r>
      <w:r w:rsidRPr="00035C38">
        <w:rPr>
          <w:rFonts w:ascii="Aptos" w:eastAsia="Times New Roman" w:hAnsi="Aptos" w:cs="Segoe UI"/>
          <w:i/>
          <w:iCs/>
          <w:color w:val="000000"/>
          <w:shd w:val="clear" w:color="auto" w:fill="FFFFFF"/>
          <w:lang w:eastAsia="en-GB"/>
        </w:rPr>
        <w:t>The Ecology of Human Development. </w:t>
      </w:r>
      <w:r w:rsidRPr="00035C38">
        <w:rPr>
          <w:rFonts w:ascii="Aptos" w:eastAsia="Times New Roman" w:hAnsi="Aptos" w:cs="Segoe UI"/>
          <w:color w:val="000000"/>
          <w:shd w:val="clear" w:color="auto" w:fill="FFFFFF"/>
          <w:lang w:eastAsia="en-GB"/>
        </w:rPr>
        <w:t>Cambridge, MA: Harvard University Press. </w:t>
      </w:r>
      <w:r w:rsidRPr="00035C38">
        <w:rPr>
          <w:rFonts w:ascii="Aptos" w:eastAsia="Times New Roman" w:hAnsi="Aptos" w:cs="Segoe UI"/>
          <w:color w:val="000000"/>
          <w:lang w:eastAsia="en-GB"/>
        </w:rPr>
        <w:t> </w:t>
      </w:r>
    </w:p>
    <w:p w14:paraId="0BE2A315"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000000"/>
          <w:lang w:eastAsia="en-GB"/>
        </w:rPr>
        <w:t>Cottrell, J.R. and Cottrell, S.P. (2020) ‘Outdoor skills education: what are the benefits for health, learning and lifestyle?’, </w:t>
      </w:r>
      <w:r w:rsidRPr="00035C38">
        <w:rPr>
          <w:rFonts w:ascii="Aptos" w:eastAsia="Times New Roman" w:hAnsi="Aptos" w:cs="Segoe UI"/>
          <w:i/>
          <w:iCs/>
          <w:color w:val="000000"/>
          <w:lang w:eastAsia="en-GB"/>
        </w:rPr>
        <w:t>World Leisure Journal</w:t>
      </w:r>
      <w:r w:rsidRPr="00035C38">
        <w:rPr>
          <w:rFonts w:ascii="Aptos" w:eastAsia="Times New Roman" w:hAnsi="Aptos" w:cs="Segoe UI"/>
          <w:color w:val="000000"/>
          <w:lang w:eastAsia="en-GB"/>
        </w:rPr>
        <w:t>, 62(3), pp. 219-241.</w:t>
      </w:r>
      <w:hyperlink r:id="rId37" w:tgtFrame="_blank" w:history="1">
        <w:r w:rsidRPr="00035C38">
          <w:rPr>
            <w:rFonts w:ascii="Aptos" w:eastAsia="Times New Roman" w:hAnsi="Aptos" w:cs="Segoe UI"/>
            <w:color w:val="467886"/>
            <w:u w:val="single"/>
            <w:lang w:eastAsia="en-GB"/>
          </w:rPr>
          <w:t>https://doi.org/10.1080/16078055.2020.1798051</w:t>
        </w:r>
      </w:hyperlink>
      <w:r w:rsidRPr="00035C38">
        <w:rPr>
          <w:rFonts w:ascii="Aptos" w:eastAsia="Times New Roman" w:hAnsi="Aptos" w:cs="Segoe UI"/>
          <w:lang w:eastAsia="en-GB"/>
        </w:rPr>
        <w:t> </w:t>
      </w:r>
    </w:p>
    <w:p w14:paraId="10972217"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Dewey, J. (1938) </w:t>
      </w:r>
      <w:r w:rsidRPr="00035C38">
        <w:rPr>
          <w:rFonts w:ascii="Aptos" w:eastAsia="Times New Roman" w:hAnsi="Aptos" w:cs="Segoe UI"/>
          <w:i/>
          <w:iCs/>
          <w:lang w:eastAsia="en-GB"/>
        </w:rPr>
        <w:t>Experience and Education. </w:t>
      </w:r>
      <w:r w:rsidRPr="00035C38">
        <w:rPr>
          <w:rFonts w:ascii="Aptos" w:eastAsia="Times New Roman" w:hAnsi="Aptos" w:cs="Segoe UI"/>
          <w:lang w:eastAsia="en-GB"/>
        </w:rPr>
        <w:t>New York: Macmillan  </w:t>
      </w:r>
    </w:p>
    <w:p w14:paraId="11038E72"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000000"/>
          <w:lang w:eastAsia="en-GB"/>
        </w:rPr>
        <w:t>Estyn (2019) </w:t>
      </w:r>
      <w:r w:rsidRPr="00035C38">
        <w:rPr>
          <w:rFonts w:ascii="Aptos" w:eastAsia="Times New Roman" w:hAnsi="Aptos" w:cs="Segoe UI"/>
          <w:i/>
          <w:iCs/>
          <w:lang w:eastAsia="en-GB"/>
        </w:rPr>
        <w:t>Using the outdoors to develop important life skills </w:t>
      </w:r>
      <w:r w:rsidRPr="00035C38">
        <w:rPr>
          <w:rFonts w:ascii="Aptos" w:eastAsia="Times New Roman" w:hAnsi="Aptos" w:cs="Segoe UI"/>
          <w:lang w:eastAsia="en-GB"/>
        </w:rPr>
        <w:t>Available: </w:t>
      </w:r>
      <w:hyperlink r:id="rId38" w:anchor="what-impact-has-this-work-had-on-provision-and-learners--standards" w:tgtFrame="_blank" w:history="1">
        <w:r w:rsidRPr="00035C38">
          <w:rPr>
            <w:rFonts w:ascii="Aptos" w:eastAsia="Times New Roman" w:hAnsi="Aptos" w:cs="Segoe UI"/>
            <w:color w:val="467886"/>
            <w:u w:val="single"/>
            <w:lang w:eastAsia="en-GB"/>
          </w:rPr>
          <w:t>https://estyn.gov.wales/improvement-resources/using-the-outdoors-to-develop-important-life-skills/#what-impact-has-this-work-had-on-provision-and-learners--standards</w:t>
        </w:r>
      </w:hyperlink>
      <w:r w:rsidRPr="00035C38">
        <w:rPr>
          <w:rFonts w:ascii="Aptos" w:eastAsia="Times New Roman" w:hAnsi="Aptos" w:cs="Segoe UI"/>
          <w:lang w:eastAsia="en-GB"/>
        </w:rPr>
        <w:t> (Accessed: 05 April 2026)  </w:t>
      </w:r>
    </w:p>
    <w:p w14:paraId="507C66D5"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000000"/>
          <w:shd w:val="clear" w:color="auto" w:fill="FFFFFF"/>
          <w:lang w:eastAsia="en-GB"/>
        </w:rPr>
        <w:t>Jeffs, T, &amp; Ord, J (eds) 2017, Rethinking Outdoor, Experiential and Informal Education : Beyond the Confines, Taylor &amp; Francis Group, Oxford. Available: </w:t>
      </w:r>
      <w:hyperlink r:id="rId39" w:tgtFrame="_blank" w:history="1">
        <w:r w:rsidRPr="00035C38">
          <w:rPr>
            <w:rFonts w:ascii="Aptos" w:eastAsia="Times New Roman" w:hAnsi="Aptos" w:cs="Segoe UI"/>
            <w:color w:val="467886"/>
            <w:u w:val="single"/>
            <w:shd w:val="clear" w:color="auto" w:fill="FFFFFF"/>
            <w:lang w:eastAsia="en-GB"/>
          </w:rPr>
          <w:t>https://ebookcentral.proquest.com/lib/trinity/reader.action?docID=5046921&amp;c=RVBVQg&amp;ppg=1</w:t>
        </w:r>
      </w:hyperlink>
      <w:r w:rsidRPr="00035C38">
        <w:rPr>
          <w:rFonts w:ascii="Aptos" w:eastAsia="Times New Roman" w:hAnsi="Aptos" w:cs="Segoe UI"/>
          <w:color w:val="000000"/>
          <w:shd w:val="clear" w:color="auto" w:fill="FFFFFF"/>
          <w:lang w:eastAsia="en-GB"/>
        </w:rPr>
        <w:t> (Accessed: 03 April 2026) </w:t>
      </w:r>
      <w:r w:rsidRPr="00035C38">
        <w:rPr>
          <w:rFonts w:ascii="Aptos" w:eastAsia="Times New Roman" w:hAnsi="Aptos" w:cs="Segoe UI"/>
          <w:color w:val="000000"/>
          <w:lang w:eastAsia="en-GB"/>
        </w:rPr>
        <w:t> </w:t>
      </w:r>
    </w:p>
    <w:p w14:paraId="4F81D4CA"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000000"/>
          <w:lang w:eastAsia="en-GB"/>
        </w:rPr>
        <w:t>Learning Through Landscapes (n.d) </w:t>
      </w:r>
      <w:r w:rsidRPr="00035C38">
        <w:rPr>
          <w:rFonts w:ascii="Aptos" w:eastAsia="Times New Roman" w:hAnsi="Aptos" w:cs="Segoe UI"/>
          <w:i/>
          <w:iCs/>
          <w:color w:val="000000"/>
          <w:lang w:eastAsia="en-GB"/>
        </w:rPr>
        <w:t>5 key benefits of outdoor learning</w:t>
      </w:r>
      <w:r w:rsidRPr="00035C38">
        <w:rPr>
          <w:rFonts w:ascii="Aptos" w:eastAsia="Times New Roman" w:hAnsi="Aptos" w:cs="Segoe UI"/>
          <w:color w:val="000000"/>
          <w:lang w:eastAsia="en-GB"/>
        </w:rPr>
        <w:t>  Available: </w:t>
      </w:r>
      <w:hyperlink r:id="rId40" w:tgtFrame="_blank" w:history="1">
        <w:r w:rsidRPr="00035C38">
          <w:rPr>
            <w:rFonts w:ascii="Aptos" w:eastAsia="Times New Roman" w:hAnsi="Aptos" w:cs="Segoe UI"/>
            <w:color w:val="467886"/>
            <w:u w:val="single"/>
            <w:lang w:eastAsia="en-GB"/>
          </w:rPr>
          <w:t>https://ltl.org.uk/5-key-benefits-of-outdoor-learning/</w:t>
        </w:r>
      </w:hyperlink>
      <w:r w:rsidRPr="00035C38">
        <w:rPr>
          <w:rFonts w:ascii="Aptos" w:eastAsia="Times New Roman" w:hAnsi="Aptos" w:cs="Segoe UI"/>
          <w:color w:val="000000"/>
          <w:lang w:eastAsia="en-GB"/>
        </w:rPr>
        <w:t> (Accessed: 04 April 2026) </w:t>
      </w:r>
    </w:p>
    <w:p w14:paraId="42CD3A4D"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 </w:t>
      </w:r>
    </w:p>
    <w:p w14:paraId="56426B8C"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000000"/>
          <w:lang w:eastAsia="en-GB"/>
        </w:rPr>
        <w:t>Perlinger, J. (2025) </w:t>
      </w:r>
      <w:r w:rsidRPr="00035C38">
        <w:rPr>
          <w:rFonts w:ascii="Aptos" w:eastAsia="Times New Roman" w:hAnsi="Aptos" w:cs="Segoe UI"/>
          <w:color w:val="222222"/>
          <w:shd w:val="clear" w:color="auto" w:fill="FFFFFF"/>
          <w:lang w:eastAsia="en-GB"/>
        </w:rPr>
        <w:t>Outdoor education in school curricula: a Norwegian–German comparative analysis.</w:t>
      </w:r>
      <w:r w:rsidRPr="00035C38">
        <w:rPr>
          <w:rFonts w:ascii="Arial" w:eastAsia="Times New Roman" w:hAnsi="Arial" w:cs="Arial"/>
          <w:color w:val="222222"/>
          <w:shd w:val="clear" w:color="auto" w:fill="FFFFFF"/>
          <w:lang w:eastAsia="en-GB"/>
        </w:rPr>
        <w:t> </w:t>
      </w:r>
      <w:r w:rsidRPr="00035C38">
        <w:rPr>
          <w:rFonts w:ascii="Aptos" w:eastAsia="Times New Roman" w:hAnsi="Aptos" w:cs="Segoe UI"/>
          <w:i/>
          <w:iCs/>
          <w:color w:val="222222"/>
          <w:lang w:eastAsia="en-GB"/>
        </w:rPr>
        <w:t>Journal of Outdoor and Environmental Education</w:t>
      </w:r>
      <w:r w:rsidRPr="00035C38">
        <w:rPr>
          <w:rFonts w:ascii="Merriweather Sans" w:eastAsia="Times New Roman" w:hAnsi="Merriweather Sans" w:cs="Segoe UI"/>
          <w:color w:val="222222"/>
          <w:shd w:val="clear" w:color="auto" w:fill="FFFFFF"/>
          <w:lang w:eastAsia="en-GB"/>
        </w:rPr>
        <w:t> </w:t>
      </w:r>
      <w:hyperlink r:id="rId41" w:tgtFrame="_blank" w:history="1">
        <w:r w:rsidRPr="00035C38">
          <w:rPr>
            <w:rFonts w:ascii="Aptos" w:eastAsia="Times New Roman" w:hAnsi="Aptos" w:cs="Segoe UI"/>
            <w:color w:val="467886"/>
            <w:u w:val="single"/>
            <w:shd w:val="clear" w:color="auto" w:fill="FFFFFF"/>
            <w:lang w:eastAsia="en-GB"/>
          </w:rPr>
          <w:t>https://doi.org/10.1007/s42322-025-00225-4</w:t>
        </w:r>
      </w:hyperlink>
      <w:r w:rsidRPr="00035C38">
        <w:rPr>
          <w:rFonts w:ascii="Merriweather Sans" w:eastAsia="Times New Roman" w:hAnsi="Merriweather Sans" w:cs="Segoe UI"/>
          <w:color w:val="222222"/>
          <w:shd w:val="clear" w:color="auto" w:fill="FFFFFF"/>
          <w:lang w:eastAsia="en-GB"/>
        </w:rPr>
        <w:t> </w:t>
      </w:r>
      <w:r w:rsidRPr="00035C38">
        <w:rPr>
          <w:rFonts w:ascii="Merriweather Sans" w:eastAsia="Times New Roman" w:hAnsi="Merriweather Sans" w:cs="Segoe UI"/>
          <w:color w:val="222222"/>
          <w:lang w:eastAsia="en-GB"/>
        </w:rPr>
        <w:t> </w:t>
      </w:r>
    </w:p>
    <w:p w14:paraId="4D24AFF4"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222222"/>
          <w:shd w:val="clear" w:color="auto" w:fill="FFFFFF"/>
          <w:lang w:eastAsia="en-GB"/>
        </w:rPr>
        <w:t>Prince, H. &amp; Diggory, O. (2024) ‘Recognition and reporting of Outdoor learning in primary schools in England’, </w:t>
      </w:r>
      <w:r w:rsidRPr="00035C38">
        <w:rPr>
          <w:rFonts w:ascii="Aptos" w:eastAsia="Times New Roman" w:hAnsi="Aptos" w:cs="Segoe UI"/>
          <w:i/>
          <w:iCs/>
          <w:color w:val="222222"/>
          <w:shd w:val="clear" w:color="auto" w:fill="FFFFFF"/>
          <w:lang w:eastAsia="en-GB"/>
        </w:rPr>
        <w:t>Journal of </w:t>
      </w:r>
      <w:r w:rsidRPr="00035C38">
        <w:rPr>
          <w:rFonts w:ascii="Aptos" w:eastAsia="Times New Roman" w:hAnsi="Aptos" w:cs="Segoe UI"/>
          <w:color w:val="222222"/>
          <w:shd w:val="clear" w:color="auto" w:fill="FFFFFF"/>
          <w:lang w:eastAsia="en-GB"/>
        </w:rPr>
        <w:t>Adventure Education and Outdoor Learning, 24(4) pp.553-565. Doi: </w:t>
      </w:r>
      <w:hyperlink r:id="rId42" w:tgtFrame="_blank" w:history="1">
        <w:r w:rsidRPr="00035C38">
          <w:rPr>
            <w:rFonts w:ascii="Aptos" w:eastAsia="Times New Roman" w:hAnsi="Aptos" w:cs="Segoe UI"/>
            <w:color w:val="10147E"/>
            <w:u w:val="single"/>
            <w:lang w:eastAsia="en-GB"/>
          </w:rPr>
          <w:t>https://doi.org/10.1080/14729679.2023.2166544</w:t>
        </w:r>
      </w:hyperlink>
      <w:r w:rsidRPr="00035C38">
        <w:rPr>
          <w:rFonts w:ascii="Aptos" w:eastAsia="Times New Roman" w:hAnsi="Aptos" w:cs="Segoe UI"/>
          <w:lang w:eastAsia="en-GB"/>
        </w:rPr>
        <w:t>  </w:t>
      </w:r>
    </w:p>
    <w:p w14:paraId="137EF22B"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000000"/>
          <w:lang w:eastAsia="en-GB"/>
        </w:rPr>
        <w:t>Vasilaki, M., Zafeiroudi, A., Tsartsapakis, I., Grivas, G., Chatzipanteli, A., Aphamis, G. et al. (2025) </w:t>
      </w:r>
      <w:r w:rsidRPr="00035C38">
        <w:rPr>
          <w:rFonts w:ascii="Aptos" w:eastAsia="Times New Roman" w:hAnsi="Aptos" w:cs="Segoe UI"/>
          <w:i/>
          <w:iCs/>
          <w:lang w:eastAsia="en-GB"/>
        </w:rPr>
        <w:t>Learning in Nature: A Systematic Review and Meta-Analysis of Outdoor Recreation’s Role in Youth Development. Education Sciences, 15(3), 332. </w:t>
      </w:r>
      <w:r w:rsidRPr="00035C38">
        <w:rPr>
          <w:rFonts w:ascii="Arial" w:eastAsia="Times New Roman" w:hAnsi="Arial" w:cs="Arial"/>
          <w:color w:val="222222"/>
          <w:sz w:val="21"/>
          <w:szCs w:val="21"/>
          <w:shd w:val="clear" w:color="auto" w:fill="FFFFFF"/>
          <w:lang w:eastAsia="en-GB"/>
        </w:rPr>
        <w:t> </w:t>
      </w:r>
      <w:hyperlink r:id="rId43" w:tgtFrame="_blank" w:history="1">
        <w:r w:rsidRPr="00035C38">
          <w:rPr>
            <w:rFonts w:ascii="Arial" w:eastAsia="Times New Roman" w:hAnsi="Arial" w:cs="Arial"/>
            <w:b/>
            <w:bCs/>
            <w:color w:val="4F5671"/>
            <w:sz w:val="21"/>
            <w:szCs w:val="21"/>
            <w:u w:val="single"/>
            <w:lang w:eastAsia="en-GB"/>
          </w:rPr>
          <w:t>https://doi.org/10.3390/educsci15030332</w:t>
        </w:r>
      </w:hyperlink>
      <w:r w:rsidRPr="00035C38">
        <w:rPr>
          <w:rFonts w:ascii="Aptos" w:eastAsia="Times New Roman" w:hAnsi="Aptos" w:cs="Segoe UI"/>
          <w:lang w:eastAsia="en-GB"/>
        </w:rPr>
        <w:t>  </w:t>
      </w:r>
    </w:p>
    <w:p w14:paraId="081D1CE3"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Vygotsky, L., 1978. </w:t>
      </w:r>
      <w:r w:rsidRPr="00035C38">
        <w:rPr>
          <w:rFonts w:ascii="Aptos" w:eastAsia="Times New Roman" w:hAnsi="Aptos" w:cs="Segoe UI"/>
          <w:i/>
          <w:iCs/>
          <w:lang w:eastAsia="en-GB"/>
        </w:rPr>
        <w:t>Mind in Society : Development of Higher Psychological Processes. </w:t>
      </w:r>
      <w:r w:rsidRPr="00035C38">
        <w:rPr>
          <w:rFonts w:ascii="Aptos" w:eastAsia="Times New Roman" w:hAnsi="Aptos" w:cs="Segoe UI"/>
          <w:lang w:eastAsia="en-GB"/>
        </w:rPr>
        <w:t>1st Edition ed. s.l.:Harvard University Press. </w:t>
      </w:r>
    </w:p>
    <w:p w14:paraId="5FE9EBF5"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333333"/>
          <w:shd w:val="clear" w:color="auto" w:fill="FFFFFF"/>
          <w:lang w:eastAsia="en-GB"/>
        </w:rPr>
        <w:lastRenderedPageBreak/>
        <w:t>Waite, S. (2020).’ Where are we going? International views on purposes, practices and barriers in school-based outdoor learning.</w:t>
      </w:r>
      <w:r w:rsidRPr="00035C38">
        <w:rPr>
          <w:rFonts w:ascii="Arial" w:eastAsia="Times New Roman" w:hAnsi="Arial" w:cs="Arial"/>
          <w:color w:val="333333"/>
          <w:shd w:val="clear" w:color="auto" w:fill="FFFFFF"/>
          <w:lang w:eastAsia="en-GB"/>
        </w:rPr>
        <w:t> </w:t>
      </w:r>
      <w:r w:rsidRPr="00035C38">
        <w:rPr>
          <w:rFonts w:ascii="Aptos" w:eastAsia="Times New Roman" w:hAnsi="Aptos" w:cs="Segoe UI"/>
          <w:i/>
          <w:iCs/>
          <w:color w:val="333333"/>
          <w:lang w:eastAsia="en-GB"/>
        </w:rPr>
        <w:t>Education Sciences’</w:t>
      </w:r>
      <w:r w:rsidRPr="00035C38">
        <w:rPr>
          <w:rFonts w:ascii="Aptos" w:eastAsia="Times New Roman" w:hAnsi="Aptos" w:cs="Segoe UI"/>
          <w:color w:val="333333"/>
          <w:shd w:val="clear" w:color="auto" w:fill="FFFFFF"/>
          <w:lang w:eastAsia="en-GB"/>
        </w:rPr>
        <w:t>, 10(11), 311. </w:t>
      </w:r>
      <w:hyperlink r:id="rId44" w:tgtFrame="_blank" w:history="1">
        <w:r w:rsidRPr="00035C38">
          <w:rPr>
            <w:rFonts w:ascii="Aptos" w:eastAsia="Times New Roman" w:hAnsi="Aptos" w:cs="Segoe UI"/>
            <w:color w:val="467886"/>
            <w:u w:val="single"/>
            <w:shd w:val="clear" w:color="auto" w:fill="FFFFFF"/>
            <w:lang w:eastAsia="en-GB"/>
          </w:rPr>
          <w:t>https://doi.org/10.3390/educsci10110311</w:t>
        </w:r>
      </w:hyperlink>
      <w:r w:rsidRPr="00035C38">
        <w:rPr>
          <w:rFonts w:ascii="Aptos" w:eastAsia="Times New Roman" w:hAnsi="Aptos" w:cs="Segoe UI"/>
          <w:color w:val="333333"/>
          <w:shd w:val="clear" w:color="auto" w:fill="FFFFFF"/>
          <w:lang w:eastAsia="en-GB"/>
        </w:rPr>
        <w:t> </w:t>
      </w:r>
      <w:r w:rsidRPr="00035C38">
        <w:rPr>
          <w:rFonts w:ascii="Aptos" w:eastAsia="Times New Roman" w:hAnsi="Aptos" w:cs="Segoe UI"/>
          <w:color w:val="333333"/>
          <w:lang w:eastAsia="en-GB"/>
        </w:rPr>
        <w:t> </w:t>
      </w:r>
    </w:p>
    <w:p w14:paraId="2C0DF863"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Welsh Government, (2021). </w:t>
      </w:r>
      <w:r w:rsidRPr="00035C38">
        <w:rPr>
          <w:rFonts w:ascii="Aptos" w:eastAsia="Times New Roman" w:hAnsi="Aptos" w:cs="Segoe UI"/>
          <w:i/>
          <w:iCs/>
          <w:lang w:eastAsia="en-GB"/>
        </w:rPr>
        <w:t>Curriculum and Assessment (Wales) Act. </w:t>
      </w:r>
      <w:r w:rsidRPr="00035C38">
        <w:rPr>
          <w:rFonts w:ascii="Aptos" w:eastAsia="Times New Roman" w:hAnsi="Aptos" w:cs="Segoe UI"/>
          <w:lang w:eastAsia="en-GB"/>
        </w:rPr>
        <w:t>[Online]  </w:t>
      </w:r>
      <w:r w:rsidRPr="00035C38">
        <w:rPr>
          <w:rFonts w:ascii="Aptos" w:eastAsia="Times New Roman" w:hAnsi="Aptos" w:cs="Segoe UI"/>
          <w:lang w:eastAsia="en-GB"/>
        </w:rPr>
        <w:br/>
        <w:t>Available at: </w:t>
      </w:r>
      <w:hyperlink r:id="rId45" w:tgtFrame="_blank" w:history="1">
        <w:r w:rsidRPr="00035C38">
          <w:rPr>
            <w:rFonts w:ascii="Aptos" w:eastAsia="Times New Roman" w:hAnsi="Aptos" w:cs="Segoe UI"/>
            <w:color w:val="467886"/>
            <w:u w:val="single"/>
            <w:lang w:eastAsia="en-GB"/>
          </w:rPr>
          <w:t>https://www.legislation.gov.uk/asc/2021/4/pdfs/asc_20210004_en.pdf</w:t>
        </w:r>
      </w:hyperlink>
      <w:r w:rsidRPr="00035C38">
        <w:rPr>
          <w:rFonts w:ascii="Aptos" w:eastAsia="Times New Roman" w:hAnsi="Aptos" w:cs="Segoe UI"/>
          <w:lang w:eastAsia="en-GB"/>
        </w:rPr>
        <w:t> (Accessed 07 April 2026). </w:t>
      </w:r>
    </w:p>
    <w:p w14:paraId="2EFEB466"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shd w:val="clear" w:color="auto" w:fill="FFFFFF"/>
          <w:lang w:eastAsia="en-GB"/>
        </w:rPr>
        <w:t>White, M.P., Alcock, I., Grellier, J., Wheeler, B.W., Hartig, T., Warber, S., Bone, A., Depledge, M.H. &amp; Fleming, L.E. (2019) </w:t>
      </w:r>
      <w:r w:rsidRPr="00035C38">
        <w:rPr>
          <w:rFonts w:ascii="Segoe UI" w:eastAsia="Times New Roman" w:hAnsi="Segoe UI" w:cs="Segoe UI"/>
          <w:color w:val="222222"/>
          <w:lang w:eastAsia="en-GB"/>
        </w:rPr>
        <w:t>Spending at least 120 minutes a week in nature is associated with good health and wellbeing</w:t>
      </w:r>
      <w:r w:rsidRPr="00035C38">
        <w:rPr>
          <w:rFonts w:ascii="Segoe UI" w:eastAsia="Times New Roman" w:hAnsi="Segoe UI" w:cs="Segoe UI"/>
          <w:i/>
          <w:iCs/>
          <w:color w:val="222222"/>
          <w:lang w:eastAsia="en-GB"/>
        </w:rPr>
        <w:t>. Sci Rep </w:t>
      </w:r>
      <w:r w:rsidRPr="00035C38">
        <w:rPr>
          <w:rFonts w:ascii="Segoe UI" w:eastAsia="Times New Roman" w:hAnsi="Segoe UI" w:cs="Segoe UI"/>
          <w:b/>
          <w:bCs/>
          <w:color w:val="222222"/>
          <w:lang w:eastAsia="en-GB"/>
        </w:rPr>
        <w:t>9, </w:t>
      </w:r>
      <w:r w:rsidRPr="00035C38">
        <w:rPr>
          <w:rFonts w:ascii="Segoe UI" w:eastAsia="Times New Roman" w:hAnsi="Segoe UI" w:cs="Segoe UI"/>
          <w:i/>
          <w:iCs/>
          <w:color w:val="222222"/>
          <w:lang w:eastAsia="en-GB"/>
        </w:rPr>
        <w:t>7730. </w:t>
      </w:r>
      <w:hyperlink r:id="rId46" w:tgtFrame="_blank" w:history="1">
        <w:r w:rsidRPr="00035C38">
          <w:rPr>
            <w:rFonts w:ascii="Segoe UI" w:eastAsia="Times New Roman" w:hAnsi="Segoe UI" w:cs="Segoe UI"/>
            <w:color w:val="467886"/>
            <w:u w:val="single"/>
            <w:shd w:val="clear" w:color="auto" w:fill="FFFFFF"/>
            <w:lang w:eastAsia="en-GB"/>
          </w:rPr>
          <w:t>https://doi.org/10.1038/s41598-019-44097-3</w:t>
        </w:r>
      </w:hyperlink>
      <w:r w:rsidRPr="00035C38">
        <w:rPr>
          <w:rFonts w:ascii="Segoe UI" w:eastAsia="Times New Roman" w:hAnsi="Segoe UI" w:cs="Segoe UI"/>
          <w:color w:val="222222"/>
          <w:shd w:val="clear" w:color="auto" w:fill="FFFFFF"/>
          <w:lang w:eastAsia="en-GB"/>
        </w:rPr>
        <w:t> </w:t>
      </w:r>
      <w:r w:rsidRPr="00035C38">
        <w:rPr>
          <w:rFonts w:ascii="Segoe UI" w:eastAsia="Times New Roman" w:hAnsi="Segoe UI" w:cs="Segoe UI"/>
          <w:color w:val="222222"/>
          <w:lang w:eastAsia="en-GB"/>
        </w:rPr>
        <w:t> </w:t>
      </w:r>
    </w:p>
    <w:p w14:paraId="7C5B7D00"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 </w:t>
      </w:r>
    </w:p>
    <w:p w14:paraId="5CD761EF"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lang w:eastAsia="en-GB"/>
        </w:rPr>
        <w:t> </w:t>
      </w:r>
    </w:p>
    <w:p w14:paraId="4DD4EE1B" w14:textId="77777777" w:rsidR="00035C38" w:rsidRPr="00035C38" w:rsidRDefault="00035C38" w:rsidP="00035C38">
      <w:pPr>
        <w:spacing w:after="0" w:line="240" w:lineRule="auto"/>
        <w:textAlignment w:val="baseline"/>
        <w:rPr>
          <w:rFonts w:ascii="Segoe UI" w:eastAsia="Times New Roman" w:hAnsi="Segoe UI" w:cs="Segoe UI"/>
          <w:sz w:val="18"/>
          <w:szCs w:val="18"/>
          <w:lang w:eastAsia="en-GB"/>
        </w:rPr>
      </w:pPr>
      <w:r w:rsidRPr="00035C38">
        <w:rPr>
          <w:rFonts w:ascii="Aptos" w:eastAsia="Times New Roman" w:hAnsi="Aptos" w:cs="Segoe UI"/>
          <w:color w:val="000000"/>
          <w:lang w:eastAsia="en-GB"/>
        </w:rPr>
        <w:t>  </w:t>
      </w:r>
    </w:p>
    <w:p w14:paraId="64DE62AC" w14:textId="41D195F5" w:rsidR="1B246978" w:rsidRDefault="1B246978" w:rsidP="1B246978">
      <w:pPr>
        <w:widowControl w:val="0"/>
      </w:pPr>
    </w:p>
    <w:p w14:paraId="497CF109" w14:textId="13692B53" w:rsidR="1B246978" w:rsidRDefault="1B246978" w:rsidP="1B246978">
      <w:pPr>
        <w:widowControl w:val="0"/>
      </w:pPr>
    </w:p>
    <w:p w14:paraId="7171FC06" w14:textId="23291A17" w:rsidR="1B246978" w:rsidRDefault="1B246978" w:rsidP="1B246978">
      <w:pPr>
        <w:widowControl w:val="0"/>
      </w:pPr>
    </w:p>
    <w:p w14:paraId="5626383B" w14:textId="20359CC8" w:rsidR="1B246978" w:rsidRDefault="1B246978" w:rsidP="1B246978">
      <w:pPr>
        <w:widowControl w:val="0"/>
      </w:pPr>
    </w:p>
    <w:p w14:paraId="707E7E1D" w14:textId="69F6EDCC" w:rsidR="1B246978" w:rsidRDefault="1B246978" w:rsidP="1B246978">
      <w:pPr>
        <w:widowControl w:val="0"/>
      </w:pPr>
    </w:p>
    <w:p w14:paraId="1CF8EE11" w14:textId="44267FAB" w:rsidR="1B246978" w:rsidRDefault="1B246978" w:rsidP="1B246978">
      <w:pPr>
        <w:widowControl w:val="0"/>
      </w:pPr>
    </w:p>
    <w:p w14:paraId="0B51F0F8" w14:textId="50532F73" w:rsidR="1B246978" w:rsidRDefault="1B246978" w:rsidP="1B246978">
      <w:pPr>
        <w:widowControl w:val="0"/>
      </w:pPr>
    </w:p>
    <w:p w14:paraId="77AACD4E" w14:textId="7D7EAE22" w:rsidR="1B246978" w:rsidRDefault="1B246978" w:rsidP="1B246978">
      <w:pPr>
        <w:widowControl w:val="0"/>
      </w:pPr>
    </w:p>
    <w:p w14:paraId="555274D4" w14:textId="247D5843" w:rsidR="1B246978" w:rsidRDefault="1B246978" w:rsidP="1B246978">
      <w:pPr>
        <w:widowControl w:val="0"/>
      </w:pPr>
    </w:p>
    <w:p w14:paraId="5FB418CD" w14:textId="318B5425" w:rsidR="1B246978" w:rsidRDefault="1B246978" w:rsidP="1B246978">
      <w:pPr>
        <w:widowControl w:val="0"/>
      </w:pPr>
    </w:p>
    <w:p w14:paraId="146FBE6E" w14:textId="05FC7AA2" w:rsidR="1B246978" w:rsidRDefault="1B246978" w:rsidP="1B246978">
      <w:pPr>
        <w:widowControl w:val="0"/>
      </w:pPr>
    </w:p>
    <w:p w14:paraId="3C2484D5" w14:textId="4866582A" w:rsidR="1B246978" w:rsidRDefault="1B246978" w:rsidP="1B246978">
      <w:pPr>
        <w:widowControl w:val="0"/>
      </w:pPr>
    </w:p>
    <w:p w14:paraId="4E8E2EFF" w14:textId="475C80FD" w:rsidR="1B246978" w:rsidRDefault="1B246978" w:rsidP="1B246978">
      <w:pPr>
        <w:widowControl w:val="0"/>
      </w:pPr>
    </w:p>
    <w:p w14:paraId="698B2F5E" w14:textId="2613C314" w:rsidR="1B246978" w:rsidRDefault="1B246978" w:rsidP="1B246978">
      <w:pPr>
        <w:widowControl w:val="0"/>
      </w:pPr>
    </w:p>
    <w:p w14:paraId="523C9F69" w14:textId="694D4049" w:rsidR="1B246978" w:rsidRDefault="1B246978" w:rsidP="1B246978">
      <w:pPr>
        <w:widowControl w:val="0"/>
      </w:pPr>
    </w:p>
    <w:p w14:paraId="0E9E412C" w14:textId="25143C0E" w:rsidR="1B246978" w:rsidRDefault="1B246978"/>
    <w:p w14:paraId="47ECC94A" w14:textId="73BBDB01" w:rsidR="1B246978" w:rsidRDefault="1B246978"/>
    <w:p w14:paraId="771D760C" w14:textId="7A1B999D" w:rsidR="1B246978" w:rsidRDefault="1B246978" w:rsidP="1B246978"/>
    <w:sectPr w:rsidR="1B246978" w:rsidSect="00FF5C7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17BB9" w14:textId="77777777" w:rsidR="00B042D6" w:rsidRDefault="00B042D6" w:rsidP="00EA217E">
      <w:pPr>
        <w:spacing w:after="0" w:line="240" w:lineRule="auto"/>
      </w:pPr>
      <w:r>
        <w:separator/>
      </w:r>
    </w:p>
  </w:endnote>
  <w:endnote w:type="continuationSeparator" w:id="0">
    <w:p w14:paraId="4E648FCF" w14:textId="77777777" w:rsidR="00B042D6" w:rsidRDefault="00B042D6" w:rsidP="00EA2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Merriweather Sans">
    <w:panose1 w:val="00000000000000000000"/>
    <w:charset w:val="4D"/>
    <w:family w:val="auto"/>
    <w:pitch w:val="variable"/>
    <w:sig w:usb0="A00004FF" w:usb1="4000207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A0005" w14:textId="77777777" w:rsidR="00EA217E" w:rsidRDefault="00EA21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2B60D7" w14:textId="77777777" w:rsidR="00EA217E" w:rsidRDefault="00EA21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FB5F2F" w14:textId="77777777" w:rsidR="00EA217E" w:rsidRDefault="00EA2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399EB" w14:textId="77777777" w:rsidR="00B042D6" w:rsidRDefault="00B042D6" w:rsidP="00EA217E">
      <w:pPr>
        <w:spacing w:after="0" w:line="240" w:lineRule="auto"/>
      </w:pPr>
      <w:r>
        <w:separator/>
      </w:r>
    </w:p>
  </w:footnote>
  <w:footnote w:type="continuationSeparator" w:id="0">
    <w:p w14:paraId="7BD480DB" w14:textId="77777777" w:rsidR="00B042D6" w:rsidRDefault="00B042D6" w:rsidP="00EA21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232458" w14:textId="77777777" w:rsidR="00EA217E" w:rsidRDefault="00EA21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0063F3" w14:textId="77777777" w:rsidR="00EA217E" w:rsidRDefault="00EA21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5251F" w14:textId="77777777" w:rsidR="00EA217E" w:rsidRDefault="00EA217E">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A4FB7"/>
    <w:multiLevelType w:val="hybridMultilevel"/>
    <w:tmpl w:val="75A25116"/>
    <w:lvl w:ilvl="0" w:tplc="1ED2AF16">
      <w:start w:val="1"/>
      <w:numFmt w:val="bullet"/>
      <w:lvlText w:val=""/>
      <w:lvlJc w:val="left"/>
      <w:pPr>
        <w:ind w:left="1080" w:hanging="360"/>
      </w:pPr>
      <w:rPr>
        <w:rFonts w:ascii="Symbol" w:hAnsi="Symbol" w:hint="default"/>
      </w:rPr>
    </w:lvl>
    <w:lvl w:ilvl="1" w:tplc="6DD86848">
      <w:start w:val="1"/>
      <w:numFmt w:val="bullet"/>
      <w:lvlText w:val="o"/>
      <w:lvlJc w:val="left"/>
      <w:pPr>
        <w:ind w:left="1440" w:hanging="360"/>
      </w:pPr>
      <w:rPr>
        <w:rFonts w:ascii="Courier New" w:hAnsi="Courier New" w:hint="default"/>
      </w:rPr>
    </w:lvl>
    <w:lvl w:ilvl="2" w:tplc="13D8AFF0">
      <w:start w:val="1"/>
      <w:numFmt w:val="bullet"/>
      <w:lvlText w:val=""/>
      <w:lvlJc w:val="left"/>
      <w:pPr>
        <w:ind w:left="2160" w:hanging="360"/>
      </w:pPr>
      <w:rPr>
        <w:rFonts w:ascii="Wingdings" w:hAnsi="Wingdings" w:hint="default"/>
      </w:rPr>
    </w:lvl>
    <w:lvl w:ilvl="3" w:tplc="1AD24EC6">
      <w:start w:val="1"/>
      <w:numFmt w:val="bullet"/>
      <w:lvlText w:val=""/>
      <w:lvlJc w:val="left"/>
      <w:pPr>
        <w:ind w:left="2880" w:hanging="360"/>
      </w:pPr>
      <w:rPr>
        <w:rFonts w:ascii="Symbol" w:hAnsi="Symbol" w:hint="default"/>
      </w:rPr>
    </w:lvl>
    <w:lvl w:ilvl="4" w:tplc="96D29596">
      <w:start w:val="1"/>
      <w:numFmt w:val="bullet"/>
      <w:lvlText w:val="o"/>
      <w:lvlJc w:val="left"/>
      <w:pPr>
        <w:ind w:left="3600" w:hanging="360"/>
      </w:pPr>
      <w:rPr>
        <w:rFonts w:ascii="Courier New" w:hAnsi="Courier New" w:hint="default"/>
      </w:rPr>
    </w:lvl>
    <w:lvl w:ilvl="5" w:tplc="1DF215AE">
      <w:start w:val="1"/>
      <w:numFmt w:val="bullet"/>
      <w:lvlText w:val=""/>
      <w:lvlJc w:val="left"/>
      <w:pPr>
        <w:ind w:left="4320" w:hanging="360"/>
      </w:pPr>
      <w:rPr>
        <w:rFonts w:ascii="Wingdings" w:hAnsi="Wingdings" w:hint="default"/>
      </w:rPr>
    </w:lvl>
    <w:lvl w:ilvl="6" w:tplc="3A26499E">
      <w:start w:val="1"/>
      <w:numFmt w:val="bullet"/>
      <w:lvlText w:val=""/>
      <w:lvlJc w:val="left"/>
      <w:pPr>
        <w:ind w:left="5040" w:hanging="360"/>
      </w:pPr>
      <w:rPr>
        <w:rFonts w:ascii="Symbol" w:hAnsi="Symbol" w:hint="default"/>
      </w:rPr>
    </w:lvl>
    <w:lvl w:ilvl="7" w:tplc="98547DF4">
      <w:start w:val="1"/>
      <w:numFmt w:val="bullet"/>
      <w:lvlText w:val="o"/>
      <w:lvlJc w:val="left"/>
      <w:pPr>
        <w:ind w:left="5760" w:hanging="360"/>
      </w:pPr>
      <w:rPr>
        <w:rFonts w:ascii="Courier New" w:hAnsi="Courier New" w:hint="default"/>
      </w:rPr>
    </w:lvl>
    <w:lvl w:ilvl="8" w:tplc="702E0C68">
      <w:start w:val="1"/>
      <w:numFmt w:val="bullet"/>
      <w:lvlText w:val=""/>
      <w:lvlJc w:val="left"/>
      <w:pPr>
        <w:ind w:left="6480" w:hanging="360"/>
      </w:pPr>
      <w:rPr>
        <w:rFonts w:ascii="Wingdings" w:hAnsi="Wingdings" w:hint="default"/>
      </w:rPr>
    </w:lvl>
  </w:abstractNum>
  <w:abstractNum w:abstractNumId="1" w15:restartNumberingAfterBreak="0">
    <w:nsid w:val="28BC77A4"/>
    <w:multiLevelType w:val="hybridMultilevel"/>
    <w:tmpl w:val="9BE62D2A"/>
    <w:lvl w:ilvl="0" w:tplc="24A432FA">
      <w:start w:val="1"/>
      <w:numFmt w:val="bullet"/>
      <w:lvlText w:val=""/>
      <w:lvlJc w:val="left"/>
      <w:pPr>
        <w:ind w:left="720" w:hanging="360"/>
      </w:pPr>
      <w:rPr>
        <w:rFonts w:ascii="Symbol" w:hAnsi="Symbol" w:hint="default"/>
      </w:rPr>
    </w:lvl>
    <w:lvl w:ilvl="1" w:tplc="1E5029A8">
      <w:start w:val="1"/>
      <w:numFmt w:val="bullet"/>
      <w:lvlText w:val="o"/>
      <w:lvlJc w:val="left"/>
      <w:pPr>
        <w:ind w:left="1440" w:hanging="360"/>
      </w:pPr>
      <w:rPr>
        <w:rFonts w:ascii="Courier New" w:hAnsi="Courier New" w:hint="default"/>
      </w:rPr>
    </w:lvl>
    <w:lvl w:ilvl="2" w:tplc="8914434E">
      <w:start w:val="1"/>
      <w:numFmt w:val="bullet"/>
      <w:lvlText w:val=""/>
      <w:lvlJc w:val="left"/>
      <w:pPr>
        <w:ind w:left="2160" w:hanging="360"/>
      </w:pPr>
      <w:rPr>
        <w:rFonts w:ascii="Wingdings" w:hAnsi="Wingdings" w:hint="default"/>
      </w:rPr>
    </w:lvl>
    <w:lvl w:ilvl="3" w:tplc="5262CC6C">
      <w:start w:val="1"/>
      <w:numFmt w:val="bullet"/>
      <w:lvlText w:val=""/>
      <w:lvlJc w:val="left"/>
      <w:pPr>
        <w:ind w:left="2880" w:hanging="360"/>
      </w:pPr>
      <w:rPr>
        <w:rFonts w:ascii="Symbol" w:hAnsi="Symbol" w:hint="default"/>
      </w:rPr>
    </w:lvl>
    <w:lvl w:ilvl="4" w:tplc="C07E3C3E">
      <w:start w:val="1"/>
      <w:numFmt w:val="bullet"/>
      <w:lvlText w:val="o"/>
      <w:lvlJc w:val="left"/>
      <w:pPr>
        <w:ind w:left="3600" w:hanging="360"/>
      </w:pPr>
      <w:rPr>
        <w:rFonts w:ascii="Courier New" w:hAnsi="Courier New" w:hint="default"/>
      </w:rPr>
    </w:lvl>
    <w:lvl w:ilvl="5" w:tplc="6BFE58CC">
      <w:start w:val="1"/>
      <w:numFmt w:val="bullet"/>
      <w:lvlText w:val=""/>
      <w:lvlJc w:val="left"/>
      <w:pPr>
        <w:ind w:left="4320" w:hanging="360"/>
      </w:pPr>
      <w:rPr>
        <w:rFonts w:ascii="Wingdings" w:hAnsi="Wingdings" w:hint="default"/>
      </w:rPr>
    </w:lvl>
    <w:lvl w:ilvl="6" w:tplc="269EBF88">
      <w:start w:val="1"/>
      <w:numFmt w:val="bullet"/>
      <w:lvlText w:val=""/>
      <w:lvlJc w:val="left"/>
      <w:pPr>
        <w:ind w:left="5040" w:hanging="360"/>
      </w:pPr>
      <w:rPr>
        <w:rFonts w:ascii="Symbol" w:hAnsi="Symbol" w:hint="default"/>
      </w:rPr>
    </w:lvl>
    <w:lvl w:ilvl="7" w:tplc="69C8BB18">
      <w:start w:val="1"/>
      <w:numFmt w:val="bullet"/>
      <w:lvlText w:val="o"/>
      <w:lvlJc w:val="left"/>
      <w:pPr>
        <w:ind w:left="5760" w:hanging="360"/>
      </w:pPr>
      <w:rPr>
        <w:rFonts w:ascii="Courier New" w:hAnsi="Courier New" w:hint="default"/>
      </w:rPr>
    </w:lvl>
    <w:lvl w:ilvl="8" w:tplc="18E0B522">
      <w:start w:val="1"/>
      <w:numFmt w:val="bullet"/>
      <w:lvlText w:val=""/>
      <w:lvlJc w:val="left"/>
      <w:pPr>
        <w:ind w:left="6480" w:hanging="360"/>
      </w:pPr>
      <w:rPr>
        <w:rFonts w:ascii="Wingdings" w:hAnsi="Wingdings" w:hint="default"/>
      </w:rPr>
    </w:lvl>
  </w:abstractNum>
  <w:abstractNum w:abstractNumId="2" w15:restartNumberingAfterBreak="0">
    <w:nsid w:val="42105627"/>
    <w:multiLevelType w:val="hybridMultilevel"/>
    <w:tmpl w:val="B852DA8A"/>
    <w:lvl w:ilvl="0" w:tplc="8F008544">
      <w:start w:val="1"/>
      <w:numFmt w:val="bullet"/>
      <w:lvlText w:val=""/>
      <w:lvlJc w:val="left"/>
      <w:pPr>
        <w:ind w:left="720" w:hanging="360"/>
      </w:pPr>
      <w:rPr>
        <w:rFonts w:ascii="Symbol" w:hAnsi="Symbol" w:hint="default"/>
      </w:rPr>
    </w:lvl>
    <w:lvl w:ilvl="1" w:tplc="1FB248FA">
      <w:start w:val="1"/>
      <w:numFmt w:val="bullet"/>
      <w:lvlText w:val="o"/>
      <w:lvlJc w:val="left"/>
      <w:pPr>
        <w:ind w:left="1440" w:hanging="360"/>
      </w:pPr>
      <w:rPr>
        <w:rFonts w:ascii="Courier New" w:hAnsi="Courier New" w:hint="default"/>
      </w:rPr>
    </w:lvl>
    <w:lvl w:ilvl="2" w:tplc="1ABCF954">
      <w:start w:val="1"/>
      <w:numFmt w:val="bullet"/>
      <w:lvlText w:val=""/>
      <w:lvlJc w:val="left"/>
      <w:pPr>
        <w:ind w:left="2160" w:hanging="360"/>
      </w:pPr>
      <w:rPr>
        <w:rFonts w:ascii="Wingdings" w:hAnsi="Wingdings" w:hint="default"/>
      </w:rPr>
    </w:lvl>
    <w:lvl w:ilvl="3" w:tplc="AE00EA48">
      <w:start w:val="1"/>
      <w:numFmt w:val="bullet"/>
      <w:lvlText w:val=""/>
      <w:lvlJc w:val="left"/>
      <w:pPr>
        <w:ind w:left="2880" w:hanging="360"/>
      </w:pPr>
      <w:rPr>
        <w:rFonts w:ascii="Symbol" w:hAnsi="Symbol" w:hint="default"/>
      </w:rPr>
    </w:lvl>
    <w:lvl w:ilvl="4" w:tplc="488ECA98">
      <w:start w:val="1"/>
      <w:numFmt w:val="bullet"/>
      <w:lvlText w:val="o"/>
      <w:lvlJc w:val="left"/>
      <w:pPr>
        <w:ind w:left="3600" w:hanging="360"/>
      </w:pPr>
      <w:rPr>
        <w:rFonts w:ascii="Courier New" w:hAnsi="Courier New" w:hint="default"/>
      </w:rPr>
    </w:lvl>
    <w:lvl w:ilvl="5" w:tplc="A47E084E">
      <w:start w:val="1"/>
      <w:numFmt w:val="bullet"/>
      <w:lvlText w:val=""/>
      <w:lvlJc w:val="left"/>
      <w:pPr>
        <w:ind w:left="4320" w:hanging="360"/>
      </w:pPr>
      <w:rPr>
        <w:rFonts w:ascii="Wingdings" w:hAnsi="Wingdings" w:hint="default"/>
      </w:rPr>
    </w:lvl>
    <w:lvl w:ilvl="6" w:tplc="17043C2A">
      <w:start w:val="1"/>
      <w:numFmt w:val="bullet"/>
      <w:lvlText w:val=""/>
      <w:lvlJc w:val="left"/>
      <w:pPr>
        <w:ind w:left="5040" w:hanging="360"/>
      </w:pPr>
      <w:rPr>
        <w:rFonts w:ascii="Symbol" w:hAnsi="Symbol" w:hint="default"/>
      </w:rPr>
    </w:lvl>
    <w:lvl w:ilvl="7" w:tplc="8E3297D0">
      <w:start w:val="1"/>
      <w:numFmt w:val="bullet"/>
      <w:lvlText w:val="o"/>
      <w:lvlJc w:val="left"/>
      <w:pPr>
        <w:ind w:left="5760" w:hanging="360"/>
      </w:pPr>
      <w:rPr>
        <w:rFonts w:ascii="Courier New" w:hAnsi="Courier New" w:hint="default"/>
      </w:rPr>
    </w:lvl>
    <w:lvl w:ilvl="8" w:tplc="72FE0974">
      <w:start w:val="1"/>
      <w:numFmt w:val="bullet"/>
      <w:lvlText w:val=""/>
      <w:lvlJc w:val="left"/>
      <w:pPr>
        <w:ind w:left="6480" w:hanging="360"/>
      </w:pPr>
      <w:rPr>
        <w:rFonts w:ascii="Wingdings" w:hAnsi="Wingdings" w:hint="default"/>
      </w:rPr>
    </w:lvl>
  </w:abstractNum>
  <w:abstractNum w:abstractNumId="3" w15:restartNumberingAfterBreak="0">
    <w:nsid w:val="491D8BC4"/>
    <w:multiLevelType w:val="hybridMultilevel"/>
    <w:tmpl w:val="A078A168"/>
    <w:lvl w:ilvl="0" w:tplc="AD8EB7F4">
      <w:start w:val="1"/>
      <w:numFmt w:val="bullet"/>
      <w:lvlText w:val=""/>
      <w:lvlJc w:val="left"/>
      <w:pPr>
        <w:ind w:left="720" w:hanging="360"/>
      </w:pPr>
      <w:rPr>
        <w:rFonts w:ascii="Symbol" w:hAnsi="Symbol" w:hint="default"/>
      </w:rPr>
    </w:lvl>
    <w:lvl w:ilvl="1" w:tplc="97FAD708">
      <w:start w:val="1"/>
      <w:numFmt w:val="bullet"/>
      <w:lvlText w:val="o"/>
      <w:lvlJc w:val="left"/>
      <w:pPr>
        <w:ind w:left="1440" w:hanging="360"/>
      </w:pPr>
      <w:rPr>
        <w:rFonts w:ascii="Courier New" w:hAnsi="Courier New" w:hint="default"/>
      </w:rPr>
    </w:lvl>
    <w:lvl w:ilvl="2" w:tplc="CABADEBA">
      <w:start w:val="1"/>
      <w:numFmt w:val="bullet"/>
      <w:lvlText w:val=""/>
      <w:lvlJc w:val="left"/>
      <w:pPr>
        <w:ind w:left="2160" w:hanging="360"/>
      </w:pPr>
      <w:rPr>
        <w:rFonts w:ascii="Wingdings" w:hAnsi="Wingdings" w:hint="default"/>
      </w:rPr>
    </w:lvl>
    <w:lvl w:ilvl="3" w:tplc="05504586">
      <w:start w:val="1"/>
      <w:numFmt w:val="bullet"/>
      <w:lvlText w:val=""/>
      <w:lvlJc w:val="left"/>
      <w:pPr>
        <w:ind w:left="2880" w:hanging="360"/>
      </w:pPr>
      <w:rPr>
        <w:rFonts w:ascii="Symbol" w:hAnsi="Symbol" w:hint="default"/>
      </w:rPr>
    </w:lvl>
    <w:lvl w:ilvl="4" w:tplc="AB3A717C">
      <w:start w:val="1"/>
      <w:numFmt w:val="bullet"/>
      <w:lvlText w:val="o"/>
      <w:lvlJc w:val="left"/>
      <w:pPr>
        <w:ind w:left="3600" w:hanging="360"/>
      </w:pPr>
      <w:rPr>
        <w:rFonts w:ascii="Courier New" w:hAnsi="Courier New" w:hint="default"/>
      </w:rPr>
    </w:lvl>
    <w:lvl w:ilvl="5" w:tplc="FFD4F078">
      <w:start w:val="1"/>
      <w:numFmt w:val="bullet"/>
      <w:lvlText w:val=""/>
      <w:lvlJc w:val="left"/>
      <w:pPr>
        <w:ind w:left="4320" w:hanging="360"/>
      </w:pPr>
      <w:rPr>
        <w:rFonts w:ascii="Wingdings" w:hAnsi="Wingdings" w:hint="default"/>
      </w:rPr>
    </w:lvl>
    <w:lvl w:ilvl="6" w:tplc="BC38452C">
      <w:start w:val="1"/>
      <w:numFmt w:val="bullet"/>
      <w:lvlText w:val=""/>
      <w:lvlJc w:val="left"/>
      <w:pPr>
        <w:ind w:left="5040" w:hanging="360"/>
      </w:pPr>
      <w:rPr>
        <w:rFonts w:ascii="Symbol" w:hAnsi="Symbol" w:hint="default"/>
      </w:rPr>
    </w:lvl>
    <w:lvl w:ilvl="7" w:tplc="222C4794">
      <w:start w:val="1"/>
      <w:numFmt w:val="bullet"/>
      <w:lvlText w:val="o"/>
      <w:lvlJc w:val="left"/>
      <w:pPr>
        <w:ind w:left="5760" w:hanging="360"/>
      </w:pPr>
      <w:rPr>
        <w:rFonts w:ascii="Courier New" w:hAnsi="Courier New" w:hint="default"/>
      </w:rPr>
    </w:lvl>
    <w:lvl w:ilvl="8" w:tplc="4E22FE62">
      <w:start w:val="1"/>
      <w:numFmt w:val="bullet"/>
      <w:lvlText w:val=""/>
      <w:lvlJc w:val="left"/>
      <w:pPr>
        <w:ind w:left="6480" w:hanging="360"/>
      </w:pPr>
      <w:rPr>
        <w:rFonts w:ascii="Wingdings" w:hAnsi="Wingdings" w:hint="default"/>
      </w:rPr>
    </w:lvl>
  </w:abstractNum>
  <w:abstractNum w:abstractNumId="4" w15:restartNumberingAfterBreak="0">
    <w:nsid w:val="4D418850"/>
    <w:multiLevelType w:val="hybridMultilevel"/>
    <w:tmpl w:val="A594C3C4"/>
    <w:lvl w:ilvl="0" w:tplc="AF1413B8">
      <w:start w:val="1"/>
      <w:numFmt w:val="bullet"/>
      <w:lvlText w:val=""/>
      <w:lvlJc w:val="left"/>
      <w:pPr>
        <w:ind w:left="720" w:hanging="360"/>
      </w:pPr>
      <w:rPr>
        <w:rFonts w:ascii="Symbol" w:hAnsi="Symbol" w:hint="default"/>
      </w:rPr>
    </w:lvl>
    <w:lvl w:ilvl="1" w:tplc="C9B47C1C">
      <w:start w:val="1"/>
      <w:numFmt w:val="bullet"/>
      <w:lvlText w:val="o"/>
      <w:lvlJc w:val="left"/>
      <w:pPr>
        <w:ind w:left="1440" w:hanging="360"/>
      </w:pPr>
      <w:rPr>
        <w:rFonts w:ascii="Courier New" w:hAnsi="Courier New" w:hint="default"/>
      </w:rPr>
    </w:lvl>
    <w:lvl w:ilvl="2" w:tplc="A5C4E078">
      <w:start w:val="1"/>
      <w:numFmt w:val="bullet"/>
      <w:lvlText w:val=""/>
      <w:lvlJc w:val="left"/>
      <w:pPr>
        <w:ind w:left="2160" w:hanging="360"/>
      </w:pPr>
      <w:rPr>
        <w:rFonts w:ascii="Wingdings" w:hAnsi="Wingdings" w:hint="default"/>
      </w:rPr>
    </w:lvl>
    <w:lvl w:ilvl="3" w:tplc="FD6A5634">
      <w:start w:val="1"/>
      <w:numFmt w:val="bullet"/>
      <w:lvlText w:val=""/>
      <w:lvlJc w:val="left"/>
      <w:pPr>
        <w:ind w:left="2880" w:hanging="360"/>
      </w:pPr>
      <w:rPr>
        <w:rFonts w:ascii="Symbol" w:hAnsi="Symbol" w:hint="default"/>
      </w:rPr>
    </w:lvl>
    <w:lvl w:ilvl="4" w:tplc="607E4710">
      <w:start w:val="1"/>
      <w:numFmt w:val="bullet"/>
      <w:lvlText w:val="o"/>
      <w:lvlJc w:val="left"/>
      <w:pPr>
        <w:ind w:left="3600" w:hanging="360"/>
      </w:pPr>
      <w:rPr>
        <w:rFonts w:ascii="Courier New" w:hAnsi="Courier New" w:hint="default"/>
      </w:rPr>
    </w:lvl>
    <w:lvl w:ilvl="5" w:tplc="8E4EE8D8">
      <w:start w:val="1"/>
      <w:numFmt w:val="bullet"/>
      <w:lvlText w:val=""/>
      <w:lvlJc w:val="left"/>
      <w:pPr>
        <w:ind w:left="4320" w:hanging="360"/>
      </w:pPr>
      <w:rPr>
        <w:rFonts w:ascii="Wingdings" w:hAnsi="Wingdings" w:hint="default"/>
      </w:rPr>
    </w:lvl>
    <w:lvl w:ilvl="6" w:tplc="3912D6DC">
      <w:start w:val="1"/>
      <w:numFmt w:val="bullet"/>
      <w:lvlText w:val=""/>
      <w:lvlJc w:val="left"/>
      <w:pPr>
        <w:ind w:left="5040" w:hanging="360"/>
      </w:pPr>
      <w:rPr>
        <w:rFonts w:ascii="Symbol" w:hAnsi="Symbol" w:hint="default"/>
      </w:rPr>
    </w:lvl>
    <w:lvl w:ilvl="7" w:tplc="75721F80">
      <w:start w:val="1"/>
      <w:numFmt w:val="bullet"/>
      <w:lvlText w:val="o"/>
      <w:lvlJc w:val="left"/>
      <w:pPr>
        <w:ind w:left="5760" w:hanging="360"/>
      </w:pPr>
      <w:rPr>
        <w:rFonts w:ascii="Courier New" w:hAnsi="Courier New" w:hint="default"/>
      </w:rPr>
    </w:lvl>
    <w:lvl w:ilvl="8" w:tplc="E9D64146">
      <w:start w:val="1"/>
      <w:numFmt w:val="bullet"/>
      <w:lvlText w:val=""/>
      <w:lvlJc w:val="left"/>
      <w:pPr>
        <w:ind w:left="6480" w:hanging="360"/>
      </w:pPr>
      <w:rPr>
        <w:rFonts w:ascii="Wingdings" w:hAnsi="Wingdings" w:hint="default"/>
      </w:rPr>
    </w:lvl>
  </w:abstractNum>
  <w:abstractNum w:abstractNumId="5" w15:restartNumberingAfterBreak="0">
    <w:nsid w:val="5102D495"/>
    <w:multiLevelType w:val="hybridMultilevel"/>
    <w:tmpl w:val="667E5398"/>
    <w:lvl w:ilvl="0" w:tplc="795C19F0">
      <w:start w:val="1"/>
      <w:numFmt w:val="bullet"/>
      <w:lvlText w:val=""/>
      <w:lvlJc w:val="left"/>
      <w:pPr>
        <w:ind w:left="720" w:hanging="360"/>
      </w:pPr>
      <w:rPr>
        <w:rFonts w:ascii="Symbol" w:hAnsi="Symbol" w:hint="default"/>
      </w:rPr>
    </w:lvl>
    <w:lvl w:ilvl="1" w:tplc="8EFA7576">
      <w:start w:val="1"/>
      <w:numFmt w:val="bullet"/>
      <w:lvlText w:val="o"/>
      <w:lvlJc w:val="left"/>
      <w:pPr>
        <w:ind w:left="1440" w:hanging="360"/>
      </w:pPr>
      <w:rPr>
        <w:rFonts w:ascii="Courier New" w:hAnsi="Courier New" w:hint="default"/>
      </w:rPr>
    </w:lvl>
    <w:lvl w:ilvl="2" w:tplc="8ADC8EDE">
      <w:start w:val="1"/>
      <w:numFmt w:val="bullet"/>
      <w:lvlText w:val=""/>
      <w:lvlJc w:val="left"/>
      <w:pPr>
        <w:ind w:left="2160" w:hanging="360"/>
      </w:pPr>
      <w:rPr>
        <w:rFonts w:ascii="Wingdings" w:hAnsi="Wingdings" w:hint="default"/>
      </w:rPr>
    </w:lvl>
    <w:lvl w:ilvl="3" w:tplc="6AD4C478">
      <w:start w:val="1"/>
      <w:numFmt w:val="bullet"/>
      <w:lvlText w:val=""/>
      <w:lvlJc w:val="left"/>
      <w:pPr>
        <w:ind w:left="2880" w:hanging="360"/>
      </w:pPr>
      <w:rPr>
        <w:rFonts w:ascii="Symbol" w:hAnsi="Symbol" w:hint="default"/>
      </w:rPr>
    </w:lvl>
    <w:lvl w:ilvl="4" w:tplc="BE6E0C90">
      <w:start w:val="1"/>
      <w:numFmt w:val="bullet"/>
      <w:lvlText w:val="o"/>
      <w:lvlJc w:val="left"/>
      <w:pPr>
        <w:ind w:left="3600" w:hanging="360"/>
      </w:pPr>
      <w:rPr>
        <w:rFonts w:ascii="Courier New" w:hAnsi="Courier New" w:hint="default"/>
      </w:rPr>
    </w:lvl>
    <w:lvl w:ilvl="5" w:tplc="4B661792">
      <w:start w:val="1"/>
      <w:numFmt w:val="bullet"/>
      <w:lvlText w:val=""/>
      <w:lvlJc w:val="left"/>
      <w:pPr>
        <w:ind w:left="4320" w:hanging="360"/>
      </w:pPr>
      <w:rPr>
        <w:rFonts w:ascii="Wingdings" w:hAnsi="Wingdings" w:hint="default"/>
      </w:rPr>
    </w:lvl>
    <w:lvl w:ilvl="6" w:tplc="7AEE7780">
      <w:start w:val="1"/>
      <w:numFmt w:val="bullet"/>
      <w:lvlText w:val=""/>
      <w:lvlJc w:val="left"/>
      <w:pPr>
        <w:ind w:left="5040" w:hanging="360"/>
      </w:pPr>
      <w:rPr>
        <w:rFonts w:ascii="Symbol" w:hAnsi="Symbol" w:hint="default"/>
      </w:rPr>
    </w:lvl>
    <w:lvl w:ilvl="7" w:tplc="0E40F200">
      <w:start w:val="1"/>
      <w:numFmt w:val="bullet"/>
      <w:lvlText w:val="o"/>
      <w:lvlJc w:val="left"/>
      <w:pPr>
        <w:ind w:left="5760" w:hanging="360"/>
      </w:pPr>
      <w:rPr>
        <w:rFonts w:ascii="Courier New" w:hAnsi="Courier New" w:hint="default"/>
      </w:rPr>
    </w:lvl>
    <w:lvl w:ilvl="8" w:tplc="B0D440B8">
      <w:start w:val="1"/>
      <w:numFmt w:val="bullet"/>
      <w:lvlText w:val=""/>
      <w:lvlJc w:val="left"/>
      <w:pPr>
        <w:ind w:left="6480" w:hanging="360"/>
      </w:pPr>
      <w:rPr>
        <w:rFonts w:ascii="Wingdings" w:hAnsi="Wingdings" w:hint="default"/>
      </w:rPr>
    </w:lvl>
  </w:abstractNum>
  <w:abstractNum w:abstractNumId="6" w15:restartNumberingAfterBreak="0">
    <w:nsid w:val="63230D62"/>
    <w:multiLevelType w:val="hybridMultilevel"/>
    <w:tmpl w:val="DB7E23F2"/>
    <w:lvl w:ilvl="0" w:tplc="887EDAE0">
      <w:start w:val="1"/>
      <w:numFmt w:val="bullet"/>
      <w:lvlText w:val=""/>
      <w:lvlJc w:val="left"/>
      <w:pPr>
        <w:ind w:left="720" w:hanging="360"/>
      </w:pPr>
      <w:rPr>
        <w:rFonts w:ascii="Symbol" w:hAnsi="Symbol" w:hint="default"/>
      </w:rPr>
    </w:lvl>
    <w:lvl w:ilvl="1" w:tplc="4D9232DE">
      <w:start w:val="1"/>
      <w:numFmt w:val="bullet"/>
      <w:lvlText w:val="o"/>
      <w:lvlJc w:val="left"/>
      <w:pPr>
        <w:ind w:left="1440" w:hanging="360"/>
      </w:pPr>
      <w:rPr>
        <w:rFonts w:ascii="Courier New" w:hAnsi="Courier New" w:hint="default"/>
      </w:rPr>
    </w:lvl>
    <w:lvl w:ilvl="2" w:tplc="C8AC1816">
      <w:start w:val="1"/>
      <w:numFmt w:val="bullet"/>
      <w:lvlText w:val=""/>
      <w:lvlJc w:val="left"/>
      <w:pPr>
        <w:ind w:left="2160" w:hanging="360"/>
      </w:pPr>
      <w:rPr>
        <w:rFonts w:ascii="Wingdings" w:hAnsi="Wingdings" w:hint="default"/>
      </w:rPr>
    </w:lvl>
    <w:lvl w:ilvl="3" w:tplc="4E487FFC">
      <w:start w:val="1"/>
      <w:numFmt w:val="bullet"/>
      <w:lvlText w:val=""/>
      <w:lvlJc w:val="left"/>
      <w:pPr>
        <w:ind w:left="2880" w:hanging="360"/>
      </w:pPr>
      <w:rPr>
        <w:rFonts w:ascii="Symbol" w:hAnsi="Symbol" w:hint="default"/>
      </w:rPr>
    </w:lvl>
    <w:lvl w:ilvl="4" w:tplc="5C1C18E0">
      <w:start w:val="1"/>
      <w:numFmt w:val="bullet"/>
      <w:lvlText w:val="o"/>
      <w:lvlJc w:val="left"/>
      <w:pPr>
        <w:ind w:left="3600" w:hanging="360"/>
      </w:pPr>
      <w:rPr>
        <w:rFonts w:ascii="Courier New" w:hAnsi="Courier New" w:hint="default"/>
      </w:rPr>
    </w:lvl>
    <w:lvl w:ilvl="5" w:tplc="B3FEBDE0">
      <w:start w:val="1"/>
      <w:numFmt w:val="bullet"/>
      <w:lvlText w:val=""/>
      <w:lvlJc w:val="left"/>
      <w:pPr>
        <w:ind w:left="4320" w:hanging="360"/>
      </w:pPr>
      <w:rPr>
        <w:rFonts w:ascii="Wingdings" w:hAnsi="Wingdings" w:hint="default"/>
      </w:rPr>
    </w:lvl>
    <w:lvl w:ilvl="6" w:tplc="E8A6C432">
      <w:start w:val="1"/>
      <w:numFmt w:val="bullet"/>
      <w:lvlText w:val=""/>
      <w:lvlJc w:val="left"/>
      <w:pPr>
        <w:ind w:left="5040" w:hanging="360"/>
      </w:pPr>
      <w:rPr>
        <w:rFonts w:ascii="Symbol" w:hAnsi="Symbol" w:hint="default"/>
      </w:rPr>
    </w:lvl>
    <w:lvl w:ilvl="7" w:tplc="56961F92">
      <w:start w:val="1"/>
      <w:numFmt w:val="bullet"/>
      <w:lvlText w:val="o"/>
      <w:lvlJc w:val="left"/>
      <w:pPr>
        <w:ind w:left="5760" w:hanging="360"/>
      </w:pPr>
      <w:rPr>
        <w:rFonts w:ascii="Courier New" w:hAnsi="Courier New" w:hint="default"/>
      </w:rPr>
    </w:lvl>
    <w:lvl w:ilvl="8" w:tplc="923C7478">
      <w:start w:val="1"/>
      <w:numFmt w:val="bullet"/>
      <w:lvlText w:val=""/>
      <w:lvlJc w:val="left"/>
      <w:pPr>
        <w:ind w:left="6480" w:hanging="360"/>
      </w:pPr>
      <w:rPr>
        <w:rFonts w:ascii="Wingdings" w:hAnsi="Wingdings" w:hint="default"/>
      </w:rPr>
    </w:lvl>
  </w:abstractNum>
  <w:num w:numId="1" w16cid:durableId="701708535">
    <w:abstractNumId w:val="5"/>
  </w:num>
  <w:num w:numId="2" w16cid:durableId="1349065763">
    <w:abstractNumId w:val="3"/>
  </w:num>
  <w:num w:numId="3" w16cid:durableId="1445803715">
    <w:abstractNumId w:val="6"/>
  </w:num>
  <w:num w:numId="4" w16cid:durableId="214708138">
    <w:abstractNumId w:val="1"/>
  </w:num>
  <w:num w:numId="5" w16cid:durableId="1125083433">
    <w:abstractNumId w:val="0"/>
  </w:num>
  <w:num w:numId="6" w16cid:durableId="817499174">
    <w:abstractNumId w:val="4"/>
  </w:num>
  <w:num w:numId="7" w16cid:durableId="8152938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B300F8"/>
    <w:rsid w:val="00025A29"/>
    <w:rsid w:val="00035C38"/>
    <w:rsid w:val="00083733"/>
    <w:rsid w:val="00242AE8"/>
    <w:rsid w:val="00275AC3"/>
    <w:rsid w:val="002A7783"/>
    <w:rsid w:val="0030094F"/>
    <w:rsid w:val="0038106F"/>
    <w:rsid w:val="004A3565"/>
    <w:rsid w:val="00664B1B"/>
    <w:rsid w:val="0067559C"/>
    <w:rsid w:val="007936D3"/>
    <w:rsid w:val="008376F8"/>
    <w:rsid w:val="00A126CB"/>
    <w:rsid w:val="00A207ED"/>
    <w:rsid w:val="00A64EAE"/>
    <w:rsid w:val="00AA5A13"/>
    <w:rsid w:val="00AE76DC"/>
    <w:rsid w:val="00B042D6"/>
    <w:rsid w:val="00B11BA1"/>
    <w:rsid w:val="00B42CDA"/>
    <w:rsid w:val="00C72B1A"/>
    <w:rsid w:val="00EA217E"/>
    <w:rsid w:val="00F02EED"/>
    <w:rsid w:val="00FD7C5C"/>
    <w:rsid w:val="00FE01F6"/>
    <w:rsid w:val="00FF5C77"/>
    <w:rsid w:val="03A710A9"/>
    <w:rsid w:val="0A640978"/>
    <w:rsid w:val="111F25BC"/>
    <w:rsid w:val="1B246978"/>
    <w:rsid w:val="268F0BCD"/>
    <w:rsid w:val="2D073513"/>
    <w:rsid w:val="2E84192B"/>
    <w:rsid w:val="32E20157"/>
    <w:rsid w:val="335F3C09"/>
    <w:rsid w:val="3CFA7615"/>
    <w:rsid w:val="45786CD7"/>
    <w:rsid w:val="48DFACA6"/>
    <w:rsid w:val="4A8630E4"/>
    <w:rsid w:val="55B300F8"/>
    <w:rsid w:val="56192983"/>
    <w:rsid w:val="5C72346C"/>
    <w:rsid w:val="5E82DA21"/>
    <w:rsid w:val="6025038C"/>
    <w:rsid w:val="619BA3C3"/>
    <w:rsid w:val="6B534263"/>
    <w:rsid w:val="6FE03F1E"/>
    <w:rsid w:val="73CB5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300F8"/>
  <w15:chartTrackingRefBased/>
  <w15:docId w15:val="{D2D4FFCC-2565-4A6B-806C-65D318D95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3CB5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3CB5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73CB5389"/>
    <w:pPr>
      <w:spacing w:after="8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uiPriority w:val="11"/>
    <w:qFormat/>
    <w:rsid w:val="73CB5389"/>
    <w:rPr>
      <w:rFonts w:eastAsiaTheme="majorEastAsia" w:cstheme="majorBidi"/>
      <w:color w:val="595959" w:themeColor="text1" w:themeTint="A6"/>
      <w:sz w:val="28"/>
      <w:szCs w:val="28"/>
    </w:rPr>
  </w:style>
  <w:style w:type="character" w:styleId="Hyperlink">
    <w:name w:val="Hyperlink"/>
    <w:basedOn w:val="DefaultParagraphFont"/>
    <w:uiPriority w:val="99"/>
    <w:unhideWhenUsed/>
    <w:rsid w:val="73CB5389"/>
    <w:rPr>
      <w:color w:val="467886"/>
      <w:u w:val="single"/>
    </w:rPr>
  </w:style>
  <w:style w:type="character" w:customStyle="1" w:styleId="apple-converted-space">
    <w:name w:val="apple-converted-space"/>
    <w:basedOn w:val="DefaultParagraphFont"/>
    <w:rsid w:val="73CB5389"/>
    <w:rPr>
      <w:rFonts w:asciiTheme="minorHAnsi" w:eastAsiaTheme="minorEastAsia" w:hAnsiTheme="minorHAnsi" w:cstheme="minorBidi"/>
      <w:sz w:val="24"/>
      <w:szCs w:val="24"/>
    </w:rPr>
  </w:style>
  <w:style w:type="character" w:customStyle="1" w:styleId="s1">
    <w:name w:val="s1"/>
    <w:basedOn w:val="DefaultParagraphFont"/>
    <w:uiPriority w:val="1"/>
    <w:rsid w:val="73CB5389"/>
    <w:rPr>
      <w:rFonts w:asciiTheme="minorHAnsi" w:eastAsiaTheme="minorEastAsia" w:hAnsiTheme="minorHAnsi" w:cstheme="minorBidi"/>
      <w:sz w:val="22"/>
      <w:szCs w:val="22"/>
    </w:rPr>
  </w:style>
  <w:style w:type="paragraph" w:styleId="ListParagraph">
    <w:name w:val="List Paragraph"/>
    <w:basedOn w:val="Normal"/>
    <w:uiPriority w:val="34"/>
    <w:qFormat/>
    <w:rsid w:val="1B246978"/>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035C38"/>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035C38"/>
  </w:style>
  <w:style w:type="character" w:customStyle="1" w:styleId="eop">
    <w:name w:val="eop"/>
    <w:basedOn w:val="DefaultParagraphFont"/>
    <w:rsid w:val="00035C38"/>
  </w:style>
  <w:style w:type="character" w:customStyle="1" w:styleId="scxw193009509">
    <w:name w:val="scxw193009509"/>
    <w:basedOn w:val="DefaultParagraphFont"/>
    <w:rsid w:val="00035C38"/>
  </w:style>
  <w:style w:type="paragraph" w:styleId="Header">
    <w:name w:val="header"/>
    <w:basedOn w:val="Normal"/>
    <w:link w:val="HeaderChar"/>
    <w:uiPriority w:val="99"/>
    <w:unhideWhenUsed/>
    <w:rsid w:val="00EA21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17E"/>
  </w:style>
  <w:style w:type="paragraph" w:styleId="Footer">
    <w:name w:val="footer"/>
    <w:basedOn w:val="Normal"/>
    <w:link w:val="FooterChar"/>
    <w:uiPriority w:val="99"/>
    <w:unhideWhenUsed/>
    <w:rsid w:val="00EA21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17E"/>
  </w:style>
  <w:style w:type="character" w:styleId="SubtleEmphasis">
    <w:name w:val="Subtle Emphasis"/>
    <w:basedOn w:val="DefaultParagraphFont"/>
    <w:uiPriority w:val="19"/>
    <w:qFormat/>
    <w:rsid w:val="0030094F"/>
    <w:rPr>
      <w:i/>
      <w:iCs/>
      <w:color w:val="404040" w:themeColor="text1" w:themeTint="BF"/>
    </w:rPr>
  </w:style>
  <w:style w:type="character" w:styleId="SubtleReference">
    <w:name w:val="Subtle Reference"/>
    <w:basedOn w:val="DefaultParagraphFont"/>
    <w:uiPriority w:val="31"/>
    <w:qFormat/>
    <w:rsid w:val="00083733"/>
    <w:rPr>
      <w:smallCaps/>
      <w:color w:val="5A5A5A" w:themeColor="text1" w:themeTint="A5"/>
    </w:rPr>
  </w:style>
  <w:style w:type="paragraph" w:styleId="IntenseQuote">
    <w:name w:val="Intense Quote"/>
    <w:basedOn w:val="Normal"/>
    <w:next w:val="Normal"/>
    <w:link w:val="IntenseQuoteChar"/>
    <w:uiPriority w:val="30"/>
    <w:qFormat/>
    <w:rsid w:val="00083733"/>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083733"/>
    <w:rPr>
      <w:i/>
      <w:iCs/>
      <w:color w:val="156082" w:themeColor="accent1"/>
    </w:rPr>
  </w:style>
  <w:style w:type="character" w:styleId="IntenseReference">
    <w:name w:val="Intense Reference"/>
    <w:basedOn w:val="DefaultParagraphFont"/>
    <w:uiPriority w:val="32"/>
    <w:qFormat/>
    <w:rsid w:val="00083733"/>
    <w:rPr>
      <w:b/>
      <w:bCs/>
      <w:smallCaps/>
      <w:color w:val="156082" w:themeColor="accent1"/>
      <w:spacing w:val="5"/>
    </w:rPr>
  </w:style>
  <w:style w:type="character" w:styleId="BookTitle">
    <w:name w:val="Book Title"/>
    <w:basedOn w:val="DefaultParagraphFont"/>
    <w:uiPriority w:val="33"/>
    <w:qFormat/>
    <w:rsid w:val="00083733"/>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oebel.org.uk/about-us/froebelian-principles" TargetMode="External"/><Relationship Id="rId18" Type="http://schemas.openxmlformats.org/officeDocument/2006/relationships/hyperlink" Target="https://www.outdoor-learning-research.org/Portals/0/Research%20Documents/Horizons%20Archive/H57.WhatIsOutdoorLearning.pdf" TargetMode="External"/><Relationship Id="rId26" Type="http://schemas.openxmlformats.org/officeDocument/2006/relationships/hyperlink" Target="https://www.researchgate.net/publication/349018838_The_Current_State_of_Outdoor_Learning_in_a_UK_Secondary_Setting_Exploring_the_Benefits_Drawbacks_and_Recommendations/citation/download" TargetMode="External"/><Relationship Id="rId39" Type="http://schemas.openxmlformats.org/officeDocument/2006/relationships/hyperlink" Target="https://ebookcentral.proquest.com/lib/trinity/reader.action?docID=5046921&amp;c=RVBVQg&amp;ppg=1" TargetMode="External"/><Relationship Id="rId21" Type="http://schemas.openxmlformats.org/officeDocument/2006/relationships/hyperlink" Target="https://doi.org/10.1080/14729679.2023.2166544" TargetMode="External"/><Relationship Id="rId34" Type="http://schemas.openxmlformats.org/officeDocument/2006/relationships/footer" Target="footer3.xml"/><Relationship Id="rId42" Type="http://schemas.openxmlformats.org/officeDocument/2006/relationships/hyperlink" Target="https://doi.org/10.1080/14729679.2023.2166544" TargetMode="External"/><Relationship Id="rId47" Type="http://schemas.openxmlformats.org/officeDocument/2006/relationships/fontTable" Target="fontTable.xml"/><Relationship Id="rId7" Type="http://schemas.openxmlformats.org/officeDocument/2006/relationships/hyperlink" Target="https://www.academia.edu/13182036/Impacts_of_Long_Term_Forest_School_Programmes_on_Children_s_Resilience_Confidence_and_Wellbeing" TargetMode="External"/><Relationship Id="rId2" Type="http://schemas.openxmlformats.org/officeDocument/2006/relationships/styles" Target="styles.xml"/><Relationship Id="rId16" Type="http://schemas.openxmlformats.org/officeDocument/2006/relationships/hyperlink" Target="https://www.youtube.com/watch?v=5qCN0JHeR-Y" TargetMode="External"/><Relationship Id="rId29" Type="http://schemas.openxmlformats.org/officeDocument/2006/relationships/header" Target="header1.xml"/><Relationship Id="rId11" Type="http://schemas.openxmlformats.org/officeDocument/2006/relationships/hyperlink" Target="https://assets.publishing.service.gov.uk/media/61b73d6c8fa8f50384489c9a/Teachers__Standards_Dec_2021.pdf" TargetMode="External"/><Relationship Id="rId24" Type="http://schemas.openxmlformats.org/officeDocument/2006/relationships/hyperlink" Target="https://www.theguardian.com/education/2026/feb/12/exam-stress-higher-risk-depression-self-harm-study" TargetMode="External"/><Relationship Id="rId32" Type="http://schemas.openxmlformats.org/officeDocument/2006/relationships/footer" Target="footer2.xml"/><Relationship Id="rId37" Type="http://schemas.openxmlformats.org/officeDocument/2006/relationships/hyperlink" Target="https://doi.org/10.1080/16078055.2020.1798051" TargetMode="External"/><Relationship Id="rId40" Type="http://schemas.openxmlformats.org/officeDocument/2006/relationships/hyperlink" Target="https://ltl.org.uk/5-key-benefits-of-outdoor-learning/" TargetMode="External"/><Relationship Id="rId45" Type="http://schemas.openxmlformats.org/officeDocument/2006/relationships/hyperlink" Target="https://www.legislation.gov.uk/asc/2021/4/pdfs/asc_20210004_en.pdf" TargetMode="External"/><Relationship Id="rId5" Type="http://schemas.openxmlformats.org/officeDocument/2006/relationships/footnotes" Target="footnotes.xml"/><Relationship Id="rId15" Type="http://schemas.openxmlformats.org/officeDocument/2006/relationships/hyperlink" Target="https://forestschoolassociation.org/what-is-forest-school/" TargetMode="External"/><Relationship Id="rId23" Type="http://schemas.openxmlformats.org/officeDocument/2006/relationships/hyperlink" Target="https://www.researchgate.net/profile/Alexandros-Stavrianos/publication/386019418_HOW_FOREST_SCHOOL_SUPPORTS_INCLUSIVE_PRACTICES_OBSERVATIONS_OF_CHILD_ENGAGEMENT_AND_VIEWS_OF_TEACHERS_AND_PARENTS_IN_ONE_ENGLISH_PRIMARY_SCHOOL_ALEXANDROS_STAVRIANOS/links/673f91b4b5bd9d17d6b0399a/HOW-FOREST-SCHOOL-SUPPORTS-INCLUSIVE-PRACTICES-OBSERVATIONS-OF-CHILD-ENGAGEMENT-AND-VIEWS-OF-TEACHERS-AND-PARENTS-IN-ONE-ENGLISH-PRIMARY-SCHOOL-ALEXANDROS-STAVRIANOS.pdf" TargetMode="External"/><Relationship Id="rId28" Type="http://schemas.openxmlformats.org/officeDocument/2006/relationships/image" Target="media/image1.png"/><Relationship Id="rId36" Type="http://schemas.openxmlformats.org/officeDocument/2006/relationships/hyperlink" Target="https://ebookcentral.proquest.com/lib/trinity/reader.action?docID=5426768&amp;c=RVBVQg&amp;ppg=1" TargetMode="External"/><Relationship Id="rId49" Type="http://schemas.microsoft.com/office/2020/10/relationships/intelligence" Target="intelligence2.xml"/><Relationship Id="rId10" Type="http://schemas.openxmlformats.org/officeDocument/2006/relationships/hyperlink" Target="https://www.legislation.gov.uk/asc/2021/4" TargetMode="External"/><Relationship Id="rId19" Type="http://schemas.openxmlformats.org/officeDocument/2006/relationships/hyperlink" Target="https://www.outdoor-learning.org/standards/high-quality-outdoor-learning.html" TargetMode="External"/><Relationship Id="rId31" Type="http://schemas.openxmlformats.org/officeDocument/2006/relationships/footer" Target="footer1.xml"/><Relationship Id="rId44" Type="http://schemas.openxmlformats.org/officeDocument/2006/relationships/hyperlink" Target="https://doi.org/10.3390/educsci10110311" TargetMode="External"/><Relationship Id="rId4" Type="http://schemas.openxmlformats.org/officeDocument/2006/relationships/webSettings" Target="webSettings.xml"/><Relationship Id="rId9" Type="http://schemas.openxmlformats.org/officeDocument/2006/relationships/hyperlink" Target="https://doi.org/10.1002/berj.3213" TargetMode="External"/><Relationship Id="rId14" Type="http://schemas.openxmlformats.org/officeDocument/2006/relationships/hyperlink" Target="https://forestschoolassociation.org/why-join-the-forest-school-association/" TargetMode="External"/><Relationship Id="rId22" Type="http://schemas.openxmlformats.org/officeDocument/2006/relationships/hyperlink" Target="https://www.reggiochildren.it/en/reggio-emilia-approach/valori-en/" TargetMode="External"/><Relationship Id="rId27" Type="http://schemas.openxmlformats.org/officeDocument/2006/relationships/hyperlink" Target="https://www.wwf.org.uk/press-release/schools-nature" TargetMode="External"/><Relationship Id="rId30" Type="http://schemas.openxmlformats.org/officeDocument/2006/relationships/header" Target="header2.xml"/><Relationship Id="rId35" Type="http://schemas.openxmlformats.org/officeDocument/2006/relationships/hyperlink" Target="https://www.proquest.com/docview/2554543379?OpenUrlRefId=info:xri/sid:primo&amp;accountid=130472&amp;sourcetype=Scholarly%20Journals" TargetMode="External"/><Relationship Id="rId43" Type="http://schemas.openxmlformats.org/officeDocument/2006/relationships/hyperlink" Target="https://doi.org/10.3390/educsci15030332" TargetMode="External"/><Relationship Id="rId48" Type="http://schemas.openxmlformats.org/officeDocument/2006/relationships/theme" Target="theme/theme1.xml"/><Relationship Id="rId8" Type="http://schemas.openxmlformats.org/officeDocument/2006/relationships/hyperlink" Target="https://www.legislation.gov.uk/mwa/2010/1/contents" TargetMode="External"/><Relationship Id="rId3" Type="http://schemas.openxmlformats.org/officeDocument/2006/relationships/settings" Target="settings.xml"/><Relationship Id="rId12" Type="http://schemas.openxmlformats.org/officeDocument/2006/relationships/hyperlink" Target="https://estyn.gov.wales/improvement-resources/the-use-of-the-outdoor-learning-environment-to-support-pupils-learning-and-well-being/" TargetMode="External"/><Relationship Id="rId17" Type="http://schemas.openxmlformats.org/officeDocument/2006/relationships/hyperlink" Target="https://doi.org/10.1080/03004279.2021.1971275" TargetMode="External"/><Relationship Id="rId25" Type="http://schemas.openxmlformats.org/officeDocument/2006/relationships/hyperlink" Target="https://www.legislation.gov.uk/asc/2021/4/pdfs/asc_20210004_en.pdf" TargetMode="External"/><Relationship Id="rId33" Type="http://schemas.openxmlformats.org/officeDocument/2006/relationships/header" Target="header3.xml"/><Relationship Id="rId38" Type="http://schemas.openxmlformats.org/officeDocument/2006/relationships/hyperlink" Target="https://estyn.gov.wales/improvement-resources/using-the-outdoors-to-develop-important-life-skills/" TargetMode="External"/><Relationship Id="rId46" Type="http://schemas.openxmlformats.org/officeDocument/2006/relationships/hyperlink" Target="https://doi.org/10.1038/s41598-019-44097-3" TargetMode="External"/><Relationship Id="rId20" Type="http://schemas.openxmlformats.org/officeDocument/2006/relationships/hyperlink" Target="https://ltl.org.uk/news/how-outdoor-learning-can-help-you-fulfil-the-four-purposes-of-the-new-curriculum-for-wales/" TargetMode="External"/><Relationship Id="rId41" Type="http://schemas.openxmlformats.org/officeDocument/2006/relationships/hyperlink" Target="https://doi.org/10.1007/s42322-025-00225-4"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5561</Words>
  <Characters>31701</Characters>
  <Application>Microsoft Office Word</Application>
  <DocSecurity>0</DocSecurity>
  <Lines>264</Lines>
  <Paragraphs>74</Paragraphs>
  <ScaleCrop>false</ScaleCrop>
  <Company/>
  <LinksUpToDate>false</LinksUpToDate>
  <CharactersWithSpaces>37188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Morgan (2214077)</dc:creator>
  <cp:keywords/>
  <dc:description/>
  <cp:lastModifiedBy>Ieuan Morgan (2214077)</cp:lastModifiedBy>
  <cp:revision>2</cp:revision>
  <dcterms:created xsi:type="dcterms:W3CDTF">2026-04-22T18:32:00Z</dcterms:created>
  <dcterms:modified xsi:type="dcterms:W3CDTF">2026-04-22T18:32:00Z</dcterms:modified>
</cp:coreProperties>
</file>