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BEF9F21">
      <w:pPr>
        <w:keepNext w:val="0"/>
        <w:keepLines w:val="0"/>
        <w:widowControl w:val="0"/>
        <w:suppressLineNumbers w:val="0"/>
        <w:spacing w:before="0" w:beforeAutospacing="0" w:after="160" w:afterAutospacing="0" w:line="480" w:lineRule="auto"/>
        <w:ind w:left="0" w:right="0"/>
        <w:jc w:val="center"/>
        <w:outlineLvl w:val="0"/>
        <w:rPr>
          <w:rFonts w:hint="default" w:ascii="Times New Roman" w:hAnsi="Times New Roman" w:cs="Times New Roman"/>
          <w:b/>
          <w:bCs/>
          <w:sz w:val="24"/>
          <w:szCs w:val="24"/>
          <w:lang w:val="en-US"/>
        </w:rPr>
      </w:pPr>
      <w:bookmarkStart w:id="0" w:name="_Toc225524248"/>
      <w:r>
        <w:rPr>
          <w:rFonts w:hint="default" w:ascii="Times New Roman" w:hAnsi="Times New Roman" w:eastAsia="等线" w:cs="Times New Roman"/>
          <w:b/>
          <w:bCs/>
          <w:kern w:val="2"/>
          <w:sz w:val="24"/>
          <w:szCs w:val="24"/>
          <w:lang w:val="en-US" w:eastAsia="zh-CN" w:bidi="ar"/>
        </w:rPr>
        <w:t>1.Introduction</w:t>
      </w:r>
      <w:bookmarkEnd w:id="0"/>
    </w:p>
    <w:p w14:paraId="405FBF4D">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Tesla is a suitable subject for strategic analysis because it sits at the intersection of three major developments: the continued expansion of electric vehicles, changing competitive conditions in the automotive industry, and rising sustainability requirements. It played a major role in accelerating the commercialisation of electric vehicles, but it now operates in an environment where early technological leadership no longer guarantees strategic security.</w:t>
      </w:r>
    </w:p>
    <w:p w14:paraId="607735FE">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Tesla’s recent reporting suggests that the company is increasingly linking artificial intelligence, autonomous driving, robotics, energy storage and software-based services to its core business direction (Tesla, 2026a; Tesla, 2026b). This indicates that Tesla is seeking to compete through a broader vehicle-energy-software system.</w:t>
      </w:r>
    </w:p>
    <w:p w14:paraId="7AB35D57">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However, this transition is taking place under greater pressure. In the UK and Europe, electric vehicle growth continues to be shaped by charging access, affordability, infrastructure provision and regulation, while the competitive field is now far more crowded than during Tesla’s earlier growth stage (Department for Transport, Office for Zero Emission Vehicles and Browne, 2024; Budnitz, Meelen and Schwanen, 2026; Neves and Marques, 2025). The key strategic question is whether Tesla can convert its earlier technological and ecosystem advantages into a more durable and sustainable competitive position.</w:t>
      </w:r>
    </w:p>
    <w:p w14:paraId="58DCC817">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 xml:space="preserve"> </w:t>
      </w:r>
    </w:p>
    <w:p w14:paraId="0753ABD3">
      <w:pPr>
        <w:keepNext w:val="0"/>
        <w:keepLines w:val="0"/>
        <w:widowControl w:val="0"/>
        <w:suppressLineNumbers w:val="0"/>
        <w:spacing w:before="0" w:beforeAutospacing="0" w:after="160" w:afterAutospacing="0" w:line="480" w:lineRule="auto"/>
        <w:ind w:left="0" w:right="0"/>
        <w:jc w:val="center"/>
        <w:outlineLvl w:val="0"/>
        <w:rPr>
          <w:rFonts w:hint="default" w:ascii="Times New Roman" w:hAnsi="Times New Roman" w:cs="Times New Roman"/>
          <w:b/>
          <w:bCs/>
          <w:sz w:val="24"/>
          <w:szCs w:val="24"/>
          <w:lang w:val="en-US"/>
        </w:rPr>
      </w:pPr>
      <w:bookmarkStart w:id="1" w:name="_Toc225524249"/>
      <w:r>
        <w:rPr>
          <w:rFonts w:hint="default" w:ascii="Times New Roman" w:hAnsi="Times New Roman" w:eastAsia="等线" w:cs="Times New Roman"/>
          <w:b/>
          <w:bCs/>
          <w:kern w:val="2"/>
          <w:sz w:val="24"/>
          <w:szCs w:val="24"/>
          <w:lang w:val="en-US" w:eastAsia="zh-CN" w:bidi="ar"/>
        </w:rPr>
        <w:t>2.External Analysis</w:t>
      </w:r>
      <w:bookmarkEnd w:id="1"/>
    </w:p>
    <w:p w14:paraId="442107A5">
      <w:pPr>
        <w:keepNext w:val="0"/>
        <w:keepLines w:val="0"/>
        <w:widowControl w:val="0"/>
        <w:suppressLineNumbers w:val="0"/>
        <w:spacing w:before="0" w:beforeAutospacing="0" w:after="160" w:afterAutospacing="0" w:line="480" w:lineRule="auto"/>
        <w:ind w:left="0" w:right="0"/>
        <w:jc w:val="both"/>
        <w:outlineLvl w:val="1"/>
        <w:rPr>
          <w:rFonts w:hint="default" w:ascii="Times New Roman" w:hAnsi="Times New Roman" w:cs="Times New Roman"/>
          <w:b/>
          <w:bCs/>
          <w:sz w:val="24"/>
          <w:szCs w:val="24"/>
          <w:lang w:val="en-US"/>
        </w:rPr>
      </w:pPr>
      <w:bookmarkStart w:id="2" w:name="_Toc225524250"/>
      <w:r>
        <w:rPr>
          <w:rFonts w:hint="default" w:ascii="Times New Roman" w:hAnsi="Times New Roman" w:eastAsia="等线" w:cs="Times New Roman"/>
          <w:b/>
          <w:bCs/>
          <w:kern w:val="2"/>
          <w:sz w:val="24"/>
          <w:szCs w:val="24"/>
          <w:lang w:val="en-US" w:eastAsia="zh-CN" w:bidi="ar"/>
        </w:rPr>
        <w:t>2.1 PESTEL Analysis</w:t>
      </w:r>
      <w:bookmarkEnd w:id="2"/>
      <w:r>
        <w:rPr>
          <w:rFonts w:hint="default" w:ascii="Times New Roman" w:hAnsi="Times New Roman" w:eastAsia="等线" w:cs="Times New Roman"/>
          <w:b/>
          <w:bCs/>
          <w:kern w:val="2"/>
          <w:sz w:val="24"/>
          <w:szCs w:val="24"/>
          <w:lang w:val="en-US" w:eastAsia="zh-CN" w:bidi="ar"/>
        </w:rPr>
        <w:t xml:space="preserve"> </w:t>
      </w:r>
    </w:p>
    <w:p w14:paraId="05E35C88">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 xml:space="preserve">From a governmental perspective, Tesla operates in a market strongly influenced by state priorities. In both the UK and the European Union, electric vehicle transition is linked to wider goals of decarbonisation, industrial competitiveness and supply-chain resilience. Government action therefore matters because it shapes the broader direction of the sector (European Commission, 2025). </w:t>
      </w:r>
    </w:p>
    <w:p w14:paraId="21AE1CF2">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From a policy perspective, Tesla also faces a clearer transition pathway. In the UK, the move towards zero-emission vehicles has been translated into a clearer regulatory framework, which provides firms stronger signals about the pace and conditions of market change (Department for Transport, Office for Zero Emission Vehicles and Browne, 2024).</w:t>
      </w:r>
    </w:p>
    <w:p w14:paraId="51C70705">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Economically, demand for electric vehicles is growing, but adoption remains uneven. Purchase incentives can stimulate uptake, yet affordability continues to limit adoption, especially when consumers remain sensitive to upfront costs and wider economic uncertainty (Haan, Santonja and Zaklan, 2025; Neves and Marques, 2025).</w:t>
      </w:r>
    </w:p>
    <w:p w14:paraId="702189B2">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Socially, adoption depends increasingly on practical usability rather than environmental aspiration alone. Consumers who rely on shared or public parking still face charging barriers, which weakens purchase intention (Budnitz, Meelen and Schwanen, 2026).</w:t>
      </w:r>
    </w:p>
    <w:p w14:paraId="71E1CB8D">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 xml:space="preserve">Technologically, competition now centres on software capability, charging systems, battery pathways and data integration rather than on vehicle performance alone (Sun et al., 2024; International Energy Agency, 2025c). </w:t>
      </w:r>
    </w:p>
    <w:p w14:paraId="74C1B257">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Environmentally, the sector remains heavily dependent on critical minerals, battery recycling and value-chain governance, meaning that sustainability affects resilience and cost as well as legitimacy (Jannesar Niri et al., 2024; Safari, 2025).</w:t>
      </w:r>
    </w:p>
    <w:p w14:paraId="628DBEFD">
      <w:pPr>
        <w:keepNext w:val="0"/>
        <w:keepLines w:val="0"/>
        <w:widowControl w:val="0"/>
        <w:suppressLineNumbers w:val="0"/>
        <w:spacing w:before="0" w:beforeAutospacing="0" w:after="160" w:afterAutospacing="0" w:line="480" w:lineRule="auto"/>
        <w:ind w:left="0" w:right="0"/>
        <w:jc w:val="both"/>
        <w:outlineLvl w:val="1"/>
        <w:rPr>
          <w:rFonts w:hint="default" w:ascii="Times New Roman" w:hAnsi="Times New Roman" w:cs="Times New Roman"/>
          <w:b/>
          <w:bCs/>
          <w:sz w:val="24"/>
          <w:szCs w:val="24"/>
          <w:lang w:val="en-US"/>
        </w:rPr>
      </w:pPr>
      <w:bookmarkStart w:id="3" w:name="_Toc225524251"/>
      <w:r>
        <w:rPr>
          <w:rFonts w:hint="default" w:ascii="Times New Roman" w:hAnsi="Times New Roman" w:eastAsia="等线" w:cs="Times New Roman"/>
          <w:b/>
          <w:bCs/>
          <w:kern w:val="2"/>
          <w:sz w:val="24"/>
          <w:szCs w:val="24"/>
          <w:lang w:val="en-US" w:eastAsia="zh-CN" w:bidi="ar"/>
        </w:rPr>
        <w:t>2.2 Porter’s Five Forces</w:t>
      </w:r>
      <w:bookmarkEnd w:id="3"/>
    </w:p>
    <w:p w14:paraId="74CF0B06">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 xml:space="preserve">Rivalry among existing competitors is high. Tesla now faces stronger competition from both established automakers and newer challengers, especially Chinese firms whose industrial and technological capabilities have improved rapidly (Whitfield and Wuttke, 2026). Supplier power is also strong because battery production, mineral extraction and refining remain concentrated upstream (International Energy Agency, 2025b). Buyer power is rising as consumers gain more choice and become less willing to pay a premium on brand image alone, especially in a market shaped by pricing and convenience (European Automobile Manufacturers’ Association, 2026; Large, 2026). The threat of new entrants remains moderate because barriers are substantial, yet recent Chinese catch-up shows that they can be overcome (Whitfield and Wuttke, 2026). Substitutes also remain relevant, including hybrids, plug-in hybrids and wider transport alternatives (Tilly et al., 2024). </w:t>
      </w:r>
    </w:p>
    <w:p w14:paraId="238A73DA">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Overall, Tesla competes in an industry where rivalry, supplier concentration and buyer choice place sustained pressure on long-term advantages.</w:t>
      </w:r>
    </w:p>
    <w:p w14:paraId="3B13065C">
      <w:pPr>
        <w:keepNext w:val="0"/>
        <w:keepLines w:val="0"/>
        <w:widowControl w:val="0"/>
        <w:suppressLineNumbers w:val="0"/>
        <w:spacing w:before="0" w:beforeAutospacing="0" w:after="160" w:afterAutospacing="0" w:line="480" w:lineRule="auto"/>
        <w:ind w:left="0" w:right="0"/>
        <w:jc w:val="center"/>
        <w:outlineLvl w:val="0"/>
        <w:rPr>
          <w:rFonts w:hint="default" w:ascii="Times New Roman" w:hAnsi="Times New Roman" w:cs="Times New Roman"/>
          <w:b/>
          <w:bCs/>
          <w:sz w:val="24"/>
          <w:szCs w:val="24"/>
          <w:lang w:val="en-US"/>
        </w:rPr>
      </w:pPr>
      <w:bookmarkStart w:id="4" w:name="_Toc225524252"/>
      <w:r>
        <w:rPr>
          <w:rFonts w:hint="default" w:ascii="Times New Roman" w:hAnsi="Times New Roman" w:eastAsia="等线" w:cs="Times New Roman"/>
          <w:b/>
          <w:bCs/>
          <w:kern w:val="2"/>
          <w:sz w:val="24"/>
          <w:szCs w:val="24"/>
          <w:lang w:val="en-US" w:eastAsia="zh-CN" w:bidi="ar"/>
        </w:rPr>
        <w:t>3.Internal Analysis</w:t>
      </w:r>
      <w:bookmarkEnd w:id="4"/>
    </w:p>
    <w:p w14:paraId="688C87A7">
      <w:pPr>
        <w:keepNext w:val="0"/>
        <w:keepLines w:val="0"/>
        <w:widowControl w:val="0"/>
        <w:suppressLineNumbers w:val="0"/>
        <w:spacing w:before="0" w:beforeAutospacing="0" w:after="160" w:afterAutospacing="0" w:line="480" w:lineRule="auto"/>
        <w:ind w:left="0" w:right="0"/>
        <w:jc w:val="both"/>
        <w:outlineLvl w:val="1"/>
        <w:rPr>
          <w:rFonts w:hint="default" w:ascii="Times New Roman" w:hAnsi="Times New Roman" w:cs="Times New Roman"/>
          <w:b/>
          <w:bCs/>
          <w:sz w:val="24"/>
          <w:szCs w:val="24"/>
          <w:lang w:val="en-US"/>
        </w:rPr>
      </w:pPr>
      <w:bookmarkStart w:id="5" w:name="_Toc225524253"/>
      <w:r>
        <w:rPr>
          <w:rFonts w:hint="default" w:ascii="Times New Roman" w:hAnsi="Times New Roman" w:eastAsia="等线" w:cs="Times New Roman"/>
          <w:b/>
          <w:bCs/>
          <w:kern w:val="2"/>
          <w:sz w:val="24"/>
          <w:szCs w:val="24"/>
          <w:lang w:val="en-US" w:eastAsia="zh-CN" w:bidi="ar"/>
        </w:rPr>
        <w:t>3.1 Resource-Based View and Value Chain</w:t>
      </w:r>
      <w:bookmarkEnd w:id="5"/>
    </w:p>
    <w:p w14:paraId="3435C644">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From a resource-based perspective, Tesla’s internal strength lies less in one isolated asset than in the way several assets reinforce one another. Three areas are especially important: software and artificial intelligence capability, charging infrastructure, and business integration.</w:t>
      </w:r>
    </w:p>
    <w:p w14:paraId="4770526E">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The first is software and artificial intelligence capability. Tesla's recent reporting indicates that autonomous driving systems, AI chips, software-enabled services and data-intensive learning processes are becoming increasingly central to its strategy (Tesla, 2026a; Tesla, 2026b). These resources are valuable because they support differentiation, continuous improvements, and post-sale value creation. Software updates allow Tesla to alter the customer experience after purchase, which gives the company a different value logic from many automakers. Yet this capability does not automatically guarantee durable advantage. Its strategic value depends on whether Tesla can translate technological promise into commercially reliable outcomes, stable revenues and defensible user benefits.</w:t>
      </w:r>
    </w:p>
    <w:p w14:paraId="188B223D">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The second is Tesla’s charging network. Its supercharged infrastructure continues to support convenience, customer confidence and ecosystem control, especially in markets where public charging access remains uneven (Tesla, 2026b). In RBV terms, this resource remains valuable because it reduces range anxiety and improves usability. However, its rarity is weaker than before. As charging infrastructure expands more widely across the sector, Tesla cannot depend on exclusivity alone. The resource still matters, but its importance now rests more on reliability, interoperability and regional coverage.</w:t>
      </w:r>
    </w:p>
    <w:p w14:paraId="3A4F0164">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The third key resource is Tesla’s combination of vertical integration and cross-business synergy. The company links vehicles, software, manufacturing and energy-related activities more closely than many traditional automakers (Tesla, 2026a; Tesla, 2026b). This creates an ecosystem-level capability. Vehicles, charging, energy storage, software and data strengthen one another, which may support coordination, faster learning and tighter control across the value chain. It is also relatively difficult to replicate quickly because it requires alignment across several interdependent activities.</w:t>
      </w:r>
    </w:p>
    <w:p w14:paraId="7E5D5399">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From a value chain perspective, Tesla's advantage lies in the integration of design, manufacturing, software updates, charging access, direct sales and continuing service. The company captures value not only through the car as a product but also through the surrounding system of use, maintenance, data and energy connections. This provides Tesla a platform-like quality that remains distinctive within the automotive sector. However, the same integrated structure also creates vulnerability. Supply disruption, battery dependence and regulatory change can affect more than one part of the chain at once. Tesla’s internal position is therefore strong, but conditional.</w:t>
      </w:r>
    </w:p>
    <w:p w14:paraId="3BF62D43">
      <w:pPr>
        <w:keepNext w:val="0"/>
        <w:keepLines w:val="0"/>
        <w:widowControl w:val="0"/>
        <w:suppressLineNumbers w:val="0"/>
        <w:spacing w:before="0" w:beforeAutospacing="0" w:after="160" w:afterAutospacing="0" w:line="480" w:lineRule="auto"/>
        <w:ind w:left="0" w:right="0"/>
        <w:jc w:val="left"/>
        <w:outlineLvl w:val="1"/>
        <w:rPr>
          <w:rFonts w:hint="default" w:ascii="Times New Roman" w:hAnsi="Times New Roman" w:cs="Times New Roman"/>
          <w:b/>
          <w:bCs/>
          <w:sz w:val="24"/>
          <w:szCs w:val="24"/>
          <w:lang w:val="en-US"/>
        </w:rPr>
      </w:pPr>
      <w:bookmarkStart w:id="6" w:name="_Toc225524254"/>
      <w:r>
        <w:rPr>
          <w:rFonts w:hint="default" w:ascii="Times New Roman" w:hAnsi="Times New Roman" w:eastAsia="等线" w:cs="Times New Roman"/>
          <w:b/>
          <w:bCs/>
          <w:kern w:val="2"/>
          <w:sz w:val="24"/>
          <w:szCs w:val="24"/>
          <w:lang w:val="en-US" w:eastAsia="zh-CN" w:bidi="ar"/>
        </w:rPr>
        <w:t>3.2 SWOT/TOWS</w:t>
      </w:r>
      <w:bookmarkEnd w:id="6"/>
    </w:p>
    <w:p w14:paraId="5374B78A">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Tesla's main strengths are software capability, charging infrastructure and system integration (Tesla, 2026a; Tesla, 2026b). These strengths give the company strategic depth beyond vehicle assembly alone. Its main weaknesses are reduced distinctiveness in a more crowded market and a less stable brand position. Early brand prestige once amplified Tesla’s technological image, but in a more mature market symbolic advantage is harder to preserve without consistent operational delivery.</w:t>
      </w:r>
    </w:p>
    <w:p w14:paraId="7A031BB9">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Its opportunities lie in the continued zero-emission transition, infrastructure development, and the growing relevance of circular battery systems and energy services (European Commission, 2025; Wesselkämper et al., 2024). Its threats include Chinese competitive catch-up, mineral concentration, policy dependence and persistent consumer sensitivity to price and convenience (Whitfield and Wuttke, 2026; Budnitz, Meelen and Schwanen, 2026; International Energy Agency, 2025b).</w:t>
      </w:r>
    </w:p>
    <w:p w14:paraId="0B868F3E">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The SWOT analysis shows that Tesla’s strengths remain meaningful, but they do not automatically outweigh the pressures created by rivalry and upstream dependence. From a TOWS perspective, Tesla should use its strengths in integration and software to defend differentiation where convenience, ecosystem coordination and user experience matter most. At the same time, it should reduce exposure to battery and supply-chain risk through circularity, chemistry diversification and stronger regional partnerships.</w:t>
      </w:r>
    </w:p>
    <w:p w14:paraId="6C0EEC2B">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p>
    <w:p w14:paraId="1C41D620">
      <w:pPr>
        <w:keepNext w:val="0"/>
        <w:keepLines w:val="0"/>
        <w:widowControl w:val="0"/>
        <w:suppressLineNumbers w:val="0"/>
        <w:spacing w:before="0" w:beforeAutospacing="0" w:after="160" w:afterAutospacing="0" w:line="480" w:lineRule="auto"/>
        <w:ind w:left="0" w:right="0"/>
        <w:jc w:val="center"/>
        <w:outlineLvl w:val="0"/>
        <w:rPr>
          <w:rFonts w:hint="default" w:ascii="Times New Roman" w:hAnsi="Times New Roman" w:cs="Times New Roman"/>
          <w:b/>
          <w:bCs/>
          <w:sz w:val="24"/>
          <w:szCs w:val="24"/>
          <w:lang w:val="en-US"/>
        </w:rPr>
      </w:pPr>
      <w:bookmarkStart w:id="7" w:name="_Toc225524255"/>
      <w:bookmarkStart w:id="8" w:name="OLE_LINK2"/>
      <w:r>
        <w:rPr>
          <w:rFonts w:hint="default" w:ascii="Times New Roman" w:hAnsi="Times New Roman" w:eastAsia="等线" w:cs="Times New Roman"/>
          <w:b/>
          <w:bCs/>
          <w:kern w:val="2"/>
          <w:sz w:val="24"/>
          <w:szCs w:val="24"/>
          <w:lang w:val="en-US" w:eastAsia="zh-CN" w:bidi="ar"/>
        </w:rPr>
        <w:t>4.Strategy Formulation and Competitive Positioning</w:t>
      </w:r>
      <w:bookmarkEnd w:id="7"/>
    </w:p>
    <w:p w14:paraId="5C8B04A0">
      <w:pPr>
        <w:keepNext w:val="0"/>
        <w:keepLines w:val="0"/>
        <w:widowControl w:val="0"/>
        <w:suppressLineNumbers w:val="0"/>
        <w:spacing w:before="0" w:beforeAutospacing="0" w:after="160" w:afterAutospacing="0" w:line="480" w:lineRule="auto"/>
        <w:ind w:left="0" w:right="0"/>
        <w:jc w:val="left"/>
        <w:outlineLvl w:val="1"/>
        <w:rPr>
          <w:rFonts w:hint="default" w:ascii="Times New Roman" w:hAnsi="Times New Roman" w:cs="Times New Roman"/>
          <w:b/>
          <w:bCs/>
          <w:sz w:val="24"/>
          <w:szCs w:val="24"/>
          <w:lang w:val="en-US"/>
        </w:rPr>
      </w:pPr>
      <w:bookmarkStart w:id="9" w:name="_Toc225524256"/>
      <w:r>
        <w:rPr>
          <w:rFonts w:hint="default" w:ascii="Times New Roman" w:hAnsi="Times New Roman" w:eastAsia="等线" w:cs="Times New Roman"/>
          <w:b/>
          <w:bCs/>
          <w:kern w:val="2"/>
          <w:sz w:val="24"/>
          <w:szCs w:val="24"/>
          <w:lang w:val="en-US" w:eastAsia="zh-CN" w:bidi="ar"/>
        </w:rPr>
        <w:t>4.1 Porter’s Generic Strategies</w:t>
      </w:r>
      <w:bookmarkEnd w:id="9"/>
    </w:p>
    <w:bookmarkEnd w:id="8"/>
    <w:p w14:paraId="3E1772C7">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Tesla still most closely fits Porter’s differentiation strategy. Its earlier differentiation was built on range, performance, innovation, brand image and proprietary charging infrastructure. That position has not disappeared, but it has become less secure as the electric vehicle market has matured and competition has intensified. Global electric car sales exceeded 17 million in 2024, indicating continued expansion but also a market in which early novelty is less protective than before (International Energy Agency, 2025a).</w:t>
      </w:r>
    </w:p>
    <w:p w14:paraId="3060EC58">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 xml:space="preserve">Tesla’s current differentiation increasingly depends on software, artificial intelligence, charging integration and the connection between vehicles and wider energy systems (Tesla, 2026a; Tesla, 2026b). This suggests a shift from product-led differentiation towards platform-supported differentiation. Strategically, this matters because Tesla is not competing primarily as the lowest-cost producer. </w:t>
      </w:r>
    </w:p>
    <w:p w14:paraId="7FAFAC80">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This system-based approach operates at three levels. First, Tesla seeks functional differentiation through software, charging convenience and continuous product updates. Second, it seeks ecosystem differentiation through links between vehicles, charging, energy storage and digital services. Third, it seeks strategic differentiation by positioning itself closer to a technology platform company than to a conventional car manufacturer.</w:t>
      </w:r>
    </w:p>
    <w:p w14:paraId="703DC87E">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However, this form of differentiation is more demanding than Tesla’s earlier model. A platform-based strategy must create practical user value rather than rely on technological promise alone. EV adoption remains strongly shaped by upfront cost, charging availability and policy support, so ecosystem advantages only matter when they are experienced by customers as greater convenience, affordability and reduced uncertainty in everyday use (Timilsina et al., 2025).</w:t>
      </w:r>
    </w:p>
    <w:p w14:paraId="33BCA779">
      <w:pPr>
        <w:keepNext w:val="0"/>
        <w:keepLines w:val="0"/>
        <w:widowControl w:val="0"/>
        <w:suppressLineNumbers w:val="0"/>
        <w:spacing w:before="0" w:beforeAutospacing="0" w:after="160" w:afterAutospacing="0" w:line="480" w:lineRule="auto"/>
        <w:ind w:left="0" w:right="0"/>
        <w:jc w:val="both"/>
        <w:outlineLvl w:val="1"/>
        <w:rPr>
          <w:rFonts w:hint="default" w:ascii="Times New Roman" w:hAnsi="Times New Roman" w:cs="Times New Roman"/>
          <w:b/>
          <w:bCs/>
          <w:sz w:val="24"/>
          <w:szCs w:val="24"/>
          <w:lang w:val="en-US"/>
        </w:rPr>
      </w:pPr>
      <w:bookmarkStart w:id="10" w:name="_Toc225524257"/>
      <w:r>
        <w:rPr>
          <w:rFonts w:hint="default" w:ascii="Times New Roman" w:hAnsi="Times New Roman" w:eastAsia="等线" w:cs="Times New Roman"/>
          <w:b/>
          <w:bCs/>
          <w:kern w:val="2"/>
          <w:sz w:val="24"/>
          <w:szCs w:val="24"/>
          <w:lang w:val="en-US" w:eastAsia="zh-CN" w:bidi="ar"/>
        </w:rPr>
        <w:t>4.2 Ansoff’s Matrix</w:t>
      </w:r>
      <w:bookmarkEnd w:id="10"/>
    </w:p>
    <w:p w14:paraId="013BD2D9">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Using Ansoff’s Matrix, Tesla’s most realistic growth options are market penetration, product development and related diversification. Market penetration through vehicle sales in the UK and Europe remains important, but it is also exposed to affordability pressure, subsidy design and intense rivalry. This is especially relevant in the UK, where electric car support remains an active policy issue, and in Europe, where purchase incentives appear to stimulate EV registrations more directly than recurring ownership incentives (Competition and Markets Authority, 2026; Correia Sinézio Martins et al., 2024). Product development is therefore a more attractive route because it allows Tesla to extract more value from its installed base through software functions, autonomous systems and connected services (Tesla, 2026a; Tesla, 2026b). Related diversification through energy storage and energy management is also strategically suitable because it reinforces the same ecosystem logic that underpins Tesla’s differentiation. Overall, Tesla’s future growth should deepen and extend its present system rather than move far beyond it.</w:t>
      </w:r>
    </w:p>
    <w:p w14:paraId="4924BD85">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p>
    <w:p w14:paraId="4626347D">
      <w:pPr>
        <w:keepNext w:val="0"/>
        <w:keepLines w:val="0"/>
        <w:widowControl w:val="0"/>
        <w:suppressLineNumbers w:val="0"/>
        <w:spacing w:before="0" w:beforeAutospacing="0" w:after="160" w:afterAutospacing="0" w:line="480" w:lineRule="auto"/>
        <w:ind w:left="0" w:right="0"/>
        <w:jc w:val="center"/>
        <w:outlineLvl w:val="0"/>
        <w:rPr>
          <w:rFonts w:hint="default" w:ascii="Times New Roman" w:hAnsi="Times New Roman" w:cs="Times New Roman"/>
          <w:b/>
          <w:bCs/>
          <w:sz w:val="24"/>
          <w:szCs w:val="24"/>
          <w:lang w:val="en-US"/>
        </w:rPr>
      </w:pPr>
      <w:bookmarkStart w:id="11" w:name="_Toc225524258"/>
      <w:r>
        <w:rPr>
          <w:rFonts w:hint="default" w:ascii="Times New Roman" w:hAnsi="Times New Roman" w:eastAsia="等线" w:cs="Times New Roman"/>
          <w:b/>
          <w:bCs/>
          <w:kern w:val="2"/>
          <w:sz w:val="24"/>
          <w:szCs w:val="24"/>
          <w:lang w:val="en-US" w:eastAsia="zh-CN" w:bidi="ar"/>
        </w:rPr>
        <w:t>5.Sustainability and Strategic Recommendations</w:t>
      </w:r>
      <w:bookmarkEnd w:id="11"/>
    </w:p>
    <w:p w14:paraId="2F1C04E5">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Sustainability is increasingly central to Tesla’s strategy because it is tied directly to batteries, resource security, recycling and supply resilience. Research suggests that major electric vehicle producers, including Tesla, have developed clearer circular economy and battery recovery practices, making sustainability more commercially relevant than before (Cintra et al., 2025). Sustainability is therefore becoming part of operational performance and long-term competitiveness rather than remaining only a reputational issue.</w:t>
      </w:r>
    </w:p>
    <w:p w14:paraId="57AB0B17">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However, the earlier analysis shows that electric vehicle growth in Europe still depends on charging access and affordability, while the battery value chain remains exposed to critical materials and governance risks (Budnitz, Meelen and Schwanen, 2026; Jannesar Niri et al., 2024). Tesla’s recommendations should therefore respond directly to these issues.</w:t>
      </w:r>
    </w:p>
    <w:p w14:paraId="0A3F9B5A">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First, Tesla should strengthen charging partnerships and infrastructure presence in the UK and Europe. Since convenience remains a major adoption barrier, this is one of the company’s most realistic ways to reinforce its market position and turn an existing capability into a more regionally embedded advantage (Budnitz, Meelen and Schwanen, 2026; Sun et al., 2024).</w:t>
      </w:r>
    </w:p>
    <w:p w14:paraId="7779403E">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Second, Tesla should deepen battery resilience through greater use of lithium iron phosphate batteries, recycling and second-life systems. This would reduce material risk, improve supply-chain stability and support longer-term cost control (Safari, 2025; Wesselkämper et al., 2024).</w:t>
      </w:r>
    </w:p>
    <w:p w14:paraId="129FE940">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Third, Tesla should integrate sustainability more fully into its wider business model by connecting vehicles, energy storage, battery data and recycling systems closer. A stronger circular ecosystem would make sustainability part of operational capability rather than a reputational claim alone (Wellten, Angelis and Ribeiro Da Silva, 2025). This also matters ethically, since the legitimacy of electric vehicles depends on resource governance, transparency and practical accessibility (Tilly et al., 2024).</w:t>
      </w:r>
    </w:p>
    <w:p w14:paraId="52729A59">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p>
    <w:p w14:paraId="5056CC95">
      <w:pPr>
        <w:keepNext w:val="0"/>
        <w:keepLines w:val="0"/>
        <w:widowControl w:val="0"/>
        <w:suppressLineNumbers w:val="0"/>
        <w:spacing w:before="0" w:beforeAutospacing="0" w:after="160" w:afterAutospacing="0" w:line="480" w:lineRule="auto"/>
        <w:ind w:left="0" w:right="0"/>
        <w:jc w:val="center"/>
        <w:outlineLvl w:val="0"/>
        <w:rPr>
          <w:rFonts w:hint="default" w:ascii="Times New Roman" w:hAnsi="Times New Roman" w:cs="Times New Roman"/>
          <w:b/>
          <w:bCs/>
          <w:sz w:val="24"/>
          <w:szCs w:val="24"/>
          <w:lang w:val="en-US"/>
        </w:rPr>
      </w:pPr>
      <w:bookmarkStart w:id="12" w:name="_Toc225524259"/>
      <w:r>
        <w:rPr>
          <w:rFonts w:hint="default" w:ascii="Times New Roman" w:hAnsi="Times New Roman" w:eastAsia="等线" w:cs="Times New Roman"/>
          <w:b/>
          <w:bCs/>
          <w:kern w:val="2"/>
          <w:sz w:val="24"/>
          <w:szCs w:val="24"/>
          <w:lang w:val="en-US" w:eastAsia="zh-CN" w:bidi="ar"/>
        </w:rPr>
        <w:t>6.Conclusion</w:t>
      </w:r>
      <w:bookmarkEnd w:id="12"/>
    </w:p>
    <w:p w14:paraId="6000B3ED">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Tesla remains one of the most important firms in the electric vehicle industry, but it now operates in a much more demanding strategic environment. Its strengths in software, charging infrastructure and cross-business integration still matter, yet they face increasing pressure from rivalry, supply concentration, and changing market conditions (Tesla, 2026a; Tesla, 2026b; Whitfield and Wuttke, 2026).</w:t>
      </w:r>
    </w:p>
    <w:p w14:paraId="3FF22683">
      <w:pPr>
        <w:keepNext w:val="0"/>
        <w:keepLines w:val="0"/>
        <w:widowControl w:val="0"/>
        <w:suppressLineNumbers w:val="0"/>
        <w:spacing w:before="0" w:beforeAutospacing="0" w:after="160" w:afterAutospacing="0" w:line="480" w:lineRule="auto"/>
        <w:ind w:left="0" w:right="0" w:firstLine="480" w:firstLineChars="200"/>
        <w:jc w:val="both"/>
        <w:rPr>
          <w:rFonts w:hint="default" w:ascii="Times New Roman" w:hAnsi="Times New Roman" w:cs="Times New Roman"/>
          <w:sz w:val="24"/>
          <w:szCs w:val="24"/>
          <w:lang w:val="en-US"/>
        </w:rPr>
      </w:pPr>
      <w:r>
        <w:rPr>
          <w:rFonts w:hint="default" w:ascii="Times New Roman" w:hAnsi="Times New Roman" w:eastAsia="等线" w:cs="Times New Roman"/>
          <w:kern w:val="2"/>
          <w:sz w:val="24"/>
          <w:szCs w:val="24"/>
          <w:lang w:val="en-US" w:eastAsia="zh-CN" w:bidi="ar"/>
        </w:rPr>
        <w:t>This report concludes that Tesla still follows a differentiation strategy, but the basis of that differentiation is changing. Future advantage will depend less on early product distinction alone and more on whether Tesla can build a durable platform-based and sustainability-linked business model. More broadly, the case shows that strategic management in a sustainable business environment requires firms to align competitiveness with resilience, resource responsibility and long-term adaptability.</w:t>
      </w:r>
    </w:p>
    <w:p w14:paraId="A6112B5A">
      <w:bookmarkStart w:id="13" w:name="_GoBack"/>
      <w:bookmarkEnd w:id="13"/>
    </w:p>
    <w:sectPr>
      <w:pgSz w:w="12240" w:h="15840"/>
      <w:pgMar w:top="1440" w:right="1800" w:bottom="1440" w:left="1800" w:header="720" w:footer="720" w:gutter="0"/>
      <w:paperSrc/>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mbria Math">
    <w:panose1 w:val="02040503050406030204"/>
    <w:charset w:val="00"/>
    <w:family w:val="auto"/>
    <w:pitch w:val="variable"/>
    <w:sig w:usb0="E00006FF" w:usb1="420024FF" w:usb2="02000000" w:usb3="00000000" w:csb0="2000019F" w:csb1="00000000"/>
  </w:font>
  <w:font w:name="等线">
    <w:panose1 w:val="02010600030101010101"/>
    <w:charset w:val="86"/>
    <w:family w:val="auto"/>
    <w:pitch w:val="variable"/>
    <w:sig w:usb0="A00002BF" w:usb1="38CF7CFA" w:usb2="00000016" w:usb3="00000000" w:csb0="0004000F" w:csb1="00000000"/>
  </w:font>
  <w:font w:name="@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0839311E"/>
    <w:rsid w:val="3AF86E26"/>
    <w:rsid w:val="58977827"/>
  </w:rsids>
  <m:mathPr>
    <m:mathFont m:val="Cambria Math"/>
    <m:brkBin m:val="before"/>
    <m:brkBinSub m:val="--"/>
    <m:smallFrac m:val="1"/>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等线" w:hAnsi="等线" w:eastAsia="等线" w:cs="等线"/>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Arial"/>
      <w:kern w:val="2"/>
      <w:sz w:val="21"/>
      <w:szCs w:val="22"/>
      <w:lang w:val="en-US" w:eastAsia="zh-CN" w:bidi="ar-SA"/>
    </w:rPr>
  </w:style>
  <w:style w:type="character" w:default="1" w:styleId="3">
    <w:name w:val="Default Paragraph Font"/>
    <w:qFormat/>
    <w:uiPriority w:val="1"/>
  </w:style>
  <w:style w:type="table" w:default="1" w:styleId="2">
    <w:name w:val="Normal Table"/>
    <w:qFormat/>
    <w:uiPriority w:val="99"/>
    <w:pPr>
      <w:keepNext w:val="0"/>
      <w:keepLines w:val="0"/>
      <w:widowControl/>
      <w:suppressLineNumbers w:val="0"/>
      <w:spacing w:before="0" w:beforeAutospacing="0" w:after="160" w:afterAutospacing="0" w:line="276" w:lineRule="auto"/>
      <w:ind w:left="0" w:right="0"/>
    </w:pPr>
    <w:rPr>
      <w:rFonts w:hint="eastAsia" w:ascii="等线" w:hAnsi="等线" w:eastAsia="等线" w:cs="等线"/>
      <w:kern w:val="2"/>
      <w:sz w:val="22"/>
      <w:szCs w:val="24"/>
    </w:rPr>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11</Pages>
  <Words>2277</Words>
  <Characters>14686</Characters>
  <Paragraphs>47</Paragraphs>
  <TotalTime>36</TotalTime>
  <ScaleCrop>false</ScaleCrop>
  <LinksUpToDate>false</LinksUpToDate>
  <CharactersWithSpaces>16916</CharactersWithSpaces>
  <Application>WPS Office_12.1.0.25225_F1E327BC-269C-435d-A152-05C5408002CA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2026-03-27T15:14:00Z</dcterms:created>
  <dc:creator>PJD110</dc:creator>
  <cp:lastModifiedBy>—</cp:lastModifiedBy>
  <dcterms:modified xsi:type="dcterms:W3CDTF">2026-03-27T17:22:51Z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6DE7668B80CD40FF900CECDD85537564_13</vt:lpwstr>
  </property>
  <property fmtid="{D5CDD505-2E9C-101B-9397-08002B2CF9AE}" pid="3" name="KSOTemplateDocerSaveRecord">
    <vt:lpwstr>eyJoZGlkIjoiZTIxZGVhNzI3ZGFmYzdmMmFjZTcxMDEyYWFlYzhjMjMiLCJ1c2VySWQiOiIzMDE1NzQxMzMifQ==</vt:lpwstr>
  </property>
  <property fmtid="{D5CDD505-2E9C-101B-9397-08002B2CF9AE}" pid="4" name="KSOProductBuildVer">
    <vt:lpwstr>2052-12.1.0.25225</vt:lpwstr>
  </property>
</Properties>
</file>