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83E2D0E" w:rsidP="5B5EAC97" w:rsidRDefault="583E2D0E" w14:paraId="55970CAD" w14:textId="443B625A">
      <w:pPr>
        <w:rPr>
          <w:rFonts w:ascii="Times New Roman" w:hAnsi="Times New Roman" w:eastAsia="Times New Roman" w:cs="Times New Roman"/>
          <w:b w:val="1"/>
          <w:bCs w:val="1"/>
        </w:rPr>
      </w:pPr>
      <w:r w:rsidRPr="5B5EAC97" w:rsidR="583E2D0E">
        <w:rPr>
          <w:rFonts w:ascii="Times New Roman" w:hAnsi="Times New Roman" w:eastAsia="Times New Roman" w:cs="Times New Roman"/>
          <w:b w:val="1"/>
          <w:bCs w:val="1"/>
        </w:rPr>
        <w:t>What is assemblage?</w:t>
      </w:r>
    </w:p>
    <w:p w:rsidR="78ADD4F5" w:rsidP="5B5EAC97" w:rsidRDefault="78ADD4F5" w14:paraId="747FDC06" w14:textId="4755E3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5B5EAC97" w:rsidR="78ADD4F5">
        <w:rPr>
          <w:rFonts w:ascii="Times New Roman" w:hAnsi="Times New Roman" w:eastAsia="Times New Roman" w:cs="Times New Roman"/>
          <w:b w:val="0"/>
          <w:bCs w:val="0"/>
        </w:rPr>
        <w:t xml:space="preserve">The </w:t>
      </w:r>
      <w:r w:rsidRPr="5B5EAC97" w:rsidR="13C29D72">
        <w:rPr>
          <w:rFonts w:ascii="Times New Roman" w:hAnsi="Times New Roman" w:eastAsia="Times New Roman" w:cs="Times New Roman"/>
          <w:b w:val="0"/>
          <w:bCs w:val="0"/>
        </w:rPr>
        <w:t xml:space="preserve">word </w:t>
      </w:r>
      <w:r w:rsidRPr="5B5EAC97" w:rsidR="78ADD4F5">
        <w:rPr>
          <w:rFonts w:ascii="Times New Roman" w:hAnsi="Times New Roman" w:eastAsia="Times New Roman" w:cs="Times New Roman"/>
          <w:b w:val="0"/>
          <w:bCs w:val="0"/>
        </w:rPr>
        <w:t>‘a</w:t>
      </w:r>
      <w:r w:rsidRPr="5B5EAC97" w:rsidR="583E2D0E">
        <w:rPr>
          <w:rFonts w:ascii="Times New Roman" w:hAnsi="Times New Roman" w:eastAsia="Times New Roman" w:cs="Times New Roman"/>
          <w:b w:val="0"/>
          <w:bCs w:val="0"/>
        </w:rPr>
        <w:t>ssemblage</w:t>
      </w:r>
      <w:r w:rsidRPr="5B5EAC97" w:rsidR="20ED9668">
        <w:rPr>
          <w:rFonts w:ascii="Times New Roman" w:hAnsi="Times New Roman" w:eastAsia="Times New Roman" w:cs="Times New Roman"/>
          <w:b w:val="0"/>
          <w:bCs w:val="0"/>
        </w:rPr>
        <w:t>’</w:t>
      </w:r>
      <w:r w:rsidRPr="5B5EAC97" w:rsidR="47DB8E7F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,</w:t>
      </w:r>
      <w:r w:rsidRPr="5B5EAC97" w:rsidR="47DB8E7F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enjoys multiple definitions, ranging from a strictly mechanical fitting together of components, to a</w:t>
      </w:r>
      <w:r w:rsidRPr="5B5EAC97" w:rsidR="47FCD38A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</w:t>
      </w:r>
      <w:r w:rsidRPr="5B5EAC97" w:rsidR="47DB8E7F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gathering</w:t>
      </w:r>
      <w:r w:rsidRPr="5B5EAC97" w:rsidR="5E16D3A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of people, to, importantly, the very act of ‘fitting together’ in itself. The conceptual core of the </w:t>
      </w:r>
      <w:r w:rsidRPr="5B5EAC97" w:rsidR="7094FF50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phrase is thus the bringing-together of distinct parts. </w:t>
      </w:r>
    </w:p>
    <w:p w:rsidR="7094FF50" w:rsidP="5B5EAC97" w:rsidRDefault="7094FF50" w14:paraId="6CD5D1C9" w14:textId="0459EB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5B5EAC97" w:rsidR="7094FF50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In materialist parlance, however, it functions as an </w:t>
      </w:r>
      <w:r w:rsidRPr="5B5EAC97" w:rsidR="3644E05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(imperfect) </w:t>
      </w:r>
      <w:r w:rsidRPr="5B5EAC97" w:rsidR="7094FF50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English-language substitute for the French word </w:t>
      </w:r>
      <w:r w:rsidRPr="5B5EAC97" w:rsidR="2E92C5F1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‘</w:t>
      </w:r>
      <w:r w:rsidRPr="5B5EAC97" w:rsidR="7094FF50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agencemen</w:t>
      </w:r>
      <w:r w:rsidRPr="5B5EAC97" w:rsidR="1A8ABB6D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t</w:t>
      </w:r>
      <w:r w:rsidRPr="5B5EAC97" w:rsidR="0D027E91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’</w:t>
      </w:r>
      <w:r w:rsidRPr="5B5EAC97" w:rsidR="2AD77E03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 xml:space="preserve"> </w:t>
      </w:r>
      <w:r w:rsidRPr="5B5EAC97" w:rsidR="2AD77E0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used by Deleuze and </w:t>
      </w:r>
      <w:r w:rsidRPr="5B5EAC97" w:rsidR="2AD77E0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Guattari</w:t>
      </w:r>
      <w:r w:rsidRPr="5B5EAC97" w:rsidR="2AD77E0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to describe their shared theory of materialism</w:t>
      </w:r>
      <w:r w:rsidRPr="5B5EAC97" w:rsidR="3B43DA8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(principally in </w:t>
      </w:r>
      <w:r w:rsidRPr="5B5EAC97" w:rsidR="3B43DA88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A Thousand Plateaus</w:t>
      </w:r>
      <w:r w:rsidRPr="5B5EAC97" w:rsidR="3B43DA8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and </w:t>
      </w:r>
      <w:r w:rsidRPr="5B5EAC97" w:rsidR="3B43DA88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What is Philosophy?</w:t>
      </w:r>
      <w:r w:rsidRPr="5B5EAC97" w:rsidR="3B43DA8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). </w:t>
      </w:r>
      <w:r w:rsidRPr="5B5EAC97" w:rsidR="1CB22F0C">
        <w:rPr>
          <w:rFonts w:ascii="Times New Roman" w:hAnsi="Times New Roman" w:eastAsia="Times New Roman" w:cs="Times New Roman"/>
        </w:rPr>
        <w:t xml:space="preserve">This etymological difference moves from the unremarkable to the peculiar, however, when it is </w:t>
      </w:r>
      <w:r w:rsidRPr="5B5EAC97" w:rsidR="2BDE3C48">
        <w:rPr>
          <w:rFonts w:ascii="Times New Roman" w:hAnsi="Times New Roman" w:eastAsia="Times New Roman" w:cs="Times New Roman"/>
        </w:rPr>
        <w:t>considered</w:t>
      </w:r>
      <w:r w:rsidRPr="5B5EAC97" w:rsidR="1CB22F0C">
        <w:rPr>
          <w:rFonts w:ascii="Times New Roman" w:hAnsi="Times New Roman" w:eastAsia="Times New Roman" w:cs="Times New Roman"/>
        </w:rPr>
        <w:t xml:space="preserve"> that </w:t>
      </w:r>
      <w:r w:rsidRPr="5B5EAC97" w:rsidR="1AF928A2">
        <w:rPr>
          <w:rFonts w:ascii="Times New Roman" w:hAnsi="Times New Roman" w:eastAsia="Times New Roman" w:cs="Times New Roman"/>
        </w:rPr>
        <w:t xml:space="preserve">‘assemblage’ is derived from </w:t>
      </w:r>
      <w:r w:rsidRPr="5B5EAC97" w:rsidR="1703933C">
        <w:rPr>
          <w:rFonts w:ascii="Times New Roman" w:hAnsi="Times New Roman" w:eastAsia="Times New Roman" w:cs="Times New Roman"/>
        </w:rPr>
        <w:t>the French ‘</w:t>
      </w:r>
      <w:r w:rsidRPr="5B5EAC97" w:rsidR="1703933C">
        <w:rPr>
          <w:rFonts w:ascii="Times New Roman" w:hAnsi="Times New Roman" w:eastAsia="Times New Roman" w:cs="Times New Roman"/>
          <w:i w:val="1"/>
          <w:iCs w:val="1"/>
        </w:rPr>
        <w:t>assemblage</w:t>
      </w:r>
      <w:r w:rsidRPr="5B5EAC97" w:rsidR="1703933C">
        <w:rPr>
          <w:rFonts w:ascii="Times New Roman" w:hAnsi="Times New Roman" w:eastAsia="Times New Roman" w:cs="Times New Roman"/>
          <w:i w:val="1"/>
          <w:iCs w:val="1"/>
        </w:rPr>
        <w:t>’</w:t>
      </w:r>
      <w:r w:rsidRPr="5B5EAC97" w:rsidR="2A60FCAC">
        <w:rPr>
          <w:rFonts w:ascii="Times New Roman" w:hAnsi="Times New Roman" w:eastAsia="Times New Roman" w:cs="Times New Roman"/>
          <w:i w:val="1"/>
          <w:iCs w:val="1"/>
        </w:rPr>
        <w:t>,</w:t>
      </w:r>
      <w:r w:rsidRPr="5B5EAC97" w:rsidR="2A60FCAC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5B5EAC97" w:rsidR="2A60FCAC">
        <w:rPr>
          <w:rFonts w:ascii="Times New Roman" w:hAnsi="Times New Roman" w:eastAsia="Times New Roman" w:cs="Times New Roman"/>
          <w:i w:val="0"/>
          <w:iCs w:val="0"/>
        </w:rPr>
        <w:t xml:space="preserve">the meaning of which is </w:t>
      </w:r>
      <w:r w:rsidRPr="5B5EAC97" w:rsidR="2A60FCAC">
        <w:rPr>
          <w:rFonts w:ascii="Times New Roman" w:hAnsi="Times New Roman" w:eastAsia="Times New Roman" w:cs="Times New Roman"/>
          <w:i w:val="0"/>
          <w:iCs w:val="0"/>
        </w:rPr>
        <w:t>wholly distinct</w:t>
      </w:r>
      <w:r w:rsidRPr="5B5EAC97" w:rsidR="2A60FCAC">
        <w:rPr>
          <w:rFonts w:ascii="Times New Roman" w:hAnsi="Times New Roman" w:eastAsia="Times New Roman" w:cs="Times New Roman"/>
          <w:i w:val="0"/>
          <w:iCs w:val="0"/>
        </w:rPr>
        <w:t xml:space="preserve"> from that of ‘</w:t>
      </w:r>
      <w:r w:rsidRPr="5B5EAC97" w:rsidR="2A60FCAC">
        <w:rPr>
          <w:rFonts w:ascii="Times New Roman" w:hAnsi="Times New Roman" w:eastAsia="Times New Roman" w:cs="Times New Roman"/>
          <w:i w:val="1"/>
          <w:iCs w:val="1"/>
        </w:rPr>
        <w:t>agencement</w:t>
      </w:r>
      <w:r w:rsidRPr="5B5EAC97" w:rsidR="2A60FCAC">
        <w:rPr>
          <w:rFonts w:ascii="Times New Roman" w:hAnsi="Times New Roman" w:eastAsia="Times New Roman" w:cs="Times New Roman"/>
          <w:i w:val="1"/>
          <w:iCs w:val="1"/>
        </w:rPr>
        <w:t>’</w:t>
      </w:r>
      <w:r w:rsidRPr="5B5EAC97" w:rsidR="2A60FCAC">
        <w:rPr>
          <w:rFonts w:ascii="Times New Roman" w:hAnsi="Times New Roman" w:eastAsia="Times New Roman" w:cs="Times New Roman"/>
          <w:i w:val="0"/>
          <w:iCs w:val="0"/>
        </w:rPr>
        <w:t xml:space="preserve"> and its root ‘</w:t>
      </w:r>
      <w:r w:rsidRPr="5B5EAC97" w:rsidR="2A60FCAC">
        <w:rPr>
          <w:rFonts w:ascii="Times New Roman" w:hAnsi="Times New Roman" w:eastAsia="Times New Roman" w:cs="Times New Roman"/>
          <w:i w:val="1"/>
          <w:iCs w:val="1"/>
        </w:rPr>
        <w:t>agencer</w:t>
      </w:r>
      <w:r w:rsidRPr="5B5EAC97" w:rsidR="2A60FCAC">
        <w:rPr>
          <w:rFonts w:ascii="Times New Roman" w:hAnsi="Times New Roman" w:eastAsia="Times New Roman" w:cs="Times New Roman"/>
          <w:i w:val="1"/>
          <w:iCs w:val="1"/>
        </w:rPr>
        <w:t>’</w:t>
      </w:r>
      <w:r w:rsidRPr="5B5EAC97" w:rsidR="2A60FCAC">
        <w:rPr>
          <w:rFonts w:ascii="Times New Roman" w:hAnsi="Times New Roman" w:eastAsia="Times New Roman" w:cs="Times New Roman"/>
          <w:i w:val="0"/>
          <w:iCs w:val="0"/>
        </w:rPr>
        <w:t>.</w:t>
      </w:r>
      <w:r w:rsidRPr="5B5EAC97" w:rsidR="2BF75F6A">
        <w:rPr>
          <w:rFonts w:ascii="Times New Roman" w:hAnsi="Times New Roman" w:eastAsia="Times New Roman" w:cs="Times New Roman"/>
          <w:i w:val="0"/>
          <w:iCs w:val="0"/>
        </w:rPr>
        <w:t xml:space="preserve"> The meaning of the former, in both languages, is ‘to bring together</w:t>
      </w:r>
      <w:r w:rsidRPr="5B5EAC97" w:rsidR="2BF75F6A">
        <w:rPr>
          <w:rFonts w:ascii="Times New Roman" w:hAnsi="Times New Roman" w:eastAsia="Times New Roman" w:cs="Times New Roman"/>
          <w:i w:val="0"/>
          <w:iCs w:val="0"/>
        </w:rPr>
        <w:t>’.</w:t>
      </w:r>
      <w:r w:rsidRPr="5B5EAC97" w:rsidR="2BF75F6A">
        <w:rPr>
          <w:rFonts w:ascii="Times New Roman" w:hAnsi="Times New Roman" w:eastAsia="Times New Roman" w:cs="Times New Roman"/>
          <w:i w:val="0"/>
          <w:iCs w:val="0"/>
        </w:rPr>
        <w:t xml:space="preserve"> The meaning of the </w:t>
      </w:r>
      <w:r w:rsidRPr="5B5EAC97" w:rsidR="526B75E2">
        <w:rPr>
          <w:rFonts w:ascii="Times New Roman" w:hAnsi="Times New Roman" w:eastAsia="Times New Roman" w:cs="Times New Roman"/>
          <w:i w:val="0"/>
          <w:iCs w:val="0"/>
        </w:rPr>
        <w:t xml:space="preserve">latter – in both </w:t>
      </w:r>
      <w:r w:rsidRPr="5B5EAC97" w:rsidR="526B75E2">
        <w:rPr>
          <w:rFonts w:ascii="Times New Roman" w:hAnsi="Times New Roman" w:eastAsia="Times New Roman" w:cs="Times New Roman"/>
          <w:i w:val="0"/>
          <w:iCs w:val="0"/>
        </w:rPr>
        <w:t>forms</w:t>
      </w:r>
      <w:r w:rsidRPr="5B5EAC97" w:rsidR="526B75E2">
        <w:rPr>
          <w:rFonts w:ascii="Times New Roman" w:hAnsi="Times New Roman" w:eastAsia="Times New Roman" w:cs="Times New Roman"/>
          <w:i w:val="0"/>
          <w:iCs w:val="0"/>
        </w:rPr>
        <w:t xml:space="preserve"> peculiar to French – is </w:t>
      </w:r>
      <w:r w:rsidRPr="5B5EAC97" w:rsidR="0AC70A4A">
        <w:rPr>
          <w:rFonts w:ascii="Times New Roman" w:hAnsi="Times New Roman" w:eastAsia="Times New Roman" w:cs="Times New Roman"/>
          <w:i w:val="0"/>
          <w:iCs w:val="0"/>
        </w:rPr>
        <w:t>‘to construct, arrange,</w:t>
      </w:r>
      <w:r w:rsidRPr="5B5EAC97" w:rsidR="514C13C1">
        <w:rPr>
          <w:rFonts w:ascii="Times New Roman" w:hAnsi="Times New Roman" w:eastAsia="Times New Roman" w:cs="Times New Roman"/>
          <w:i w:val="0"/>
          <w:iCs w:val="0"/>
        </w:rPr>
        <w:t xml:space="preserve"> lay out,</w:t>
      </w:r>
      <w:r w:rsidRPr="5B5EAC97" w:rsidR="0AC70A4A">
        <w:rPr>
          <w:rFonts w:ascii="Times New Roman" w:hAnsi="Times New Roman" w:eastAsia="Times New Roman" w:cs="Times New Roman"/>
          <w:i w:val="0"/>
          <w:iCs w:val="0"/>
        </w:rPr>
        <w:t xml:space="preserve"> to piece together’ (with the form changed to suit the form). </w:t>
      </w:r>
      <w:r w:rsidRPr="5B5EAC97" w:rsidR="5CB7B9BA">
        <w:rPr>
          <w:rFonts w:ascii="Times New Roman" w:hAnsi="Times New Roman" w:eastAsia="Times New Roman" w:cs="Times New Roman"/>
          <w:i w:val="0"/>
          <w:iCs w:val="0"/>
        </w:rPr>
        <w:t xml:space="preserve">This discrepancy is so </w:t>
      </w:r>
      <w:r w:rsidRPr="5B5EAC97" w:rsidR="5CB7B9BA">
        <w:rPr>
          <w:rFonts w:ascii="Times New Roman" w:hAnsi="Times New Roman" w:eastAsia="Times New Roman" w:cs="Times New Roman"/>
          <w:i w:val="0"/>
          <w:iCs w:val="0"/>
        </w:rPr>
        <w:t>apparent</w:t>
      </w:r>
      <w:r w:rsidRPr="5B5EAC97" w:rsidR="5CB7B9BA">
        <w:rPr>
          <w:rFonts w:ascii="Times New Roman" w:hAnsi="Times New Roman" w:eastAsia="Times New Roman" w:cs="Times New Roman"/>
          <w:i w:val="0"/>
          <w:iCs w:val="0"/>
        </w:rPr>
        <w:t xml:space="preserve"> that Nail argued for the outright rejection of ‘assemblage’ as a term in use</w:t>
      </w:r>
      <w:r w:rsidRPr="5B5EAC97" w:rsidR="312CC74A">
        <w:rPr>
          <w:rFonts w:ascii="Times New Roman" w:hAnsi="Times New Roman" w:eastAsia="Times New Roman" w:cs="Times New Roman"/>
          <w:i w:val="0"/>
          <w:iCs w:val="0"/>
        </w:rPr>
        <w:t xml:space="preserve"> in favour of the original ‘</w:t>
      </w:r>
      <w:r w:rsidRPr="5B5EAC97" w:rsidR="312CC74A">
        <w:rPr>
          <w:rFonts w:ascii="Times New Roman" w:hAnsi="Times New Roman" w:eastAsia="Times New Roman" w:cs="Times New Roman"/>
          <w:i w:val="1"/>
          <w:iCs w:val="1"/>
        </w:rPr>
        <w:t>agencement</w:t>
      </w:r>
      <w:r w:rsidRPr="5B5EAC97" w:rsidR="312CC74A">
        <w:rPr>
          <w:rFonts w:ascii="Times New Roman" w:hAnsi="Times New Roman" w:eastAsia="Times New Roman" w:cs="Times New Roman"/>
          <w:i w:val="1"/>
          <w:iCs w:val="1"/>
        </w:rPr>
        <w:t>’</w:t>
      </w:r>
      <w:r w:rsidRPr="5B5EAC97" w:rsidR="312CC74A">
        <w:rPr>
          <w:rFonts w:ascii="Times New Roman" w:hAnsi="Times New Roman" w:eastAsia="Times New Roman" w:cs="Times New Roman"/>
          <w:i w:val="0"/>
          <w:iCs w:val="0"/>
        </w:rPr>
        <w:t xml:space="preserve"> on that basis that “it will only confuse</w:t>
      </w:r>
      <w:r w:rsidRPr="5B5EAC97" w:rsidR="312CC74A">
        <w:rPr>
          <w:rFonts w:ascii="Times New Roman" w:hAnsi="Times New Roman" w:eastAsia="Times New Roman" w:cs="Times New Roman"/>
          <w:i w:val="0"/>
          <w:iCs w:val="0"/>
        </w:rPr>
        <w:t>[...]</w:t>
      </w:r>
      <w:r w:rsidRPr="5B5EAC97" w:rsidR="3AAFCA85">
        <w:rPr>
          <w:rFonts w:ascii="Times New Roman" w:hAnsi="Times New Roman" w:eastAsia="Times New Roman" w:cs="Times New Roman"/>
          <w:i w:val="0"/>
          <w:iCs w:val="0"/>
        </w:rPr>
        <w:t>[</w:t>
      </w:r>
      <w:r w:rsidRPr="5B5EAC97" w:rsidR="3AAFCA85">
        <w:rPr>
          <w:rFonts w:ascii="Times New Roman" w:hAnsi="Times New Roman" w:eastAsia="Times New Roman" w:cs="Times New Roman"/>
          <w:i w:val="0"/>
          <w:iCs w:val="0"/>
        </w:rPr>
        <w:t xml:space="preserve">the understanding of] </w:t>
      </w:r>
      <w:r w:rsidRPr="5B5EAC97" w:rsidR="3AAFCA85">
        <w:rPr>
          <w:rFonts w:ascii="Times New Roman" w:hAnsi="Times New Roman" w:eastAsia="Times New Roman" w:cs="Times New Roman"/>
          <w:i w:val="1"/>
          <w:iCs w:val="1"/>
        </w:rPr>
        <w:t>agencement</w:t>
      </w:r>
      <w:r w:rsidRPr="5B5EAC97" w:rsidR="3AAFCA85">
        <w:rPr>
          <w:rFonts w:ascii="Times New Roman" w:hAnsi="Times New Roman" w:eastAsia="Times New Roman" w:cs="Times New Roman"/>
          <w:i w:val="0"/>
          <w:iCs w:val="0"/>
        </w:rPr>
        <w:t xml:space="preserve"> [as] an arrangement or layout of heterogeneous </w:t>
      </w:r>
      <w:r w:rsidRPr="5B5EAC97" w:rsidR="3AAFCA85">
        <w:rPr>
          <w:rFonts w:ascii="Times New Roman" w:hAnsi="Times New Roman" w:eastAsia="Times New Roman" w:cs="Times New Roman"/>
          <w:i w:val="0"/>
          <w:iCs w:val="0"/>
        </w:rPr>
        <w:t>elements”</w:t>
      </w:r>
      <w:r w:rsidRPr="5B5EAC97">
        <w:rPr>
          <w:rStyle w:val="FootnoteReference"/>
          <w:rFonts w:ascii="Times New Roman" w:hAnsi="Times New Roman" w:eastAsia="Times New Roman" w:cs="Times New Roman"/>
          <w:i w:val="0"/>
          <w:iCs w:val="0"/>
        </w:rPr>
        <w:footnoteReference w:id="15464"/>
      </w:r>
      <w:r w:rsidRPr="5B5EAC97" w:rsidR="18B10A1E">
        <w:rPr>
          <w:rFonts w:ascii="Times New Roman" w:hAnsi="Times New Roman" w:eastAsia="Times New Roman" w:cs="Times New Roman"/>
        </w:rPr>
        <w:t>.</w:t>
      </w:r>
    </w:p>
    <w:p w:rsidR="1712038C" w:rsidP="5B5EAC97" w:rsidRDefault="1712038C" w14:paraId="0125DCB5" w14:textId="2C2251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5B5EAC97" w:rsidR="1712038C">
        <w:rPr>
          <w:rFonts w:ascii="Times New Roman" w:hAnsi="Times New Roman" w:eastAsia="Times New Roman" w:cs="Times New Roman"/>
        </w:rPr>
        <w:t xml:space="preserve">So far, so semantic, one might argue – what is the bearing of these distinctions? </w:t>
      </w:r>
      <w:r w:rsidRPr="5B5EAC97" w:rsidR="3A7F5AFF">
        <w:rPr>
          <w:rFonts w:ascii="Times New Roman" w:hAnsi="Times New Roman" w:eastAsia="Times New Roman" w:cs="Times New Roman"/>
        </w:rPr>
        <w:t xml:space="preserve">The answer is </w:t>
      </w:r>
      <w:r w:rsidRPr="5B5EAC97" w:rsidR="3A7F5AFF">
        <w:rPr>
          <w:rFonts w:ascii="Times New Roman" w:hAnsi="Times New Roman" w:eastAsia="Times New Roman" w:cs="Times New Roman"/>
        </w:rPr>
        <w:t>identified</w:t>
      </w:r>
      <w:r w:rsidRPr="5B5EAC97" w:rsidR="3A7F5AFF">
        <w:rPr>
          <w:rFonts w:ascii="Times New Roman" w:hAnsi="Times New Roman" w:eastAsia="Times New Roman" w:cs="Times New Roman"/>
        </w:rPr>
        <w:t xml:space="preserve"> by Nail: heterogeneity. </w:t>
      </w:r>
      <w:r w:rsidRPr="5B5EAC97" w:rsidR="49B3B794">
        <w:rPr>
          <w:rFonts w:ascii="Times New Roman" w:hAnsi="Times New Roman" w:eastAsia="Times New Roman" w:cs="Times New Roman"/>
        </w:rPr>
        <w:t>B</w:t>
      </w:r>
      <w:r w:rsidRPr="5B5EAC97" w:rsidR="1FCC7D7F">
        <w:rPr>
          <w:rFonts w:ascii="Times New Roman" w:hAnsi="Times New Roman" w:eastAsia="Times New Roman" w:cs="Times New Roman"/>
        </w:rPr>
        <w:t>ennet</w:t>
      </w:r>
      <w:r w:rsidRPr="5B5EAC97" w:rsidR="3103A77E">
        <w:rPr>
          <w:rFonts w:ascii="Times New Roman" w:hAnsi="Times New Roman" w:eastAsia="Times New Roman" w:cs="Times New Roman"/>
        </w:rPr>
        <w:t>t</w:t>
      </w:r>
      <w:r w:rsidRPr="5B5EAC97" w:rsidR="1FCC7D7F">
        <w:rPr>
          <w:rFonts w:ascii="Times New Roman" w:hAnsi="Times New Roman" w:eastAsia="Times New Roman" w:cs="Times New Roman"/>
        </w:rPr>
        <w:t xml:space="preserve"> defines assemblages in</w:t>
      </w:r>
      <w:r w:rsidRPr="5B5EAC97" w:rsidR="610AC4C0">
        <w:rPr>
          <w:rFonts w:ascii="Times New Roman" w:hAnsi="Times New Roman" w:eastAsia="Times New Roman" w:cs="Times New Roman"/>
        </w:rPr>
        <w:t xml:space="preserve"> her</w:t>
      </w:r>
      <w:r w:rsidRPr="5B5EAC97" w:rsidR="1FCC7D7F">
        <w:rPr>
          <w:rFonts w:ascii="Times New Roman" w:hAnsi="Times New Roman" w:eastAsia="Times New Roman" w:cs="Times New Roman"/>
        </w:rPr>
        <w:t xml:space="preserve"> </w:t>
      </w:r>
      <w:r w:rsidRPr="5B5EAC97" w:rsidR="1FCC7D7F">
        <w:rPr>
          <w:rFonts w:ascii="Times New Roman" w:hAnsi="Times New Roman" w:eastAsia="Times New Roman" w:cs="Times New Roman"/>
          <w:i w:val="1"/>
          <w:iCs w:val="1"/>
        </w:rPr>
        <w:t>Vibrant Matter</w:t>
      </w:r>
      <w:r w:rsidRPr="5B5EAC97" w:rsidR="1FCC7D7F">
        <w:rPr>
          <w:rFonts w:ascii="Times New Roman" w:hAnsi="Times New Roman" w:eastAsia="Times New Roman" w:cs="Times New Roman"/>
          <w:i w:val="0"/>
          <w:iCs w:val="0"/>
        </w:rPr>
        <w:t xml:space="preserve"> as “ad hoc groupings of </w:t>
      </w:r>
      <w:r w:rsidRPr="5B5EAC97" w:rsidR="74DED975">
        <w:rPr>
          <w:rFonts w:ascii="Times New Roman" w:hAnsi="Times New Roman" w:eastAsia="Times New Roman" w:cs="Times New Roman"/>
          <w:i w:val="0"/>
          <w:iCs w:val="0"/>
        </w:rPr>
        <w:t xml:space="preserve">diverse elements, of vibrant materials </w:t>
      </w:r>
      <w:r w:rsidRPr="5B5EAC97" w:rsidR="56B74DEE">
        <w:rPr>
          <w:rFonts w:ascii="Times New Roman" w:hAnsi="Times New Roman" w:eastAsia="Times New Roman" w:cs="Times New Roman"/>
          <w:i w:val="0"/>
          <w:iCs w:val="0"/>
        </w:rPr>
        <w:t xml:space="preserve">of all sorts [...]living, throbbing confederations that are </w:t>
      </w:r>
      <w:r w:rsidRPr="5B5EAC97" w:rsidR="4CEF6D48">
        <w:rPr>
          <w:rFonts w:ascii="Times New Roman" w:hAnsi="Times New Roman" w:eastAsia="Times New Roman" w:cs="Times New Roman"/>
          <w:i w:val="0"/>
          <w:iCs w:val="0"/>
        </w:rPr>
        <w:t xml:space="preserve">able to function despite the persistent presence of energies that confound them from </w:t>
      </w:r>
      <w:r w:rsidRPr="5B5EAC97" w:rsidR="4CEF6D48">
        <w:rPr>
          <w:rFonts w:ascii="Times New Roman" w:hAnsi="Times New Roman" w:eastAsia="Times New Roman" w:cs="Times New Roman"/>
          <w:i w:val="0"/>
          <w:iCs w:val="0"/>
        </w:rPr>
        <w:t>within”</w:t>
      </w:r>
      <w:r w:rsidRPr="5B5EAC97">
        <w:rPr>
          <w:rStyle w:val="FootnoteReference"/>
          <w:rFonts w:ascii="Times New Roman" w:hAnsi="Times New Roman" w:eastAsia="Times New Roman" w:cs="Times New Roman"/>
          <w:i w:val="0"/>
          <w:iCs w:val="0"/>
        </w:rPr>
        <w:footnoteReference w:id="13132"/>
      </w:r>
      <w:r w:rsidRPr="5B5EAC97" w:rsidR="5CF6170A">
        <w:rPr>
          <w:rFonts w:ascii="Times New Roman" w:hAnsi="Times New Roman" w:eastAsia="Times New Roman" w:cs="Times New Roman"/>
          <w:i w:val="0"/>
          <w:iCs w:val="0"/>
        </w:rPr>
        <w:t>.</w:t>
      </w:r>
      <w:r w:rsidRPr="5B5EAC97" w:rsidR="1EE256D0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63752686">
        <w:rPr>
          <w:rFonts w:ascii="Times New Roman" w:hAnsi="Times New Roman" w:eastAsia="Times New Roman" w:cs="Times New Roman"/>
          <w:i w:val="0"/>
          <w:iCs w:val="0"/>
        </w:rPr>
        <w:t>While this is</w:t>
      </w:r>
      <w:r w:rsidRPr="5B5EAC97" w:rsidR="63752686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63752686">
        <w:rPr>
          <w:rFonts w:ascii="Times New Roman" w:hAnsi="Times New Roman" w:eastAsia="Times New Roman" w:cs="Times New Roman"/>
          <w:i w:val="0"/>
          <w:iCs w:val="0"/>
        </w:rPr>
        <w:t>a</w:t>
      </w:r>
      <w:r w:rsidRPr="5B5EAC97" w:rsidR="63752686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63752686">
        <w:rPr>
          <w:rFonts w:ascii="Times New Roman" w:hAnsi="Times New Roman" w:eastAsia="Times New Roman" w:cs="Times New Roman"/>
          <w:i w:val="0"/>
          <w:iCs w:val="0"/>
        </w:rPr>
        <w:t>rather esoteric</w:t>
      </w:r>
      <w:r w:rsidRPr="5B5EAC97" w:rsidR="63752686">
        <w:rPr>
          <w:rFonts w:ascii="Times New Roman" w:hAnsi="Times New Roman" w:eastAsia="Times New Roman" w:cs="Times New Roman"/>
          <w:i w:val="0"/>
          <w:iCs w:val="0"/>
        </w:rPr>
        <w:t xml:space="preserve"> description of a materialist conception, it captures</w:t>
      </w:r>
      <w:r w:rsidRPr="5B5EAC97" w:rsidR="374C1D6B">
        <w:rPr>
          <w:rFonts w:ascii="Times New Roman" w:hAnsi="Times New Roman" w:eastAsia="Times New Roman" w:cs="Times New Roman"/>
          <w:i w:val="0"/>
          <w:iCs w:val="0"/>
        </w:rPr>
        <w:t xml:space="preserve"> the crucial detail. Assemblages are not homogenous, not </w:t>
      </w:r>
      <w:r w:rsidRPr="5B5EAC97" w:rsidR="459BC0CB">
        <w:rPr>
          <w:rFonts w:ascii="Times New Roman" w:hAnsi="Times New Roman" w:eastAsia="Times New Roman" w:cs="Times New Roman"/>
          <w:i w:val="0"/>
          <w:iCs w:val="0"/>
        </w:rPr>
        <w:t xml:space="preserve">‘assembled’ in the English sense of the word: rather, they are </w:t>
      </w:r>
      <w:r w:rsidRPr="5B5EAC97" w:rsidR="459BC0CB">
        <w:rPr>
          <w:rFonts w:ascii="Times New Roman" w:hAnsi="Times New Roman" w:eastAsia="Times New Roman" w:cs="Times New Roman"/>
          <w:i w:val="0"/>
          <w:iCs w:val="0"/>
        </w:rPr>
        <w:t xml:space="preserve">essentially </w:t>
      </w:r>
      <w:r w:rsidRPr="5B5EAC97" w:rsidR="459BC0CB">
        <w:rPr>
          <w:rFonts w:ascii="Times New Roman" w:hAnsi="Times New Roman" w:eastAsia="Times New Roman" w:cs="Times New Roman"/>
          <w:i w:val="1"/>
          <w:iCs w:val="1"/>
        </w:rPr>
        <w:t>modular</w:t>
      </w:r>
      <w:r w:rsidRPr="5B5EAC97" w:rsidR="459BC0CB">
        <w:rPr>
          <w:rFonts w:ascii="Times New Roman" w:hAnsi="Times New Roman" w:eastAsia="Times New Roman" w:cs="Times New Roman"/>
          <w:i w:val="0"/>
          <w:iCs w:val="0"/>
        </w:rPr>
        <w:t xml:space="preserve">. </w:t>
      </w:r>
    </w:p>
    <w:p w:rsidR="040230F3" w:rsidP="5B5EAC97" w:rsidRDefault="040230F3" w14:paraId="61AFA985" w14:textId="6689AE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5B5EAC97" w:rsidR="040230F3">
        <w:rPr>
          <w:rFonts w:ascii="Times New Roman" w:hAnsi="Times New Roman" w:eastAsia="Times New Roman" w:cs="Times New Roman"/>
          <w:i w:val="0"/>
          <w:iCs w:val="0"/>
        </w:rPr>
        <w:t>To employ a useful analogy used elsewhere, it would be apt to liken an assemblage to a kind of ‘conceptual LEGO</w:t>
      </w:r>
      <w:r w:rsidRPr="5B5EAC97" w:rsidR="040230F3">
        <w:rPr>
          <w:rFonts w:ascii="Times New Roman" w:hAnsi="Times New Roman" w:eastAsia="Times New Roman" w:cs="Times New Roman"/>
          <w:i w:val="0"/>
          <w:iCs w:val="0"/>
        </w:rPr>
        <w:t>’.</w:t>
      </w:r>
      <w:r w:rsidRPr="5B5EAC97" w:rsidR="040230F3">
        <w:rPr>
          <w:rFonts w:ascii="Times New Roman" w:hAnsi="Times New Roman" w:eastAsia="Times New Roman" w:cs="Times New Roman"/>
          <w:i w:val="0"/>
          <w:iCs w:val="0"/>
        </w:rPr>
        <w:t xml:space="preserve"> Each piece (component) having its own discrete identity and </w:t>
      </w:r>
      <w:r w:rsidRPr="5B5EAC97" w:rsidR="040230F3">
        <w:rPr>
          <w:rFonts w:ascii="Times New Roman" w:hAnsi="Times New Roman" w:eastAsia="Times New Roman" w:cs="Times New Roman"/>
          <w:i w:val="0"/>
          <w:iCs w:val="0"/>
        </w:rPr>
        <w:t>function</w:t>
      </w:r>
      <w:r w:rsidRPr="5B5EAC97" w:rsidR="44B14804">
        <w:rPr>
          <w:rFonts w:ascii="Times New Roman" w:hAnsi="Times New Roman" w:eastAsia="Times New Roman" w:cs="Times New Roman"/>
          <w:i w:val="0"/>
          <w:iCs w:val="0"/>
        </w:rPr>
        <w:t>, yet</w:t>
      </w:r>
      <w:r w:rsidRPr="5B5EAC97" w:rsidR="44B14804">
        <w:rPr>
          <w:rFonts w:ascii="Times New Roman" w:hAnsi="Times New Roman" w:eastAsia="Times New Roman" w:cs="Times New Roman"/>
          <w:i w:val="0"/>
          <w:iCs w:val="0"/>
        </w:rPr>
        <w:t xml:space="preserve"> together </w:t>
      </w:r>
      <w:r w:rsidRPr="5B5EAC97" w:rsidR="44B14804">
        <w:rPr>
          <w:rFonts w:ascii="Times New Roman" w:hAnsi="Times New Roman" w:eastAsia="Times New Roman" w:cs="Times New Roman"/>
          <w:i w:val="0"/>
          <w:iCs w:val="0"/>
        </w:rPr>
        <w:t>comprising</w:t>
      </w:r>
      <w:r w:rsidRPr="5B5EAC97" w:rsidR="44B14804">
        <w:rPr>
          <w:rFonts w:ascii="Times New Roman" w:hAnsi="Times New Roman" w:eastAsia="Times New Roman" w:cs="Times New Roman"/>
          <w:i w:val="0"/>
          <w:iCs w:val="0"/>
        </w:rPr>
        <w:t xml:space="preserve"> a greater whole – with the implicit possibility of dismantling and recombination where suitable</w:t>
      </w:r>
      <w:r w:rsidRPr="5B5EAC97" w:rsidR="1AA68D5E">
        <w:rPr>
          <w:rFonts w:ascii="Times New Roman" w:hAnsi="Times New Roman" w:eastAsia="Times New Roman" w:cs="Times New Roman"/>
          <w:i w:val="0"/>
          <w:iCs w:val="0"/>
        </w:rPr>
        <w:t>. A</w:t>
      </w:r>
      <w:r w:rsidRPr="5B5EAC97" w:rsidR="3171A2A0">
        <w:rPr>
          <w:rFonts w:ascii="Times New Roman" w:hAnsi="Times New Roman" w:eastAsia="Times New Roman" w:cs="Times New Roman"/>
          <w:i w:val="0"/>
          <w:iCs w:val="0"/>
        </w:rPr>
        <w:t xml:space="preserve"> socio-political</w:t>
      </w:r>
      <w:r w:rsidRPr="5B5EAC97" w:rsidR="61991442">
        <w:rPr>
          <w:rFonts w:ascii="Times New Roman" w:hAnsi="Times New Roman" w:eastAsia="Times New Roman" w:cs="Times New Roman"/>
          <w:i w:val="0"/>
          <w:iCs w:val="0"/>
        </w:rPr>
        <w:t xml:space="preserve"> (or ‘state’)</w:t>
      </w:r>
      <w:r w:rsidRPr="5B5EAC97" w:rsidR="3171A2A0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3171A2A0">
        <w:rPr>
          <w:rFonts w:ascii="Times New Roman" w:hAnsi="Times New Roman" w:eastAsia="Times New Roman" w:cs="Times New Roman"/>
          <w:i w:val="0"/>
          <w:iCs w:val="0"/>
        </w:rPr>
        <w:t>assemblage</w:t>
      </w:r>
      <w:r w:rsidRPr="5B5EAC97" w:rsidR="27167CFA">
        <w:rPr>
          <w:rFonts w:ascii="Times New Roman" w:hAnsi="Times New Roman" w:eastAsia="Times New Roman" w:cs="Times New Roman"/>
          <w:i w:val="0"/>
          <w:iCs w:val="0"/>
        </w:rPr>
        <w:t xml:space="preserve"> –</w:t>
      </w:r>
      <w:r w:rsidRPr="5B5EAC97" w:rsidR="3171A2A0">
        <w:rPr>
          <w:rFonts w:ascii="Times New Roman" w:hAnsi="Times New Roman" w:eastAsia="Times New Roman" w:cs="Times New Roman"/>
          <w:i w:val="0"/>
          <w:iCs w:val="0"/>
        </w:rPr>
        <w:t xml:space="preserve"> is composed of its citizens, who, while not solely defined by the fact of their</w:t>
      </w:r>
      <w:r w:rsidRPr="5B5EAC97" w:rsidR="5CAEA4D2">
        <w:rPr>
          <w:rFonts w:ascii="Times New Roman" w:hAnsi="Times New Roman" w:eastAsia="Times New Roman" w:cs="Times New Roman"/>
          <w:i w:val="0"/>
          <w:iCs w:val="0"/>
        </w:rPr>
        <w:t xml:space="preserve"> nationality, nonetheless </w:t>
      </w:r>
      <w:r w:rsidRPr="5B5EAC97" w:rsidR="5CAEA4D2">
        <w:rPr>
          <w:rFonts w:ascii="Times New Roman" w:hAnsi="Times New Roman" w:eastAsia="Times New Roman" w:cs="Times New Roman"/>
          <w:i w:val="0"/>
          <w:iCs w:val="0"/>
        </w:rPr>
        <w:t>in the aggregate</w:t>
      </w:r>
      <w:r w:rsidRPr="5B5EAC97" w:rsidR="5CAEA4D2">
        <w:rPr>
          <w:rFonts w:ascii="Times New Roman" w:hAnsi="Times New Roman" w:eastAsia="Times New Roman" w:cs="Times New Roman"/>
          <w:i w:val="0"/>
          <w:iCs w:val="0"/>
        </w:rPr>
        <w:t xml:space="preserve"> and through </w:t>
      </w:r>
      <w:r w:rsidRPr="5B5EAC97" w:rsidR="25DC7494">
        <w:rPr>
          <w:rFonts w:ascii="Times New Roman" w:hAnsi="Times New Roman" w:eastAsia="Times New Roman" w:cs="Times New Roman"/>
          <w:i w:val="0"/>
          <w:iCs w:val="0"/>
        </w:rPr>
        <w:t>participation of one kind or another (po</w:t>
      </w:r>
      <w:r w:rsidRPr="5B5EAC97" w:rsidR="25DC7494">
        <w:rPr>
          <w:rFonts w:ascii="Times New Roman" w:hAnsi="Times New Roman" w:eastAsia="Times New Roman" w:cs="Times New Roman"/>
          <w:i w:val="0"/>
          <w:iCs w:val="0"/>
        </w:rPr>
        <w:t>litical or economic)</w:t>
      </w:r>
      <w:r w:rsidRPr="5B5EAC97" w:rsidR="5CAEA4D2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5CAEA4D2">
        <w:rPr>
          <w:rFonts w:ascii="Times New Roman" w:hAnsi="Times New Roman" w:eastAsia="Times New Roman" w:cs="Times New Roman"/>
          <w:i w:val="0"/>
          <w:iCs w:val="0"/>
        </w:rPr>
        <w:t>compr</w:t>
      </w:r>
      <w:r w:rsidRPr="5B5EAC97" w:rsidR="5CAEA4D2">
        <w:rPr>
          <w:rFonts w:ascii="Times New Roman" w:hAnsi="Times New Roman" w:eastAsia="Times New Roman" w:cs="Times New Roman"/>
          <w:i w:val="0"/>
          <w:iCs w:val="0"/>
        </w:rPr>
        <w:t>ise</w:t>
      </w:r>
      <w:r w:rsidRPr="5B5EAC97" w:rsidR="5CAEA4D2">
        <w:rPr>
          <w:rFonts w:ascii="Times New Roman" w:hAnsi="Times New Roman" w:eastAsia="Times New Roman" w:cs="Times New Roman"/>
          <w:i w:val="0"/>
          <w:iCs w:val="0"/>
        </w:rPr>
        <w:t xml:space="preserve"> that entity</w:t>
      </w:r>
      <w:r w:rsidRPr="5B5EAC97" w:rsidR="06E4A749">
        <w:rPr>
          <w:rFonts w:ascii="Times New Roman" w:hAnsi="Times New Roman" w:eastAsia="Times New Roman" w:cs="Times New Roman"/>
          <w:i w:val="0"/>
          <w:iCs w:val="0"/>
        </w:rPr>
        <w:t xml:space="preserve"> and its ‘charac</w:t>
      </w:r>
      <w:r w:rsidRPr="5B5EAC97" w:rsidR="06E4A749">
        <w:rPr>
          <w:rFonts w:ascii="Times New Roman" w:hAnsi="Times New Roman" w:eastAsia="Times New Roman" w:cs="Times New Roman"/>
          <w:i w:val="0"/>
          <w:iCs w:val="0"/>
        </w:rPr>
        <w:t>te</w:t>
      </w:r>
      <w:r w:rsidRPr="5B5EAC97" w:rsidR="06E4A749">
        <w:rPr>
          <w:rFonts w:ascii="Times New Roman" w:hAnsi="Times New Roman" w:eastAsia="Times New Roman" w:cs="Times New Roman"/>
          <w:i w:val="0"/>
          <w:iCs w:val="0"/>
        </w:rPr>
        <w:t>r</w:t>
      </w:r>
      <w:r w:rsidRPr="5B5EAC97" w:rsidR="06E4A749">
        <w:rPr>
          <w:rFonts w:ascii="Times New Roman" w:hAnsi="Times New Roman" w:eastAsia="Times New Roman" w:cs="Times New Roman"/>
          <w:i w:val="0"/>
          <w:iCs w:val="0"/>
        </w:rPr>
        <w:t>’</w:t>
      </w:r>
      <w:r w:rsidRPr="5B5EAC97" w:rsidR="5CAEA4D2">
        <w:rPr>
          <w:rFonts w:ascii="Times New Roman" w:hAnsi="Times New Roman" w:eastAsia="Times New Roman" w:cs="Times New Roman"/>
          <w:i w:val="0"/>
          <w:iCs w:val="0"/>
        </w:rPr>
        <w:t>.</w:t>
      </w:r>
      <w:r w:rsidRPr="5B5EAC97" w:rsidR="5CAEA4D2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505CDFBD">
        <w:rPr>
          <w:rFonts w:ascii="Times New Roman" w:hAnsi="Times New Roman" w:eastAsia="Times New Roman" w:cs="Times New Roman"/>
          <w:i w:val="0"/>
          <w:iCs w:val="0"/>
        </w:rPr>
        <w:t>An electricity grid (such as the one cited by Bennett) depends on the existence of a variety of units of infrastructure (generators,</w:t>
      </w:r>
      <w:r w:rsidRPr="5B5EAC97" w:rsidR="668D8935">
        <w:rPr>
          <w:rFonts w:ascii="Times New Roman" w:hAnsi="Times New Roman" w:eastAsia="Times New Roman" w:cs="Times New Roman"/>
          <w:i w:val="0"/>
          <w:iCs w:val="0"/>
        </w:rPr>
        <w:t xml:space="preserve"> transmission</w:t>
      </w:r>
      <w:r w:rsidRPr="5B5EAC97" w:rsidR="505CDFBD">
        <w:rPr>
          <w:rFonts w:ascii="Times New Roman" w:hAnsi="Times New Roman" w:eastAsia="Times New Roman" w:cs="Times New Roman"/>
          <w:i w:val="0"/>
          <w:iCs w:val="0"/>
        </w:rPr>
        <w:t xml:space="preserve"> towers</w:t>
      </w:r>
      <w:r w:rsidRPr="5B5EAC97" w:rsidR="7D4565DF">
        <w:rPr>
          <w:rFonts w:ascii="Times New Roman" w:hAnsi="Times New Roman" w:eastAsia="Times New Roman" w:cs="Times New Roman"/>
          <w:i w:val="0"/>
          <w:iCs w:val="0"/>
        </w:rPr>
        <w:t xml:space="preserve"> etc.) replicated at scale, and is defined by the collective harmonious operation (or lack thereof in the case of Bennett’s blackout) thereof</w:t>
      </w:r>
      <w:r w:rsidRPr="5B5EAC97" w:rsidR="4C690DF9">
        <w:rPr>
          <w:rFonts w:ascii="Times New Roman" w:hAnsi="Times New Roman" w:eastAsia="Times New Roman" w:cs="Times New Roman"/>
          <w:i w:val="0"/>
          <w:iCs w:val="0"/>
        </w:rPr>
        <w:t xml:space="preserve"> for its functionality. </w:t>
      </w:r>
    </w:p>
    <w:p w:rsidR="57C7DCFA" w:rsidP="5B5EAC97" w:rsidRDefault="57C7DCFA" w14:paraId="334B2EC8" w14:textId="066C12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5B5EAC97" w:rsidR="57C7DCFA">
        <w:rPr>
          <w:rFonts w:ascii="Times New Roman" w:hAnsi="Times New Roman" w:eastAsia="Times New Roman" w:cs="Times New Roman"/>
          <w:i w:val="0"/>
          <w:iCs w:val="0"/>
        </w:rPr>
        <w:t>As Nails noted, “Dele</w:t>
      </w:r>
      <w:r w:rsidRPr="5B5EAC97" w:rsidR="0A7F4C51">
        <w:rPr>
          <w:rFonts w:ascii="Times New Roman" w:hAnsi="Times New Roman" w:eastAsia="Times New Roman" w:cs="Times New Roman"/>
          <w:i w:val="0"/>
          <w:iCs w:val="0"/>
        </w:rPr>
        <w:t xml:space="preserve">uze and </w:t>
      </w:r>
      <w:r w:rsidRPr="5B5EAC97" w:rsidR="0A7F4C51">
        <w:rPr>
          <w:rFonts w:ascii="Times New Roman" w:hAnsi="Times New Roman" w:eastAsia="Times New Roman" w:cs="Times New Roman"/>
          <w:i w:val="0"/>
          <w:iCs w:val="0"/>
        </w:rPr>
        <w:t>Guattari</w:t>
      </w:r>
      <w:r w:rsidRPr="5B5EAC97" w:rsidR="0A7F4C51">
        <w:rPr>
          <w:rFonts w:ascii="Times New Roman" w:hAnsi="Times New Roman" w:eastAsia="Times New Roman" w:cs="Times New Roman"/>
          <w:i w:val="0"/>
          <w:iCs w:val="0"/>
        </w:rPr>
        <w:t xml:space="preserve"> never formalised it[the theory] per </w:t>
      </w:r>
      <w:bookmarkStart w:name="_Int_6PHQJlhl" w:id="1059037613"/>
      <w:r w:rsidRPr="5B5EAC97" w:rsidR="0A7F4C51">
        <w:rPr>
          <w:rFonts w:ascii="Times New Roman" w:hAnsi="Times New Roman" w:eastAsia="Times New Roman" w:cs="Times New Roman"/>
          <w:i w:val="0"/>
          <w:iCs w:val="0"/>
        </w:rPr>
        <w:t>se, but</w:t>
      </w:r>
      <w:bookmarkEnd w:id="1059037613"/>
      <w:r w:rsidRPr="5B5EAC97" w:rsidR="0A7F4C51">
        <w:rPr>
          <w:rFonts w:ascii="Times New Roman" w:hAnsi="Times New Roman" w:eastAsia="Times New Roman" w:cs="Times New Roman"/>
          <w:i w:val="0"/>
          <w:iCs w:val="0"/>
        </w:rPr>
        <w:t xml:space="preserve"> lar</w:t>
      </w:r>
      <w:r w:rsidRPr="5B5EAC97" w:rsidR="1D2C80B1">
        <w:rPr>
          <w:rFonts w:ascii="Times New Roman" w:hAnsi="Times New Roman" w:eastAsia="Times New Roman" w:cs="Times New Roman"/>
          <w:i w:val="0"/>
          <w:iCs w:val="0"/>
        </w:rPr>
        <w:t xml:space="preserve">gely used it ad hoc throughout their </w:t>
      </w:r>
      <w:r w:rsidRPr="5B5EAC97" w:rsidR="1D2C80B1">
        <w:rPr>
          <w:rFonts w:ascii="Times New Roman" w:hAnsi="Times New Roman" w:eastAsia="Times New Roman" w:cs="Times New Roman"/>
          <w:i w:val="0"/>
          <w:iCs w:val="0"/>
        </w:rPr>
        <w:t>work”</w:t>
      </w:r>
      <w:r w:rsidRPr="5B5EAC97">
        <w:rPr>
          <w:rStyle w:val="FootnoteReference"/>
          <w:rFonts w:ascii="Times New Roman" w:hAnsi="Times New Roman" w:eastAsia="Times New Roman" w:cs="Times New Roman"/>
          <w:i w:val="0"/>
          <w:iCs w:val="0"/>
        </w:rPr>
        <w:footnoteReference w:id="32582"/>
      </w:r>
      <w:r w:rsidRPr="5B5EAC97" w:rsidR="3BF0E281">
        <w:rPr>
          <w:rFonts w:ascii="Times New Roman" w:hAnsi="Times New Roman" w:eastAsia="Times New Roman" w:cs="Times New Roman"/>
          <w:i w:val="0"/>
          <w:iCs w:val="0"/>
        </w:rPr>
        <w:t xml:space="preserve">. </w:t>
      </w:r>
      <w:r w:rsidRPr="5B5EAC97" w:rsidR="3BF0E281">
        <w:rPr>
          <w:rFonts w:ascii="Times New Roman" w:hAnsi="Times New Roman" w:eastAsia="Times New Roman" w:cs="Times New Roman"/>
          <w:i w:val="0"/>
          <w:iCs w:val="0"/>
        </w:rPr>
        <w:t>Deleuze</w:t>
      </w:r>
      <w:r w:rsidRPr="5B5EAC97" w:rsidR="3BF0E281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336515BF">
        <w:rPr>
          <w:rFonts w:ascii="Times New Roman" w:hAnsi="Times New Roman" w:eastAsia="Times New Roman" w:cs="Times New Roman"/>
          <w:i w:val="0"/>
          <w:iCs w:val="0"/>
        </w:rPr>
        <w:t xml:space="preserve">himself </w:t>
      </w:r>
      <w:r w:rsidRPr="5B5EAC97" w:rsidR="3BF0E281">
        <w:rPr>
          <w:rFonts w:ascii="Times New Roman" w:hAnsi="Times New Roman" w:eastAsia="Times New Roman" w:cs="Times New Roman"/>
          <w:i w:val="0"/>
          <w:iCs w:val="0"/>
        </w:rPr>
        <w:t xml:space="preserve">referred to the concept as the ‘general logic’ underpinning </w:t>
      </w:r>
      <w:r w:rsidRPr="5B5EAC97" w:rsidR="3BF0E281">
        <w:rPr>
          <w:rFonts w:ascii="Times New Roman" w:hAnsi="Times New Roman" w:eastAsia="Times New Roman" w:cs="Times New Roman"/>
          <w:i w:val="1"/>
          <w:iCs w:val="1"/>
        </w:rPr>
        <w:t>A Thousand Plateaus</w:t>
      </w:r>
      <w:r w:rsidRPr="5B5EAC97" w:rsidR="3BF0E281">
        <w:rPr>
          <w:rFonts w:ascii="Times New Roman" w:hAnsi="Times New Roman" w:eastAsia="Times New Roman" w:cs="Times New Roman"/>
          <w:i w:val="0"/>
          <w:iCs w:val="0"/>
        </w:rPr>
        <w:t xml:space="preserve"> in a 1980 interview </w:t>
      </w:r>
      <w:r w:rsidRPr="5B5EAC97" w:rsidR="649FCB30">
        <w:rPr>
          <w:rFonts w:ascii="Times New Roman" w:hAnsi="Times New Roman" w:eastAsia="Times New Roman" w:cs="Times New Roman"/>
          <w:i w:val="0"/>
          <w:iCs w:val="0"/>
        </w:rPr>
        <w:t xml:space="preserve">with </w:t>
      </w:r>
      <w:r w:rsidRPr="5B5EAC97" w:rsidR="649FCB30">
        <w:rPr>
          <w:rFonts w:ascii="Times New Roman" w:hAnsi="Times New Roman" w:eastAsia="Times New Roman" w:cs="Times New Roman"/>
          <w:i w:val="0"/>
          <w:iCs w:val="0"/>
        </w:rPr>
        <w:t>Catherine Clément,</w:t>
      </w:r>
      <w:r w:rsidRPr="5B5EAC97" w:rsidR="6D19B7F3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649FCB30">
        <w:rPr>
          <w:rFonts w:ascii="Times New Roman" w:hAnsi="Times New Roman" w:eastAsia="Times New Roman" w:cs="Times New Roman"/>
          <w:i w:val="0"/>
          <w:iCs w:val="0"/>
        </w:rPr>
        <w:t>but</w:t>
      </w:r>
      <w:r w:rsidRPr="5B5EAC97" w:rsidR="649FCB30">
        <w:rPr>
          <w:rFonts w:ascii="Times New Roman" w:hAnsi="Times New Roman" w:eastAsia="Times New Roman" w:cs="Times New Roman"/>
          <w:i w:val="0"/>
          <w:iCs w:val="0"/>
        </w:rPr>
        <w:t xml:space="preserve"> shied away from its formalisation.</w:t>
      </w:r>
      <w:r w:rsidRPr="5B5EAC97" w:rsidR="0B85CE50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4062835B">
        <w:rPr>
          <w:rFonts w:ascii="Times New Roman" w:hAnsi="Times New Roman" w:eastAsia="Times New Roman" w:cs="Times New Roman"/>
          <w:i w:val="0"/>
          <w:iCs w:val="0"/>
        </w:rPr>
        <w:t>Accordingly</w:t>
      </w:r>
      <w:r w:rsidRPr="5B5EAC97" w:rsidR="4062835B">
        <w:rPr>
          <w:rFonts w:ascii="Times New Roman" w:hAnsi="Times New Roman" w:eastAsia="Times New Roman" w:cs="Times New Roman"/>
          <w:i w:val="0"/>
          <w:iCs w:val="0"/>
        </w:rPr>
        <w:t xml:space="preserve">, Nails’ </w:t>
      </w:r>
      <w:r w:rsidRPr="5B5EAC97" w:rsidR="3CE22436">
        <w:rPr>
          <w:rFonts w:ascii="Times New Roman" w:hAnsi="Times New Roman" w:eastAsia="Times New Roman" w:cs="Times New Roman"/>
          <w:i w:val="0"/>
          <w:iCs w:val="0"/>
        </w:rPr>
        <w:t xml:space="preserve">striving to prove the theory’s self-sufficiency </w:t>
      </w:r>
      <w:r w:rsidRPr="5B5EAC97" w:rsidR="40BE0F2D">
        <w:rPr>
          <w:rFonts w:ascii="Times New Roman" w:hAnsi="Times New Roman" w:eastAsia="Times New Roman" w:cs="Times New Roman"/>
          <w:i w:val="0"/>
          <w:iCs w:val="0"/>
        </w:rPr>
        <w:t xml:space="preserve">in reaction to </w:t>
      </w:r>
      <w:r w:rsidRPr="5B5EAC97" w:rsidR="40BE0F2D">
        <w:rPr>
          <w:rFonts w:ascii="Times New Roman" w:hAnsi="Times New Roman" w:eastAsia="Times New Roman" w:cs="Times New Roman"/>
          <w:i w:val="0"/>
          <w:iCs w:val="0"/>
        </w:rPr>
        <w:t>DeLanda’s</w:t>
      </w:r>
      <w:r w:rsidRPr="5B5EAC97" w:rsidR="40BE0F2D">
        <w:rPr>
          <w:rFonts w:ascii="Times New Roman" w:hAnsi="Times New Roman" w:eastAsia="Times New Roman" w:cs="Times New Roman"/>
          <w:i w:val="0"/>
          <w:iCs w:val="0"/>
        </w:rPr>
        <w:t xml:space="preserve"> ‘neo-assemblage’ </w:t>
      </w:r>
      <w:r w:rsidRPr="5B5EAC97" w:rsidR="3CE22436">
        <w:rPr>
          <w:rFonts w:ascii="Times New Roman" w:hAnsi="Times New Roman" w:eastAsia="Times New Roman" w:cs="Times New Roman"/>
          <w:i w:val="0"/>
          <w:iCs w:val="0"/>
        </w:rPr>
        <w:t xml:space="preserve">aside, </w:t>
      </w:r>
      <w:r w:rsidRPr="5B5EAC97" w:rsidR="3CE22436">
        <w:rPr>
          <w:rFonts w:ascii="Times New Roman" w:hAnsi="Times New Roman" w:eastAsia="Times New Roman" w:cs="Times New Roman"/>
          <w:i w:val="0"/>
          <w:iCs w:val="0"/>
        </w:rPr>
        <w:t>there is necessarily a degree of unsatisfactory fuzziness around the matter of strict definition</w:t>
      </w:r>
      <w:r w:rsidRPr="5B5EAC97" w:rsidR="43A80008">
        <w:rPr>
          <w:rFonts w:ascii="Times New Roman" w:hAnsi="Times New Roman" w:eastAsia="Times New Roman" w:cs="Times New Roman"/>
          <w:i w:val="0"/>
          <w:iCs w:val="0"/>
        </w:rPr>
        <w:t>.</w:t>
      </w:r>
      <w:r w:rsidRPr="5B5EAC97" w:rsidR="54FEAB14">
        <w:rPr>
          <w:rFonts w:ascii="Times New Roman" w:hAnsi="Times New Roman" w:eastAsia="Times New Roman" w:cs="Times New Roman"/>
          <w:i w:val="0"/>
          <w:iCs w:val="0"/>
        </w:rPr>
        <w:t xml:space="preserve"> One, as </w:t>
      </w:r>
      <w:r w:rsidRPr="5B5EAC97" w:rsidR="54FEAB14">
        <w:rPr>
          <w:rFonts w:ascii="Times New Roman" w:hAnsi="Times New Roman" w:eastAsia="Times New Roman" w:cs="Times New Roman"/>
          <w:i w:val="0"/>
          <w:iCs w:val="0"/>
        </w:rPr>
        <w:t>DeLanda</w:t>
      </w:r>
      <w:r w:rsidRPr="5B5EAC97" w:rsidR="54FEAB14">
        <w:rPr>
          <w:rFonts w:ascii="Times New Roman" w:hAnsi="Times New Roman" w:eastAsia="Times New Roman" w:cs="Times New Roman"/>
          <w:i w:val="0"/>
          <w:iCs w:val="0"/>
        </w:rPr>
        <w:t xml:space="preserve"> notes, made significantly harder by both Deleuze and </w:t>
      </w:r>
      <w:r w:rsidRPr="5B5EAC97" w:rsidR="54FEAB14">
        <w:rPr>
          <w:rFonts w:ascii="Times New Roman" w:hAnsi="Times New Roman" w:eastAsia="Times New Roman" w:cs="Times New Roman"/>
          <w:i w:val="0"/>
          <w:iCs w:val="0"/>
        </w:rPr>
        <w:t>Guattari’s</w:t>
      </w:r>
      <w:r w:rsidRPr="5B5EAC97" w:rsidR="54FEAB14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48958BF8">
        <w:rPr>
          <w:rFonts w:ascii="Times New Roman" w:hAnsi="Times New Roman" w:eastAsia="Times New Roman" w:cs="Times New Roman"/>
          <w:i w:val="0"/>
          <w:iCs w:val="0"/>
        </w:rPr>
        <w:t xml:space="preserve">giving the concept “half a dozen </w:t>
      </w:r>
      <w:r w:rsidRPr="5B5EAC97" w:rsidR="48958BF8">
        <w:rPr>
          <w:rFonts w:ascii="Times New Roman" w:hAnsi="Times New Roman" w:eastAsia="Times New Roman" w:cs="Times New Roman"/>
          <w:i w:val="1"/>
          <w:iCs w:val="1"/>
        </w:rPr>
        <w:t xml:space="preserve">different </w:t>
      </w:r>
      <w:r w:rsidRPr="5B5EAC97" w:rsidR="48958BF8">
        <w:rPr>
          <w:rFonts w:ascii="Times New Roman" w:hAnsi="Times New Roman" w:eastAsia="Times New Roman" w:cs="Times New Roman"/>
          <w:i w:val="1"/>
          <w:iCs w:val="1"/>
        </w:rPr>
        <w:t>definitions</w:t>
      </w:r>
      <w:r w:rsidRPr="5B5EAC97" w:rsidR="48958BF8">
        <w:rPr>
          <w:rFonts w:ascii="Times New Roman" w:hAnsi="Times New Roman" w:eastAsia="Times New Roman" w:cs="Times New Roman"/>
          <w:i w:val="0"/>
          <w:iCs w:val="0"/>
        </w:rPr>
        <w:t>”</w:t>
      </w:r>
      <w:r w:rsidRPr="5B5EAC97">
        <w:rPr>
          <w:rStyle w:val="FootnoteReference"/>
          <w:rFonts w:ascii="Times New Roman" w:hAnsi="Times New Roman" w:eastAsia="Times New Roman" w:cs="Times New Roman"/>
          <w:i w:val="0"/>
          <w:iCs w:val="0"/>
        </w:rPr>
        <w:footnoteReference w:id="7042"/>
      </w:r>
      <w:r w:rsidRPr="5B5EAC97" w:rsidR="4DAD7C6B">
        <w:rPr>
          <w:rFonts w:ascii="Times New Roman" w:hAnsi="Times New Roman" w:eastAsia="Times New Roman" w:cs="Times New Roman"/>
          <w:i w:val="0"/>
          <w:iCs w:val="0"/>
        </w:rPr>
        <w:t xml:space="preserve">. Tracking the </w:t>
      </w:r>
      <w:r w:rsidRPr="5B5EAC97" w:rsidR="4DAD7C6B">
        <w:rPr>
          <w:rFonts w:ascii="Times New Roman" w:hAnsi="Times New Roman" w:eastAsia="Times New Roman" w:cs="Times New Roman"/>
          <w:i w:val="0"/>
          <w:iCs w:val="0"/>
        </w:rPr>
        <w:t>seemingly infinite</w:t>
      </w:r>
      <w:r w:rsidRPr="5B5EAC97" w:rsidR="4DAD7C6B">
        <w:rPr>
          <w:rFonts w:ascii="Times New Roman" w:hAnsi="Times New Roman" w:eastAsia="Times New Roman" w:cs="Times New Roman"/>
          <w:i w:val="0"/>
          <w:iCs w:val="0"/>
        </w:rPr>
        <w:t xml:space="preserve"> tangle of differentiation and scholarly disagreement on </w:t>
      </w:r>
      <w:r w:rsidRPr="5B5EAC97" w:rsidR="36AD0F77">
        <w:rPr>
          <w:rFonts w:ascii="Times New Roman" w:hAnsi="Times New Roman" w:eastAsia="Times New Roman" w:cs="Times New Roman"/>
          <w:i w:val="0"/>
          <w:iCs w:val="0"/>
        </w:rPr>
        <w:t xml:space="preserve">signifiers and </w:t>
      </w:r>
      <w:r w:rsidRPr="5B5EAC97" w:rsidR="36AD0F77">
        <w:rPr>
          <w:rFonts w:ascii="Times New Roman" w:hAnsi="Times New Roman" w:eastAsia="Times New Roman" w:cs="Times New Roman"/>
          <w:i w:val="0"/>
          <w:iCs w:val="0"/>
        </w:rPr>
        <w:t>signifieds</w:t>
      </w:r>
      <w:r w:rsidRPr="5B5EAC97" w:rsidR="4DAD7C6B">
        <w:rPr>
          <w:rFonts w:ascii="Times New Roman" w:hAnsi="Times New Roman" w:eastAsia="Times New Roman" w:cs="Times New Roman"/>
          <w:i w:val="0"/>
          <w:iCs w:val="0"/>
        </w:rPr>
        <w:t xml:space="preserve">, thus, </w:t>
      </w:r>
      <w:r w:rsidRPr="5B5EAC97" w:rsidR="08CA41F0">
        <w:rPr>
          <w:rFonts w:ascii="Times New Roman" w:hAnsi="Times New Roman" w:eastAsia="Times New Roman" w:cs="Times New Roman"/>
          <w:i w:val="0"/>
          <w:iCs w:val="0"/>
        </w:rPr>
        <w:t>is less profitable than tracking the (</w:t>
      </w:r>
      <w:r w:rsidRPr="5B5EAC97" w:rsidR="08CA41F0">
        <w:rPr>
          <w:rFonts w:ascii="Times New Roman" w:hAnsi="Times New Roman" w:eastAsia="Times New Roman" w:cs="Times New Roman"/>
          <w:i w:val="0"/>
          <w:iCs w:val="0"/>
        </w:rPr>
        <w:t>rather less</w:t>
      </w:r>
      <w:r w:rsidRPr="5B5EAC97" w:rsidR="08CA41F0">
        <w:rPr>
          <w:rFonts w:ascii="Times New Roman" w:hAnsi="Times New Roman" w:eastAsia="Times New Roman" w:cs="Times New Roman"/>
          <w:i w:val="0"/>
          <w:iCs w:val="0"/>
        </w:rPr>
        <w:t xml:space="preserve"> obvious) areas of quiet concord. </w:t>
      </w:r>
      <w:r w:rsidRPr="5B5EAC97" w:rsidR="3205676C">
        <w:rPr>
          <w:rFonts w:ascii="Times New Roman" w:hAnsi="Times New Roman" w:eastAsia="Times New Roman" w:cs="Times New Roman"/>
          <w:i w:val="0"/>
          <w:iCs w:val="0"/>
        </w:rPr>
        <w:t xml:space="preserve">To </w:t>
      </w:r>
      <w:r w:rsidRPr="5B5EAC97" w:rsidR="3205676C">
        <w:rPr>
          <w:rFonts w:ascii="Times New Roman" w:hAnsi="Times New Roman" w:eastAsia="Times New Roman" w:cs="Times New Roman"/>
          <w:i w:val="0"/>
          <w:iCs w:val="0"/>
        </w:rPr>
        <w:t>establish</w:t>
      </w:r>
      <w:r w:rsidRPr="5B5EAC97" w:rsidR="3205676C">
        <w:rPr>
          <w:rFonts w:ascii="Times New Roman" w:hAnsi="Times New Roman" w:eastAsia="Times New Roman" w:cs="Times New Roman"/>
          <w:i w:val="0"/>
          <w:iCs w:val="0"/>
        </w:rPr>
        <w:t xml:space="preserve"> what an assemblage </w:t>
      </w:r>
      <w:r w:rsidRPr="5B5EAC97" w:rsidR="3205676C">
        <w:rPr>
          <w:rFonts w:ascii="Times New Roman" w:hAnsi="Times New Roman" w:eastAsia="Times New Roman" w:cs="Times New Roman"/>
          <w:i w:val="1"/>
          <w:iCs w:val="1"/>
        </w:rPr>
        <w:t>is</w:t>
      </w:r>
      <w:r w:rsidRPr="5B5EAC97" w:rsidR="3205676C">
        <w:rPr>
          <w:rFonts w:ascii="Times New Roman" w:hAnsi="Times New Roman" w:eastAsia="Times New Roman" w:cs="Times New Roman"/>
          <w:i w:val="0"/>
          <w:iCs w:val="0"/>
        </w:rPr>
        <w:t xml:space="preserve">, it is </w:t>
      </w:r>
      <w:r w:rsidRPr="5B5EAC97" w:rsidR="65069C52">
        <w:rPr>
          <w:rFonts w:ascii="Times New Roman" w:hAnsi="Times New Roman" w:eastAsia="Times New Roman" w:cs="Times New Roman"/>
          <w:i w:val="0"/>
          <w:iCs w:val="0"/>
        </w:rPr>
        <w:t xml:space="preserve">thus </w:t>
      </w:r>
      <w:r w:rsidRPr="5B5EAC97" w:rsidR="3205676C">
        <w:rPr>
          <w:rFonts w:ascii="Times New Roman" w:hAnsi="Times New Roman" w:eastAsia="Times New Roman" w:cs="Times New Roman"/>
          <w:i w:val="0"/>
          <w:iCs w:val="0"/>
        </w:rPr>
        <w:t xml:space="preserve">decidedly unprofitable to </w:t>
      </w:r>
      <w:r w:rsidRPr="5B5EAC97" w:rsidR="3471B6D6">
        <w:rPr>
          <w:rFonts w:ascii="Times New Roman" w:hAnsi="Times New Roman" w:eastAsia="Times New Roman" w:cs="Times New Roman"/>
          <w:i w:val="0"/>
          <w:iCs w:val="0"/>
        </w:rPr>
        <w:t xml:space="preserve">get bogged down in </w:t>
      </w:r>
      <w:r w:rsidRPr="5B5EAC97" w:rsidR="3205676C">
        <w:rPr>
          <w:rFonts w:ascii="Times New Roman" w:hAnsi="Times New Roman" w:eastAsia="Times New Roman" w:cs="Times New Roman"/>
          <w:i w:val="0"/>
          <w:iCs w:val="0"/>
        </w:rPr>
        <w:t xml:space="preserve">what it </w:t>
      </w:r>
      <w:r w:rsidRPr="5B5EAC97" w:rsidR="3205676C">
        <w:rPr>
          <w:rFonts w:ascii="Times New Roman" w:hAnsi="Times New Roman" w:eastAsia="Times New Roman" w:cs="Times New Roman"/>
          <w:i w:val="1"/>
          <w:iCs w:val="1"/>
        </w:rPr>
        <w:t>isn’t</w:t>
      </w:r>
      <w:r w:rsidRPr="5B5EAC97" w:rsidR="3205676C">
        <w:rPr>
          <w:rFonts w:ascii="Times New Roman" w:hAnsi="Times New Roman" w:eastAsia="Times New Roman" w:cs="Times New Roman"/>
          <w:i w:val="0"/>
          <w:iCs w:val="0"/>
        </w:rPr>
        <w:t xml:space="preserve">. </w:t>
      </w:r>
    </w:p>
    <w:p w:rsidR="3205676C" w:rsidP="5B5EAC97" w:rsidRDefault="3205676C" w14:paraId="3C389BA4" w14:textId="765442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5B5EAC97" w:rsidR="3205676C">
        <w:rPr>
          <w:rFonts w:ascii="Times New Roman" w:hAnsi="Times New Roman" w:eastAsia="Times New Roman" w:cs="Times New Roman"/>
          <w:i w:val="0"/>
          <w:iCs w:val="0"/>
        </w:rPr>
        <w:t>Bennett, while effectively subordinating the doctrine to her concept of ‘vibran</w:t>
      </w:r>
      <w:r w:rsidRPr="5B5EAC97" w:rsidR="3DCC7BEA">
        <w:rPr>
          <w:rFonts w:ascii="Times New Roman" w:hAnsi="Times New Roman" w:eastAsia="Times New Roman" w:cs="Times New Roman"/>
          <w:i w:val="0"/>
          <w:iCs w:val="0"/>
        </w:rPr>
        <w:t>t matter</w:t>
      </w:r>
      <w:r w:rsidRPr="5B5EAC97" w:rsidR="3DCC7BEA">
        <w:rPr>
          <w:rFonts w:ascii="Times New Roman" w:hAnsi="Times New Roman" w:eastAsia="Times New Roman" w:cs="Times New Roman"/>
          <w:i w:val="0"/>
          <w:iCs w:val="0"/>
        </w:rPr>
        <w:t>’,</w:t>
      </w:r>
      <w:r w:rsidRPr="5B5EAC97" w:rsidR="3DCC7BEA">
        <w:rPr>
          <w:rFonts w:ascii="Times New Roman" w:hAnsi="Times New Roman" w:eastAsia="Times New Roman" w:cs="Times New Roman"/>
          <w:i w:val="0"/>
          <w:iCs w:val="0"/>
        </w:rPr>
        <w:t xml:space="preserve"> nonetheless </w:t>
      </w:r>
      <w:r w:rsidRPr="5B5EAC97" w:rsidR="01BCD616">
        <w:rPr>
          <w:rFonts w:ascii="Times New Roman" w:hAnsi="Times New Roman" w:eastAsia="Times New Roman" w:cs="Times New Roman"/>
          <w:i w:val="0"/>
          <w:iCs w:val="0"/>
        </w:rPr>
        <w:t>identifies</w:t>
      </w:r>
      <w:r w:rsidRPr="5B5EAC97" w:rsidR="01BCD616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7C62B218">
        <w:rPr>
          <w:rFonts w:ascii="Times New Roman" w:hAnsi="Times New Roman" w:eastAsia="Times New Roman" w:cs="Times New Roman"/>
          <w:i w:val="0"/>
          <w:iCs w:val="0"/>
        </w:rPr>
        <w:t>the key upshot of her analysis of Spinoza</w:t>
      </w:r>
      <w:r w:rsidRPr="5B5EAC97" w:rsidR="2D055DF1">
        <w:rPr>
          <w:rFonts w:ascii="Times New Roman" w:hAnsi="Times New Roman" w:eastAsia="Times New Roman" w:cs="Times New Roman"/>
          <w:i w:val="0"/>
          <w:iCs w:val="0"/>
        </w:rPr>
        <w:t xml:space="preserve">’s conative or affective bodies (leading into her broader section on assemblages) </w:t>
      </w:r>
      <w:r w:rsidRPr="5B5EAC97" w:rsidR="7C62B218">
        <w:rPr>
          <w:rFonts w:ascii="Times New Roman" w:hAnsi="Times New Roman" w:eastAsia="Times New Roman" w:cs="Times New Roman"/>
          <w:i w:val="0"/>
          <w:iCs w:val="0"/>
        </w:rPr>
        <w:t xml:space="preserve">as “bodies </w:t>
      </w:r>
      <w:r w:rsidRPr="5B5EAC97" w:rsidR="7C62B218">
        <w:rPr>
          <w:rFonts w:ascii="Times New Roman" w:hAnsi="Times New Roman" w:eastAsia="Times New Roman" w:cs="Times New Roman"/>
          <w:i w:val="0"/>
          <w:iCs w:val="0"/>
        </w:rPr>
        <w:t>enhanc</w:t>
      </w:r>
      <w:r w:rsidRPr="5B5EAC97" w:rsidR="7C62B218">
        <w:rPr>
          <w:rFonts w:ascii="Times New Roman" w:hAnsi="Times New Roman" w:eastAsia="Times New Roman" w:cs="Times New Roman"/>
          <w:i w:val="0"/>
          <w:iCs w:val="0"/>
        </w:rPr>
        <w:t>[</w:t>
      </w:r>
      <w:r w:rsidRPr="5B5EAC97" w:rsidR="7C62B218">
        <w:rPr>
          <w:rFonts w:ascii="Times New Roman" w:hAnsi="Times New Roman" w:eastAsia="Times New Roman" w:cs="Times New Roman"/>
          <w:i w:val="0"/>
          <w:iCs w:val="0"/>
        </w:rPr>
        <w:t>ing</w:t>
      </w:r>
      <w:r w:rsidRPr="5B5EAC97" w:rsidR="7C62B218">
        <w:rPr>
          <w:rFonts w:ascii="Times New Roman" w:hAnsi="Times New Roman" w:eastAsia="Times New Roman" w:cs="Times New Roman"/>
          <w:i w:val="0"/>
          <w:iCs w:val="0"/>
        </w:rPr>
        <w:t xml:space="preserve">] their power </w:t>
      </w:r>
      <w:r w:rsidRPr="5B5EAC97" w:rsidR="7C62B218">
        <w:rPr>
          <w:rFonts w:ascii="Times New Roman" w:hAnsi="Times New Roman" w:eastAsia="Times New Roman" w:cs="Times New Roman"/>
          <w:i w:val="1"/>
          <w:iCs w:val="1"/>
        </w:rPr>
        <w:t xml:space="preserve">in </w:t>
      </w:r>
      <w:r w:rsidRPr="5B5EAC97" w:rsidR="7C62B218">
        <w:rPr>
          <w:rFonts w:ascii="Times New Roman" w:hAnsi="Times New Roman" w:eastAsia="Times New Roman" w:cs="Times New Roman"/>
          <w:i w:val="0"/>
          <w:iCs w:val="0"/>
        </w:rPr>
        <w:t xml:space="preserve">or </w:t>
      </w:r>
      <w:r w:rsidRPr="5B5EAC97" w:rsidR="7C62B218">
        <w:rPr>
          <w:rFonts w:ascii="Times New Roman" w:hAnsi="Times New Roman" w:eastAsia="Times New Roman" w:cs="Times New Roman"/>
          <w:i w:val="1"/>
          <w:iCs w:val="1"/>
        </w:rPr>
        <w:t>as a heterogenous assembly</w:t>
      </w:r>
      <w:r w:rsidRPr="5B5EAC97" w:rsidR="7C62B218">
        <w:rPr>
          <w:rFonts w:ascii="Times New Roman" w:hAnsi="Times New Roman" w:eastAsia="Times New Roman" w:cs="Times New Roman"/>
          <w:i w:val="0"/>
          <w:iCs w:val="0"/>
        </w:rPr>
        <w:t>”</w:t>
      </w:r>
      <w:r w:rsidRPr="5B5EAC97">
        <w:rPr>
          <w:rStyle w:val="FootnoteReference"/>
          <w:rFonts w:ascii="Times New Roman" w:hAnsi="Times New Roman" w:eastAsia="Times New Roman" w:cs="Times New Roman"/>
          <w:i w:val="0"/>
          <w:iCs w:val="0"/>
        </w:rPr>
        <w:footnoteReference w:id="21845"/>
      </w:r>
      <w:r w:rsidRPr="5B5EAC97" w:rsidR="48986400">
        <w:rPr>
          <w:rFonts w:ascii="Times New Roman" w:hAnsi="Times New Roman" w:eastAsia="Times New Roman" w:cs="Times New Roman"/>
          <w:i w:val="0"/>
          <w:iCs w:val="0"/>
        </w:rPr>
        <w:t>.</w:t>
      </w:r>
      <w:r w:rsidRPr="5B5EAC97" w:rsidR="10F9DBC6">
        <w:rPr>
          <w:rFonts w:ascii="Times New Roman" w:hAnsi="Times New Roman" w:eastAsia="Times New Roman" w:cs="Times New Roman"/>
          <w:i w:val="0"/>
          <w:iCs w:val="0"/>
        </w:rPr>
        <w:t xml:space="preserve"> Jones, in discussing </w:t>
      </w:r>
      <w:r w:rsidRPr="5B5EAC97" w:rsidR="2233B6BE">
        <w:rPr>
          <w:rFonts w:ascii="Times New Roman" w:hAnsi="Times New Roman" w:eastAsia="Times New Roman" w:cs="Times New Roman"/>
          <w:i w:val="0"/>
          <w:iCs w:val="0"/>
        </w:rPr>
        <w:t>Neolithic</w:t>
      </w:r>
      <w:r w:rsidRPr="5B5EAC97" w:rsidR="79A43FF5">
        <w:rPr>
          <w:rFonts w:ascii="Times New Roman" w:hAnsi="Times New Roman" w:eastAsia="Times New Roman" w:cs="Times New Roman"/>
          <w:i w:val="0"/>
          <w:iCs w:val="0"/>
        </w:rPr>
        <w:t xml:space="preserve"> British</w:t>
      </w:r>
      <w:r w:rsidRPr="5B5EAC97" w:rsidR="2233B6BE">
        <w:rPr>
          <w:rFonts w:ascii="Times New Roman" w:hAnsi="Times New Roman" w:eastAsia="Times New Roman" w:cs="Times New Roman"/>
          <w:i w:val="0"/>
          <w:iCs w:val="0"/>
        </w:rPr>
        <w:t xml:space="preserve"> artefacts and the scholarship surrounding them as assemblages,</w:t>
      </w:r>
      <w:r w:rsidRPr="5B5EAC97" w:rsidR="691D4530">
        <w:rPr>
          <w:rFonts w:ascii="Times New Roman" w:hAnsi="Times New Roman" w:eastAsia="Times New Roman" w:cs="Times New Roman"/>
          <w:i w:val="0"/>
          <w:iCs w:val="0"/>
        </w:rPr>
        <w:t xml:space="preserve"> puts it that “[b]y considering interpretations as assemblages, we are acknowledging that each </w:t>
      </w:r>
      <w:r w:rsidRPr="5B5EAC97" w:rsidR="691D4530">
        <w:rPr>
          <w:rFonts w:ascii="Times New Roman" w:hAnsi="Times New Roman" w:eastAsia="Times New Roman" w:cs="Times New Roman"/>
          <w:i w:val="0"/>
          <w:iCs w:val="0"/>
        </w:rPr>
        <w:t>component</w:t>
      </w:r>
      <w:r w:rsidRPr="5B5EAC97" w:rsidR="691D4530">
        <w:rPr>
          <w:rFonts w:ascii="Times New Roman" w:hAnsi="Times New Roman" w:eastAsia="Times New Roman" w:cs="Times New Roman"/>
          <w:i w:val="0"/>
          <w:iCs w:val="0"/>
        </w:rPr>
        <w:t xml:space="preserve"> of the </w:t>
      </w:r>
      <w:r w:rsidRPr="5B5EAC97" w:rsidR="691D4530">
        <w:rPr>
          <w:rFonts w:ascii="Times New Roman" w:hAnsi="Times New Roman" w:eastAsia="Times New Roman" w:cs="Times New Roman"/>
          <w:i w:val="0"/>
          <w:iCs w:val="0"/>
        </w:rPr>
        <w:t>assem</w:t>
      </w:r>
      <w:r w:rsidRPr="5B5EAC97" w:rsidR="691D4530">
        <w:rPr>
          <w:rFonts w:ascii="Times New Roman" w:hAnsi="Times New Roman" w:eastAsia="Times New Roman" w:cs="Times New Roman"/>
          <w:i w:val="0"/>
          <w:iCs w:val="0"/>
        </w:rPr>
        <w:t>blage</w:t>
      </w:r>
      <w:r w:rsidRPr="5B5EAC97" w:rsidR="691D4530">
        <w:rPr>
          <w:rFonts w:ascii="Times New Roman" w:hAnsi="Times New Roman" w:eastAsia="Times New Roman" w:cs="Times New Roman"/>
          <w:i w:val="0"/>
          <w:iCs w:val="0"/>
        </w:rPr>
        <w:t xml:space="preserve"> has equal weight</w:t>
      </w:r>
      <w:r w:rsidRPr="5B5EAC97" w:rsidR="3A97D10C">
        <w:rPr>
          <w:rFonts w:ascii="Times New Roman" w:hAnsi="Times New Roman" w:eastAsia="Times New Roman" w:cs="Times New Roman"/>
          <w:i w:val="0"/>
          <w:iCs w:val="0"/>
        </w:rPr>
        <w:t>”</w:t>
      </w:r>
      <w:r w:rsidRPr="5B5EAC97">
        <w:rPr>
          <w:rStyle w:val="FootnoteReference"/>
          <w:rFonts w:ascii="Times New Roman" w:hAnsi="Times New Roman" w:eastAsia="Times New Roman" w:cs="Times New Roman"/>
          <w:i w:val="0"/>
          <w:iCs w:val="0"/>
        </w:rPr>
        <w:footnoteReference w:id="10934"/>
      </w:r>
      <w:r w:rsidRPr="5B5EAC97" w:rsidR="15A3D376">
        <w:rPr>
          <w:rFonts w:ascii="Times New Roman" w:hAnsi="Times New Roman" w:eastAsia="Times New Roman" w:cs="Times New Roman"/>
          <w:i w:val="0"/>
          <w:iCs w:val="0"/>
        </w:rPr>
        <w:t xml:space="preserve">, while at the same time consistently stressing a characterisation of each ‘component’ as “part of an </w:t>
      </w:r>
      <w:r w:rsidRPr="5B5EAC97" w:rsidR="15A3D376">
        <w:rPr>
          <w:rFonts w:ascii="Times New Roman" w:hAnsi="Times New Roman" w:eastAsia="Times New Roman" w:cs="Times New Roman"/>
          <w:i w:val="0"/>
          <w:iCs w:val="0"/>
        </w:rPr>
        <w:t>indissoluable</w:t>
      </w:r>
      <w:r w:rsidRPr="5B5EAC97" w:rsidR="15A3D376">
        <w:rPr>
          <w:rFonts w:ascii="Times New Roman" w:hAnsi="Times New Roman" w:eastAsia="Times New Roman" w:cs="Times New Roman"/>
          <w:i w:val="0"/>
          <w:iCs w:val="0"/>
        </w:rPr>
        <w:t xml:space="preserve"> whole”</w:t>
      </w:r>
      <w:r w:rsidRPr="5B5EAC97">
        <w:rPr>
          <w:rStyle w:val="FootnoteReference"/>
          <w:rFonts w:ascii="Times New Roman" w:hAnsi="Times New Roman" w:eastAsia="Times New Roman" w:cs="Times New Roman"/>
          <w:i w:val="0"/>
          <w:iCs w:val="0"/>
        </w:rPr>
        <w:footnoteReference w:id="29619"/>
      </w:r>
      <w:r w:rsidRPr="5B5EAC97" w:rsidR="4A889489">
        <w:rPr>
          <w:rFonts w:ascii="Times New Roman" w:hAnsi="Times New Roman" w:eastAsia="Times New Roman" w:cs="Times New Roman"/>
          <w:i w:val="0"/>
          <w:iCs w:val="0"/>
        </w:rPr>
        <w:t xml:space="preserve">. </w:t>
      </w:r>
      <w:r w:rsidRPr="5B5EAC97" w:rsidR="24125CCF">
        <w:rPr>
          <w:rFonts w:ascii="Times New Roman" w:hAnsi="Times New Roman" w:eastAsia="Times New Roman" w:cs="Times New Roman"/>
          <w:i w:val="0"/>
          <w:iCs w:val="0"/>
        </w:rPr>
        <w:t>Conneller</w:t>
      </w:r>
      <w:r w:rsidRPr="5B5EAC97" w:rsidR="24125CCF">
        <w:rPr>
          <w:rFonts w:ascii="Times New Roman" w:hAnsi="Times New Roman" w:eastAsia="Times New Roman" w:cs="Times New Roman"/>
          <w:i w:val="0"/>
          <w:iCs w:val="0"/>
        </w:rPr>
        <w:t xml:space="preserve">, while making an appeal to the value of typology and the scholarly necessity of a degree of differentiation, </w:t>
      </w:r>
      <w:r w:rsidRPr="5B5EAC97" w:rsidR="2F1FAA2A">
        <w:rPr>
          <w:rFonts w:ascii="Times New Roman" w:hAnsi="Times New Roman" w:eastAsia="Times New Roman" w:cs="Times New Roman"/>
          <w:i w:val="0"/>
          <w:iCs w:val="0"/>
        </w:rPr>
        <w:t>specifically characterises “</w:t>
      </w:r>
      <w:r w:rsidRPr="5B5EAC97" w:rsidR="2F1FAA2A">
        <w:rPr>
          <w:rFonts w:ascii="Times New Roman" w:hAnsi="Times New Roman" w:eastAsia="Times New Roman" w:cs="Times New Roman"/>
          <w:i w:val="0"/>
          <w:iCs w:val="0"/>
        </w:rPr>
        <w:t>Deleuzian</w:t>
      </w:r>
      <w:r w:rsidRPr="5B5EAC97" w:rsidR="2F1FAA2A">
        <w:rPr>
          <w:rFonts w:ascii="Times New Roman" w:hAnsi="Times New Roman" w:eastAsia="Times New Roman" w:cs="Times New Roman"/>
          <w:i w:val="0"/>
          <w:iCs w:val="0"/>
        </w:rPr>
        <w:t xml:space="preserve"> assemblages [as] </w:t>
      </w:r>
      <w:r w:rsidRPr="5B5EAC97" w:rsidR="2F1FAA2A">
        <w:rPr>
          <w:rFonts w:ascii="Times New Roman" w:hAnsi="Times New Roman" w:eastAsia="Times New Roman" w:cs="Times New Roman"/>
          <w:i w:val="0"/>
          <w:iCs w:val="0"/>
        </w:rPr>
        <w:t>decidedly heterogeneous arrange</w:t>
      </w:r>
      <w:r w:rsidRPr="5B5EAC97" w:rsidR="2F1FAA2A">
        <w:rPr>
          <w:rFonts w:ascii="Times New Roman" w:hAnsi="Times New Roman" w:eastAsia="Times New Roman" w:cs="Times New Roman"/>
          <w:i w:val="0"/>
          <w:iCs w:val="0"/>
        </w:rPr>
        <w:t>ments</w:t>
      </w:r>
      <w:r w:rsidRPr="5B5EAC97" w:rsidR="2F1FAA2A">
        <w:rPr>
          <w:rFonts w:ascii="Times New Roman" w:hAnsi="Times New Roman" w:eastAsia="Times New Roman" w:cs="Times New Roman"/>
          <w:i w:val="0"/>
          <w:iCs w:val="0"/>
        </w:rPr>
        <w:t xml:space="preserve"> of things, brought together in non-hierarchical relationships ([as in </w:t>
      </w:r>
      <w:r w:rsidRPr="5B5EAC97" w:rsidR="2F1FAA2A">
        <w:rPr>
          <w:rFonts w:ascii="Times New Roman" w:hAnsi="Times New Roman" w:eastAsia="Times New Roman" w:cs="Times New Roman"/>
          <w:i w:val="0"/>
          <w:iCs w:val="0"/>
        </w:rPr>
        <w:t>a][...]</w:t>
      </w:r>
      <w:r w:rsidRPr="5B5EAC97" w:rsidR="2F1FAA2A">
        <w:rPr>
          <w:rFonts w:ascii="Times New Roman" w:hAnsi="Times New Roman" w:eastAsia="Times New Roman" w:cs="Times New Roman"/>
          <w:i w:val="0"/>
          <w:iCs w:val="0"/>
        </w:rPr>
        <w:t>flat ontology)”</w:t>
      </w:r>
      <w:r w:rsidRPr="5B5EAC97">
        <w:rPr>
          <w:rStyle w:val="FootnoteReference"/>
          <w:rFonts w:ascii="Times New Roman" w:hAnsi="Times New Roman" w:eastAsia="Times New Roman" w:cs="Times New Roman"/>
          <w:i w:val="0"/>
          <w:iCs w:val="0"/>
        </w:rPr>
        <w:footnoteReference w:id="18361"/>
      </w:r>
      <w:r w:rsidRPr="5B5EAC97" w:rsidR="019664B9">
        <w:rPr>
          <w:rFonts w:ascii="Times New Roman" w:hAnsi="Times New Roman" w:eastAsia="Times New Roman" w:cs="Times New Roman"/>
          <w:i w:val="0"/>
          <w:iCs w:val="0"/>
        </w:rPr>
        <w:t>.</w:t>
      </w:r>
    </w:p>
    <w:p w:rsidR="019664B9" w:rsidP="5B5EAC97" w:rsidRDefault="019664B9" w14:paraId="11EEBCD8" w14:textId="594E00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5B5EAC97" w:rsidR="019664B9">
        <w:rPr>
          <w:rFonts w:ascii="Times New Roman" w:hAnsi="Times New Roman" w:eastAsia="Times New Roman" w:cs="Times New Roman"/>
          <w:i w:val="0"/>
          <w:iCs w:val="0"/>
        </w:rPr>
        <w:t xml:space="preserve">In all three cases, there is an essential continuity </w:t>
      </w:r>
      <w:r w:rsidRPr="5B5EAC97" w:rsidR="30EBC8F4">
        <w:rPr>
          <w:rFonts w:ascii="Times New Roman" w:hAnsi="Times New Roman" w:eastAsia="Times New Roman" w:cs="Times New Roman"/>
          <w:i w:val="0"/>
          <w:iCs w:val="0"/>
        </w:rPr>
        <w:t>in regards to</w:t>
      </w:r>
      <w:r w:rsidRPr="5B5EAC97" w:rsidR="30EBC8F4">
        <w:rPr>
          <w:rFonts w:ascii="Times New Roman" w:hAnsi="Times New Roman" w:eastAsia="Times New Roman" w:cs="Times New Roman"/>
          <w:i w:val="0"/>
          <w:iCs w:val="0"/>
        </w:rPr>
        <w:t xml:space="preserve"> the object of discussion.</w:t>
      </w:r>
      <w:r w:rsidRPr="5B5EAC97" w:rsidR="7060B42B">
        <w:rPr>
          <w:rFonts w:ascii="Times New Roman" w:hAnsi="Times New Roman" w:eastAsia="Times New Roman" w:cs="Times New Roman"/>
          <w:i w:val="0"/>
          <w:iCs w:val="0"/>
        </w:rPr>
        <w:t xml:space="preserve"> On the implications thereof, not so much – but the point stands. </w:t>
      </w:r>
      <w:r w:rsidRPr="5B5EAC97" w:rsidR="65CE55CB">
        <w:rPr>
          <w:rFonts w:ascii="Times New Roman" w:hAnsi="Times New Roman" w:eastAsia="Times New Roman" w:cs="Times New Roman"/>
          <w:i w:val="0"/>
          <w:iCs w:val="0"/>
        </w:rPr>
        <w:t xml:space="preserve">An ‘assemblage’ in materialist </w:t>
      </w:r>
      <w:r w:rsidRPr="5B5EAC97" w:rsidR="65CE55CB">
        <w:rPr>
          <w:rFonts w:ascii="Times New Roman" w:hAnsi="Times New Roman" w:eastAsia="Times New Roman" w:cs="Times New Roman"/>
          <w:i w:val="0"/>
          <w:iCs w:val="0"/>
        </w:rPr>
        <w:t>paralance</w:t>
      </w:r>
      <w:r w:rsidRPr="5B5EAC97" w:rsidR="65CE55CB">
        <w:rPr>
          <w:rFonts w:ascii="Times New Roman" w:hAnsi="Times New Roman" w:eastAsia="Times New Roman" w:cs="Times New Roman"/>
          <w:i w:val="0"/>
          <w:iCs w:val="0"/>
        </w:rPr>
        <w:t xml:space="preserve"> (</w:t>
      </w:r>
      <w:r w:rsidRPr="5B5EAC97" w:rsidR="65CE55CB">
        <w:rPr>
          <w:rFonts w:ascii="Times New Roman" w:hAnsi="Times New Roman" w:eastAsia="Times New Roman" w:cs="Times New Roman"/>
          <w:i w:val="0"/>
          <w:iCs w:val="0"/>
        </w:rPr>
        <w:t>Conneller’s</w:t>
      </w:r>
      <w:r w:rsidRPr="5B5EAC97" w:rsidR="65CE55CB">
        <w:rPr>
          <w:rFonts w:ascii="Times New Roman" w:hAnsi="Times New Roman" w:eastAsia="Times New Roman" w:cs="Times New Roman"/>
          <w:i w:val="0"/>
          <w:iCs w:val="0"/>
        </w:rPr>
        <w:t xml:space="preserve"> attempt to distinguish between ‘assemblage theory’ and the term more broadly aside), is a </w:t>
      </w:r>
      <w:r w:rsidRPr="5B5EAC97" w:rsidR="7E38A7F1">
        <w:rPr>
          <w:rFonts w:ascii="Times New Roman" w:hAnsi="Times New Roman" w:eastAsia="Times New Roman" w:cs="Times New Roman"/>
          <w:i w:val="0"/>
          <w:iCs w:val="0"/>
        </w:rPr>
        <w:t xml:space="preserve">heterogenous collective of discrete components that affect </w:t>
      </w:r>
      <w:r w:rsidRPr="5B5EAC97" w:rsidR="3E7E3CE1">
        <w:rPr>
          <w:rFonts w:ascii="Times New Roman" w:hAnsi="Times New Roman" w:eastAsia="Times New Roman" w:cs="Times New Roman"/>
          <w:i w:val="0"/>
          <w:iCs w:val="0"/>
        </w:rPr>
        <w:t xml:space="preserve">outcomes by way of a cumulative agentic </w:t>
      </w:r>
      <w:r w:rsidRPr="5B5EAC97" w:rsidR="3E7E3CE1">
        <w:rPr>
          <w:rFonts w:ascii="Times New Roman" w:hAnsi="Times New Roman" w:eastAsia="Times New Roman" w:cs="Times New Roman"/>
          <w:i w:val="0"/>
          <w:iCs w:val="0"/>
        </w:rPr>
        <w:t>capacity</w:t>
      </w:r>
      <w:r w:rsidRPr="5B5EAC97" w:rsidR="2F6A72DB">
        <w:rPr>
          <w:rFonts w:ascii="Times New Roman" w:hAnsi="Times New Roman" w:eastAsia="Times New Roman" w:cs="Times New Roman"/>
          <w:i w:val="0"/>
          <w:iCs w:val="0"/>
        </w:rPr>
        <w:t xml:space="preserve">, as well as in each component’s own right. The precise quantifier of a ‘component’ is vague, with Bennett listing examples ranging </w:t>
      </w:r>
      <w:r w:rsidRPr="5B5EAC97" w:rsidR="197201ED">
        <w:rPr>
          <w:rFonts w:ascii="Times New Roman" w:hAnsi="Times New Roman" w:eastAsia="Times New Roman" w:cs="Times New Roman"/>
          <w:i w:val="0"/>
          <w:iCs w:val="0"/>
        </w:rPr>
        <w:t>from an electricity grid blackout to the page of her book the text was printed on</w:t>
      </w:r>
      <w:r w:rsidRPr="5B5EAC97" w:rsidR="5A499A1F">
        <w:rPr>
          <w:rFonts w:ascii="Times New Roman" w:hAnsi="Times New Roman" w:eastAsia="Times New Roman" w:cs="Times New Roman"/>
          <w:i w:val="0"/>
          <w:iCs w:val="0"/>
        </w:rPr>
        <w:t xml:space="preserve"> and Jones encompassing both the artefacts described themselves and the historiography of the same, including the techniques applied (i.e. radio-carbon dating). From a </w:t>
      </w:r>
      <w:r w:rsidRPr="5B5EAC97" w:rsidR="5A499A1F">
        <w:rPr>
          <w:rFonts w:ascii="Times New Roman" w:hAnsi="Times New Roman" w:eastAsia="Times New Roman" w:cs="Times New Roman"/>
          <w:i w:val="0"/>
          <w:iCs w:val="0"/>
        </w:rPr>
        <w:t>D</w:t>
      </w:r>
      <w:r w:rsidRPr="5B5EAC97" w:rsidR="234CF97C">
        <w:rPr>
          <w:rFonts w:ascii="Times New Roman" w:hAnsi="Times New Roman" w:eastAsia="Times New Roman" w:cs="Times New Roman"/>
          <w:i w:val="0"/>
          <w:iCs w:val="0"/>
        </w:rPr>
        <w:t>eleuzean</w:t>
      </w:r>
      <w:r w:rsidRPr="5B5EAC97" w:rsidR="234CF97C">
        <w:rPr>
          <w:rFonts w:ascii="Times New Roman" w:hAnsi="Times New Roman" w:eastAsia="Times New Roman" w:cs="Times New Roman"/>
          <w:i w:val="0"/>
          <w:iCs w:val="0"/>
        </w:rPr>
        <w:t xml:space="preserve"> perspective, then, the question of qualification is less important than the dynamic in play</w:t>
      </w:r>
      <w:r w:rsidRPr="5B5EAC97" w:rsidR="5E27AAC0">
        <w:rPr>
          <w:rFonts w:ascii="Times New Roman" w:hAnsi="Times New Roman" w:eastAsia="Times New Roman" w:cs="Times New Roman"/>
          <w:i w:val="0"/>
          <w:iCs w:val="0"/>
        </w:rPr>
        <w:t>. Whether there are human actors involved, non-human actants, or both involved</w:t>
      </w:r>
      <w:r w:rsidRPr="5B5EAC97" w:rsidR="215CD98E">
        <w:rPr>
          <w:rFonts w:ascii="Times New Roman" w:hAnsi="Times New Roman" w:eastAsia="Times New Roman" w:cs="Times New Roman"/>
          <w:i w:val="0"/>
          <w:iCs w:val="0"/>
        </w:rPr>
        <w:t xml:space="preserve"> is, in Latourian terms, second to the nature of the</w:t>
      </w:r>
      <w:r w:rsidRPr="5B5EAC97" w:rsidR="68C90920">
        <w:rPr>
          <w:rFonts w:ascii="Times New Roman" w:hAnsi="Times New Roman" w:eastAsia="Times New Roman" w:cs="Times New Roman"/>
          <w:i w:val="0"/>
          <w:iCs w:val="0"/>
        </w:rPr>
        <w:t xml:space="preserve"> type of</w:t>
      </w:r>
      <w:r w:rsidRPr="5B5EAC97" w:rsidR="215CD98E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B5EAC97" w:rsidR="215CD98E">
        <w:rPr>
          <w:rFonts w:ascii="Times New Roman" w:hAnsi="Times New Roman" w:eastAsia="Times New Roman" w:cs="Times New Roman"/>
          <w:i w:val="0"/>
          <w:iCs w:val="0"/>
        </w:rPr>
        <w:t>network.</w:t>
      </w:r>
    </w:p>
    <w:p w:rsidR="43A80008" w:rsidP="5B5EAC97" w:rsidRDefault="43A80008" w14:paraId="0AE75FB3" w14:textId="02CD5F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5B5EAC97" w:rsidR="43A80008">
        <w:rPr>
          <w:rFonts w:ascii="Times New Roman" w:hAnsi="Times New Roman" w:eastAsia="Times New Roman" w:cs="Times New Roman"/>
          <w:i w:val="0"/>
          <w:iCs w:val="0"/>
        </w:rPr>
        <w:t>With this said, in answering the question ‘what is assemblage?</w:t>
      </w:r>
      <w:r w:rsidRPr="5B5EAC97" w:rsidR="43A80008">
        <w:rPr>
          <w:rFonts w:ascii="Times New Roman" w:hAnsi="Times New Roman" w:eastAsia="Times New Roman" w:cs="Times New Roman"/>
          <w:i w:val="0"/>
          <w:iCs w:val="0"/>
        </w:rPr>
        <w:t>’,</w:t>
      </w:r>
      <w:r w:rsidRPr="5B5EAC97" w:rsidR="43A80008">
        <w:rPr>
          <w:rFonts w:ascii="Times New Roman" w:hAnsi="Times New Roman" w:eastAsia="Times New Roman" w:cs="Times New Roman"/>
          <w:i w:val="0"/>
          <w:iCs w:val="0"/>
        </w:rPr>
        <w:t xml:space="preserve"> the common upshot of scholarly discourse appears</w:t>
      </w:r>
      <w:r w:rsidRPr="5B5EAC97" w:rsidR="28874FC9">
        <w:rPr>
          <w:rFonts w:ascii="Times New Roman" w:hAnsi="Times New Roman" w:eastAsia="Times New Roman" w:cs="Times New Roman"/>
          <w:i w:val="0"/>
          <w:iCs w:val="0"/>
        </w:rPr>
        <w:t xml:space="preserve"> unanimous across the literature</w:t>
      </w:r>
      <w:r w:rsidRPr="5B5EAC97" w:rsidR="189E033C">
        <w:rPr>
          <w:rFonts w:ascii="Times New Roman" w:hAnsi="Times New Roman" w:eastAsia="Times New Roman" w:cs="Times New Roman"/>
          <w:i w:val="0"/>
          <w:iCs w:val="0"/>
        </w:rPr>
        <w:t xml:space="preserve"> (</w:t>
      </w:r>
      <w:r w:rsidRPr="5B5EAC97" w:rsidR="28874FC9">
        <w:rPr>
          <w:rFonts w:ascii="Times New Roman" w:hAnsi="Times New Roman" w:eastAsia="Times New Roman" w:cs="Times New Roman"/>
          <w:i w:val="0"/>
          <w:iCs w:val="0"/>
        </w:rPr>
        <w:t xml:space="preserve">if </w:t>
      </w:r>
      <w:r w:rsidRPr="5B5EAC97" w:rsidR="28874FC9">
        <w:rPr>
          <w:rFonts w:ascii="Times New Roman" w:hAnsi="Times New Roman" w:eastAsia="Times New Roman" w:cs="Times New Roman"/>
          <w:i w:val="0"/>
          <w:iCs w:val="0"/>
        </w:rPr>
        <w:t>somewhat muddled by excessive use of words like ‘throbbing</w:t>
      </w:r>
      <w:r w:rsidRPr="5B5EAC97" w:rsidR="407B8926">
        <w:rPr>
          <w:rFonts w:ascii="Times New Roman" w:hAnsi="Times New Roman" w:eastAsia="Times New Roman" w:cs="Times New Roman"/>
          <w:i w:val="0"/>
          <w:iCs w:val="0"/>
        </w:rPr>
        <w:t xml:space="preserve">) </w:t>
      </w:r>
      <w:r w:rsidRPr="5B5EAC97" w:rsidR="28874FC9">
        <w:rPr>
          <w:rFonts w:ascii="Times New Roman" w:hAnsi="Times New Roman" w:eastAsia="Times New Roman" w:cs="Times New Roman"/>
          <w:i w:val="0"/>
          <w:iCs w:val="0"/>
        </w:rPr>
        <w:t xml:space="preserve">- </w:t>
      </w:r>
      <w:r w:rsidRPr="5B5EAC97" w:rsidR="52ABAE06">
        <w:rPr>
          <w:rFonts w:ascii="Times New Roman" w:hAnsi="Times New Roman" w:eastAsia="Times New Roman" w:cs="Times New Roman"/>
          <w:i w:val="0"/>
          <w:iCs w:val="0"/>
        </w:rPr>
        <w:t>‘</w:t>
      </w:r>
      <w:r w:rsidRPr="5B5EAC97" w:rsidR="52ABAE06">
        <w:rPr>
          <w:rFonts w:ascii="Times New Roman" w:hAnsi="Times New Roman" w:eastAsia="Times New Roman" w:cs="Times New Roman"/>
          <w:i w:val="1"/>
          <w:iCs w:val="1"/>
        </w:rPr>
        <w:t>modularité</w:t>
      </w:r>
      <w:r w:rsidRPr="5B5EAC97" w:rsidR="52ABAE06">
        <w:rPr>
          <w:rFonts w:ascii="Times New Roman" w:hAnsi="Times New Roman" w:eastAsia="Times New Roman" w:cs="Times New Roman"/>
          <w:i w:val="1"/>
          <w:iCs w:val="1"/>
        </w:rPr>
        <w:t xml:space="preserve">, </w:t>
      </w:r>
      <w:r w:rsidRPr="5B5EAC97" w:rsidR="52ABAE06">
        <w:rPr>
          <w:rFonts w:ascii="Times New Roman" w:hAnsi="Times New Roman" w:eastAsia="Times New Roman" w:cs="Times New Roman"/>
          <w:i w:val="1"/>
          <w:iCs w:val="1"/>
        </w:rPr>
        <w:t>modularité</w:t>
      </w:r>
      <w:r w:rsidRPr="5B5EAC97" w:rsidR="52ABAE06">
        <w:rPr>
          <w:rFonts w:ascii="Times New Roman" w:hAnsi="Times New Roman" w:eastAsia="Times New Roman" w:cs="Times New Roman"/>
          <w:i w:val="1"/>
          <w:iCs w:val="1"/>
        </w:rPr>
        <w:t xml:space="preserve">, </w:t>
      </w:r>
      <w:r w:rsidRPr="5B5EAC97" w:rsidR="52ABAE06">
        <w:rPr>
          <w:rFonts w:ascii="Times New Roman" w:hAnsi="Times New Roman" w:eastAsia="Times New Roman" w:cs="Times New Roman"/>
          <w:i w:val="1"/>
          <w:iCs w:val="1"/>
        </w:rPr>
        <w:t>toujours</w:t>
      </w:r>
      <w:r w:rsidRPr="5B5EAC97" w:rsidR="52ABAE06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5B5EAC97" w:rsidR="52ABAE06">
        <w:rPr>
          <w:rFonts w:ascii="Times New Roman" w:hAnsi="Times New Roman" w:eastAsia="Times New Roman" w:cs="Times New Roman"/>
          <w:i w:val="1"/>
          <w:iCs w:val="1"/>
        </w:rPr>
        <w:t>l’modularité</w:t>
      </w:r>
      <w:r w:rsidRPr="5B5EAC97" w:rsidR="52ABAE06">
        <w:rPr>
          <w:rFonts w:ascii="Times New Roman" w:hAnsi="Times New Roman" w:eastAsia="Times New Roman" w:cs="Times New Roman"/>
          <w:i w:val="1"/>
          <w:iCs w:val="1"/>
        </w:rPr>
        <w:t>’.</w:t>
      </w:r>
      <w:r w:rsidRPr="5B5EAC97" w:rsidR="05C293B4">
        <w:rPr>
          <w:rFonts w:ascii="Times New Roman" w:hAnsi="Times New Roman" w:eastAsia="Times New Roman" w:cs="Times New Roman"/>
          <w:i w:val="0"/>
          <w:iCs w:val="0"/>
        </w:rPr>
        <w:t xml:space="preserve"> ‘</w:t>
      </w:r>
      <w:r w:rsidRPr="5B5EAC97" w:rsidR="05C293B4">
        <w:rPr>
          <w:rFonts w:ascii="Times New Roman" w:hAnsi="Times New Roman" w:eastAsia="Times New Roman" w:cs="Times New Roman"/>
          <w:i w:val="1"/>
          <w:iCs w:val="1"/>
        </w:rPr>
        <w:t>Agencement</w:t>
      </w:r>
      <w:r w:rsidRPr="5B5EAC97" w:rsidR="05C293B4">
        <w:rPr>
          <w:rFonts w:ascii="Times New Roman" w:hAnsi="Times New Roman" w:eastAsia="Times New Roman" w:cs="Times New Roman"/>
          <w:i w:val="1"/>
          <w:iCs w:val="1"/>
        </w:rPr>
        <w:t>’</w:t>
      </w:r>
      <w:r w:rsidRPr="5B5EAC97" w:rsidR="05C293B4">
        <w:rPr>
          <w:rFonts w:ascii="Times New Roman" w:hAnsi="Times New Roman" w:eastAsia="Times New Roman" w:cs="Times New Roman"/>
          <w:i w:val="0"/>
          <w:iCs w:val="0"/>
        </w:rPr>
        <w:t>,</w:t>
      </w:r>
      <w:r w:rsidRPr="5B5EAC97" w:rsidR="05C293B4">
        <w:rPr>
          <w:rFonts w:ascii="Times New Roman" w:hAnsi="Times New Roman" w:eastAsia="Times New Roman" w:cs="Times New Roman"/>
          <w:i w:val="0"/>
          <w:iCs w:val="0"/>
        </w:rPr>
        <w:t xml:space="preserve"> not ‘</w:t>
      </w:r>
      <w:r w:rsidRPr="5B5EAC97" w:rsidR="05C293B4">
        <w:rPr>
          <w:rFonts w:ascii="Times New Roman" w:hAnsi="Times New Roman" w:eastAsia="Times New Roman" w:cs="Times New Roman"/>
          <w:i w:val="1"/>
          <w:iCs w:val="1"/>
        </w:rPr>
        <w:t>assemblage</w:t>
      </w:r>
      <w:r w:rsidRPr="5B5EAC97" w:rsidR="05C293B4">
        <w:rPr>
          <w:rFonts w:ascii="Times New Roman" w:hAnsi="Times New Roman" w:eastAsia="Times New Roman" w:cs="Times New Roman"/>
          <w:i w:val="1"/>
          <w:iCs w:val="1"/>
        </w:rPr>
        <w:t>’</w:t>
      </w:r>
      <w:r w:rsidRPr="5B5EAC97" w:rsidR="1921C678">
        <w:rPr>
          <w:rFonts w:ascii="Times New Roman" w:hAnsi="Times New Roman" w:eastAsia="Times New Roman" w:cs="Times New Roman"/>
          <w:i w:val="0"/>
          <w:iCs w:val="0"/>
        </w:rPr>
        <w:t xml:space="preserve"> - and, </w:t>
      </w:r>
      <w:r w:rsidRPr="5B5EAC97" w:rsidR="00AB15E3">
        <w:rPr>
          <w:rFonts w:ascii="Times New Roman" w:hAnsi="Times New Roman" w:eastAsia="Times New Roman" w:cs="Times New Roman"/>
          <w:i w:val="0"/>
          <w:iCs w:val="0"/>
        </w:rPr>
        <w:t>from that</w:t>
      </w:r>
      <w:r w:rsidRPr="5B5EAC97" w:rsidR="1921C678">
        <w:rPr>
          <w:rFonts w:ascii="Times New Roman" w:hAnsi="Times New Roman" w:eastAsia="Times New Roman" w:cs="Times New Roman"/>
          <w:i w:val="0"/>
          <w:iCs w:val="0"/>
        </w:rPr>
        <w:t>, ‘</w:t>
      </w:r>
      <w:r w:rsidRPr="5B5EAC97" w:rsidR="1921C678">
        <w:rPr>
          <w:rFonts w:ascii="Times New Roman" w:hAnsi="Times New Roman" w:eastAsia="Times New Roman" w:cs="Times New Roman"/>
          <w:i w:val="0"/>
          <w:iCs w:val="0"/>
        </w:rPr>
        <w:t>assemblage</w:t>
      </w:r>
      <w:r w:rsidRPr="5B5EAC97" w:rsidR="7100EEB9">
        <w:rPr>
          <w:rFonts w:ascii="Times New Roman" w:hAnsi="Times New Roman" w:eastAsia="Times New Roman" w:cs="Times New Roman"/>
          <w:i w:val="0"/>
          <w:iCs w:val="0"/>
        </w:rPr>
        <w:t>’.</w:t>
      </w:r>
    </w:p>
    <w:p w:rsidR="7B1AA3DB" w:rsidP="5B5EAC97" w:rsidRDefault="7B1AA3DB" w14:paraId="7FE864D0" w14:textId="6387C9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</w:rPr>
      </w:pPr>
      <w:r w:rsidRPr="5B5EAC97" w:rsidR="7B1AA3DB">
        <w:rPr>
          <w:rFonts w:ascii="Times New Roman" w:hAnsi="Times New Roman" w:eastAsia="Times New Roman" w:cs="Times New Roman"/>
          <w:b w:val="1"/>
          <w:bCs w:val="1"/>
          <w:i w:val="0"/>
          <w:iCs w:val="0"/>
        </w:rPr>
        <w:t>Archaeological applications of assemblage</w:t>
      </w:r>
      <w:r w:rsidRPr="5B5EAC97" w:rsidR="63851ACF">
        <w:rPr>
          <w:rFonts w:ascii="Times New Roman" w:hAnsi="Times New Roman" w:eastAsia="Times New Roman" w:cs="Times New Roman"/>
          <w:b w:val="1"/>
          <w:bCs w:val="1"/>
          <w:i w:val="0"/>
          <w:iCs w:val="0"/>
        </w:rPr>
        <w:t xml:space="preserve"> – the Villa of the Papyri</w:t>
      </w:r>
    </w:p>
    <w:p w:rsidR="65CDB8F6" w:rsidP="5B5EAC97" w:rsidRDefault="65CDB8F6" w14:paraId="41787D49" w14:textId="6BA615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  <w:r w:rsidRPr="5B5EAC97" w:rsidR="65CDB8F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To ground this </w:t>
      </w:r>
      <w:r w:rsidRPr="5B5EAC97" w:rsidR="65CDB8F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rather abstract</w:t>
      </w:r>
      <w:r w:rsidRPr="5B5EAC97" w:rsidR="65CDB8F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</w:t>
      </w:r>
      <w:r w:rsidRPr="5B5EAC97" w:rsidR="3F58AC1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concept in the </w:t>
      </w:r>
      <w:r w:rsidRPr="5B5EAC97" w:rsidR="78C5A7B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material</w:t>
      </w:r>
      <w:r w:rsidRPr="5B5EAC97" w:rsidR="3F58AC1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, a useful archaeological case study is the ‘Villa of the Papyri’</w:t>
      </w:r>
      <w:r w:rsidRPr="5B5EAC97" w:rsidR="45391F9C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(or ‘</w:t>
      </w:r>
      <w:r w:rsidRPr="5B5EAC97" w:rsidR="45391F9C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Villa dei Papyri</w:t>
      </w:r>
      <w:r w:rsidRPr="5B5EAC97" w:rsidR="45391F9C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’)</w:t>
      </w:r>
      <w:r w:rsidRPr="5B5EAC97" w:rsidR="3F58AC1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.</w:t>
      </w:r>
      <w:r w:rsidRPr="5B5EAC97" w:rsidR="3F58AC1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</w:t>
      </w:r>
    </w:p>
    <w:p w:rsidR="02A6876F" w:rsidP="5B5EAC97" w:rsidRDefault="02A6876F" w14:paraId="23920B91" w14:textId="34FD05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  <w:r w:rsidRPr="5B5EAC97" w:rsidR="02A6876F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A suburban villa first built around the temple district of the city of Herculaneum around 40</w:t>
      </w:r>
      <w:r w:rsidRPr="5B5EAC97" w:rsidR="7F8BFEF2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</w:t>
      </w:r>
      <w:r w:rsidRPr="5B5EAC97" w:rsidR="02A6876F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BCE, </w:t>
      </w:r>
      <w:r w:rsidRPr="5B5EAC97" w:rsidR="57A0C2BB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the Villa was buried owing to the eruption of 79 </w:t>
      </w:r>
      <w:r w:rsidRPr="5B5EAC97" w:rsidR="53A39C2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CE</w:t>
      </w:r>
      <w:r w:rsidRPr="5B5EAC97" w:rsidR="2BFBE080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. </w:t>
      </w:r>
      <w:r w:rsidRPr="5B5EAC97" w:rsidR="7B310FF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Major archaeological interest in the structure </w:t>
      </w:r>
      <w:bookmarkStart w:name="_Int_usVu1uIg" w:id="13642769"/>
      <w:r w:rsidRPr="5B5EAC97" w:rsidR="7B310FF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dates back to</w:t>
      </w:r>
      <w:bookmarkEnd w:id="13642769"/>
      <w:r w:rsidRPr="5B5EAC97" w:rsidR="7B310FF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the </w:t>
      </w:r>
      <w:r w:rsidRPr="5B5EAC97" w:rsidR="35496714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early 1750s CE</w:t>
      </w:r>
      <w:r w:rsidRPr="5B5EAC97" w:rsidR="7CE84DFB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, and, with an admitted lull for a large chunk of the 19</w:t>
      </w:r>
      <w:r w:rsidRPr="5B5EAC97" w:rsidR="7CE84DFB">
        <w:rPr>
          <w:rFonts w:ascii="Times New Roman" w:hAnsi="Times New Roman" w:eastAsia="Times New Roman" w:cs="Times New Roman"/>
          <w:b w:val="0"/>
          <w:bCs w:val="0"/>
          <w:i w:val="0"/>
          <w:iCs w:val="0"/>
          <w:vertAlign w:val="superscript"/>
        </w:rPr>
        <w:t>th</w:t>
      </w:r>
      <w:r w:rsidRPr="5B5EAC97" w:rsidR="7CE84DFB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century</w:t>
      </w:r>
      <w:r w:rsidRPr="5B5EAC97" w:rsidR="07388A51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, has correlated with </w:t>
      </w:r>
      <w:r w:rsidRPr="5B5EAC97" w:rsidR="3FBE20A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state patronage through changing administrations from the Bourbon monarchy</w:t>
      </w:r>
      <w:r w:rsidRPr="5B5EAC97" w:rsidR="5FD7FBDE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through to the post-war, post-fascist modern Italian state.</w:t>
      </w:r>
      <w:r w:rsidRPr="5B5EAC97" w:rsidR="2FF5717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The site’s defining characteristi</w:t>
      </w:r>
      <w:r w:rsidRPr="5B5EAC97" w:rsidR="10C63C5F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c is the titular papyri – a library of </w:t>
      </w:r>
      <w:r w:rsidRPr="5B5EAC97" w:rsidR="260F5F71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around 1800 scrolls</w:t>
      </w:r>
      <w:r w:rsidRPr="5B5EAC97" w:rsidR="3287EDB1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that ha</w:t>
      </w:r>
      <w:r w:rsidRPr="5B5EAC97" w:rsidR="469891BA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s been the root of both the </w:t>
      </w:r>
      <w:bookmarkStart w:name="_Int_bAtuvpBK" w:id="1178169309"/>
      <w:r w:rsidRPr="5B5EAC97" w:rsidR="469891BA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aforementioned state</w:t>
      </w:r>
      <w:bookmarkEnd w:id="1178169309"/>
      <w:r w:rsidRPr="5B5EAC97" w:rsidR="469891BA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</w:t>
      </w:r>
      <w:r w:rsidRPr="5B5EAC97" w:rsidR="683CC85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interest</w:t>
      </w:r>
      <w:r w:rsidRPr="5B5EAC97" w:rsidR="469891BA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</w:t>
      </w:r>
      <w:r w:rsidRPr="5B5EAC97" w:rsidR="75CD175B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and the extensive history of scientific innovation and application </w:t>
      </w:r>
      <w:r w:rsidRPr="5B5EAC97" w:rsidR="75CD175B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in regards to</w:t>
      </w:r>
      <w:r w:rsidRPr="5B5EAC97" w:rsidR="75CD175B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it (i.e. </w:t>
      </w:r>
      <w:r w:rsidRPr="5B5EAC97" w:rsidR="56694914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from </w:t>
      </w:r>
      <w:r w:rsidRPr="5B5EAC97" w:rsidR="75CD175B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Piagg</w:t>
      </w:r>
      <w:r w:rsidRPr="5B5EAC97" w:rsidR="55E4986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io’s papyrus-unrolling machine</w:t>
      </w:r>
      <w:r w:rsidRPr="5B5EAC97" w:rsidR="0709764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to </w:t>
      </w:r>
      <w:r w:rsidRPr="5B5EAC97" w:rsidR="0709764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Mocella</w:t>
      </w:r>
      <w:r w:rsidRPr="5B5EAC97" w:rsidR="0709764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</w:t>
      </w:r>
      <w:r w:rsidRPr="5B5EAC97" w:rsidR="07097648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et al</w:t>
      </w:r>
      <w:r w:rsidRPr="5B5EAC97" w:rsidR="0709764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.’s use of X-ray phase contrast </w:t>
      </w:r>
      <w:r w:rsidRPr="5B5EAC97" w:rsidR="7ADF6052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tomography). Th</w:t>
      </w:r>
      <w:r w:rsidRPr="5B5EAC97" w:rsidR="5B9697BA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ese aside, a bewilderingly extensive sum of surviving statuary, art, and other physical culture (up to and including the Villa itself</w:t>
      </w:r>
      <w:r w:rsidRPr="5B5EAC97" w:rsidR="4CA6796E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, and </w:t>
      </w:r>
      <w:r w:rsidRPr="5B5EAC97" w:rsidR="4CA6796E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largely under</w:t>
      </w:r>
      <w:r w:rsidRPr="5B5EAC97" w:rsidR="4CA6796E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the aegis of the Getty Institute) </w:t>
      </w:r>
      <w:r w:rsidRPr="5B5EAC97" w:rsidR="013F663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deepen an already wide scholarly footprint.</w:t>
      </w:r>
      <w:r w:rsidRPr="5B5EAC97" w:rsidR="0AE0E721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</w:t>
      </w:r>
      <w:r w:rsidRPr="5B5EAC97" w:rsidR="013F663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For </w:t>
      </w:r>
      <w:r w:rsidRPr="5B5EAC97" w:rsidR="4CA6796E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t</w:t>
      </w:r>
      <w:r w:rsidRPr="5B5EAC97" w:rsidR="2DF2531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he exploration of the practical rather than simply theoretical</w:t>
      </w:r>
      <w:r w:rsidRPr="5B5EAC97" w:rsidR="651679C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applications and implications of assemblage theory, then, it may prove profitable to ask the following question</w:t>
      </w:r>
      <w:r w:rsidRPr="5B5EAC97" w:rsidR="633ECBC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:</w:t>
      </w:r>
    </w:p>
    <w:p w:rsidR="633ECBC9" w:rsidP="5B5EAC97" w:rsidRDefault="633ECBC9" w14:paraId="63F63AA6" w14:textId="26550E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  <w:r w:rsidRPr="5B5EAC97" w:rsidR="633ECBC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‘</w:t>
      </w:r>
      <w:r w:rsidRPr="5B5EAC97" w:rsidR="633ECBC9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Is the Villa of the Papyri an assemblage?</w:t>
      </w:r>
      <w:r w:rsidRPr="5B5EAC97" w:rsidR="633ECBC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’</w:t>
      </w:r>
    </w:p>
    <w:p w:rsidR="633ECBC9" w:rsidP="5B5EAC97" w:rsidRDefault="633ECBC9" w14:paraId="2770820F" w14:textId="75EEE0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  <w:r w:rsidRPr="5B5EAC97" w:rsidR="633ECBC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The flexibility of definition inherent to the theory aside, </w:t>
      </w:r>
      <w:r w:rsidRPr="5B5EAC97" w:rsidR="73BAB14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an emphatic </w:t>
      </w:r>
      <w:r w:rsidRPr="5B5EAC97" w:rsidR="633ECBC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yes, one </w:t>
      </w:r>
      <w:r w:rsidRPr="5B5EAC97" w:rsidR="633ECBC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operating</w:t>
      </w:r>
      <w:r w:rsidRPr="5B5EAC97" w:rsidR="633ECBC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on axes both tem</w:t>
      </w:r>
      <w:r w:rsidRPr="5B5EAC97" w:rsidR="28902DAA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poral and material. </w:t>
      </w:r>
    </w:p>
    <w:p w:rsidR="28902DAA" w:rsidP="5B5EAC97" w:rsidRDefault="28902DAA" w14:paraId="20A70981" w14:textId="4EE43F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  <w:r w:rsidRPr="5B5EAC97" w:rsidR="28902DAA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In </w:t>
      </w:r>
      <w:r w:rsidRPr="5B5EAC97" w:rsidR="6072489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its 119-year span as an operational </w:t>
      </w:r>
      <w:r w:rsidRPr="5B5EAC97" w:rsidR="1593E7B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property </w:t>
      </w:r>
      <w:r w:rsidRPr="5B5EAC97" w:rsidR="6072489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of the </w:t>
      </w:r>
      <w:r w:rsidRPr="5B5EAC97" w:rsidR="60724895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Calpurnii</w:t>
      </w:r>
      <w:r w:rsidRPr="5B5EAC97" w:rsidR="60724895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 xml:space="preserve"> </w:t>
      </w:r>
      <w:r w:rsidRPr="5B5EAC97" w:rsidR="60724895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Pisones</w:t>
      </w:r>
      <w:r w:rsidRPr="5B5EAC97" w:rsidR="5F92A252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 xml:space="preserve"> </w:t>
      </w:r>
      <w:r w:rsidRPr="5B5EAC97" w:rsidR="5F92A252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prior to the eruption in 79 CE</w:t>
      </w:r>
      <w:r w:rsidRPr="5B5EAC97" w:rsidR="6072489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, </w:t>
      </w:r>
      <w:r w:rsidRPr="5B5EAC97" w:rsidR="098B08EF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it did so as </w:t>
      </w:r>
      <w:r w:rsidRPr="5B5EAC97" w:rsidR="063E1CE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what amounted to a physical embodiment of a </w:t>
      </w:r>
      <w:r w:rsidRPr="5B5EAC97" w:rsidR="368773C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certain stratum of Roman society. Located in the </w:t>
      </w:r>
      <w:r w:rsidRPr="5B5EAC97" w:rsidR="29C5B41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temple district, the Villa was </w:t>
      </w:r>
      <w:r w:rsidRPr="5B5EAC97" w:rsidR="29C5B41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essentially suburban</w:t>
      </w:r>
      <w:r w:rsidRPr="5B5EAC97" w:rsidR="29C5B41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in its </w:t>
      </w:r>
      <w:r w:rsidRPr="5B5EAC97" w:rsidR="25923FA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placement</w:t>
      </w:r>
      <w:r w:rsidRPr="5B5EAC97" w:rsidR="6F9A383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. That is, n</w:t>
      </w:r>
      <w:r w:rsidRPr="5B5EAC97" w:rsidR="25923FA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either too close to the din of urban life, nor cut off from access to its attractions. </w:t>
      </w:r>
      <w:r w:rsidRPr="5B5EAC97" w:rsidR="1BE1726B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Its location in Campania was </w:t>
      </w:r>
      <w:r w:rsidRPr="5B5EAC97" w:rsidR="7A11A1B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downright stereotypical. While the </w:t>
      </w:r>
      <w:r w:rsidRPr="5B5EAC97" w:rsidR="6444FEB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probable </w:t>
      </w:r>
      <w:r w:rsidRPr="5B5EAC97" w:rsidR="7A11A1B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Epicureanism </w:t>
      </w:r>
      <w:r w:rsidRPr="5B5EAC97" w:rsidR="5540F12F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of its owners (</w:t>
      </w:r>
      <w:r w:rsidRPr="5B5EAC97" w:rsidR="4FB40A2B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ev</w:t>
      </w:r>
      <w:r w:rsidRPr="5B5EAC97" w:rsidR="7A11A1B9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idenced by </w:t>
      </w:r>
      <w:r w:rsidRPr="5B5EAC97" w:rsidR="6D7A0A7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the</w:t>
      </w:r>
      <w:r w:rsidRPr="5B5EAC97" w:rsidR="156E5BD1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busts of Epicurus and </w:t>
      </w:r>
      <w:r w:rsidRPr="5B5EAC97" w:rsidR="156E5BD1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Hemarchus</w:t>
      </w:r>
      <w:r w:rsidRPr="5B5EAC97" w:rsidR="156E5BD1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present at the site, as well as a sculpture of a piglet (</w:t>
      </w:r>
      <w:r w:rsidRPr="5B5EAC97" w:rsidR="394F5062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idolised by Epicureans as symbolic of the state of simultaneous </w:t>
      </w:r>
      <w:r w:rsidRPr="5B5EAC97" w:rsidR="394F5062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eudaimonia</w:t>
      </w:r>
      <w:r w:rsidRPr="5B5EAC97" w:rsidR="394F5062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, </w:t>
      </w:r>
      <w:r w:rsidRPr="5B5EAC97" w:rsidR="394F5062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ataraxia</w:t>
      </w:r>
      <w:r w:rsidRPr="5B5EAC97" w:rsidR="394F5062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, and </w:t>
      </w:r>
      <w:r w:rsidRPr="5B5EAC97" w:rsidR="394F5062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 xml:space="preserve">aponia </w:t>
      </w:r>
      <w:r w:rsidRPr="5B5EAC97" w:rsidR="394F5062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to which they aspired))</w:t>
      </w:r>
      <w:r w:rsidRPr="5B5EAC97" w:rsidR="56CE5E0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was atypical of t</w:t>
      </w:r>
      <w:r w:rsidRPr="5B5EAC97" w:rsidR="27ED926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he average </w:t>
      </w:r>
      <w:r w:rsidRPr="5B5EAC97" w:rsidR="27ED9267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gens</w:t>
      </w:r>
      <w:r w:rsidRPr="5B5EAC97" w:rsidR="27ED926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, </w:t>
      </w:r>
      <w:r w:rsidRPr="5B5EAC97" w:rsidR="7926D13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the intellectual uncertainty and dissatisfaction with </w:t>
      </w:r>
      <w:r w:rsidRPr="5B5EAC97" w:rsidR="1FDE2E74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old answers it stood for was altogether more widespread. The uncertainty – and, simultaneously for this class, the resources to finance appeasing it</w:t>
      </w:r>
      <w:r w:rsidRPr="5B5EAC97" w:rsidR="744170A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. Most crucially of all, all these factors are and were materially embodied in the Villa itself. Its location, the materials it was constructed from, the topography surrounding it</w:t>
      </w:r>
      <w:r w:rsidRPr="5B5EAC97" w:rsidR="3DBDEE5F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– none were accidental</w:t>
      </w:r>
      <w:r w:rsidRPr="5B5EAC97" w:rsidR="4F68A850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. </w:t>
      </w:r>
      <w:r w:rsidRPr="5B5EAC97" w:rsidR="26C3901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It is true that the </w:t>
      </w:r>
      <w:r w:rsidRPr="5B5EAC97" w:rsidR="26C39017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Pisones</w:t>
      </w:r>
      <w:r w:rsidRPr="5B5EAC97" w:rsidR="26C39017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 xml:space="preserve"> </w:t>
      </w:r>
      <w:r w:rsidRPr="5B5EAC97" w:rsidR="26C3901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chose the area, but they did </w:t>
      </w:r>
      <w:r w:rsidRPr="5B5EAC97" w:rsidR="6D0913AA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not do so in a vacuum. The discrete and heterogeneous </w:t>
      </w:r>
      <w:r w:rsidRPr="5B5EAC97" w:rsidR="3390C11C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component</w:t>
      </w:r>
      <w:r w:rsidRPr="5B5EAC97" w:rsidR="3390C11C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of the Villa’s environs made the Epicurean assemblage of the Villa in its operative </w:t>
      </w:r>
      <w:r w:rsidRPr="5B5EAC97" w:rsidR="3BE43D1C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lifespan, not vice versa. And, in the end, that same topography</w:t>
      </w:r>
      <w:r w:rsidRPr="5B5EAC97" w:rsidR="1BF08B4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– at once discrete and vital to the whole </w:t>
      </w:r>
      <w:r w:rsidRPr="5B5EAC97" w:rsidR="1BF08B4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Pisonian</w:t>
      </w:r>
      <w:r w:rsidRPr="5B5EAC97" w:rsidR="1BF08B4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project -</w:t>
      </w:r>
      <w:r w:rsidRPr="5B5EAC97" w:rsidR="3BE43D1C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transformed the assembly utterly</w:t>
      </w:r>
      <w:r w:rsidRPr="5B5EAC97" w:rsidR="648F1BC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. What can </w:t>
      </w:r>
      <w:r w:rsidRPr="5B5EAC97" w:rsidR="0F863D9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on</w:t>
      </w:r>
      <w:r w:rsidRPr="5B5EAC97" w:rsidR="648F1BC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e call the burial of a city</w:t>
      </w:r>
      <w:r w:rsidRPr="5B5EAC97" w:rsidR="55E61E90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, after all,</w:t>
      </w:r>
      <w:r w:rsidRPr="5B5EAC97" w:rsidR="648F1BC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if not conclusive proof of the </w:t>
      </w:r>
      <w:r w:rsidRPr="5B5EAC97" w:rsidR="648F1BC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capacity</w:t>
      </w:r>
      <w:r w:rsidRPr="5B5EAC97" w:rsidR="648F1BC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to affect change?</w:t>
      </w:r>
    </w:p>
    <w:p w:rsidR="5B5EAC97" w:rsidP="5B5EAC97" w:rsidRDefault="5B5EAC97" w14:paraId="0E0F2EAA" w14:textId="0EA7E3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</w:p>
    <w:p w:rsidR="367C8D73" w:rsidP="5B5EAC97" w:rsidRDefault="367C8D73" w14:paraId="452B8A35" w14:textId="15763A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  <w:r w:rsidRPr="5B5EAC97" w:rsidR="367C8D7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After 79 CE, the Villa would not cease being an assemblage for want of human interaction – but its character would be, barring </w:t>
      </w:r>
      <w:r w:rsidRPr="5B5EAC97" w:rsidR="2F5A3BBE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possible participation</w:t>
      </w:r>
      <w:r w:rsidRPr="5B5EAC97" w:rsidR="2F5A3BBE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in the broader assemblage of the ecosystem, static. While not </w:t>
      </w:r>
      <w:r w:rsidRPr="5B5EAC97" w:rsidR="46A40DA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defined solely by the humanity of its occupants, the Villa before the eruption was in consistent and active use by humans, built for their habitation, and</w:t>
      </w:r>
      <w:r w:rsidRPr="5B5EAC97" w:rsidR="2CF61452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, </w:t>
      </w:r>
      <w:r w:rsidRPr="5B5EAC97" w:rsidR="2CF61452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insofar as</w:t>
      </w:r>
      <w:r w:rsidRPr="5B5EAC97" w:rsidR="2CF61452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it was dynamic, relied on human interaction for that dynamism. The significance of the busts of Epicurus a</w:t>
      </w:r>
      <w:r w:rsidRPr="5B5EAC97" w:rsidR="3B35C37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nd </w:t>
      </w:r>
      <w:r w:rsidRPr="5B5EAC97" w:rsidR="3B35C37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Hemarchus</w:t>
      </w:r>
      <w:r w:rsidRPr="5B5EAC97" w:rsidR="3B35C37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would not be detracted for want of observation – but neither would it be enhanced. </w:t>
      </w:r>
      <w:r w:rsidRPr="5B5EAC97" w:rsidR="70B89C0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As such, at the risk of erring towards anthropocentrism, the history of the Villa as an assemblage </w:t>
      </w:r>
      <w:r w:rsidRPr="5B5EAC97" w:rsidR="3229005C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after 79 CE is that of </w:t>
      </w:r>
      <w:r w:rsidRPr="5B5EAC97" w:rsidR="3229005C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an</w:t>
      </w:r>
      <w:r w:rsidRPr="5B5EAC97" w:rsidR="3229005C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ontological autarky</w:t>
      </w:r>
      <w:r w:rsidRPr="5B5EAC97" w:rsidR="327A7691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</w:t>
      </w:r>
      <w:r w:rsidRPr="5B5EAC97" w:rsidR="327A7691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until the 18</w:t>
      </w:r>
      <w:r w:rsidRPr="5B5EAC97" w:rsidR="327A7691">
        <w:rPr>
          <w:rFonts w:ascii="Times New Roman" w:hAnsi="Times New Roman" w:eastAsia="Times New Roman" w:cs="Times New Roman"/>
          <w:b w:val="0"/>
          <w:bCs w:val="0"/>
          <w:i w:val="0"/>
          <w:iCs w:val="0"/>
          <w:vertAlign w:val="superscript"/>
        </w:rPr>
        <w:t>th</w:t>
      </w:r>
      <w:r w:rsidRPr="5B5EAC97" w:rsidR="327A7691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century</w:t>
      </w:r>
      <w:r w:rsidRPr="5B5EAC97" w:rsidR="4598903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.</w:t>
      </w:r>
    </w:p>
    <w:p w:rsidR="54F98376" w:rsidP="5B5EAC97" w:rsidRDefault="54F98376" w14:paraId="2657A2C7" w14:textId="271FC1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  <w:r w:rsidRPr="5B5EAC97" w:rsidR="54F9837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So then, what of what followed? </w:t>
      </w:r>
    </w:p>
    <w:p w:rsidR="4BAF7834" w:rsidP="5B5EAC97" w:rsidRDefault="4BAF7834" w14:paraId="4FB048D2" w14:textId="5BC8FB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  <w:r w:rsidRPr="5B5EAC97" w:rsidR="4BAF7834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Perhaps the</w:t>
      </w:r>
      <w:r w:rsidRPr="5B5EAC97" w:rsidR="4BAF7834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comparative model that best maps onto the Villa-as-assemblage </w:t>
      </w:r>
      <w:r w:rsidRPr="5B5EAC97" w:rsidR="3342913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is Jones’ characterisation of Neolithic British artefacts through the prism of assemblage theory. That is, after the 1</w:t>
      </w:r>
      <w:r w:rsidRPr="5B5EAC97" w:rsidR="02B71F0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750s, it is not just the Villa itself that concerns the scholarly lens – it is the scholarship itself, and its interaction with the site</w:t>
      </w:r>
      <w:r w:rsidRPr="5B5EAC97" w:rsidR="33D64FD2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, folded into the assemblage</w:t>
      </w:r>
      <w:r w:rsidRPr="5B5EAC97" w:rsidR="02B71F0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. </w:t>
      </w:r>
      <w:r w:rsidRPr="5B5EAC97" w:rsidR="17A5210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The Villa-as-assemblage is no longer the operational domicile it was before the 79 CE eruption, nor is it the preserved ontological autarky of the </w:t>
      </w:r>
      <w:r w:rsidRPr="5B5EAC97" w:rsidR="558CBE04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multi-millennial </w:t>
      </w:r>
      <w:r w:rsidRPr="5B5EAC97" w:rsidR="17A5210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interim</w:t>
      </w:r>
      <w:r w:rsidRPr="5B5EAC97" w:rsidR="30F0780B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. Rather, </w:t>
      </w:r>
      <w:r w:rsidRPr="5B5EAC97" w:rsidR="17A5210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it is once again an assem</w:t>
      </w:r>
      <w:r w:rsidRPr="5B5EAC97" w:rsidR="307B901D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blage subject to regular human interaction,</w:t>
      </w:r>
      <w:r w:rsidRPr="5B5EAC97" w:rsidR="4032E3C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but that interaction is (and has been) rooted in </w:t>
      </w:r>
      <w:r w:rsidRPr="5B5EAC97" w:rsidR="3DE7168A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the archaeological and historical </w:t>
      </w:r>
      <w:r w:rsidRPr="5B5EAC97" w:rsidR="6EA959A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drive both to understand the Villa as a whole, and </w:t>
      </w:r>
      <w:r w:rsidRPr="5B5EAC97" w:rsidR="6EA959A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above all else</w:t>
      </w:r>
      <w:r w:rsidRPr="5B5EAC97" w:rsidR="6EA959A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to ‘get inside’ the titular papyri.</w:t>
      </w:r>
    </w:p>
    <w:p w:rsidR="6EA959A7" w:rsidP="5B5EAC97" w:rsidRDefault="6EA959A7" w14:paraId="4D16D69D" w14:textId="3AA261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5B5EAC97" w:rsidR="6EA959A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The importance of the latter </w:t>
      </w:r>
      <w:r w:rsidRPr="5B5EAC97" w:rsidR="6EA959A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objective</w:t>
      </w:r>
      <w:r w:rsidRPr="5B5EAC97" w:rsidR="6EA959A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to the whole character of the assemblage the Villa has become cannot be overstated. The statuary of the Villa has been studied at great </w:t>
      </w:r>
      <w:r w:rsidRPr="5B5EAC97" w:rsidR="6EA959A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length, and</w:t>
      </w:r>
      <w:r w:rsidRPr="5B5EAC97" w:rsidR="7F152568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indeed</w:t>
      </w:r>
      <w:r w:rsidRPr="5B5EAC97" w:rsidR="6EA959A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</w:t>
      </w:r>
      <w:r w:rsidRPr="5B5EAC97" w:rsidR="6EA959A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exhibited</w:t>
      </w:r>
      <w:r w:rsidRPr="5B5EAC97" w:rsidR="6EA959A7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(</w:t>
      </w:r>
      <w:r w:rsidRPr="5B5EAC97" w:rsidR="6C80A354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see: the Getty Institute’s </w:t>
      </w:r>
      <w:r w:rsidRPr="5B5EAC97" w:rsidR="6C80A354">
        <w:rPr>
          <w:rFonts w:ascii="Times New Roman" w:hAnsi="Times New Roman" w:eastAsia="Times New Roman" w:cs="Times New Roman"/>
          <w:b w:val="0"/>
          <w:bCs w:val="0"/>
          <w:i w:val="1"/>
          <w:iCs w:val="1"/>
        </w:rPr>
        <w:t>Buried by Vesuvius</w:t>
      </w:r>
      <w:r w:rsidRPr="5B5EAC97" w:rsidR="6C80A354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exhibit)</w:t>
      </w:r>
      <w:r w:rsidRPr="5B5EAC97" w:rsidR="660267A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; its layout and placement within Herculaneum has been discussed – but for all that, the operative name is telling. In </w:t>
      </w:r>
      <w:r w:rsidRPr="5B5EAC97" w:rsidR="1E93617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the early 1750s, </w:t>
      </w:r>
      <w:r w:rsidRPr="5B5EAC97" w:rsidR="1E93617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Paderni</w:t>
      </w:r>
      <w:r w:rsidRPr="5B5EAC97" w:rsidR="1E936176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sliced open scrolls to decipher their contents; in 1754, Father Piaggio invented a mechanism solely to do s</w:t>
      </w:r>
      <w:r w:rsidRPr="5B5EAC97" w:rsidR="5FB8A074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o in a less damaging manner; an</w:t>
      </w:r>
      <w:r w:rsidRPr="5B5EAC97" w:rsidR="19E50BEA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d, in the modern era, </w:t>
      </w:r>
      <w:r w:rsidRPr="5B5EAC97" w:rsidR="3CAC9D73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talk of the Villa in scholarly circles is all but inextricable from talk of the possibilities of ‘digitally unrolling’ the scrolls. </w:t>
      </w:r>
      <w:r w:rsidRPr="5B5EAC97" w:rsidR="2161566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Wallace-</w:t>
      </w:r>
      <w:r w:rsidRPr="5B5EAC97" w:rsidR="2161566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>Hadrill</w:t>
      </w:r>
      <w:r w:rsidRPr="5B5EAC97" w:rsidR="21615665">
        <w:rPr>
          <w:rFonts w:ascii="Times New Roman" w:hAnsi="Times New Roman" w:eastAsia="Times New Roman" w:cs="Times New Roman"/>
          <w:b w:val="0"/>
          <w:bCs w:val="0"/>
          <w:i w:val="0"/>
          <w:iCs w:val="0"/>
        </w:rPr>
        <w:t xml:space="preserve"> has made much of the potential of “</w:t>
      </w:r>
      <w:r w:rsidRPr="5B5EAC97" w:rsidR="216156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X-ray spectroscopy to peel off and read these blackened lumps non-invasively"</w:t>
      </w:r>
      <w:r w:rsidRPr="5B5EAC97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5707"/>
      </w:r>
      <w:r w:rsidRPr="5B5EAC97" w:rsidR="27906B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-</w:t>
      </w:r>
      <w:r w:rsidRPr="5B5EAC97" w:rsidR="2C6F17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journals have made much of</w:t>
      </w:r>
      <w:r w:rsidRPr="5B5EAC97" w:rsidR="27906B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B5EAC97" w:rsidR="27906B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winning of t</w:t>
      </w:r>
      <w:r w:rsidRPr="5B5EAC97" w:rsidR="0234D7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 Vesuvius prize earlier this year for the translation of “passages from [...] one of the more than 800 scrolls known as the Herculaneum papyri”</w:t>
      </w:r>
      <w:r w:rsidRPr="5B5EAC97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32436"/>
      </w:r>
      <w:r w:rsidRPr="5B5EAC97" w:rsidR="7C04BF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There is an essential continuity here, and it is this – in much the same way Jones notes that prior scholarship on Neolithic artefacts is not </w:t>
      </w:r>
      <w:r w:rsidRPr="5B5EAC97" w:rsidR="7C04BF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rendered</w:t>
      </w:r>
      <w:r w:rsidRPr="5B5EAC97" w:rsidR="7C04BF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irrelevant by no</w:t>
      </w:r>
      <w:r w:rsidRPr="5B5EAC97" w:rsidR="18A586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vel additions, the investigation of the assemblage the Villa of the Papyri </w:t>
      </w:r>
      <w:r w:rsidRPr="5B5EAC97" w:rsidR="18A586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was</w:t>
      </w:r>
      <w:r w:rsidRPr="5B5EAC97" w:rsidR="18A586D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has</w:t>
      </w:r>
      <w:r w:rsidRPr="5B5EAC97" w:rsidR="18A586D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become the foundation of the dynamic assemblage the Villa of the Papyri </w:t>
      </w:r>
      <w:r w:rsidRPr="5B5EAC97" w:rsidR="18A586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is</w:t>
      </w:r>
      <w:r w:rsidRPr="5B5EAC97" w:rsidR="41CFD07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The </w:t>
      </w:r>
      <w:r w:rsidRPr="5B5EAC97" w:rsidR="41CFD07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hetereogenity</w:t>
      </w:r>
      <w:r w:rsidRPr="5B5EAC97" w:rsidR="41CFD07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of this assemblage – the modular ’plug-and-play' of modern scientific techniques and the antiquity of the </w:t>
      </w:r>
      <w:r w:rsidRPr="5B5EAC97" w:rsidR="30E934E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record they act on and are acted upon by – is the point entire.</w:t>
      </w:r>
    </w:p>
    <w:p w:rsidR="30E934EF" w:rsidP="5B5EAC97" w:rsidRDefault="30E934EF" w14:paraId="18607035" w14:textId="7CBDD8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5B5EAC97" w:rsidR="30E934E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To conclude, then, if the Villa of the Papyri is understood as an assemblage, its antiquity is the foundation of its agency</w:t>
      </w:r>
      <w:r w:rsidRPr="5B5EAC97" w:rsidR="2D04BEC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– and the agency of its environs, for which it was selected, the foundation of its preservation in such a state as to make that half-way house viable.</w:t>
      </w:r>
    </w:p>
    <w:p w:rsidR="5B5EAC97" w:rsidP="5B5EAC97" w:rsidRDefault="5B5EAC97" w14:paraId="5890D0C7" w14:textId="5A9C8C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05D8B9A1" w14:textId="5DF0CF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3AA2955F" w14:textId="0623CC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78733B67" w14:textId="33BA45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5C515417" w14:textId="28C504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2CB2EC42" w14:textId="0F998E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57960F71" w14:textId="4B4FFB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6DBEDA1F" w14:textId="5A4231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384EFA73" w14:textId="1E92A9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7EEC6FC0" w14:textId="255ADA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4418CC2F" w14:textId="7EAAFA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0011520D" w14:textId="7AD738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609B232B" w14:textId="500AB1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4E2B3C68" w14:textId="798F46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25EE3A32" w14:textId="60D654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63A02459" w14:textId="3A279C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592F7BA7" w14:textId="342519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7DA10469" w14:textId="057BE9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1C8A0F8D" w14:textId="1A889E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430A7BEA" w14:textId="409CF4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053EF72B" w14:textId="116756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68709DB7" w14:textId="6AA9B9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09063E06" w14:textId="3E6B8E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B5EAC97" w:rsidP="5B5EAC97" w:rsidRDefault="5B5EAC97" w14:paraId="4B82582D" w14:textId="4649CA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2D04BECE" w:rsidP="5B5EAC97" w:rsidRDefault="2D04BECE" w14:paraId="6048C5AC" w14:textId="0903A8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5B5EAC97" w:rsidR="2D04BEC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Bibliography</w:t>
      </w:r>
    </w:p>
    <w:p w:rsidR="5B5EAC97" w:rsidP="5B5EAC97" w:rsidRDefault="5B5EAC97" w14:paraId="1DEE40B0" w14:textId="664A27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2D04BECE" w:rsidP="5B5EAC97" w:rsidRDefault="2D04BECE" w14:paraId="396AF823" w14:textId="09F4C2DA">
      <w:pPr>
        <w:bidi w:val="0"/>
        <w:spacing w:before="0" w:beforeAutospacing="off" w:after="240" w:afterAutospacing="off" w:line="360" w:lineRule="auto"/>
        <w:jc w:val="left"/>
      </w:pPr>
      <w:r w:rsidRPr="5B5EAC97" w:rsidR="2D04BE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Bennett, J. (2010). </w:t>
      </w:r>
      <w:r w:rsidRPr="5B5EAC97" w:rsidR="2D04BEC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Vibrant Matter: A Political Ecology of Things</w:t>
      </w:r>
      <w:r w:rsidRPr="5B5EAC97" w:rsidR="2D04BE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Durham: Duke University Press.</w:t>
      </w:r>
    </w:p>
    <w:p w:rsidR="2D04BECE" w:rsidP="5B5EAC97" w:rsidRDefault="2D04BECE" w14:paraId="46AAEFAE" w14:textId="426E9CF2">
      <w:pPr>
        <w:bidi w:val="0"/>
        <w:spacing w:before="0" w:beforeAutospacing="off" w:after="240" w:afterAutospacing="off" w:line="360" w:lineRule="auto"/>
        <w:jc w:val="left"/>
      </w:pPr>
      <w:r w:rsidRPr="5B5EAC97" w:rsidR="2D04BE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Deleuze, G. and Guattari, F. (1987). </w:t>
      </w:r>
      <w:r w:rsidRPr="5B5EAC97" w:rsidR="2D04BEC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 Thousand Plateaus: Capitalism and Schizophrenia</w:t>
      </w:r>
      <w:r w:rsidRPr="5B5EAC97" w:rsidR="2D04BE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Translated by B. Massumi. London [U.A.] Bloomsbury. Available at: </w:t>
      </w:r>
      <w:hyperlink r:id="R9aa0224d0cc34f3b">
        <w:r w:rsidRPr="5B5EAC97" w:rsidR="2D04BEC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https://files.libcom.org/files/A%20Thousand%20Plateaus.pdf</w:t>
        </w:r>
      </w:hyperlink>
      <w:r w:rsidRPr="5B5EAC97" w:rsidR="2D04BE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D04BECE" w:rsidP="5B5EAC97" w:rsidRDefault="2D04BECE" w14:paraId="7FBC6F42" w14:textId="4A46347D">
      <w:pPr>
        <w:bidi w:val="0"/>
        <w:spacing w:before="0" w:beforeAutospacing="off" w:after="240" w:afterAutospacing="off" w:line="360" w:lineRule="auto"/>
        <w:jc w:val="left"/>
      </w:pPr>
      <w:r w:rsidRPr="5B5EAC97" w:rsidR="2D04BE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Gilles Deleuze and Félix Guattari (2015). </w:t>
      </w:r>
      <w:r w:rsidRPr="5B5EAC97" w:rsidR="2D04BEC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Philosophy?</w:t>
      </w:r>
      <w:r w:rsidRPr="5B5EAC97" w:rsidR="2D04BE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New York: Verso.</w:t>
      </w:r>
    </w:p>
    <w:p w:rsidR="4DBD6A8A" w:rsidP="5B5EAC97" w:rsidRDefault="4DBD6A8A" w14:paraId="58648243" w14:textId="6E3669A9">
      <w:pPr>
        <w:bidi w:val="0"/>
        <w:spacing w:before="0" w:beforeAutospacing="off" w:after="240" w:afterAutospacing="off" w:line="360" w:lineRule="auto"/>
        <w:jc w:val="left"/>
      </w:pPr>
      <w:r w:rsidRPr="5B5EAC97" w:rsidR="4DBD6A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DeLanda, M. (2016). </w:t>
      </w:r>
      <w:r w:rsidRPr="5B5EAC97" w:rsidR="4DBD6A8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Assemblage Theory</w:t>
      </w:r>
      <w:r w:rsidRPr="5B5EAC97" w:rsidR="4DBD6A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Edinburgh University Press.</w:t>
      </w:r>
    </w:p>
    <w:p w:rsidR="0A1D953A" w:rsidP="5B5EAC97" w:rsidRDefault="0A1D953A" w14:paraId="18573F36" w14:textId="6602E291">
      <w:pPr>
        <w:bidi w:val="0"/>
        <w:spacing w:before="0" w:beforeAutospacing="off" w:after="240" w:afterAutospacing="off" w:line="360" w:lineRule="auto"/>
        <w:jc w:val="left"/>
      </w:pPr>
      <w:r w:rsidRPr="5B5EAC97" w:rsidR="0A1D95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Jones, A.M. (2017). The Art of Assemblage: Styling Neolithic Art. </w:t>
      </w:r>
      <w:r w:rsidRPr="5B5EAC97" w:rsidR="0A1D953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Cambridge Archaeological Journal</w:t>
      </w:r>
      <w:r w:rsidRPr="5B5EAC97" w:rsidR="0A1D95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27(1), pp.85–94. doi:https://doi.org/10.1017/s0959774316000561.</w:t>
      </w:r>
    </w:p>
    <w:p w:rsidR="0A1D953A" w:rsidP="5B5EAC97" w:rsidRDefault="0A1D953A" w14:paraId="3B7E7835" w14:textId="29E2EB11">
      <w:pPr>
        <w:bidi w:val="0"/>
        <w:spacing w:before="0" w:before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J. Paul Getty Trust (2019). </w:t>
      </w:r>
      <w:r w:rsidRPr="5B5EAC97" w:rsidR="0A1D953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2"/>
          <w:szCs w:val="22"/>
          <w:lang w:val="en-GB"/>
        </w:rPr>
        <w:t>Exhibition Checklist - Buried by Vesuvius: Treasures from the Villa dei Papyri</w:t>
      </w:r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[online] </w:t>
      </w:r>
      <w:hyperlink r:id="Recb20976d7f7493d">
        <w:r w:rsidRPr="5B5EAC97" w:rsidR="0A1D953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https://www.getty.edu/</w:t>
        </w:r>
      </w:hyperlink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Available at: </w:t>
      </w:r>
      <w:hyperlink r:id="R19bd66b346fb45ee">
        <w:r w:rsidRPr="5B5EAC97" w:rsidR="0A1D953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https://www.getty.edu/art/exhibitions/villa_papiri/downloads/villa_papyri_objects.pdf</w:t>
        </w:r>
      </w:hyperlink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</w:p>
    <w:p w:rsidR="0A1D953A" w:rsidP="5B5EAC97" w:rsidRDefault="0A1D953A" w14:paraId="16C5F360" w14:textId="531A6E32">
      <w:pPr>
        <w:bidi w:val="0"/>
        <w:spacing w:before="0" w:before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Wallace-</w:t>
      </w:r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Hadrill</w:t>
      </w:r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A. (2020). </w:t>
      </w:r>
      <w:r w:rsidRPr="5B5EAC97" w:rsidR="0A1D953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Roman holiday, 40BC: an in-depth view of the Villa dei </w:t>
      </w:r>
      <w:r w:rsidRPr="5B5EAC97" w:rsidR="0A1D953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Papiri</w:t>
      </w:r>
      <w:r w:rsidRPr="5B5EAC97" w:rsidR="0A1D953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, the inspiration for the Getty Villa</w:t>
      </w:r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[online] The Art Newspaper - International art news and events. Available at: </w:t>
      </w:r>
      <w:hyperlink r:id="Rae486070b0b14a17">
        <w:r w:rsidRPr="5B5EAC97" w:rsidR="0A1D953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https://www.theartnewspaper.com/2020/07/17/roman-holiday-40bc-an-in-depth-view-of-the-villa-dei-papiri-the-inspiration-for-the-getty-villa</w:t>
        </w:r>
      </w:hyperlink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w:rsidR="0A1D953A" w:rsidP="5B5EAC97" w:rsidRDefault="0A1D953A" w14:paraId="2999A332" w14:textId="37F634F7">
      <w:pPr>
        <w:bidi w:val="0"/>
        <w:spacing w:before="0" w:before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Magazine, S. and Bassi, M. (2024). </w:t>
      </w:r>
      <w:r w:rsidRPr="5B5EAC97" w:rsidR="0A1D953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Three Students Just Deciphered the First Passages of a 2,000-Year-Old Scroll Burned in Vesuvius’ Eruption</w:t>
      </w:r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[online] Smithsonian Magazine. Available at: </w:t>
      </w:r>
      <w:hyperlink r:id="Ra7f9708f52bf453d">
        <w:r w:rsidRPr="5B5EAC97" w:rsidR="0A1D953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https://www.smithsonianmag.com/smart-news/three-students-decipher-first-passages-2000-year-old-scroll-burned-vesuvius-eruption-180983738/</w:t>
        </w:r>
      </w:hyperlink>
      <w:r w:rsidRPr="5B5EAC97" w:rsidR="0A1D95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w:rsidR="0A1D953A" w:rsidP="5B5EAC97" w:rsidRDefault="0A1D953A" w14:paraId="405C641F" w14:textId="5798CA06">
      <w:pPr>
        <w:bidi w:val="0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B5EAC97" w:rsidR="0A1D95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Conneller</w:t>
      </w:r>
      <w:r w:rsidRPr="5B5EAC97" w:rsidR="0A1D95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C. (2017). Commentary: Materializing Assemblages. </w:t>
      </w:r>
      <w:r w:rsidRPr="5B5EAC97" w:rsidR="0A1D953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Cambridge Archaeological Journal</w:t>
      </w:r>
      <w:r w:rsidRPr="5B5EAC97" w:rsidR="0A1D95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27(1), pp.183–185. </w:t>
      </w:r>
      <w:r w:rsidRPr="5B5EAC97" w:rsidR="0A1D95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5B5EAC97" w:rsidR="0A1D95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://doi.org/10.1017/s0959774316000652.</w:t>
      </w:r>
    </w:p>
    <w:p w:rsidR="5B5EAC97" w:rsidP="5B5EAC97" w:rsidRDefault="5B5EAC97" w14:paraId="63BA2D1A" w14:textId="18326D23">
      <w:pPr>
        <w:bidi w:val="0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B5EAC97" w:rsidP="5B5EAC97" w:rsidRDefault="5B5EAC97" w14:paraId="2EBC7324" w14:textId="2AF3F5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5B5EAC97" w:rsidRDefault="5B5EAC97" w14:paraId="4CC0F232" w14:textId="39A99F77">
      <w:pPr>
        <w:spacing w:after="0" w:line="240" w:lineRule="auto"/>
      </w:pPr>
      <w:r>
        <w:separator/>
      </w:r>
    </w:p>
  </w:footnote>
  <w:footnote w:type="continuationSeparator" w:id="0">
    <w:p w:rsidR="5B5EAC97" w:rsidRDefault="5B5EAC97" w14:paraId="69A22C2C" w14:textId="131633B3">
      <w:pPr>
        <w:spacing w:after="0" w:line="240" w:lineRule="auto"/>
      </w:pPr>
      <w:r>
        <w:continuationSeparator/>
      </w:r>
    </w:p>
  </w:footnote>
  <w:footnote w:id="13132">
    <w:p w:rsidR="5B5EAC97" w:rsidP="5B5EAC97" w:rsidRDefault="5B5EAC97" w14:paraId="6AC5B472" w14:textId="6569E929">
      <w:pPr>
        <w:pStyle w:val="FootnoteText"/>
        <w:bidi w:val="0"/>
      </w:pPr>
      <w:r w:rsidRPr="5B5EAC97">
        <w:rPr>
          <w:rStyle w:val="FootnoteReference"/>
        </w:rPr>
        <w:footnoteRef/>
      </w:r>
      <w:r w:rsidR="5B5EAC97">
        <w:rPr/>
        <w:t xml:space="preserve"> (Bennett, 2010)</w:t>
      </w:r>
    </w:p>
  </w:footnote>
  <w:footnote w:id="15464">
    <w:p w:rsidR="5B5EAC97" w:rsidP="5B5EAC97" w:rsidRDefault="5B5EAC97" w14:paraId="4B296D3B" w14:textId="24646568">
      <w:pPr>
        <w:pStyle w:val="FootnoteText"/>
        <w:bidi w:val="0"/>
      </w:pPr>
      <w:r w:rsidRPr="5B5EAC97">
        <w:rPr>
          <w:rStyle w:val="FootnoteReference"/>
        </w:rPr>
        <w:footnoteRef/>
      </w:r>
      <w:r w:rsidR="5B5EAC97">
        <w:rPr/>
        <w:t xml:space="preserve"> (Nail, 2017)</w:t>
      </w:r>
    </w:p>
  </w:footnote>
  <w:footnote w:id="32582">
    <w:p w:rsidR="5B5EAC97" w:rsidP="5B5EAC97" w:rsidRDefault="5B5EAC97" w14:paraId="35EEFE94" w14:textId="49ABF37C">
      <w:pPr>
        <w:pStyle w:val="FootnoteText"/>
        <w:bidi w:val="0"/>
      </w:pPr>
      <w:r w:rsidRPr="5B5EAC97">
        <w:rPr>
          <w:rStyle w:val="FootnoteReference"/>
        </w:rPr>
        <w:footnoteRef/>
      </w:r>
      <w:r w:rsidR="5B5EAC97">
        <w:rPr/>
        <w:t xml:space="preserve"> (Nails, 2017)</w:t>
      </w:r>
    </w:p>
  </w:footnote>
  <w:footnote w:id="7042">
    <w:p w:rsidR="5B5EAC97" w:rsidP="5B5EAC97" w:rsidRDefault="5B5EAC97" w14:paraId="3E0D994B" w14:textId="529CDB64">
      <w:pPr>
        <w:pStyle w:val="FootnoteText"/>
        <w:bidi w:val="0"/>
      </w:pPr>
      <w:r w:rsidRPr="5B5EAC97">
        <w:rPr>
          <w:rStyle w:val="FootnoteReference"/>
        </w:rPr>
        <w:footnoteRef/>
      </w:r>
      <w:r w:rsidR="5B5EAC97">
        <w:rPr/>
        <w:t xml:space="preserve"> (</w:t>
      </w:r>
      <w:r w:rsidR="5B5EAC97">
        <w:rPr/>
        <w:t>DeLanda</w:t>
      </w:r>
      <w:r w:rsidR="5B5EAC97">
        <w:rPr/>
        <w:t>, 2016)</w:t>
      </w:r>
      <w:r>
        <w:br/>
      </w:r>
      <w:r w:rsidR="5B5EAC97">
        <w:rPr/>
        <w:t>[emphasis his]</w:t>
      </w:r>
    </w:p>
  </w:footnote>
  <w:footnote w:id="21845">
    <w:p w:rsidR="5B5EAC97" w:rsidP="5B5EAC97" w:rsidRDefault="5B5EAC97" w14:paraId="1C7FA7F9" w14:textId="47E93C71">
      <w:pPr>
        <w:pStyle w:val="FootnoteText"/>
        <w:bidi w:val="0"/>
      </w:pPr>
      <w:r w:rsidRPr="5B5EAC97">
        <w:rPr>
          <w:rStyle w:val="FootnoteReference"/>
        </w:rPr>
        <w:footnoteRef/>
      </w:r>
      <w:r w:rsidR="5B5EAC97">
        <w:rPr/>
        <w:t xml:space="preserve"> (Bennett, 2010)</w:t>
      </w:r>
    </w:p>
    <w:p w:rsidR="5B5EAC97" w:rsidP="5B5EAC97" w:rsidRDefault="5B5EAC97" w14:paraId="4ED08C83" w14:textId="3CA1A6E6">
      <w:pPr>
        <w:pStyle w:val="FootnoteText"/>
        <w:bidi w:val="0"/>
      </w:pPr>
      <w:r w:rsidR="5B5EAC97">
        <w:rPr/>
        <w:t>[emphasis hers]</w:t>
      </w:r>
    </w:p>
  </w:footnote>
  <w:footnote w:id="10934">
    <w:p w:rsidR="5B5EAC97" w:rsidP="5B5EAC97" w:rsidRDefault="5B5EAC97" w14:paraId="246D7DE6" w14:textId="444E9695">
      <w:pPr>
        <w:pStyle w:val="FootnoteText"/>
        <w:bidi w:val="0"/>
      </w:pPr>
      <w:r w:rsidRPr="5B5EAC97">
        <w:rPr>
          <w:rStyle w:val="FootnoteReference"/>
        </w:rPr>
        <w:footnoteRef/>
      </w:r>
      <w:r w:rsidR="5B5EAC97">
        <w:rPr/>
        <w:t xml:space="preserve"> (Jones, 2016)</w:t>
      </w:r>
    </w:p>
  </w:footnote>
  <w:footnote w:id="29619">
    <w:p w:rsidR="5B5EAC97" w:rsidP="5B5EAC97" w:rsidRDefault="5B5EAC97" w14:paraId="39C6A789" w14:textId="5744FE2A">
      <w:pPr>
        <w:pStyle w:val="FootnoteText"/>
        <w:bidi w:val="0"/>
      </w:pPr>
      <w:r w:rsidRPr="5B5EAC97">
        <w:rPr>
          <w:rStyle w:val="FootnoteReference"/>
        </w:rPr>
        <w:footnoteRef/>
      </w:r>
      <w:r w:rsidR="5B5EAC97">
        <w:rPr/>
        <w:t xml:space="preserve"> (Jones, 2016)</w:t>
      </w:r>
    </w:p>
  </w:footnote>
  <w:footnote w:id="18361">
    <w:p w:rsidR="5B5EAC97" w:rsidP="5B5EAC97" w:rsidRDefault="5B5EAC97" w14:paraId="3AEB3D2F" w14:textId="741E1032">
      <w:pPr>
        <w:pStyle w:val="FootnoteText"/>
        <w:bidi w:val="0"/>
      </w:pPr>
      <w:r w:rsidRPr="5B5EAC97">
        <w:rPr>
          <w:rStyle w:val="FootnoteReference"/>
        </w:rPr>
        <w:footnoteRef/>
      </w:r>
      <w:r w:rsidR="5B5EAC97">
        <w:rPr/>
        <w:t xml:space="preserve"> (</w:t>
      </w:r>
      <w:r w:rsidR="5B5EAC97">
        <w:rPr/>
        <w:t>Conneller</w:t>
      </w:r>
      <w:r w:rsidR="5B5EAC97">
        <w:rPr/>
        <w:t>, 2017)</w:t>
      </w:r>
    </w:p>
  </w:footnote>
  <w:footnote w:id="25707">
    <w:p w:rsidR="5B5EAC97" w:rsidP="5B5EAC97" w:rsidRDefault="5B5EAC97" w14:paraId="78B58E04" w14:textId="6A6969BE">
      <w:pPr>
        <w:pStyle w:val="FootnoteText"/>
        <w:bidi w:val="0"/>
      </w:pPr>
      <w:r w:rsidRPr="5B5EAC97">
        <w:rPr>
          <w:rStyle w:val="FootnoteReference"/>
        </w:rPr>
        <w:footnoteRef/>
      </w:r>
      <w:r w:rsidR="5B5EAC97">
        <w:rPr/>
        <w:t xml:space="preserve"> (Wallace-</w:t>
      </w:r>
      <w:r w:rsidR="5B5EAC97">
        <w:rPr/>
        <w:t>Hadrill</w:t>
      </w:r>
      <w:r w:rsidR="5B5EAC97">
        <w:rPr/>
        <w:t>, 2020)</w:t>
      </w:r>
    </w:p>
  </w:footnote>
  <w:footnote w:id="32436">
    <w:p w:rsidR="5B5EAC97" w:rsidP="5B5EAC97" w:rsidRDefault="5B5EAC97" w14:paraId="4B2A42FA" w14:textId="01165EFD">
      <w:pPr>
        <w:pStyle w:val="FootnoteText"/>
        <w:bidi w:val="0"/>
      </w:pPr>
      <w:r w:rsidRPr="5B5EAC97">
        <w:rPr>
          <w:rStyle w:val="FootnoteReference"/>
        </w:rPr>
        <w:footnoteRef/>
      </w:r>
      <w:r w:rsidR="5B5EAC97">
        <w:rPr/>
        <w:t xml:space="preserve"> (Bassi, 2024)</w:t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8cDEStmznzyrEo" int2:id="esmUotrw">
      <int2:state int2:type="AugLoop_Text_Critique" int2:value="Rejected"/>
    </int2:textHash>
    <int2:textHash int2:hashCode="YOAQAToM7KYQWn" int2:id="wuxSaDjg">
      <int2:state int2:type="AugLoop_Text_Critique" int2:value="Rejected"/>
    </int2:textHash>
    <int2:bookmark int2:bookmarkName="_Int_bAtuvpBK" int2:invalidationBookmarkName="" int2:hashCode="UJx78g5HFnNY1T" int2:id="qNxZ1XRD">
      <int2:state int2:type="AugLoop_Text_Critique" int2:value="Rejected"/>
    </int2:bookmark>
    <int2:bookmark int2:bookmarkName="_Int_usVu1uIg" int2:invalidationBookmarkName="" int2:hashCode="V9ivzS98IUcTOL" int2:id="9o6vlgkN">
      <int2:state int2:type="AugLoop_Text_Critique" int2:value="Rejected"/>
    </int2:bookmark>
    <int2:bookmark int2:bookmarkName="_Int_6PHQJlhl" int2:invalidationBookmarkName="" int2:hashCode="xXpy060YWM1Re0" int2:id="0QwBM4r5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FA4B7A"/>
    <w:rsid w:val="0027C3A7"/>
    <w:rsid w:val="00AB15E3"/>
    <w:rsid w:val="00D5E647"/>
    <w:rsid w:val="013F6633"/>
    <w:rsid w:val="0154EC27"/>
    <w:rsid w:val="0180055C"/>
    <w:rsid w:val="019664B9"/>
    <w:rsid w:val="01987659"/>
    <w:rsid w:val="01A126A7"/>
    <w:rsid w:val="01BCD616"/>
    <w:rsid w:val="01E0DB30"/>
    <w:rsid w:val="01EE4FBD"/>
    <w:rsid w:val="02122AEE"/>
    <w:rsid w:val="02249618"/>
    <w:rsid w:val="022DD07C"/>
    <w:rsid w:val="0234D79C"/>
    <w:rsid w:val="0246A2DD"/>
    <w:rsid w:val="02774EC3"/>
    <w:rsid w:val="028DB65D"/>
    <w:rsid w:val="02A6876F"/>
    <w:rsid w:val="02B71F05"/>
    <w:rsid w:val="02ED5271"/>
    <w:rsid w:val="02F46A73"/>
    <w:rsid w:val="03316343"/>
    <w:rsid w:val="0353FEAC"/>
    <w:rsid w:val="040230F3"/>
    <w:rsid w:val="040B2545"/>
    <w:rsid w:val="052EAD08"/>
    <w:rsid w:val="056668E0"/>
    <w:rsid w:val="05C293B4"/>
    <w:rsid w:val="063E1CE8"/>
    <w:rsid w:val="066ECDC8"/>
    <w:rsid w:val="069EF375"/>
    <w:rsid w:val="06D6B9F3"/>
    <w:rsid w:val="06E4A749"/>
    <w:rsid w:val="07097648"/>
    <w:rsid w:val="07325E91"/>
    <w:rsid w:val="07388A51"/>
    <w:rsid w:val="07426976"/>
    <w:rsid w:val="074A2FCA"/>
    <w:rsid w:val="07E94B31"/>
    <w:rsid w:val="07F17B0D"/>
    <w:rsid w:val="07F6686B"/>
    <w:rsid w:val="0833F600"/>
    <w:rsid w:val="08367638"/>
    <w:rsid w:val="085F8D8A"/>
    <w:rsid w:val="0899FEC3"/>
    <w:rsid w:val="08CA41F0"/>
    <w:rsid w:val="08D48B01"/>
    <w:rsid w:val="098B08EF"/>
    <w:rsid w:val="09A81771"/>
    <w:rsid w:val="0A1D953A"/>
    <w:rsid w:val="0A7F4C51"/>
    <w:rsid w:val="0A9BA540"/>
    <w:rsid w:val="0AC70A4A"/>
    <w:rsid w:val="0AE0E721"/>
    <w:rsid w:val="0B0C023D"/>
    <w:rsid w:val="0B2783BD"/>
    <w:rsid w:val="0B39A87A"/>
    <w:rsid w:val="0B5437F1"/>
    <w:rsid w:val="0B85CE50"/>
    <w:rsid w:val="0BB51040"/>
    <w:rsid w:val="0C5676E9"/>
    <w:rsid w:val="0CD22AEA"/>
    <w:rsid w:val="0CF119F9"/>
    <w:rsid w:val="0D027E91"/>
    <w:rsid w:val="0D4D646E"/>
    <w:rsid w:val="0DDD5078"/>
    <w:rsid w:val="0E294E30"/>
    <w:rsid w:val="0E3C02B3"/>
    <w:rsid w:val="0E8517E7"/>
    <w:rsid w:val="0F50B8AA"/>
    <w:rsid w:val="0F863D97"/>
    <w:rsid w:val="0FE29F14"/>
    <w:rsid w:val="105792BE"/>
    <w:rsid w:val="10C63C5F"/>
    <w:rsid w:val="10D4CA2C"/>
    <w:rsid w:val="10F9DBC6"/>
    <w:rsid w:val="1151DA02"/>
    <w:rsid w:val="11577897"/>
    <w:rsid w:val="12431A2E"/>
    <w:rsid w:val="127ED25A"/>
    <w:rsid w:val="12A4ACE3"/>
    <w:rsid w:val="12BCA346"/>
    <w:rsid w:val="12DCD029"/>
    <w:rsid w:val="13200425"/>
    <w:rsid w:val="136F086B"/>
    <w:rsid w:val="137FF5F5"/>
    <w:rsid w:val="13C29D72"/>
    <w:rsid w:val="14D86E88"/>
    <w:rsid w:val="156E5BD1"/>
    <w:rsid w:val="1593E7B3"/>
    <w:rsid w:val="159AF846"/>
    <w:rsid w:val="15A3D376"/>
    <w:rsid w:val="16202C60"/>
    <w:rsid w:val="16204E3C"/>
    <w:rsid w:val="162822DE"/>
    <w:rsid w:val="16D9B1DB"/>
    <w:rsid w:val="16FC221E"/>
    <w:rsid w:val="1703933C"/>
    <w:rsid w:val="1712038C"/>
    <w:rsid w:val="1788F2CC"/>
    <w:rsid w:val="17A5210D"/>
    <w:rsid w:val="17A7394D"/>
    <w:rsid w:val="17DF85D5"/>
    <w:rsid w:val="180B8B60"/>
    <w:rsid w:val="187316F9"/>
    <w:rsid w:val="18925840"/>
    <w:rsid w:val="189E033C"/>
    <w:rsid w:val="18A586D2"/>
    <w:rsid w:val="18B10A1E"/>
    <w:rsid w:val="18D67938"/>
    <w:rsid w:val="1902E002"/>
    <w:rsid w:val="1921C678"/>
    <w:rsid w:val="197201ED"/>
    <w:rsid w:val="19BBEE37"/>
    <w:rsid w:val="19D777C1"/>
    <w:rsid w:val="19E50BEA"/>
    <w:rsid w:val="1A2261E1"/>
    <w:rsid w:val="1A575561"/>
    <w:rsid w:val="1A747868"/>
    <w:rsid w:val="1A8ABB6D"/>
    <w:rsid w:val="1AA68D5E"/>
    <w:rsid w:val="1AF928A2"/>
    <w:rsid w:val="1B6E6A93"/>
    <w:rsid w:val="1B774D60"/>
    <w:rsid w:val="1BE1726B"/>
    <w:rsid w:val="1BF08B46"/>
    <w:rsid w:val="1BF834F4"/>
    <w:rsid w:val="1C13D087"/>
    <w:rsid w:val="1C780421"/>
    <w:rsid w:val="1CAB8280"/>
    <w:rsid w:val="1CB22F0C"/>
    <w:rsid w:val="1CC59C4F"/>
    <w:rsid w:val="1D2C80B1"/>
    <w:rsid w:val="1D97479E"/>
    <w:rsid w:val="1DA32C4D"/>
    <w:rsid w:val="1E15AAD4"/>
    <w:rsid w:val="1E936176"/>
    <w:rsid w:val="1EAAF90A"/>
    <w:rsid w:val="1EC12DFE"/>
    <w:rsid w:val="1EE256D0"/>
    <w:rsid w:val="1F469A6B"/>
    <w:rsid w:val="1F6415AA"/>
    <w:rsid w:val="1F70F6B7"/>
    <w:rsid w:val="1F8BDAA9"/>
    <w:rsid w:val="1FB14527"/>
    <w:rsid w:val="1FB50C4D"/>
    <w:rsid w:val="1FCC7D7F"/>
    <w:rsid w:val="1FDE2E74"/>
    <w:rsid w:val="200AF412"/>
    <w:rsid w:val="200E0334"/>
    <w:rsid w:val="203AACE4"/>
    <w:rsid w:val="20482273"/>
    <w:rsid w:val="20E8B30C"/>
    <w:rsid w:val="20ED9668"/>
    <w:rsid w:val="21134B7B"/>
    <w:rsid w:val="21310936"/>
    <w:rsid w:val="213C6287"/>
    <w:rsid w:val="215CD98E"/>
    <w:rsid w:val="21615665"/>
    <w:rsid w:val="21D778D5"/>
    <w:rsid w:val="2233B6BE"/>
    <w:rsid w:val="22D2681A"/>
    <w:rsid w:val="234CF97C"/>
    <w:rsid w:val="23AB9590"/>
    <w:rsid w:val="23B8C7DC"/>
    <w:rsid w:val="23E47E0B"/>
    <w:rsid w:val="24125CCF"/>
    <w:rsid w:val="245546C8"/>
    <w:rsid w:val="2492E2C1"/>
    <w:rsid w:val="24B96523"/>
    <w:rsid w:val="25072EAB"/>
    <w:rsid w:val="2589C7F8"/>
    <w:rsid w:val="25923FA3"/>
    <w:rsid w:val="25D80277"/>
    <w:rsid w:val="25DC7494"/>
    <w:rsid w:val="25F4B336"/>
    <w:rsid w:val="260F5F71"/>
    <w:rsid w:val="261F0EAE"/>
    <w:rsid w:val="2633C600"/>
    <w:rsid w:val="2652EFBF"/>
    <w:rsid w:val="267DFC96"/>
    <w:rsid w:val="26C39017"/>
    <w:rsid w:val="27167CFA"/>
    <w:rsid w:val="27906BB7"/>
    <w:rsid w:val="27A3CBAB"/>
    <w:rsid w:val="27B8913C"/>
    <w:rsid w:val="27C27087"/>
    <w:rsid w:val="27DB8234"/>
    <w:rsid w:val="27ED9267"/>
    <w:rsid w:val="28432EA8"/>
    <w:rsid w:val="28462872"/>
    <w:rsid w:val="28874FC9"/>
    <w:rsid w:val="28902DAA"/>
    <w:rsid w:val="28F6132E"/>
    <w:rsid w:val="28FA4B7A"/>
    <w:rsid w:val="290BB25B"/>
    <w:rsid w:val="29695506"/>
    <w:rsid w:val="29712366"/>
    <w:rsid w:val="29C5B418"/>
    <w:rsid w:val="29FF712F"/>
    <w:rsid w:val="2A60FCAC"/>
    <w:rsid w:val="2A974848"/>
    <w:rsid w:val="2AD77E03"/>
    <w:rsid w:val="2B265D23"/>
    <w:rsid w:val="2B304C2F"/>
    <w:rsid w:val="2B7DB2F9"/>
    <w:rsid w:val="2BDE3C48"/>
    <w:rsid w:val="2BF1834F"/>
    <w:rsid w:val="2BF75F6A"/>
    <w:rsid w:val="2BFBE080"/>
    <w:rsid w:val="2C40218B"/>
    <w:rsid w:val="2C6F17C7"/>
    <w:rsid w:val="2CBE2D90"/>
    <w:rsid w:val="2CD10B8C"/>
    <w:rsid w:val="2CE23373"/>
    <w:rsid w:val="2CF61452"/>
    <w:rsid w:val="2D04BECE"/>
    <w:rsid w:val="2D055DF1"/>
    <w:rsid w:val="2D2B58FD"/>
    <w:rsid w:val="2DF25313"/>
    <w:rsid w:val="2DF948B7"/>
    <w:rsid w:val="2E311D50"/>
    <w:rsid w:val="2E92C5F1"/>
    <w:rsid w:val="2EB3348F"/>
    <w:rsid w:val="2EB675AD"/>
    <w:rsid w:val="2F0DE3C1"/>
    <w:rsid w:val="2F1FAA2A"/>
    <w:rsid w:val="2F2B9598"/>
    <w:rsid w:val="2F35DE78"/>
    <w:rsid w:val="2F3BE5EA"/>
    <w:rsid w:val="2F4B488E"/>
    <w:rsid w:val="2F5A3BBE"/>
    <w:rsid w:val="2F6176AC"/>
    <w:rsid w:val="2F6A72DB"/>
    <w:rsid w:val="2FF57173"/>
    <w:rsid w:val="3023B7CD"/>
    <w:rsid w:val="307B901D"/>
    <w:rsid w:val="30E934EF"/>
    <w:rsid w:val="30EBC8F4"/>
    <w:rsid w:val="30F0780B"/>
    <w:rsid w:val="3103A77E"/>
    <w:rsid w:val="312CC74A"/>
    <w:rsid w:val="313A5ADF"/>
    <w:rsid w:val="3171A2A0"/>
    <w:rsid w:val="31A65C3D"/>
    <w:rsid w:val="31B705C1"/>
    <w:rsid w:val="3205676C"/>
    <w:rsid w:val="3229005C"/>
    <w:rsid w:val="327A7691"/>
    <w:rsid w:val="3287EDB1"/>
    <w:rsid w:val="32C501EE"/>
    <w:rsid w:val="33429135"/>
    <w:rsid w:val="336515BF"/>
    <w:rsid w:val="3390C11C"/>
    <w:rsid w:val="33D64FD2"/>
    <w:rsid w:val="340C6CF7"/>
    <w:rsid w:val="3471B6D6"/>
    <w:rsid w:val="349C256E"/>
    <w:rsid w:val="351E9E4C"/>
    <w:rsid w:val="35496714"/>
    <w:rsid w:val="3555BB79"/>
    <w:rsid w:val="359F9C82"/>
    <w:rsid w:val="35C22E67"/>
    <w:rsid w:val="3613522F"/>
    <w:rsid w:val="3644E053"/>
    <w:rsid w:val="367C8D73"/>
    <w:rsid w:val="368773C6"/>
    <w:rsid w:val="369DEA5A"/>
    <w:rsid w:val="36AD0F77"/>
    <w:rsid w:val="374C1D6B"/>
    <w:rsid w:val="37A28378"/>
    <w:rsid w:val="385605CD"/>
    <w:rsid w:val="38692D86"/>
    <w:rsid w:val="394F5062"/>
    <w:rsid w:val="39AA0378"/>
    <w:rsid w:val="39FD5B02"/>
    <w:rsid w:val="3A7F5AFF"/>
    <w:rsid w:val="3A97D10C"/>
    <w:rsid w:val="3AAFCA85"/>
    <w:rsid w:val="3B35C377"/>
    <w:rsid w:val="3B3D74BE"/>
    <w:rsid w:val="3B43DA88"/>
    <w:rsid w:val="3BE43D1C"/>
    <w:rsid w:val="3BF0E281"/>
    <w:rsid w:val="3BFAA580"/>
    <w:rsid w:val="3CAC9D73"/>
    <w:rsid w:val="3CE22436"/>
    <w:rsid w:val="3D06A62C"/>
    <w:rsid w:val="3D26871C"/>
    <w:rsid w:val="3D629CA7"/>
    <w:rsid w:val="3DBDEE5F"/>
    <w:rsid w:val="3DCC7BEA"/>
    <w:rsid w:val="3DE7168A"/>
    <w:rsid w:val="3E7E3CE1"/>
    <w:rsid w:val="3EC8D07F"/>
    <w:rsid w:val="3F515405"/>
    <w:rsid w:val="3F58AC19"/>
    <w:rsid w:val="3FBE20A8"/>
    <w:rsid w:val="4004EF0E"/>
    <w:rsid w:val="4032E3C5"/>
    <w:rsid w:val="4062835B"/>
    <w:rsid w:val="407B8926"/>
    <w:rsid w:val="40805967"/>
    <w:rsid w:val="40BE0F2D"/>
    <w:rsid w:val="41B05A06"/>
    <w:rsid w:val="41CFD07B"/>
    <w:rsid w:val="4259884C"/>
    <w:rsid w:val="42A163BC"/>
    <w:rsid w:val="42B11B4C"/>
    <w:rsid w:val="42CD4653"/>
    <w:rsid w:val="42D6209D"/>
    <w:rsid w:val="42FD6200"/>
    <w:rsid w:val="4350E6B6"/>
    <w:rsid w:val="435C7122"/>
    <w:rsid w:val="437A7316"/>
    <w:rsid w:val="43A80008"/>
    <w:rsid w:val="44409DE3"/>
    <w:rsid w:val="445362C5"/>
    <w:rsid w:val="44B14804"/>
    <w:rsid w:val="45391F9C"/>
    <w:rsid w:val="4598903D"/>
    <w:rsid w:val="459BC0CB"/>
    <w:rsid w:val="466C5931"/>
    <w:rsid w:val="469891BA"/>
    <w:rsid w:val="46A40DAD"/>
    <w:rsid w:val="46B85D1B"/>
    <w:rsid w:val="46DBE84A"/>
    <w:rsid w:val="47559A7B"/>
    <w:rsid w:val="47697E2F"/>
    <w:rsid w:val="47ABC11F"/>
    <w:rsid w:val="47D76FDD"/>
    <w:rsid w:val="47DB8E7F"/>
    <w:rsid w:val="47FCD38A"/>
    <w:rsid w:val="48059664"/>
    <w:rsid w:val="481E5B85"/>
    <w:rsid w:val="48958BF8"/>
    <w:rsid w:val="48986400"/>
    <w:rsid w:val="489DCFCF"/>
    <w:rsid w:val="49138B80"/>
    <w:rsid w:val="4975106F"/>
    <w:rsid w:val="498A4528"/>
    <w:rsid w:val="499F30E7"/>
    <w:rsid w:val="49B3B794"/>
    <w:rsid w:val="49F584EB"/>
    <w:rsid w:val="4A889489"/>
    <w:rsid w:val="4BAE04E8"/>
    <w:rsid w:val="4BAF7834"/>
    <w:rsid w:val="4BFB5B2D"/>
    <w:rsid w:val="4C1D3B84"/>
    <w:rsid w:val="4C690DF9"/>
    <w:rsid w:val="4CA6796E"/>
    <w:rsid w:val="4CC73FB1"/>
    <w:rsid w:val="4CEF6D48"/>
    <w:rsid w:val="4D34F309"/>
    <w:rsid w:val="4D43EA59"/>
    <w:rsid w:val="4D8C3840"/>
    <w:rsid w:val="4D8D7F09"/>
    <w:rsid w:val="4DAD7C6B"/>
    <w:rsid w:val="4DBD6A8A"/>
    <w:rsid w:val="4DDE24AC"/>
    <w:rsid w:val="4DDECCA5"/>
    <w:rsid w:val="4E0FADB5"/>
    <w:rsid w:val="4E1BFE50"/>
    <w:rsid w:val="4E87E5E7"/>
    <w:rsid w:val="4E9D0921"/>
    <w:rsid w:val="4EBEF4F6"/>
    <w:rsid w:val="4F0BE810"/>
    <w:rsid w:val="4F68A850"/>
    <w:rsid w:val="4F6A006C"/>
    <w:rsid w:val="4FB40A2B"/>
    <w:rsid w:val="4FEA6A6F"/>
    <w:rsid w:val="505CDFBD"/>
    <w:rsid w:val="50B555A7"/>
    <w:rsid w:val="50F0AA80"/>
    <w:rsid w:val="510A6C49"/>
    <w:rsid w:val="514C13C1"/>
    <w:rsid w:val="51EA6FB4"/>
    <w:rsid w:val="523D1098"/>
    <w:rsid w:val="523E3FAD"/>
    <w:rsid w:val="5241D124"/>
    <w:rsid w:val="52548F45"/>
    <w:rsid w:val="5256570F"/>
    <w:rsid w:val="526B75E2"/>
    <w:rsid w:val="527AAC40"/>
    <w:rsid w:val="52ABAE06"/>
    <w:rsid w:val="530CCC1A"/>
    <w:rsid w:val="53A39C28"/>
    <w:rsid w:val="53DD3DF7"/>
    <w:rsid w:val="54F98376"/>
    <w:rsid w:val="54FEAB14"/>
    <w:rsid w:val="5516A10D"/>
    <w:rsid w:val="553C8F69"/>
    <w:rsid w:val="5540F12F"/>
    <w:rsid w:val="558CBE04"/>
    <w:rsid w:val="55C73DA0"/>
    <w:rsid w:val="55E4986D"/>
    <w:rsid w:val="55E61E90"/>
    <w:rsid w:val="56156496"/>
    <w:rsid w:val="56694914"/>
    <w:rsid w:val="567039E1"/>
    <w:rsid w:val="56A82508"/>
    <w:rsid w:val="56B74DEE"/>
    <w:rsid w:val="56CE5E08"/>
    <w:rsid w:val="56F56D7F"/>
    <w:rsid w:val="573A520C"/>
    <w:rsid w:val="57A0C2BB"/>
    <w:rsid w:val="57A4F507"/>
    <w:rsid w:val="57C7DCFA"/>
    <w:rsid w:val="57DC5F9A"/>
    <w:rsid w:val="57DF486A"/>
    <w:rsid w:val="581E75B7"/>
    <w:rsid w:val="583E2D0E"/>
    <w:rsid w:val="58987A22"/>
    <w:rsid w:val="58AAE9A3"/>
    <w:rsid w:val="58C52EF9"/>
    <w:rsid w:val="590571F2"/>
    <w:rsid w:val="5936089A"/>
    <w:rsid w:val="595CF32C"/>
    <w:rsid w:val="597591E8"/>
    <w:rsid w:val="5A499A1F"/>
    <w:rsid w:val="5A5DA884"/>
    <w:rsid w:val="5A5F2B70"/>
    <w:rsid w:val="5A8CD4A6"/>
    <w:rsid w:val="5AA84697"/>
    <w:rsid w:val="5AD9BFF3"/>
    <w:rsid w:val="5B259B02"/>
    <w:rsid w:val="5B5EAC97"/>
    <w:rsid w:val="5B76CBFA"/>
    <w:rsid w:val="5B9697BA"/>
    <w:rsid w:val="5BB92162"/>
    <w:rsid w:val="5C55AD9A"/>
    <w:rsid w:val="5CA9656A"/>
    <w:rsid w:val="5CAEA4D2"/>
    <w:rsid w:val="5CB7B9BA"/>
    <w:rsid w:val="5CE746AC"/>
    <w:rsid w:val="5CF6170A"/>
    <w:rsid w:val="5CFC0C42"/>
    <w:rsid w:val="5DAC3454"/>
    <w:rsid w:val="5DB30018"/>
    <w:rsid w:val="5DD75ABA"/>
    <w:rsid w:val="5DE6D964"/>
    <w:rsid w:val="5E16D3A9"/>
    <w:rsid w:val="5E27AAC0"/>
    <w:rsid w:val="5EAF501E"/>
    <w:rsid w:val="5ED532CC"/>
    <w:rsid w:val="5F92A252"/>
    <w:rsid w:val="5FB8A074"/>
    <w:rsid w:val="5FD7EBD3"/>
    <w:rsid w:val="5FD7FBDE"/>
    <w:rsid w:val="60707A8E"/>
    <w:rsid w:val="60724895"/>
    <w:rsid w:val="610AC4C0"/>
    <w:rsid w:val="614BD9AB"/>
    <w:rsid w:val="6150F64D"/>
    <w:rsid w:val="61991442"/>
    <w:rsid w:val="61E36E63"/>
    <w:rsid w:val="6289B121"/>
    <w:rsid w:val="629C8AFF"/>
    <w:rsid w:val="62E8FE72"/>
    <w:rsid w:val="63052335"/>
    <w:rsid w:val="633ECBC9"/>
    <w:rsid w:val="63752686"/>
    <w:rsid w:val="63851ACF"/>
    <w:rsid w:val="63C4235E"/>
    <w:rsid w:val="6421FEEA"/>
    <w:rsid w:val="6444FEB6"/>
    <w:rsid w:val="64505800"/>
    <w:rsid w:val="648BAA7E"/>
    <w:rsid w:val="648F1BC8"/>
    <w:rsid w:val="6493D5E4"/>
    <w:rsid w:val="649FCB30"/>
    <w:rsid w:val="64C1CA12"/>
    <w:rsid w:val="64EBF613"/>
    <w:rsid w:val="64EEEAD0"/>
    <w:rsid w:val="64FCB499"/>
    <w:rsid w:val="65069C52"/>
    <w:rsid w:val="651679CD"/>
    <w:rsid w:val="65323A03"/>
    <w:rsid w:val="653D8E94"/>
    <w:rsid w:val="6559BFD6"/>
    <w:rsid w:val="6598CB91"/>
    <w:rsid w:val="65CDB8F6"/>
    <w:rsid w:val="65CE55CB"/>
    <w:rsid w:val="660267A6"/>
    <w:rsid w:val="668D8935"/>
    <w:rsid w:val="66CDD25A"/>
    <w:rsid w:val="66D13263"/>
    <w:rsid w:val="677E5E36"/>
    <w:rsid w:val="67814C2D"/>
    <w:rsid w:val="6819EC25"/>
    <w:rsid w:val="683CC856"/>
    <w:rsid w:val="68514307"/>
    <w:rsid w:val="686B519C"/>
    <w:rsid w:val="68A41903"/>
    <w:rsid w:val="68C13BB5"/>
    <w:rsid w:val="68C90920"/>
    <w:rsid w:val="68D0BF63"/>
    <w:rsid w:val="6907D5DC"/>
    <w:rsid w:val="691D4530"/>
    <w:rsid w:val="6941942A"/>
    <w:rsid w:val="69450BDB"/>
    <w:rsid w:val="6973973D"/>
    <w:rsid w:val="69D72F89"/>
    <w:rsid w:val="6A4D76BB"/>
    <w:rsid w:val="6ABADFF0"/>
    <w:rsid w:val="6B2C9AC9"/>
    <w:rsid w:val="6B582B5F"/>
    <w:rsid w:val="6B675949"/>
    <w:rsid w:val="6C17C946"/>
    <w:rsid w:val="6C80A354"/>
    <w:rsid w:val="6C9FF2D3"/>
    <w:rsid w:val="6D0913AA"/>
    <w:rsid w:val="6D19B7F3"/>
    <w:rsid w:val="6D7A0A75"/>
    <w:rsid w:val="6D98F9C0"/>
    <w:rsid w:val="6DB4EBE6"/>
    <w:rsid w:val="6E2C1218"/>
    <w:rsid w:val="6E3B4FD5"/>
    <w:rsid w:val="6E9FD7A5"/>
    <w:rsid w:val="6EA959A7"/>
    <w:rsid w:val="6EB5D08D"/>
    <w:rsid w:val="6ED4476D"/>
    <w:rsid w:val="6EE09767"/>
    <w:rsid w:val="6EF5AA3A"/>
    <w:rsid w:val="6F1A16A2"/>
    <w:rsid w:val="6F56B7BC"/>
    <w:rsid w:val="6F7B124F"/>
    <w:rsid w:val="6F919382"/>
    <w:rsid w:val="6F9A3835"/>
    <w:rsid w:val="6FC027A3"/>
    <w:rsid w:val="6FE1F7F9"/>
    <w:rsid w:val="700A9957"/>
    <w:rsid w:val="701A556B"/>
    <w:rsid w:val="7060B42B"/>
    <w:rsid w:val="7094FF50"/>
    <w:rsid w:val="70B89C08"/>
    <w:rsid w:val="7100EEB9"/>
    <w:rsid w:val="7105E295"/>
    <w:rsid w:val="7111ED7A"/>
    <w:rsid w:val="71919D4D"/>
    <w:rsid w:val="71B35A1E"/>
    <w:rsid w:val="725FF104"/>
    <w:rsid w:val="72B8DF9D"/>
    <w:rsid w:val="73369BF3"/>
    <w:rsid w:val="73BAB145"/>
    <w:rsid w:val="744170AD"/>
    <w:rsid w:val="744DC0CA"/>
    <w:rsid w:val="7457B786"/>
    <w:rsid w:val="74DED975"/>
    <w:rsid w:val="74F85092"/>
    <w:rsid w:val="75CD175B"/>
    <w:rsid w:val="75EA8A68"/>
    <w:rsid w:val="76167D26"/>
    <w:rsid w:val="762C96A5"/>
    <w:rsid w:val="766E5C65"/>
    <w:rsid w:val="76D0C2FB"/>
    <w:rsid w:val="76D67653"/>
    <w:rsid w:val="7734AF7F"/>
    <w:rsid w:val="77D204D0"/>
    <w:rsid w:val="78ADD4F5"/>
    <w:rsid w:val="78C5A7B3"/>
    <w:rsid w:val="78F68870"/>
    <w:rsid w:val="7926D136"/>
    <w:rsid w:val="798B5770"/>
    <w:rsid w:val="79A43FF5"/>
    <w:rsid w:val="79B50ACA"/>
    <w:rsid w:val="7A11A1B9"/>
    <w:rsid w:val="7A211AFC"/>
    <w:rsid w:val="7A567541"/>
    <w:rsid w:val="7A6F6F4D"/>
    <w:rsid w:val="7ADF6052"/>
    <w:rsid w:val="7B1AA3DB"/>
    <w:rsid w:val="7B310FFD"/>
    <w:rsid w:val="7B68395F"/>
    <w:rsid w:val="7C04BF1C"/>
    <w:rsid w:val="7C46C407"/>
    <w:rsid w:val="7C62B218"/>
    <w:rsid w:val="7CE47395"/>
    <w:rsid w:val="7CE82BB8"/>
    <w:rsid w:val="7CE84DFB"/>
    <w:rsid w:val="7D4565DF"/>
    <w:rsid w:val="7D84400D"/>
    <w:rsid w:val="7DB135C3"/>
    <w:rsid w:val="7DD04E19"/>
    <w:rsid w:val="7DFFE4F5"/>
    <w:rsid w:val="7E295FD6"/>
    <w:rsid w:val="7E2C378A"/>
    <w:rsid w:val="7E38A7F1"/>
    <w:rsid w:val="7E7B1433"/>
    <w:rsid w:val="7E7CD222"/>
    <w:rsid w:val="7E9D4E8A"/>
    <w:rsid w:val="7F152568"/>
    <w:rsid w:val="7F525A9A"/>
    <w:rsid w:val="7F577582"/>
    <w:rsid w:val="7F6414BE"/>
    <w:rsid w:val="7F6D7861"/>
    <w:rsid w:val="7F8BF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A4B7A"/>
  <w15:chartTrackingRefBased/>
  <w15:docId w15:val="{F6EFD9CF-D0CC-4A73-BC64-69F3F8452855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B5EAC9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B5EAC9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B5EAC9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B5EAC9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B5EAC97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B5EAC97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B5EAC97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B5EAC97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B5EAC97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B5EAC97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B5EAC97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B5EAC97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B5EAC97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B5EAC97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B5EAC97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5B5EAC97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B5EAC97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B5EAC97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B5EAC97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B5EAC97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B5EAC97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B5EAC97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B5EAC97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B5EAC97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B5EAC97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5B5EAC9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5B5EAC97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5B5EAC97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files.libcom.org/files/A%20Thousand%20Plateaus.pdf" TargetMode="External" Id="R9aa0224d0cc34f3b" /><Relationship Type="http://schemas.openxmlformats.org/officeDocument/2006/relationships/hyperlink" Target="https://www.getty.edu/" TargetMode="External" Id="Recb20976d7f7493d" /><Relationship Type="http://schemas.openxmlformats.org/officeDocument/2006/relationships/hyperlink" Target="https://www.getty.edu/art/exhibitions/villa_papiri/downloads/villa_papyri_objects.pdf" TargetMode="External" Id="R19bd66b346fb45ee" /><Relationship Type="http://schemas.openxmlformats.org/officeDocument/2006/relationships/hyperlink" Target="https://www.theartnewspaper.com/2020/07/17/roman-holiday-40bc-an-in-depth-view-of-the-villa-dei-papiri-the-inspiration-for-the-getty-villa" TargetMode="External" Id="Rae486070b0b14a17" /><Relationship Type="http://schemas.openxmlformats.org/officeDocument/2006/relationships/hyperlink" Target="https://www.smithsonianmag.com/smart-news/three-students-decipher-first-passages-2000-year-old-scroll-burned-vesuvius-eruption-180983738/" TargetMode="External" Id="Ra7f9708f52bf453d" /><Relationship Type="http://schemas.openxmlformats.org/officeDocument/2006/relationships/footnotes" Target="footnotes.xml" Id="Ra86669dc3b6349e0" /><Relationship Type="http://schemas.microsoft.com/office/2020/10/relationships/intelligence" Target="intelligence2.xml" Id="R6d684d4fb584447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2024-11-24T20:15:43.8853854Z</dcterms:created>
  <dcterms:modified xsi:type="dcterms:W3CDTF">2024-11-26T23:49:17.3603724Z</dcterms:modified>
  <dc:creator>Alex MacKay (2204888)</dc:creator>
  <lastModifiedBy>Alex MacKay (2204888)</lastModifiedBy>
</coreProperties>
</file>