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7CD01" w14:textId="0E244660" w:rsidR="0045578A" w:rsidRDefault="0045578A" w:rsidP="0091177D">
      <w:pPr>
        <w:spacing w:line="480" w:lineRule="auto"/>
        <w:rPr>
          <w:rFonts w:ascii="Arial" w:hAnsi="Arial" w:cs="Arial"/>
          <w:b/>
          <w:bCs/>
          <w:sz w:val="24"/>
          <w:szCs w:val="24"/>
        </w:rPr>
      </w:pPr>
      <w:r>
        <w:rPr>
          <w:rFonts w:ascii="Arial" w:hAnsi="Arial" w:cs="Arial"/>
          <w:b/>
          <w:bCs/>
          <w:sz w:val="24"/>
          <w:szCs w:val="24"/>
        </w:rPr>
        <w:t>TO: Ada Adebayo</w:t>
      </w:r>
    </w:p>
    <w:p w14:paraId="4D3088A3" w14:textId="77777777" w:rsidR="0045578A" w:rsidRDefault="0045578A" w:rsidP="0091177D">
      <w:pPr>
        <w:spacing w:line="480" w:lineRule="auto"/>
        <w:rPr>
          <w:rFonts w:ascii="Arial" w:hAnsi="Arial" w:cs="Arial"/>
          <w:b/>
          <w:bCs/>
          <w:sz w:val="24"/>
          <w:szCs w:val="24"/>
        </w:rPr>
      </w:pPr>
    </w:p>
    <w:p w14:paraId="59F6B6FF" w14:textId="77777777" w:rsidR="0045578A" w:rsidRDefault="0045578A" w:rsidP="0091177D">
      <w:pPr>
        <w:spacing w:line="480" w:lineRule="auto"/>
        <w:rPr>
          <w:rFonts w:ascii="Arial" w:hAnsi="Arial" w:cs="Arial"/>
          <w:b/>
          <w:bCs/>
          <w:sz w:val="24"/>
          <w:szCs w:val="24"/>
        </w:rPr>
      </w:pPr>
      <w:r>
        <w:rPr>
          <w:rFonts w:ascii="Arial" w:hAnsi="Arial" w:cs="Arial"/>
          <w:b/>
          <w:bCs/>
          <w:sz w:val="24"/>
          <w:szCs w:val="24"/>
        </w:rPr>
        <w:t>FROM: [Student]</w:t>
      </w:r>
    </w:p>
    <w:p w14:paraId="68D7300C" w14:textId="77777777" w:rsidR="0045578A" w:rsidRDefault="0045578A" w:rsidP="0091177D">
      <w:pPr>
        <w:spacing w:line="480" w:lineRule="auto"/>
        <w:rPr>
          <w:rFonts w:ascii="Arial" w:hAnsi="Arial" w:cs="Arial"/>
          <w:b/>
          <w:bCs/>
          <w:sz w:val="24"/>
          <w:szCs w:val="24"/>
        </w:rPr>
      </w:pPr>
    </w:p>
    <w:p w14:paraId="225B2D47" w14:textId="77777777" w:rsidR="0045578A" w:rsidRDefault="0045578A" w:rsidP="0091177D">
      <w:pPr>
        <w:spacing w:line="480" w:lineRule="auto"/>
        <w:rPr>
          <w:rFonts w:ascii="Arial" w:hAnsi="Arial" w:cs="Arial"/>
          <w:b/>
          <w:bCs/>
          <w:sz w:val="24"/>
          <w:szCs w:val="24"/>
        </w:rPr>
      </w:pPr>
      <w:r>
        <w:rPr>
          <w:rFonts w:ascii="Arial" w:hAnsi="Arial" w:cs="Arial"/>
          <w:b/>
          <w:bCs/>
          <w:sz w:val="24"/>
          <w:szCs w:val="24"/>
        </w:rPr>
        <w:t>MATTER: Case of Kim Cottrell</w:t>
      </w:r>
    </w:p>
    <w:p w14:paraId="1EE4CC5F" w14:textId="77777777" w:rsidR="0045578A" w:rsidRDefault="0045578A" w:rsidP="0091177D">
      <w:pPr>
        <w:spacing w:line="480" w:lineRule="auto"/>
        <w:rPr>
          <w:rFonts w:ascii="Arial" w:hAnsi="Arial" w:cs="Arial"/>
          <w:b/>
          <w:bCs/>
          <w:sz w:val="24"/>
          <w:szCs w:val="24"/>
        </w:rPr>
      </w:pPr>
    </w:p>
    <w:p w14:paraId="266D9388" w14:textId="4A81083E" w:rsidR="00421860" w:rsidRDefault="0045578A" w:rsidP="0091177D">
      <w:pPr>
        <w:spacing w:line="480" w:lineRule="auto"/>
        <w:rPr>
          <w:rFonts w:ascii="Arial" w:hAnsi="Arial" w:cs="Arial"/>
          <w:b/>
          <w:bCs/>
          <w:sz w:val="24"/>
          <w:szCs w:val="24"/>
        </w:rPr>
      </w:pPr>
      <w:r>
        <w:rPr>
          <w:rFonts w:ascii="Arial" w:hAnsi="Arial" w:cs="Arial"/>
          <w:b/>
          <w:bCs/>
          <w:sz w:val="24"/>
          <w:szCs w:val="24"/>
        </w:rPr>
        <w:t>DATE: 15 March 2024</w:t>
      </w:r>
    </w:p>
    <w:p w14:paraId="32066712" w14:textId="77777777" w:rsidR="00421821" w:rsidRDefault="00421821" w:rsidP="0091177D">
      <w:pPr>
        <w:spacing w:line="480" w:lineRule="auto"/>
        <w:rPr>
          <w:rFonts w:ascii="Arial" w:hAnsi="Arial" w:cs="Arial"/>
          <w:b/>
          <w:bCs/>
          <w:sz w:val="24"/>
          <w:szCs w:val="24"/>
        </w:rPr>
      </w:pPr>
    </w:p>
    <w:p w14:paraId="3B0A84A6" w14:textId="305117AF" w:rsidR="00027A40" w:rsidRPr="00431373" w:rsidRDefault="00FA2576" w:rsidP="0091177D">
      <w:pPr>
        <w:spacing w:line="480" w:lineRule="auto"/>
        <w:rPr>
          <w:rFonts w:ascii="Arial" w:hAnsi="Arial" w:cs="Arial"/>
          <w:sz w:val="24"/>
          <w:szCs w:val="24"/>
        </w:rPr>
      </w:pPr>
      <w:r w:rsidRPr="00431373">
        <w:rPr>
          <w:rFonts w:ascii="Arial" w:hAnsi="Arial" w:cs="Arial"/>
          <w:sz w:val="24"/>
          <w:szCs w:val="24"/>
        </w:rPr>
        <w:t>Dear Ada, I am writing to inform you of the relevant advice in relation to the case of Kim Cottrell; firstly, actual bodily harm (ABH) is an offence under section 47 of the </w:t>
      </w:r>
      <w:r w:rsidRPr="00431373">
        <w:rPr>
          <w:rStyle w:val="Emphasis"/>
          <w:rFonts w:ascii="Arial" w:eastAsiaTheme="majorEastAsia" w:hAnsi="Arial" w:cs="Arial"/>
          <w:color w:val="0E101A"/>
          <w:sz w:val="24"/>
          <w:szCs w:val="24"/>
        </w:rPr>
        <w:t>Offences against the Person Act 1861</w:t>
      </w:r>
      <w:r w:rsidRPr="00431373">
        <w:rPr>
          <w:rFonts w:ascii="Arial" w:hAnsi="Arial" w:cs="Arial"/>
          <w:sz w:val="24"/>
          <w:szCs w:val="24"/>
        </w:rPr>
        <w:t> with a maximum sentence of 5 years. ABH must be caused by assault or battery, therefore implying that the actus reus must be that assault or battery caused actual bodily harm (Taylor, L. 2018). The </w:t>
      </w:r>
      <w:r w:rsidRPr="00431373">
        <w:rPr>
          <w:rStyle w:val="Emphasis"/>
          <w:rFonts w:ascii="Arial" w:eastAsiaTheme="majorEastAsia" w:hAnsi="Arial" w:cs="Arial"/>
          <w:color w:val="0E101A"/>
          <w:sz w:val="24"/>
          <w:szCs w:val="24"/>
        </w:rPr>
        <w:t>Criminal Justice Act 1988 </w:t>
      </w:r>
      <w:r w:rsidRPr="00431373">
        <w:rPr>
          <w:rFonts w:ascii="Arial" w:hAnsi="Arial" w:cs="Arial"/>
          <w:sz w:val="24"/>
          <w:szCs w:val="24"/>
        </w:rPr>
        <w:t>contains the relevant statute for assault; the actus reus of assault is that the victim needs to apprehend an expectation of violence, but this does not mean they need to be afraid (Cremona, M 1989). According to Halsbury's Laws of England (2020), the men's rea for ABH is intent or recklessness; however, the defendant only needs to have the intent to commit assault and does not have to anticipate ABH, highlighted in ' R v Savage, R v Parmenter' (1991).</w:t>
      </w:r>
    </w:p>
    <w:p w14:paraId="1B33B0E2" w14:textId="77777777" w:rsidR="00FA2576" w:rsidRPr="00431373" w:rsidRDefault="00FA2576" w:rsidP="0091177D">
      <w:pPr>
        <w:spacing w:line="480" w:lineRule="auto"/>
        <w:rPr>
          <w:rFonts w:ascii="Arial" w:hAnsi="Arial" w:cs="Arial"/>
          <w:sz w:val="24"/>
          <w:szCs w:val="24"/>
        </w:rPr>
      </w:pPr>
    </w:p>
    <w:p w14:paraId="61281071" w14:textId="332D8FAF" w:rsidR="00364826" w:rsidRPr="00431373" w:rsidRDefault="00511B67" w:rsidP="0091177D">
      <w:pPr>
        <w:spacing w:line="480" w:lineRule="auto"/>
        <w:rPr>
          <w:rFonts w:ascii="Arial" w:hAnsi="Arial" w:cs="Arial"/>
          <w:sz w:val="24"/>
          <w:szCs w:val="24"/>
        </w:rPr>
      </w:pPr>
      <w:r w:rsidRPr="00431373">
        <w:rPr>
          <w:rFonts w:ascii="Arial" w:hAnsi="Arial" w:cs="Arial"/>
          <w:sz w:val="24"/>
          <w:szCs w:val="24"/>
        </w:rPr>
        <w:t xml:space="preserve">The minimum sentence for assault occasioning actual bodily harm is a fine, and the maximum is a five-year sentence; this is a very drastic difference; the court decides the sentence by following the guidance set out by the Sentencing Council (2021); there are three offence categories; lesser culpability this </w:t>
      </w:r>
      <w:proofErr w:type="spellStart"/>
      <w:r w:rsidR="00D77A71" w:rsidRPr="00431373">
        <w:rPr>
          <w:rFonts w:ascii="Arial" w:hAnsi="Arial" w:cs="Arial"/>
          <w:sz w:val="24"/>
          <w:szCs w:val="24"/>
        </w:rPr>
        <w:t>occurrs</w:t>
      </w:r>
      <w:proofErr w:type="spellEnd"/>
      <w:r w:rsidRPr="00431373">
        <w:rPr>
          <w:rFonts w:ascii="Arial" w:hAnsi="Arial" w:cs="Arial"/>
          <w:sz w:val="24"/>
          <w:szCs w:val="24"/>
        </w:rPr>
        <w:t xml:space="preserve"> when a defendant did not use a weapon, acted in self-defence, a quick, short assault that was on </w:t>
      </w:r>
      <w:r w:rsidRPr="00431373">
        <w:rPr>
          <w:rFonts w:ascii="Arial" w:hAnsi="Arial" w:cs="Arial"/>
          <w:sz w:val="24"/>
          <w:szCs w:val="24"/>
        </w:rPr>
        <w:lastRenderedPageBreak/>
        <w:t xml:space="preserve">impulse or when the defendant has a relevant mental disorder or learning disability that is in correlation with the case. Medium culpability results when a non-category A weapon is </w:t>
      </w:r>
      <w:r w:rsidR="00D77A71" w:rsidRPr="00431373">
        <w:rPr>
          <w:rFonts w:ascii="Arial" w:hAnsi="Arial" w:cs="Arial"/>
          <w:sz w:val="24"/>
          <w:szCs w:val="24"/>
        </w:rPr>
        <w:t>used,</w:t>
      </w:r>
      <w:r w:rsidRPr="00431373">
        <w:rPr>
          <w:rFonts w:ascii="Arial" w:hAnsi="Arial" w:cs="Arial"/>
          <w:sz w:val="24"/>
          <w:szCs w:val="24"/>
        </w:rPr>
        <w:t xml:space="preserve"> or the defendant has a small role in an offence a group partook in. Finally, high culpability results when a defendant plans or premeditates an offence significantly, the victim is vulnerable (Age, characteristics, etc.), a hazardous weapon was used, the use of strangulation or suffocation was involved, the defendant was leading a group of people, or there was a prolonged period of assault. The level of harm the victim endured is also an aspect when deciding sentencing; in this case, the victim received bruising, which would be a category three harm offence as it is a minor level of physical injury. Kate Cottrell could receive a sentence of a medium-level community order, band b fine or 26 weeks imprisonment due to the category 3, lesser culpability offence and the significant degree of provocation, despite this due to the </w:t>
      </w:r>
      <w:r w:rsidRPr="00431373">
        <w:rPr>
          <w:rFonts w:ascii="Arial" w:hAnsi="Arial" w:cs="Arial"/>
          <w:color w:val="0E101A"/>
          <w:sz w:val="24"/>
          <w:szCs w:val="24"/>
        </w:rPr>
        <w:t>SRA code of conduct s1.4</w:t>
      </w:r>
      <w:r w:rsidR="0041496A" w:rsidRPr="00431373">
        <w:rPr>
          <w:rFonts w:ascii="Arial" w:hAnsi="Arial" w:cs="Arial"/>
          <w:color w:val="0E101A"/>
          <w:sz w:val="24"/>
          <w:szCs w:val="24"/>
        </w:rPr>
        <w:t xml:space="preserve"> </w:t>
      </w:r>
      <w:r w:rsidR="0041496A" w:rsidRPr="00431373">
        <w:rPr>
          <w:rFonts w:ascii="Arial" w:hAnsi="Arial" w:cs="Arial"/>
          <w:color w:val="0E101A"/>
          <w:sz w:val="24"/>
          <w:szCs w:val="24"/>
        </w:rPr>
        <w:t xml:space="preserve"> (</w:t>
      </w:r>
      <w:r w:rsidR="0041496A" w:rsidRPr="00BD1F96">
        <w:rPr>
          <w:rFonts w:ascii="Arial" w:hAnsi="Arial" w:cs="Arial"/>
          <w:color w:val="0E101A"/>
          <w:sz w:val="24"/>
          <w:szCs w:val="24"/>
        </w:rPr>
        <w:t>Solicitors Regulation Authority, 201</w:t>
      </w:r>
      <w:r w:rsidR="0041496A" w:rsidRPr="00431373">
        <w:rPr>
          <w:rFonts w:ascii="Arial" w:hAnsi="Arial" w:cs="Arial"/>
          <w:color w:val="0E101A"/>
          <w:sz w:val="24"/>
          <w:szCs w:val="24"/>
        </w:rPr>
        <w:t>8</w:t>
      </w:r>
      <w:r w:rsidR="0041496A" w:rsidRPr="00BD1F96">
        <w:rPr>
          <w:rFonts w:ascii="Arial" w:hAnsi="Arial" w:cs="Arial"/>
          <w:color w:val="0E101A"/>
          <w:sz w:val="24"/>
          <w:szCs w:val="24"/>
        </w:rPr>
        <w:t>)</w:t>
      </w:r>
      <w:r w:rsidRPr="00431373">
        <w:rPr>
          <w:rFonts w:ascii="Arial" w:hAnsi="Arial" w:cs="Arial"/>
          <w:color w:val="0E101A"/>
          <w:sz w:val="24"/>
          <w:szCs w:val="24"/>
        </w:rPr>
        <w:t>; it is</w:t>
      </w:r>
      <w:r w:rsidRPr="00431373">
        <w:rPr>
          <w:rFonts w:ascii="Arial" w:hAnsi="Arial" w:cs="Arial"/>
          <w:sz w:val="24"/>
          <w:szCs w:val="24"/>
        </w:rPr>
        <w:t> better not to disclose your expectations to the client unless you are very confident as it may be seen as misleading the client if the result of the case is different to the result you discussed.</w:t>
      </w:r>
    </w:p>
    <w:p w14:paraId="480E4FDF" w14:textId="77777777" w:rsidR="005B7082" w:rsidRPr="00431373" w:rsidRDefault="005B7082" w:rsidP="0091177D">
      <w:pPr>
        <w:spacing w:line="480" w:lineRule="auto"/>
        <w:rPr>
          <w:rFonts w:ascii="Arial" w:hAnsi="Arial" w:cs="Arial"/>
          <w:sz w:val="24"/>
          <w:szCs w:val="24"/>
        </w:rPr>
      </w:pPr>
    </w:p>
    <w:p w14:paraId="0EF22DF5" w14:textId="1EE9A168" w:rsidR="00492FDD" w:rsidRPr="00431373" w:rsidRDefault="00EE4385" w:rsidP="0091177D">
      <w:pPr>
        <w:spacing w:line="480" w:lineRule="auto"/>
        <w:rPr>
          <w:rFonts w:ascii="Arial" w:hAnsi="Arial" w:cs="Arial"/>
          <w:sz w:val="24"/>
          <w:szCs w:val="24"/>
        </w:rPr>
      </w:pPr>
      <w:r w:rsidRPr="00431373">
        <w:rPr>
          <w:rFonts w:ascii="Arial" w:hAnsi="Arial" w:cs="Arial"/>
          <w:sz w:val="24"/>
          <w:szCs w:val="24"/>
        </w:rPr>
        <w:t xml:space="preserve">Actual bodily harm is an either-way offence; this type of offence can be prosecuted within either the magistrates court or the crown court. The first court appearance will be in the magistrate’s court, and then the magistrates will conclude on whether the case should move to the crown court or if they should keep the case; nevertheless, the defendant can still opt or ‘elect’ to have their trial in the crown court in the presents of a judge or jury (Sharpley, D. 2023). In a study by Herbet, A. (2002), it was found that the main reason defendants would choose the crown court trial is that there is a higher chance of acquittal as people perceive the jury to be fairer and more </w:t>
      </w:r>
      <w:r w:rsidRPr="00431373">
        <w:rPr>
          <w:rFonts w:ascii="Arial" w:hAnsi="Arial" w:cs="Arial"/>
          <w:sz w:val="24"/>
          <w:szCs w:val="24"/>
        </w:rPr>
        <w:lastRenderedPageBreak/>
        <w:t>thorough; the evidence does show that acquittal is higher in the crown court, although they do have more powers and can give out longer sentences, the study did not contain quantitive data, no figures were presented so there is no way of knowing how broad the study was. Since Kim was under the influence of alcohol and grief, the crown court may empathize with her position and grant her a shorter sentence, whereas the magistrates are less empathetic; due to the </w:t>
      </w:r>
      <w:r w:rsidRPr="00431373">
        <w:rPr>
          <w:rFonts w:ascii="Arial" w:hAnsi="Arial" w:cs="Arial"/>
          <w:color w:val="0E101A"/>
          <w:sz w:val="24"/>
          <w:szCs w:val="24"/>
        </w:rPr>
        <w:t xml:space="preserve">SRA </w:t>
      </w:r>
      <w:r w:rsidR="0041496A" w:rsidRPr="00431373">
        <w:rPr>
          <w:rFonts w:ascii="Arial" w:hAnsi="Arial" w:cs="Arial"/>
          <w:color w:val="0E101A"/>
          <w:sz w:val="24"/>
          <w:szCs w:val="24"/>
        </w:rPr>
        <w:t>Code</w:t>
      </w:r>
      <w:r w:rsidRPr="00431373">
        <w:rPr>
          <w:rFonts w:ascii="Arial" w:hAnsi="Arial" w:cs="Arial"/>
          <w:color w:val="0E101A"/>
          <w:sz w:val="24"/>
          <w:szCs w:val="24"/>
        </w:rPr>
        <w:t xml:space="preserve"> of </w:t>
      </w:r>
      <w:r w:rsidR="0041496A" w:rsidRPr="00431373">
        <w:rPr>
          <w:rFonts w:ascii="Arial" w:hAnsi="Arial" w:cs="Arial"/>
          <w:color w:val="0E101A"/>
          <w:sz w:val="24"/>
          <w:szCs w:val="24"/>
        </w:rPr>
        <w:t>Conduct section</w:t>
      </w:r>
      <w:r w:rsidRPr="00431373">
        <w:rPr>
          <w:rFonts w:ascii="Arial" w:hAnsi="Arial" w:cs="Arial"/>
          <w:color w:val="0E101A"/>
          <w:sz w:val="24"/>
          <w:szCs w:val="24"/>
        </w:rPr>
        <w:t xml:space="preserve"> </w:t>
      </w:r>
      <w:r w:rsidR="00283E22" w:rsidRPr="00431373">
        <w:rPr>
          <w:rFonts w:ascii="Arial" w:hAnsi="Arial" w:cs="Arial"/>
          <w:color w:val="0E101A"/>
          <w:sz w:val="24"/>
          <w:szCs w:val="24"/>
        </w:rPr>
        <w:t>3.4 (</w:t>
      </w:r>
      <w:r w:rsidR="0041496A" w:rsidRPr="00BD1F96">
        <w:rPr>
          <w:rFonts w:ascii="Arial" w:hAnsi="Arial" w:cs="Arial"/>
          <w:color w:val="0E101A"/>
          <w:sz w:val="24"/>
          <w:szCs w:val="24"/>
        </w:rPr>
        <w:t>Solicitors Regulation Authority, 201</w:t>
      </w:r>
      <w:r w:rsidR="0041496A" w:rsidRPr="00431373">
        <w:rPr>
          <w:rFonts w:ascii="Arial" w:hAnsi="Arial" w:cs="Arial"/>
          <w:color w:val="0E101A"/>
          <w:sz w:val="24"/>
          <w:szCs w:val="24"/>
        </w:rPr>
        <w:t>8</w:t>
      </w:r>
      <w:r w:rsidR="0041496A" w:rsidRPr="00BD1F96">
        <w:rPr>
          <w:rFonts w:ascii="Arial" w:hAnsi="Arial" w:cs="Arial"/>
          <w:color w:val="0E101A"/>
          <w:sz w:val="24"/>
          <w:szCs w:val="24"/>
        </w:rPr>
        <w:t>)</w:t>
      </w:r>
      <w:r w:rsidRPr="00431373">
        <w:rPr>
          <w:rFonts w:ascii="Arial" w:hAnsi="Arial" w:cs="Arial"/>
          <w:sz w:val="24"/>
          <w:szCs w:val="24"/>
        </w:rPr>
        <w:t>, you should consider this option and discuss it with your client.</w:t>
      </w:r>
    </w:p>
    <w:p w14:paraId="5D4BFC67" w14:textId="77777777" w:rsidR="00223394" w:rsidRPr="00431373" w:rsidRDefault="00223394" w:rsidP="0091177D">
      <w:pPr>
        <w:spacing w:line="480" w:lineRule="auto"/>
        <w:rPr>
          <w:rFonts w:ascii="Arial" w:hAnsi="Arial" w:cs="Arial"/>
          <w:sz w:val="24"/>
          <w:szCs w:val="24"/>
        </w:rPr>
      </w:pPr>
    </w:p>
    <w:p w14:paraId="3BB76493" w14:textId="75B41637" w:rsidR="000A1AED" w:rsidRPr="00431373" w:rsidRDefault="00B06998" w:rsidP="0091177D">
      <w:pPr>
        <w:spacing w:line="480" w:lineRule="auto"/>
        <w:rPr>
          <w:rFonts w:ascii="Arial" w:hAnsi="Arial" w:cs="Arial"/>
          <w:sz w:val="24"/>
          <w:szCs w:val="24"/>
        </w:rPr>
      </w:pPr>
      <w:r w:rsidRPr="00431373">
        <w:rPr>
          <w:rFonts w:ascii="Arial" w:hAnsi="Arial" w:cs="Arial"/>
          <w:sz w:val="24"/>
          <w:szCs w:val="24"/>
        </w:rPr>
        <w:t>If Kim chooses to plead not guilty, this can result in a lengthier sentence due to evidence that the offence was carried out in a public place, meaning there are most likely cameras, witnesses and evidence of bruising. If Kim pleads guilty, it can be in her best interest due to </w:t>
      </w:r>
      <w:r w:rsidRPr="00431373">
        <w:rPr>
          <w:rStyle w:val="Emphasis"/>
          <w:rFonts w:ascii="Arial" w:eastAsiaTheme="majorEastAsia" w:hAnsi="Arial" w:cs="Arial"/>
          <w:color w:val="0E101A"/>
          <w:sz w:val="24"/>
          <w:szCs w:val="24"/>
        </w:rPr>
        <w:t>the Sentencing Act 2020 </w:t>
      </w:r>
      <w:r w:rsidRPr="00431373">
        <w:rPr>
          <w:rFonts w:ascii="Arial" w:hAnsi="Arial" w:cs="Arial"/>
          <w:sz w:val="24"/>
          <w:szCs w:val="24"/>
        </w:rPr>
        <w:t xml:space="preserve">and there being evidence; you are also obligated to inform her of this due to </w:t>
      </w:r>
      <w:r w:rsidR="00D52484" w:rsidRPr="00431373">
        <w:rPr>
          <w:rFonts w:ascii="Arial" w:hAnsi="Arial" w:cs="Arial"/>
          <w:sz w:val="24"/>
          <w:szCs w:val="24"/>
        </w:rPr>
        <w:t>principle</w:t>
      </w:r>
      <w:r w:rsidRPr="00431373">
        <w:rPr>
          <w:rFonts w:ascii="Arial" w:hAnsi="Arial" w:cs="Arial"/>
          <w:sz w:val="24"/>
          <w:szCs w:val="24"/>
        </w:rPr>
        <w:t xml:space="preserve"> 7</w:t>
      </w:r>
      <w:r w:rsidR="00D52484" w:rsidRPr="00431373">
        <w:rPr>
          <w:rFonts w:ascii="Arial" w:hAnsi="Arial" w:cs="Arial"/>
          <w:sz w:val="24"/>
          <w:szCs w:val="24"/>
        </w:rPr>
        <w:t xml:space="preserve"> of the SRA principles (</w:t>
      </w:r>
      <w:r w:rsidR="00D52484" w:rsidRPr="00BD1F96">
        <w:rPr>
          <w:rFonts w:ascii="Arial" w:hAnsi="Arial" w:cs="Arial"/>
          <w:sz w:val="24"/>
          <w:szCs w:val="24"/>
        </w:rPr>
        <w:t>Solicitors Regulation Authority, 2019),</w:t>
      </w:r>
      <w:r w:rsidR="00D52484" w:rsidRPr="00431373">
        <w:rPr>
          <w:rFonts w:ascii="Arial" w:hAnsi="Arial" w:cs="Arial"/>
          <w:sz w:val="24"/>
          <w:szCs w:val="24"/>
        </w:rPr>
        <w:t xml:space="preserve"> </w:t>
      </w:r>
      <w:r w:rsidRPr="00431373">
        <w:rPr>
          <w:rFonts w:ascii="Arial" w:hAnsi="Arial" w:cs="Arial"/>
          <w:sz w:val="24"/>
          <w:szCs w:val="24"/>
        </w:rPr>
        <w:t>which indicates you must act in the client's best interest. Bob has also potentially committed an offence under the </w:t>
      </w:r>
      <w:r w:rsidRPr="00431373">
        <w:rPr>
          <w:rStyle w:val="Emphasis"/>
          <w:rFonts w:ascii="Arial" w:eastAsiaTheme="majorEastAsia" w:hAnsi="Arial" w:cs="Arial"/>
          <w:color w:val="0E101A"/>
          <w:sz w:val="24"/>
          <w:szCs w:val="24"/>
        </w:rPr>
        <w:t>Public Order Act 1986 c.64. </w:t>
      </w:r>
      <w:r w:rsidRPr="00431373">
        <w:rPr>
          <w:rFonts w:ascii="Arial" w:hAnsi="Arial" w:cs="Arial"/>
          <w:sz w:val="24"/>
          <w:szCs w:val="24"/>
        </w:rPr>
        <w:t>due to being abusive towards Kim in a public place, provoking her to react; it can be argued that if Bob had not committed this offence, in result he would not have been the victim of ABH. If Kim goes against advice and pleads not guilty, the </w:t>
      </w:r>
      <w:r w:rsidRPr="00431373">
        <w:rPr>
          <w:rFonts w:ascii="Arial" w:hAnsi="Arial" w:cs="Arial"/>
          <w:color w:val="0E101A"/>
          <w:sz w:val="24"/>
          <w:szCs w:val="24"/>
        </w:rPr>
        <w:t xml:space="preserve">SRA principles </w:t>
      </w:r>
      <w:r w:rsidR="00ED1254" w:rsidRPr="00431373">
        <w:rPr>
          <w:rFonts w:ascii="Arial" w:hAnsi="Arial" w:cs="Arial"/>
          <w:color w:val="0E101A"/>
          <w:sz w:val="24"/>
          <w:szCs w:val="24"/>
        </w:rPr>
        <w:t>(</w:t>
      </w:r>
      <w:r w:rsidR="00ED1254" w:rsidRPr="00BD1F96">
        <w:rPr>
          <w:rFonts w:ascii="Arial" w:hAnsi="Arial" w:cs="Arial"/>
          <w:color w:val="0E101A"/>
          <w:sz w:val="24"/>
          <w:szCs w:val="24"/>
        </w:rPr>
        <w:t xml:space="preserve">Solicitors Regulation Authority, 2019)  </w:t>
      </w:r>
      <w:r w:rsidRPr="00431373">
        <w:rPr>
          <w:rFonts w:ascii="Arial" w:hAnsi="Arial" w:cs="Arial"/>
          <w:color w:val="0E101A"/>
          <w:sz w:val="24"/>
          <w:szCs w:val="24"/>
        </w:rPr>
        <w:t>and the</w:t>
      </w:r>
      <w:r w:rsidRPr="00431373">
        <w:rPr>
          <w:rFonts w:ascii="Arial" w:hAnsi="Arial" w:cs="Arial"/>
          <w:color w:val="0E101A"/>
          <w:sz w:val="24"/>
          <w:szCs w:val="24"/>
          <w:u w:val="single"/>
        </w:rPr>
        <w:t xml:space="preserve"> </w:t>
      </w:r>
      <w:r w:rsidRPr="00431373">
        <w:rPr>
          <w:rFonts w:ascii="Arial" w:hAnsi="Arial" w:cs="Arial"/>
          <w:i/>
          <w:iCs/>
          <w:color w:val="0E101A"/>
          <w:sz w:val="24"/>
          <w:szCs w:val="24"/>
        </w:rPr>
        <w:t>Legal Services Act 2007</w:t>
      </w:r>
      <w:r w:rsidRPr="00431373">
        <w:rPr>
          <w:rFonts w:ascii="Arial" w:hAnsi="Arial" w:cs="Arial"/>
          <w:color w:val="0E101A"/>
          <w:sz w:val="24"/>
          <w:szCs w:val="24"/>
          <w:u w:val="single"/>
        </w:rPr>
        <w:t> </w:t>
      </w:r>
      <w:r w:rsidRPr="00431373">
        <w:rPr>
          <w:rFonts w:ascii="Arial" w:hAnsi="Arial" w:cs="Arial"/>
          <w:sz w:val="24"/>
          <w:szCs w:val="24"/>
        </w:rPr>
        <w:t> become tedious to navigate due to having to act with honesty (principle 3) and integrity (principle 4)</w:t>
      </w:r>
      <w:r w:rsidR="00ED1254" w:rsidRPr="00431373">
        <w:rPr>
          <w:rFonts w:ascii="Arial" w:hAnsi="Arial" w:cs="Arial"/>
          <w:sz w:val="24"/>
          <w:szCs w:val="24"/>
        </w:rPr>
        <w:t>,</w:t>
      </w:r>
      <w:r w:rsidRPr="00431373">
        <w:rPr>
          <w:rFonts w:ascii="Arial" w:hAnsi="Arial" w:cs="Arial"/>
          <w:sz w:val="24"/>
          <w:szCs w:val="24"/>
        </w:rPr>
        <w:t xml:space="preserve"> due to this, you cannot lie to the court and present a non-guilty case or even state the defendant is not guilty; this would be dishonest and push you closer to infracting </w:t>
      </w:r>
      <w:r w:rsidRPr="00431373">
        <w:rPr>
          <w:rFonts w:ascii="Arial" w:hAnsi="Arial" w:cs="Arial"/>
          <w:color w:val="0E101A"/>
          <w:sz w:val="24"/>
          <w:szCs w:val="24"/>
        </w:rPr>
        <w:t>sections of the</w:t>
      </w:r>
      <w:r w:rsidR="00B242E9" w:rsidRPr="00431373">
        <w:rPr>
          <w:rFonts w:ascii="Arial" w:hAnsi="Arial" w:cs="Arial"/>
          <w:color w:val="0E101A"/>
          <w:sz w:val="24"/>
          <w:szCs w:val="24"/>
        </w:rPr>
        <w:t xml:space="preserve"> SRA</w:t>
      </w:r>
      <w:r w:rsidRPr="00431373">
        <w:rPr>
          <w:rFonts w:ascii="Arial" w:hAnsi="Arial" w:cs="Arial"/>
          <w:color w:val="0E101A"/>
          <w:sz w:val="24"/>
          <w:szCs w:val="24"/>
        </w:rPr>
        <w:t xml:space="preserve"> </w:t>
      </w:r>
      <w:r w:rsidR="00B242E9" w:rsidRPr="00431373">
        <w:rPr>
          <w:rFonts w:ascii="Arial" w:hAnsi="Arial" w:cs="Arial"/>
          <w:color w:val="0E101A"/>
          <w:sz w:val="24"/>
          <w:szCs w:val="24"/>
        </w:rPr>
        <w:t>c</w:t>
      </w:r>
      <w:r w:rsidRPr="00431373">
        <w:rPr>
          <w:rFonts w:ascii="Arial" w:hAnsi="Arial" w:cs="Arial"/>
          <w:color w:val="0E101A"/>
          <w:sz w:val="24"/>
          <w:szCs w:val="24"/>
        </w:rPr>
        <w:t xml:space="preserve">ode of </w:t>
      </w:r>
      <w:r w:rsidR="00B242E9" w:rsidRPr="00431373">
        <w:rPr>
          <w:rFonts w:ascii="Arial" w:hAnsi="Arial" w:cs="Arial"/>
          <w:color w:val="0E101A"/>
          <w:sz w:val="24"/>
          <w:szCs w:val="24"/>
        </w:rPr>
        <w:t>conduct</w:t>
      </w:r>
      <w:bookmarkStart w:id="0" w:name="_Hlk162882797"/>
      <w:r w:rsidR="00B242E9" w:rsidRPr="00431373">
        <w:rPr>
          <w:rFonts w:ascii="Arial" w:hAnsi="Arial" w:cs="Arial"/>
          <w:color w:val="0E101A"/>
          <w:sz w:val="24"/>
          <w:szCs w:val="24"/>
        </w:rPr>
        <w:t xml:space="preserve"> (</w:t>
      </w:r>
      <w:r w:rsidR="00B242E9" w:rsidRPr="00BD1F96">
        <w:rPr>
          <w:rFonts w:ascii="Arial" w:hAnsi="Arial" w:cs="Arial"/>
          <w:color w:val="0E101A"/>
          <w:sz w:val="24"/>
          <w:szCs w:val="24"/>
        </w:rPr>
        <w:t>Solicitors Regulation Authority, 201</w:t>
      </w:r>
      <w:r w:rsidR="0067549C" w:rsidRPr="00431373">
        <w:rPr>
          <w:rFonts w:ascii="Arial" w:hAnsi="Arial" w:cs="Arial"/>
          <w:color w:val="0E101A"/>
          <w:sz w:val="24"/>
          <w:szCs w:val="24"/>
        </w:rPr>
        <w:t>8</w:t>
      </w:r>
      <w:r w:rsidR="00B242E9" w:rsidRPr="00BD1F96">
        <w:rPr>
          <w:rFonts w:ascii="Arial" w:hAnsi="Arial" w:cs="Arial"/>
          <w:color w:val="0E101A"/>
          <w:sz w:val="24"/>
          <w:szCs w:val="24"/>
        </w:rPr>
        <w:t xml:space="preserve">), </w:t>
      </w:r>
      <w:r w:rsidRPr="00431373">
        <w:rPr>
          <w:rFonts w:ascii="Arial" w:hAnsi="Arial" w:cs="Arial"/>
          <w:sz w:val="24"/>
          <w:szCs w:val="24"/>
        </w:rPr>
        <w:t xml:space="preserve"> </w:t>
      </w:r>
      <w:bookmarkEnd w:id="0"/>
      <w:r w:rsidRPr="00431373">
        <w:rPr>
          <w:rFonts w:ascii="Arial" w:hAnsi="Arial" w:cs="Arial"/>
          <w:sz w:val="24"/>
          <w:szCs w:val="24"/>
        </w:rPr>
        <w:t xml:space="preserve">for instance, section 1.4, as you would be actively trying to mislead </w:t>
      </w:r>
      <w:r w:rsidRPr="00431373">
        <w:rPr>
          <w:rFonts w:ascii="Arial" w:hAnsi="Arial" w:cs="Arial"/>
          <w:sz w:val="24"/>
          <w:szCs w:val="24"/>
        </w:rPr>
        <w:lastRenderedPageBreak/>
        <w:t>the court and section 2.6 as you could waste the courts time, it is also essential to note section 2.4 presents that you can only put forward anything to the court that is properly arguable, you have to be conscious of what is said and proposed in court. If the sections of the code of conduct discussed are not upheld, it can result in </w:t>
      </w:r>
      <w:r w:rsidR="0067549C" w:rsidRPr="00431373">
        <w:rPr>
          <w:rFonts w:ascii="Arial" w:hAnsi="Arial" w:cs="Arial"/>
          <w:sz w:val="24"/>
          <w:szCs w:val="24"/>
        </w:rPr>
        <w:t xml:space="preserve">the </w:t>
      </w:r>
      <w:r w:rsidRPr="00431373">
        <w:rPr>
          <w:rFonts w:ascii="Arial" w:hAnsi="Arial" w:cs="Arial"/>
          <w:color w:val="0E101A"/>
          <w:sz w:val="24"/>
          <w:szCs w:val="24"/>
        </w:rPr>
        <w:t>SRA principles</w:t>
      </w:r>
      <w:r w:rsidRPr="00431373">
        <w:rPr>
          <w:rFonts w:ascii="Arial" w:hAnsi="Arial" w:cs="Arial"/>
          <w:sz w:val="24"/>
          <w:szCs w:val="24"/>
        </w:rPr>
        <w:t xml:space="preserve"> 1 and 2 </w:t>
      </w:r>
      <w:r w:rsidR="0067549C" w:rsidRPr="00431373">
        <w:rPr>
          <w:rFonts w:ascii="Arial" w:hAnsi="Arial" w:cs="Arial"/>
          <w:sz w:val="24"/>
          <w:szCs w:val="24"/>
        </w:rPr>
        <w:t>(</w:t>
      </w:r>
      <w:r w:rsidR="0067549C" w:rsidRPr="00BD1F96">
        <w:rPr>
          <w:rFonts w:ascii="Arial" w:hAnsi="Arial" w:cs="Arial"/>
          <w:sz w:val="24"/>
          <w:szCs w:val="24"/>
        </w:rPr>
        <w:t>Solicitors Regulation Authority, 2019</w:t>
      </w:r>
      <w:r w:rsidR="00E349EF" w:rsidRPr="00431373">
        <w:rPr>
          <w:rFonts w:ascii="Arial" w:hAnsi="Arial" w:cs="Arial"/>
          <w:sz w:val="24"/>
          <w:szCs w:val="24"/>
        </w:rPr>
        <w:t>) being</w:t>
      </w:r>
      <w:r w:rsidRPr="00431373">
        <w:rPr>
          <w:rFonts w:ascii="Arial" w:hAnsi="Arial" w:cs="Arial"/>
          <w:sz w:val="24"/>
          <w:szCs w:val="24"/>
        </w:rPr>
        <w:t xml:space="preserve"> breached due to the improper administration of justice not being maintained, which would result in the loss of public confidence in the justice system.</w:t>
      </w:r>
    </w:p>
    <w:p w14:paraId="01A21A5F" w14:textId="77777777" w:rsidR="00B06998" w:rsidRPr="00431373" w:rsidRDefault="00B06998" w:rsidP="0091177D">
      <w:pPr>
        <w:spacing w:line="480" w:lineRule="auto"/>
        <w:rPr>
          <w:rFonts w:ascii="Arial" w:hAnsi="Arial" w:cs="Arial"/>
          <w:sz w:val="24"/>
          <w:szCs w:val="24"/>
        </w:rPr>
      </w:pPr>
    </w:p>
    <w:p w14:paraId="6F6BFC41" w14:textId="77777777" w:rsidR="00421821" w:rsidRDefault="00DC4066" w:rsidP="0091177D">
      <w:pPr>
        <w:spacing w:line="480" w:lineRule="auto"/>
        <w:rPr>
          <w:rFonts w:ascii="Arial" w:hAnsi="Arial" w:cs="Arial"/>
          <w:sz w:val="24"/>
          <w:szCs w:val="24"/>
        </w:rPr>
      </w:pPr>
      <w:r w:rsidRPr="00431373">
        <w:rPr>
          <w:rFonts w:ascii="Arial" w:hAnsi="Arial" w:cs="Arial"/>
          <w:sz w:val="24"/>
          <w:szCs w:val="24"/>
        </w:rPr>
        <w:t>Because Kim is receiving benefits, she is entitled to legal aid if she can bring evidence of benefits (a benefit statement), knows her national insurance number, and has bank statements under the </w:t>
      </w:r>
      <w:r w:rsidRPr="00431373">
        <w:rPr>
          <w:rStyle w:val="Emphasis"/>
          <w:rFonts w:ascii="Arial" w:eastAsiaTheme="majorEastAsia" w:hAnsi="Arial" w:cs="Arial"/>
          <w:color w:val="0E101A"/>
          <w:sz w:val="24"/>
          <w:szCs w:val="24"/>
        </w:rPr>
        <w:t>Human Rights Act 1998</w:t>
      </w:r>
      <w:r w:rsidRPr="00431373">
        <w:rPr>
          <w:rFonts w:ascii="Arial" w:hAnsi="Arial" w:cs="Arial"/>
          <w:sz w:val="24"/>
          <w:szCs w:val="24"/>
        </w:rPr>
        <w:t> section 6. Police should have offered Kim free legal advice or a solicitor when she was taken to the police station by phone call or a face-to-face meeting. However, they failed to comply with their code of conduct and declare her rights under section 6 of the </w:t>
      </w:r>
      <w:r w:rsidRPr="00431373">
        <w:rPr>
          <w:rStyle w:val="Emphasis"/>
          <w:rFonts w:ascii="Arial" w:eastAsiaTheme="majorEastAsia" w:hAnsi="Arial" w:cs="Arial"/>
          <w:color w:val="0E101A"/>
          <w:sz w:val="24"/>
          <w:szCs w:val="24"/>
        </w:rPr>
        <w:t>Police and Criminal Evidence Act 1984</w:t>
      </w:r>
      <w:r w:rsidRPr="00431373">
        <w:rPr>
          <w:rFonts w:ascii="Arial" w:hAnsi="Arial" w:cs="Arial"/>
          <w:sz w:val="24"/>
          <w:szCs w:val="24"/>
        </w:rPr>
        <w:t>; this is particularly concerning as if they failed to tell her this, they may have failed to inform her of any of her rights; for instance, the right to food, exercise, medical treatment, breaks and a translator if one is</w:t>
      </w:r>
      <w:r w:rsidRPr="00431373">
        <w:rPr>
          <w:rStyle w:val="Emphasis"/>
          <w:rFonts w:ascii="Arial" w:eastAsiaTheme="majorEastAsia" w:hAnsi="Arial" w:cs="Arial"/>
          <w:color w:val="0E101A"/>
          <w:sz w:val="24"/>
          <w:szCs w:val="24"/>
        </w:rPr>
        <w:t> </w:t>
      </w:r>
      <w:r w:rsidRPr="00431373">
        <w:rPr>
          <w:rFonts w:ascii="Arial" w:hAnsi="Arial" w:cs="Arial"/>
          <w:sz w:val="24"/>
          <w:szCs w:val="24"/>
        </w:rPr>
        <w:t>required</w:t>
      </w:r>
      <w:r w:rsidRPr="00431373">
        <w:rPr>
          <w:rStyle w:val="Emphasis"/>
          <w:rFonts w:ascii="Arial" w:eastAsiaTheme="majorEastAsia" w:hAnsi="Arial" w:cs="Arial"/>
          <w:color w:val="0E101A"/>
          <w:sz w:val="24"/>
          <w:szCs w:val="24"/>
        </w:rPr>
        <w:t>. </w:t>
      </w:r>
      <w:r w:rsidRPr="00431373">
        <w:rPr>
          <w:rFonts w:ascii="Arial" w:hAnsi="Arial" w:cs="Arial"/>
          <w:sz w:val="24"/>
          <w:szCs w:val="24"/>
        </w:rPr>
        <w:t>The SRA code of conduct mandates a solicitor to inform the court of procedure irregularities (s.2.7), and the</w:t>
      </w:r>
      <w:r w:rsidRPr="00431373">
        <w:rPr>
          <w:rStyle w:val="Emphasis"/>
          <w:rFonts w:ascii="Arial" w:eastAsiaTheme="majorEastAsia" w:hAnsi="Arial" w:cs="Arial"/>
          <w:color w:val="0E101A"/>
          <w:sz w:val="24"/>
          <w:szCs w:val="24"/>
        </w:rPr>
        <w:t> </w:t>
      </w:r>
      <w:r w:rsidRPr="00431373">
        <w:rPr>
          <w:rFonts w:ascii="Arial" w:hAnsi="Arial" w:cs="Arial"/>
          <w:sz w:val="24"/>
          <w:szCs w:val="24"/>
        </w:rPr>
        <w:t>trial can have grounds for dismissal due to an unjust trial. Next, the police are within their rights to take Kim's fingerprints without her consent under s.61 of PACE. Since Kim has been granted bail under the </w:t>
      </w:r>
      <w:r w:rsidRPr="00431373">
        <w:rPr>
          <w:rStyle w:val="Emphasis"/>
          <w:rFonts w:ascii="Arial" w:eastAsiaTheme="majorEastAsia" w:hAnsi="Arial" w:cs="Arial"/>
          <w:color w:val="0E101A"/>
          <w:sz w:val="24"/>
          <w:szCs w:val="24"/>
        </w:rPr>
        <w:t>Bail Act 1976</w:t>
      </w:r>
      <w:r w:rsidRPr="00431373">
        <w:rPr>
          <w:rFonts w:ascii="Arial" w:hAnsi="Arial" w:cs="Arial"/>
          <w:sz w:val="24"/>
          <w:szCs w:val="24"/>
        </w:rPr>
        <w:t xml:space="preserve">, it is essential to mention that she is legally required to attend court; under section 6, if she fails to attend court, Kim can face a fine or imprisonment; it is crucial to inform Kim of </w:t>
      </w:r>
      <w:r w:rsidR="0075015A" w:rsidRPr="00431373">
        <w:rPr>
          <w:rFonts w:ascii="Arial" w:hAnsi="Arial" w:cs="Arial"/>
          <w:sz w:val="24"/>
          <w:szCs w:val="24"/>
        </w:rPr>
        <w:t>this,</w:t>
      </w:r>
      <w:r w:rsidRPr="00431373">
        <w:rPr>
          <w:rFonts w:ascii="Arial" w:hAnsi="Arial" w:cs="Arial"/>
          <w:sz w:val="24"/>
          <w:szCs w:val="24"/>
        </w:rPr>
        <w:t xml:space="preserve"> so she comprehends the legal consequences if she chooses not to attend.</w:t>
      </w:r>
    </w:p>
    <w:p w14:paraId="73B6E2F6" w14:textId="60712381" w:rsidR="00593292" w:rsidRPr="00421821" w:rsidRDefault="00FE31B1" w:rsidP="0091177D">
      <w:pPr>
        <w:spacing w:line="480" w:lineRule="auto"/>
        <w:rPr>
          <w:rFonts w:ascii="Arial" w:hAnsi="Arial" w:cs="Arial"/>
          <w:sz w:val="24"/>
          <w:szCs w:val="24"/>
        </w:rPr>
      </w:pPr>
      <w:r w:rsidRPr="00431373">
        <w:rPr>
          <w:rFonts w:ascii="Arial" w:hAnsi="Arial" w:cs="Arial"/>
          <w:b/>
          <w:bCs/>
          <w:sz w:val="24"/>
          <w:szCs w:val="24"/>
          <w:u w:val="single"/>
        </w:rPr>
        <w:lastRenderedPageBreak/>
        <w:t xml:space="preserve">Legislation </w:t>
      </w:r>
    </w:p>
    <w:p w14:paraId="2B16B98F" w14:textId="505D238F" w:rsidR="00134FB5" w:rsidRPr="00431373" w:rsidRDefault="00134FB5" w:rsidP="0091177D">
      <w:pPr>
        <w:spacing w:line="480" w:lineRule="auto"/>
        <w:rPr>
          <w:rFonts w:ascii="Arial" w:hAnsi="Arial" w:cs="Arial"/>
          <w:i/>
          <w:iCs/>
          <w:sz w:val="24"/>
          <w:szCs w:val="24"/>
        </w:rPr>
      </w:pPr>
      <w:r w:rsidRPr="00431373">
        <w:rPr>
          <w:rFonts w:ascii="Arial" w:hAnsi="Arial" w:cs="Arial"/>
          <w:i/>
          <w:iCs/>
          <w:sz w:val="24"/>
          <w:szCs w:val="24"/>
        </w:rPr>
        <w:t>Bail Act 1976, c.63</w:t>
      </w:r>
    </w:p>
    <w:p w14:paraId="21D97286" w14:textId="7521A0D5" w:rsidR="00134FB5" w:rsidRPr="00431373" w:rsidRDefault="00134FB5" w:rsidP="0091177D">
      <w:pPr>
        <w:spacing w:line="480" w:lineRule="auto"/>
        <w:rPr>
          <w:rFonts w:ascii="Arial" w:hAnsi="Arial" w:cs="Arial"/>
          <w:sz w:val="24"/>
          <w:szCs w:val="24"/>
        </w:rPr>
      </w:pPr>
      <w:r w:rsidRPr="00431373">
        <w:rPr>
          <w:rFonts w:ascii="Arial" w:hAnsi="Arial" w:cs="Arial"/>
          <w:sz w:val="24"/>
          <w:szCs w:val="24"/>
        </w:rPr>
        <w:t xml:space="preserve">Available at: </w:t>
      </w:r>
      <w:hyperlink r:id="rId7" w:history="1">
        <w:r w:rsidRPr="00431373">
          <w:rPr>
            <w:rStyle w:val="Hyperlink"/>
            <w:rFonts w:ascii="Arial" w:hAnsi="Arial" w:cs="Arial"/>
            <w:sz w:val="24"/>
            <w:szCs w:val="24"/>
          </w:rPr>
          <w:t>https://www.legislation.gov.uk/ukpga/1976/63/contents</w:t>
        </w:r>
      </w:hyperlink>
    </w:p>
    <w:p w14:paraId="5C828472" w14:textId="77777777" w:rsidR="00134FB5" w:rsidRPr="00431373" w:rsidRDefault="00134FB5" w:rsidP="0091177D">
      <w:pPr>
        <w:spacing w:line="480" w:lineRule="auto"/>
        <w:rPr>
          <w:rFonts w:ascii="Arial" w:hAnsi="Arial" w:cs="Arial"/>
          <w:sz w:val="24"/>
          <w:szCs w:val="24"/>
        </w:rPr>
      </w:pPr>
    </w:p>
    <w:p w14:paraId="4B924958" w14:textId="77777777" w:rsidR="008C4889" w:rsidRPr="00431373" w:rsidRDefault="008C4889" w:rsidP="0091177D">
      <w:pPr>
        <w:spacing w:line="480" w:lineRule="auto"/>
        <w:rPr>
          <w:rFonts w:ascii="Arial" w:hAnsi="Arial" w:cs="Arial"/>
          <w:bCs/>
          <w:i/>
          <w:iCs/>
          <w:sz w:val="24"/>
          <w:szCs w:val="24"/>
        </w:rPr>
      </w:pPr>
      <w:r w:rsidRPr="00D55F03">
        <w:rPr>
          <w:rFonts w:ascii="Arial" w:hAnsi="Arial" w:cs="Arial"/>
          <w:bCs/>
          <w:i/>
          <w:iCs/>
          <w:sz w:val="24"/>
          <w:szCs w:val="24"/>
        </w:rPr>
        <w:t xml:space="preserve">Criminal Justice Act 1988, c. 33  </w:t>
      </w:r>
    </w:p>
    <w:p w14:paraId="30E381D3" w14:textId="5C5A93D1" w:rsidR="00134FB5" w:rsidRPr="00431373" w:rsidRDefault="008C4889" w:rsidP="0091177D">
      <w:pPr>
        <w:spacing w:line="480" w:lineRule="auto"/>
        <w:rPr>
          <w:rFonts w:ascii="Arial" w:hAnsi="Arial" w:cs="Arial"/>
          <w:bCs/>
          <w:sz w:val="24"/>
          <w:szCs w:val="24"/>
        </w:rPr>
      </w:pPr>
      <w:r w:rsidRPr="00D55F03">
        <w:rPr>
          <w:rFonts w:ascii="Arial" w:hAnsi="Arial" w:cs="Arial"/>
          <w:bCs/>
          <w:sz w:val="24"/>
          <w:szCs w:val="24"/>
        </w:rPr>
        <w:t xml:space="preserve">Available at: </w:t>
      </w:r>
      <w:hyperlink r:id="rId8" w:history="1">
        <w:r w:rsidR="002C706C" w:rsidRPr="00D55F03">
          <w:rPr>
            <w:rStyle w:val="Hyperlink"/>
            <w:rFonts w:ascii="Arial" w:hAnsi="Arial" w:cs="Arial"/>
            <w:bCs/>
            <w:sz w:val="24"/>
            <w:szCs w:val="24"/>
          </w:rPr>
          <w:t>https://www.legislation.gov.uk/ukpga/1988/33/contents</w:t>
        </w:r>
      </w:hyperlink>
    </w:p>
    <w:p w14:paraId="2BDA5F82" w14:textId="77777777" w:rsidR="002C706C" w:rsidRPr="00431373" w:rsidRDefault="002C706C" w:rsidP="0091177D">
      <w:pPr>
        <w:spacing w:line="480" w:lineRule="auto"/>
        <w:rPr>
          <w:rFonts w:ascii="Arial" w:hAnsi="Arial" w:cs="Arial"/>
          <w:sz w:val="24"/>
          <w:szCs w:val="24"/>
        </w:rPr>
      </w:pPr>
    </w:p>
    <w:p w14:paraId="04AF0978" w14:textId="77777777" w:rsidR="002C706C" w:rsidRPr="00431373" w:rsidRDefault="002C706C" w:rsidP="0091177D">
      <w:pPr>
        <w:spacing w:line="480" w:lineRule="auto"/>
        <w:rPr>
          <w:rFonts w:ascii="Arial" w:hAnsi="Arial" w:cs="Arial"/>
          <w:sz w:val="24"/>
          <w:szCs w:val="24"/>
        </w:rPr>
      </w:pPr>
      <w:r w:rsidRPr="00431373">
        <w:rPr>
          <w:rFonts w:ascii="Arial" w:hAnsi="Arial" w:cs="Arial"/>
          <w:i/>
          <w:iCs/>
          <w:sz w:val="24"/>
          <w:szCs w:val="24"/>
        </w:rPr>
        <w:t xml:space="preserve">Human Rights Act 1998, </w:t>
      </w:r>
      <w:r w:rsidRPr="00431373">
        <w:rPr>
          <w:rFonts w:ascii="Arial" w:hAnsi="Arial" w:cs="Arial"/>
          <w:sz w:val="24"/>
          <w:szCs w:val="24"/>
        </w:rPr>
        <w:t xml:space="preserve">c.42 </w:t>
      </w:r>
    </w:p>
    <w:p w14:paraId="4A0B0095" w14:textId="78D013FD" w:rsidR="002C706C" w:rsidRPr="00431373" w:rsidRDefault="002C706C" w:rsidP="0091177D">
      <w:pPr>
        <w:spacing w:line="480" w:lineRule="auto"/>
        <w:rPr>
          <w:rFonts w:ascii="Arial" w:hAnsi="Arial" w:cs="Arial"/>
          <w:sz w:val="24"/>
          <w:szCs w:val="24"/>
        </w:rPr>
      </w:pPr>
      <w:r w:rsidRPr="00431373">
        <w:rPr>
          <w:rFonts w:ascii="Arial" w:hAnsi="Arial" w:cs="Arial"/>
          <w:sz w:val="24"/>
          <w:szCs w:val="24"/>
        </w:rPr>
        <w:t xml:space="preserve">Available at: </w:t>
      </w:r>
      <w:hyperlink r:id="rId9" w:history="1">
        <w:r w:rsidRPr="00431373">
          <w:rPr>
            <w:rStyle w:val="Hyperlink"/>
            <w:rFonts w:ascii="Arial" w:hAnsi="Arial" w:cs="Arial"/>
            <w:sz w:val="24"/>
            <w:szCs w:val="24"/>
          </w:rPr>
          <w:t>https://www.legislation.gov.uk/ukpga/1998/42/contents</w:t>
        </w:r>
      </w:hyperlink>
    </w:p>
    <w:p w14:paraId="2096A0BE" w14:textId="77777777" w:rsidR="002C706C" w:rsidRPr="00431373" w:rsidRDefault="002C706C" w:rsidP="0091177D">
      <w:pPr>
        <w:spacing w:line="480" w:lineRule="auto"/>
        <w:rPr>
          <w:rFonts w:ascii="Arial" w:hAnsi="Arial" w:cs="Arial"/>
          <w:sz w:val="24"/>
          <w:szCs w:val="24"/>
        </w:rPr>
      </w:pPr>
    </w:p>
    <w:p w14:paraId="0191FA71" w14:textId="77777777" w:rsidR="002406E6" w:rsidRPr="00431373" w:rsidRDefault="002406E6" w:rsidP="0091177D">
      <w:pPr>
        <w:spacing w:line="480" w:lineRule="auto"/>
        <w:rPr>
          <w:rFonts w:ascii="Arial" w:hAnsi="Arial" w:cs="Arial"/>
          <w:sz w:val="24"/>
          <w:szCs w:val="24"/>
        </w:rPr>
      </w:pPr>
      <w:r w:rsidRPr="002406E6">
        <w:rPr>
          <w:rFonts w:ascii="Arial" w:hAnsi="Arial" w:cs="Arial"/>
          <w:i/>
          <w:iCs/>
          <w:sz w:val="24"/>
          <w:szCs w:val="24"/>
        </w:rPr>
        <w:t>Legal Services Act 2007, c.29</w:t>
      </w:r>
      <w:r w:rsidRPr="002406E6">
        <w:rPr>
          <w:rFonts w:ascii="Arial" w:hAnsi="Arial" w:cs="Arial"/>
          <w:sz w:val="24"/>
          <w:szCs w:val="24"/>
        </w:rPr>
        <w:t>.</w:t>
      </w:r>
    </w:p>
    <w:p w14:paraId="783C0EA9" w14:textId="194EDD71" w:rsidR="002406E6" w:rsidRPr="00431373" w:rsidRDefault="002406E6" w:rsidP="0091177D">
      <w:pPr>
        <w:spacing w:line="480" w:lineRule="auto"/>
        <w:rPr>
          <w:rFonts w:ascii="Arial" w:hAnsi="Arial" w:cs="Arial"/>
          <w:sz w:val="24"/>
          <w:szCs w:val="24"/>
        </w:rPr>
      </w:pPr>
      <w:r w:rsidRPr="002406E6">
        <w:rPr>
          <w:rFonts w:ascii="Arial" w:hAnsi="Arial" w:cs="Arial"/>
          <w:sz w:val="24"/>
          <w:szCs w:val="24"/>
        </w:rPr>
        <w:t xml:space="preserve"> Available at: </w:t>
      </w:r>
      <w:hyperlink r:id="rId10" w:history="1">
        <w:r w:rsidRPr="002406E6">
          <w:rPr>
            <w:rStyle w:val="Hyperlink"/>
            <w:rFonts w:ascii="Arial" w:hAnsi="Arial" w:cs="Arial"/>
            <w:sz w:val="24"/>
            <w:szCs w:val="24"/>
          </w:rPr>
          <w:t>https://www.legislation.gov.uk/ukpga/2007/29/section/1</w:t>
        </w:r>
      </w:hyperlink>
      <w:r w:rsidRPr="002406E6">
        <w:rPr>
          <w:rFonts w:ascii="Arial" w:hAnsi="Arial" w:cs="Arial"/>
          <w:sz w:val="24"/>
          <w:szCs w:val="24"/>
        </w:rPr>
        <w:t xml:space="preserve"> Accessed:20/03/2024.</w:t>
      </w:r>
    </w:p>
    <w:p w14:paraId="61BE751C" w14:textId="77777777" w:rsidR="002406E6" w:rsidRPr="00431373" w:rsidRDefault="002406E6" w:rsidP="0091177D">
      <w:pPr>
        <w:spacing w:line="480" w:lineRule="auto"/>
        <w:rPr>
          <w:rFonts w:ascii="Arial" w:hAnsi="Arial" w:cs="Arial"/>
          <w:sz w:val="24"/>
          <w:szCs w:val="24"/>
        </w:rPr>
      </w:pPr>
    </w:p>
    <w:p w14:paraId="353B2994" w14:textId="7EAF3143" w:rsidR="0034092A" w:rsidRPr="0034092A" w:rsidRDefault="0034092A" w:rsidP="0091177D">
      <w:pPr>
        <w:spacing w:line="480" w:lineRule="auto"/>
        <w:rPr>
          <w:rFonts w:ascii="Arial" w:hAnsi="Arial" w:cs="Arial"/>
          <w:bCs/>
          <w:sz w:val="24"/>
          <w:szCs w:val="24"/>
        </w:rPr>
      </w:pPr>
      <w:r w:rsidRPr="0034092A">
        <w:rPr>
          <w:rFonts w:ascii="Arial" w:hAnsi="Arial" w:cs="Arial"/>
          <w:bCs/>
          <w:i/>
          <w:iCs/>
          <w:sz w:val="24"/>
          <w:szCs w:val="24"/>
        </w:rPr>
        <w:t>Offences Against the Person Act 186</w:t>
      </w:r>
      <w:r w:rsidRPr="0034092A">
        <w:rPr>
          <w:rFonts w:ascii="Arial" w:hAnsi="Arial" w:cs="Arial"/>
          <w:bCs/>
          <w:sz w:val="24"/>
          <w:szCs w:val="24"/>
        </w:rPr>
        <w:t xml:space="preserve">, c. 100 </w:t>
      </w:r>
    </w:p>
    <w:p w14:paraId="557B5BD3" w14:textId="5BEBF44A" w:rsidR="0034092A" w:rsidRPr="00431373" w:rsidRDefault="0034092A" w:rsidP="0091177D">
      <w:pPr>
        <w:spacing w:line="480" w:lineRule="auto"/>
        <w:rPr>
          <w:rFonts w:ascii="Arial" w:hAnsi="Arial" w:cs="Arial"/>
          <w:bCs/>
          <w:sz w:val="24"/>
          <w:szCs w:val="24"/>
        </w:rPr>
      </w:pPr>
      <w:r w:rsidRPr="0034092A">
        <w:rPr>
          <w:rFonts w:ascii="Arial" w:hAnsi="Arial" w:cs="Arial"/>
          <w:bCs/>
          <w:sz w:val="24"/>
          <w:szCs w:val="24"/>
        </w:rPr>
        <w:t xml:space="preserve">Available at: </w:t>
      </w:r>
      <w:hyperlink r:id="rId11" w:history="1">
        <w:r w:rsidRPr="0034092A">
          <w:rPr>
            <w:rStyle w:val="Hyperlink"/>
            <w:rFonts w:ascii="Arial" w:hAnsi="Arial" w:cs="Arial"/>
            <w:bCs/>
            <w:sz w:val="24"/>
            <w:szCs w:val="24"/>
          </w:rPr>
          <w:t>https://www.legislation.gov.uk/ukpga/Vict/24-25/100/contents/enacted</w:t>
        </w:r>
      </w:hyperlink>
    </w:p>
    <w:p w14:paraId="387DC649" w14:textId="77777777" w:rsidR="0034092A" w:rsidRPr="00431373" w:rsidRDefault="0034092A" w:rsidP="0091177D">
      <w:pPr>
        <w:spacing w:line="480" w:lineRule="auto"/>
        <w:rPr>
          <w:rFonts w:ascii="Arial" w:hAnsi="Arial" w:cs="Arial"/>
          <w:bCs/>
          <w:sz w:val="24"/>
          <w:szCs w:val="24"/>
        </w:rPr>
      </w:pPr>
    </w:p>
    <w:p w14:paraId="0F2CDBAA" w14:textId="38656B4D" w:rsidR="00782ED8" w:rsidRPr="00782ED8" w:rsidRDefault="00782ED8" w:rsidP="0091177D">
      <w:pPr>
        <w:spacing w:line="480" w:lineRule="auto"/>
        <w:rPr>
          <w:rFonts w:ascii="Arial" w:hAnsi="Arial" w:cs="Arial"/>
          <w:bCs/>
          <w:i/>
          <w:iCs/>
          <w:sz w:val="24"/>
          <w:szCs w:val="24"/>
        </w:rPr>
      </w:pPr>
      <w:r w:rsidRPr="00782ED8">
        <w:rPr>
          <w:rFonts w:ascii="Arial" w:hAnsi="Arial" w:cs="Arial"/>
          <w:bCs/>
          <w:i/>
          <w:iCs/>
          <w:sz w:val="24"/>
          <w:szCs w:val="24"/>
        </w:rPr>
        <w:t xml:space="preserve">Police and </w:t>
      </w:r>
      <w:r w:rsidRPr="00431373">
        <w:rPr>
          <w:rFonts w:ascii="Arial" w:hAnsi="Arial" w:cs="Arial"/>
          <w:bCs/>
          <w:i/>
          <w:iCs/>
          <w:sz w:val="24"/>
          <w:szCs w:val="24"/>
        </w:rPr>
        <w:t>Criminal Evidence Act</w:t>
      </w:r>
      <w:r w:rsidRPr="00782ED8">
        <w:rPr>
          <w:rFonts w:ascii="Arial" w:hAnsi="Arial" w:cs="Arial"/>
          <w:bCs/>
          <w:i/>
          <w:iCs/>
          <w:sz w:val="24"/>
          <w:szCs w:val="24"/>
        </w:rPr>
        <w:t xml:space="preserve"> 1984, c.</w:t>
      </w:r>
      <w:r w:rsidR="007061A6" w:rsidRPr="00431373">
        <w:rPr>
          <w:rFonts w:ascii="Arial" w:hAnsi="Arial" w:cs="Arial"/>
          <w:bCs/>
          <w:i/>
          <w:iCs/>
          <w:sz w:val="24"/>
          <w:szCs w:val="24"/>
        </w:rPr>
        <w:t xml:space="preserve"> </w:t>
      </w:r>
      <w:r w:rsidRPr="00782ED8">
        <w:rPr>
          <w:rFonts w:ascii="Arial" w:hAnsi="Arial" w:cs="Arial"/>
          <w:bCs/>
          <w:i/>
          <w:iCs/>
          <w:sz w:val="24"/>
          <w:szCs w:val="24"/>
        </w:rPr>
        <w:t>60</w:t>
      </w:r>
    </w:p>
    <w:p w14:paraId="46F3BE1B" w14:textId="7B5BE6DB" w:rsidR="00782ED8" w:rsidRPr="00431373" w:rsidRDefault="00782ED8" w:rsidP="0091177D">
      <w:pPr>
        <w:spacing w:line="480" w:lineRule="auto"/>
        <w:rPr>
          <w:rFonts w:ascii="Arial" w:hAnsi="Arial" w:cs="Arial"/>
          <w:bCs/>
          <w:i/>
          <w:iCs/>
          <w:sz w:val="24"/>
          <w:szCs w:val="24"/>
        </w:rPr>
      </w:pPr>
      <w:r w:rsidRPr="00782ED8">
        <w:rPr>
          <w:rFonts w:ascii="Arial" w:hAnsi="Arial" w:cs="Arial"/>
          <w:bCs/>
          <w:i/>
          <w:iCs/>
          <w:sz w:val="24"/>
          <w:szCs w:val="24"/>
        </w:rPr>
        <w:t xml:space="preserve">Available at: </w:t>
      </w:r>
      <w:hyperlink r:id="rId12" w:history="1">
        <w:r w:rsidRPr="00782ED8">
          <w:rPr>
            <w:rStyle w:val="Hyperlink"/>
            <w:rFonts w:ascii="Arial" w:hAnsi="Arial" w:cs="Arial"/>
            <w:bCs/>
            <w:i/>
            <w:iCs/>
            <w:sz w:val="24"/>
            <w:szCs w:val="24"/>
          </w:rPr>
          <w:t>https://www.legislation.gov.uk/ukpga/1984/60/contents</w:t>
        </w:r>
      </w:hyperlink>
    </w:p>
    <w:p w14:paraId="07EB098E" w14:textId="77777777" w:rsidR="00AF7768" w:rsidRPr="00431373" w:rsidRDefault="00AF7768" w:rsidP="0091177D">
      <w:pPr>
        <w:spacing w:line="480" w:lineRule="auto"/>
        <w:rPr>
          <w:rFonts w:ascii="Arial" w:hAnsi="Arial" w:cs="Arial"/>
          <w:bCs/>
          <w:i/>
          <w:iCs/>
          <w:sz w:val="24"/>
          <w:szCs w:val="24"/>
        </w:rPr>
      </w:pPr>
    </w:p>
    <w:p w14:paraId="1DE80556" w14:textId="77777777" w:rsidR="00AF7768" w:rsidRPr="00431373" w:rsidRDefault="00AF7768" w:rsidP="0091177D">
      <w:pPr>
        <w:spacing w:line="480" w:lineRule="auto"/>
        <w:rPr>
          <w:rFonts w:ascii="Arial" w:hAnsi="Arial" w:cs="Arial"/>
          <w:i/>
          <w:iCs/>
          <w:sz w:val="24"/>
          <w:szCs w:val="24"/>
        </w:rPr>
      </w:pPr>
      <w:r w:rsidRPr="00431373">
        <w:rPr>
          <w:rFonts w:ascii="Arial" w:hAnsi="Arial" w:cs="Arial"/>
          <w:i/>
          <w:iCs/>
          <w:sz w:val="24"/>
          <w:szCs w:val="24"/>
        </w:rPr>
        <w:t>Public Order Act 1986 c.64.</w:t>
      </w:r>
    </w:p>
    <w:p w14:paraId="06419FCF" w14:textId="77777777" w:rsidR="00431373" w:rsidRDefault="00AF7768" w:rsidP="0091177D">
      <w:pPr>
        <w:spacing w:line="480" w:lineRule="auto"/>
        <w:rPr>
          <w:rFonts w:ascii="Arial" w:hAnsi="Arial" w:cs="Arial"/>
          <w:sz w:val="24"/>
          <w:szCs w:val="24"/>
        </w:rPr>
      </w:pPr>
      <w:r w:rsidRPr="00431373">
        <w:rPr>
          <w:rFonts w:ascii="Arial" w:hAnsi="Arial" w:cs="Arial"/>
          <w:sz w:val="24"/>
          <w:szCs w:val="24"/>
        </w:rPr>
        <w:t xml:space="preserve">Available at: </w:t>
      </w:r>
      <w:hyperlink r:id="rId13" w:history="1">
        <w:r w:rsidRPr="00431373">
          <w:rPr>
            <w:rStyle w:val="Hyperlink"/>
            <w:rFonts w:ascii="Arial" w:hAnsi="Arial" w:cs="Arial"/>
            <w:sz w:val="24"/>
            <w:szCs w:val="24"/>
          </w:rPr>
          <w:t>https://www.legislation.gov.uk/ukpga/1986/64/section/5</w:t>
        </w:r>
      </w:hyperlink>
      <w:r w:rsidRPr="00431373">
        <w:rPr>
          <w:rFonts w:ascii="Arial" w:hAnsi="Arial" w:cs="Arial"/>
          <w:sz w:val="24"/>
          <w:szCs w:val="24"/>
        </w:rPr>
        <w:t xml:space="preserve"> </w:t>
      </w:r>
    </w:p>
    <w:p w14:paraId="69216638" w14:textId="1E9C78E8" w:rsidR="00AF7768" w:rsidRPr="00431373" w:rsidRDefault="00AF7768" w:rsidP="0091177D">
      <w:pPr>
        <w:spacing w:line="480" w:lineRule="auto"/>
        <w:rPr>
          <w:rFonts w:ascii="Arial" w:hAnsi="Arial" w:cs="Arial"/>
          <w:color w:val="467886" w:themeColor="hyperlink"/>
          <w:sz w:val="24"/>
          <w:szCs w:val="24"/>
          <w:u w:val="single"/>
        </w:rPr>
      </w:pPr>
    </w:p>
    <w:p w14:paraId="5C9E187A" w14:textId="073932FB" w:rsidR="007061A6" w:rsidRPr="00431373" w:rsidRDefault="007061A6" w:rsidP="0091177D">
      <w:pPr>
        <w:spacing w:line="480" w:lineRule="auto"/>
        <w:rPr>
          <w:rFonts w:ascii="Arial" w:hAnsi="Arial" w:cs="Arial"/>
          <w:sz w:val="24"/>
          <w:szCs w:val="24"/>
        </w:rPr>
      </w:pPr>
      <w:r w:rsidRPr="00431373">
        <w:rPr>
          <w:rFonts w:ascii="Arial" w:hAnsi="Arial" w:cs="Arial"/>
          <w:i/>
          <w:iCs/>
          <w:sz w:val="24"/>
          <w:szCs w:val="24"/>
        </w:rPr>
        <w:t>Sentencing Act 2020</w:t>
      </w:r>
      <w:r w:rsidRPr="00431373">
        <w:rPr>
          <w:rFonts w:ascii="Arial" w:hAnsi="Arial" w:cs="Arial"/>
          <w:sz w:val="24"/>
          <w:szCs w:val="24"/>
        </w:rPr>
        <w:t>,</w:t>
      </w:r>
      <w:r w:rsidRPr="00431373">
        <w:rPr>
          <w:rFonts w:ascii="Arial" w:hAnsi="Arial" w:cs="Arial"/>
          <w:sz w:val="24"/>
          <w:szCs w:val="24"/>
        </w:rPr>
        <w:t xml:space="preserve"> </w:t>
      </w:r>
      <w:r w:rsidRPr="00431373">
        <w:rPr>
          <w:rFonts w:ascii="Arial" w:hAnsi="Arial" w:cs="Arial"/>
          <w:i/>
          <w:iCs/>
          <w:sz w:val="24"/>
          <w:szCs w:val="24"/>
        </w:rPr>
        <w:t>c. 17</w:t>
      </w:r>
      <w:r w:rsidRPr="00431373">
        <w:rPr>
          <w:rFonts w:ascii="Arial" w:hAnsi="Arial" w:cs="Arial"/>
          <w:sz w:val="24"/>
          <w:szCs w:val="24"/>
        </w:rPr>
        <w:t xml:space="preserve">. </w:t>
      </w:r>
    </w:p>
    <w:p w14:paraId="3E7BB9CE" w14:textId="2F61D922" w:rsidR="007061A6" w:rsidRPr="00431373" w:rsidRDefault="007061A6" w:rsidP="0091177D">
      <w:pPr>
        <w:spacing w:line="480" w:lineRule="auto"/>
        <w:rPr>
          <w:rFonts w:ascii="Arial" w:hAnsi="Arial" w:cs="Arial"/>
          <w:sz w:val="24"/>
          <w:szCs w:val="24"/>
        </w:rPr>
      </w:pPr>
      <w:r w:rsidRPr="00431373">
        <w:rPr>
          <w:rFonts w:ascii="Arial" w:hAnsi="Arial" w:cs="Arial"/>
          <w:sz w:val="24"/>
          <w:szCs w:val="24"/>
        </w:rPr>
        <w:lastRenderedPageBreak/>
        <w:t>Available</w:t>
      </w:r>
      <w:r w:rsidRPr="00431373">
        <w:rPr>
          <w:rFonts w:ascii="Arial" w:hAnsi="Arial" w:cs="Arial"/>
          <w:sz w:val="24"/>
          <w:szCs w:val="24"/>
        </w:rPr>
        <w:t xml:space="preserve"> at: </w:t>
      </w:r>
      <w:hyperlink r:id="rId14" w:history="1">
        <w:r w:rsidRPr="00431373">
          <w:rPr>
            <w:rStyle w:val="Hyperlink"/>
            <w:rFonts w:ascii="Arial" w:hAnsi="Arial" w:cs="Arial"/>
            <w:sz w:val="24"/>
            <w:szCs w:val="24"/>
          </w:rPr>
          <w:t>https://www.legislation.gov.uk/ukpga/2020/17/section/73#:~:text=73Reduction%20in%20sentence%20for,before%20that%20or%20another%20court.&amp;text=(b)the%20circumstances%20in%20which%20the%20indication%20was%20given</w:t>
        </w:r>
      </w:hyperlink>
      <w:r w:rsidRPr="00431373">
        <w:rPr>
          <w:rFonts w:ascii="Arial" w:hAnsi="Arial" w:cs="Arial"/>
          <w:sz w:val="24"/>
          <w:szCs w:val="24"/>
        </w:rPr>
        <w:t xml:space="preserve">. </w:t>
      </w:r>
    </w:p>
    <w:p w14:paraId="16CE046D" w14:textId="77777777" w:rsidR="00BD16EE" w:rsidRDefault="00BD16EE" w:rsidP="0091177D">
      <w:pPr>
        <w:spacing w:line="480" w:lineRule="auto"/>
        <w:rPr>
          <w:rFonts w:ascii="Arial" w:hAnsi="Arial" w:cs="Arial"/>
          <w:bCs/>
          <w:i/>
          <w:iCs/>
          <w:sz w:val="24"/>
          <w:szCs w:val="24"/>
        </w:rPr>
      </w:pPr>
    </w:p>
    <w:p w14:paraId="77D5A110" w14:textId="7F7A6DAA" w:rsidR="0034092A" w:rsidRPr="00431373" w:rsidRDefault="001A33D4" w:rsidP="0091177D">
      <w:pPr>
        <w:spacing w:line="480" w:lineRule="auto"/>
        <w:rPr>
          <w:rFonts w:ascii="Arial" w:hAnsi="Arial" w:cs="Arial"/>
          <w:b/>
          <w:sz w:val="24"/>
          <w:szCs w:val="24"/>
          <w:u w:val="single"/>
        </w:rPr>
      </w:pPr>
      <w:r w:rsidRPr="00431373">
        <w:rPr>
          <w:rFonts w:ascii="Arial" w:hAnsi="Arial" w:cs="Arial"/>
          <w:b/>
          <w:sz w:val="24"/>
          <w:szCs w:val="24"/>
          <w:u w:val="single"/>
        </w:rPr>
        <w:t>Case law</w:t>
      </w:r>
    </w:p>
    <w:p w14:paraId="3717D935" w14:textId="77777777" w:rsidR="002F31DD" w:rsidRPr="00431373" w:rsidRDefault="002F31DD" w:rsidP="0091177D">
      <w:pPr>
        <w:spacing w:line="480" w:lineRule="auto"/>
        <w:rPr>
          <w:rFonts w:ascii="Arial" w:hAnsi="Arial" w:cs="Arial"/>
          <w:bCs/>
          <w:sz w:val="24"/>
          <w:szCs w:val="24"/>
        </w:rPr>
      </w:pPr>
      <w:r w:rsidRPr="002F31DD">
        <w:rPr>
          <w:rFonts w:ascii="Arial" w:hAnsi="Arial" w:cs="Arial"/>
          <w:bCs/>
          <w:sz w:val="24"/>
          <w:szCs w:val="24"/>
        </w:rPr>
        <w:t xml:space="preserve">'R v Savage, R v Parmenter' (1991) </w:t>
      </w:r>
      <w:r w:rsidRPr="002F31DD">
        <w:rPr>
          <w:rFonts w:ascii="Arial" w:hAnsi="Arial" w:cs="Arial"/>
          <w:bCs/>
          <w:i/>
          <w:iCs/>
          <w:sz w:val="24"/>
          <w:szCs w:val="24"/>
        </w:rPr>
        <w:t>Weekly Law Reports</w:t>
      </w:r>
      <w:r w:rsidRPr="002F31DD">
        <w:rPr>
          <w:rFonts w:ascii="Arial" w:hAnsi="Arial" w:cs="Arial"/>
          <w:bCs/>
          <w:sz w:val="24"/>
          <w:szCs w:val="24"/>
        </w:rPr>
        <w:t xml:space="preserve">, 914. </w:t>
      </w:r>
    </w:p>
    <w:p w14:paraId="56AC1FA6" w14:textId="4AE55AA8" w:rsidR="002F31DD" w:rsidRPr="002F31DD" w:rsidRDefault="002F31DD" w:rsidP="0091177D">
      <w:pPr>
        <w:spacing w:line="480" w:lineRule="auto"/>
        <w:rPr>
          <w:rFonts w:ascii="Arial" w:hAnsi="Arial" w:cs="Arial"/>
          <w:bCs/>
          <w:sz w:val="24"/>
          <w:szCs w:val="24"/>
        </w:rPr>
      </w:pPr>
      <w:r w:rsidRPr="002F31DD">
        <w:rPr>
          <w:rFonts w:ascii="Arial" w:hAnsi="Arial" w:cs="Arial"/>
          <w:bCs/>
          <w:sz w:val="24"/>
          <w:szCs w:val="24"/>
        </w:rPr>
        <w:t xml:space="preserve">Available at: </w:t>
      </w:r>
      <w:hyperlink r:id="rId15" w:history="1">
        <w:r w:rsidRPr="002F31DD">
          <w:rPr>
            <w:rStyle w:val="Hyperlink"/>
            <w:rFonts w:ascii="Arial" w:hAnsi="Arial" w:cs="Arial"/>
            <w:bCs/>
            <w:sz w:val="24"/>
            <w:szCs w:val="24"/>
          </w:rPr>
          <w:t>https://plus-lexis-com.ezproxy.uwtsd.ac.uk/uk/cases-uk/regina-respondent-and-savage-appellant-direct_2?crid=a5a091d8-7086-4d91-8723-6e1d18562ab3&amp;pdproductcontenttypeid=urn:pct:285&amp;pdiskwicview=false&amp;pdpinpoint=</w:t>
        </w:r>
      </w:hyperlink>
      <w:r w:rsidRPr="002F31DD">
        <w:rPr>
          <w:rFonts w:ascii="Arial" w:hAnsi="Arial" w:cs="Arial"/>
          <w:bCs/>
          <w:sz w:val="24"/>
          <w:szCs w:val="24"/>
          <w:u w:val="single"/>
        </w:rPr>
        <w:t xml:space="preserve">    </w:t>
      </w:r>
      <w:r w:rsidRPr="002F31DD">
        <w:rPr>
          <w:rFonts w:ascii="Arial" w:hAnsi="Arial" w:cs="Arial"/>
          <w:bCs/>
          <w:sz w:val="24"/>
          <w:szCs w:val="24"/>
        </w:rPr>
        <w:t xml:space="preserve">  Accessed: 13/03/2024</w:t>
      </w:r>
    </w:p>
    <w:p w14:paraId="53042C69" w14:textId="77777777" w:rsidR="001A33D4" w:rsidRPr="00431373" w:rsidRDefault="001A33D4" w:rsidP="0091177D">
      <w:pPr>
        <w:spacing w:line="480" w:lineRule="auto"/>
        <w:rPr>
          <w:rFonts w:ascii="Arial" w:hAnsi="Arial" w:cs="Arial"/>
          <w:bCs/>
          <w:sz w:val="24"/>
          <w:szCs w:val="24"/>
        </w:rPr>
      </w:pPr>
    </w:p>
    <w:p w14:paraId="36148B87" w14:textId="3CCAF65A" w:rsidR="0065371C" w:rsidRPr="00431373" w:rsidRDefault="00D80FBD" w:rsidP="0091177D">
      <w:pPr>
        <w:spacing w:line="480" w:lineRule="auto"/>
        <w:rPr>
          <w:rFonts w:ascii="Arial" w:hAnsi="Arial" w:cs="Arial"/>
          <w:b/>
          <w:bCs/>
          <w:sz w:val="24"/>
          <w:szCs w:val="24"/>
          <w:u w:val="single"/>
        </w:rPr>
      </w:pPr>
      <w:r w:rsidRPr="00431373">
        <w:rPr>
          <w:rFonts w:ascii="Arial" w:hAnsi="Arial" w:cs="Arial"/>
          <w:b/>
          <w:bCs/>
          <w:sz w:val="24"/>
          <w:szCs w:val="24"/>
          <w:u w:val="single"/>
        </w:rPr>
        <w:t xml:space="preserve">References </w:t>
      </w:r>
    </w:p>
    <w:p w14:paraId="0A172392" w14:textId="5EC23975" w:rsidR="00C97F43" w:rsidRPr="00431373" w:rsidRDefault="00C97F43" w:rsidP="0091177D">
      <w:pPr>
        <w:spacing w:line="480" w:lineRule="auto"/>
        <w:rPr>
          <w:rFonts w:ascii="Arial" w:hAnsi="Arial" w:cs="Arial"/>
          <w:sz w:val="24"/>
          <w:szCs w:val="24"/>
        </w:rPr>
      </w:pPr>
      <w:r w:rsidRPr="00C97F43">
        <w:rPr>
          <w:rFonts w:ascii="Arial" w:hAnsi="Arial" w:cs="Arial"/>
          <w:sz w:val="24"/>
          <w:szCs w:val="24"/>
        </w:rPr>
        <w:t>Gov.</w:t>
      </w:r>
      <w:r w:rsidR="00556F45" w:rsidRPr="00431373">
        <w:rPr>
          <w:rFonts w:ascii="Arial" w:hAnsi="Arial" w:cs="Arial"/>
          <w:sz w:val="24"/>
          <w:szCs w:val="24"/>
        </w:rPr>
        <w:t>uk</w:t>
      </w:r>
      <w:r w:rsidRPr="00C97F43">
        <w:rPr>
          <w:rFonts w:ascii="Arial" w:hAnsi="Arial" w:cs="Arial"/>
          <w:sz w:val="24"/>
          <w:szCs w:val="24"/>
        </w:rPr>
        <w:t xml:space="preserve"> (No date) </w:t>
      </w:r>
      <w:r w:rsidRPr="00C97F43">
        <w:rPr>
          <w:rFonts w:ascii="Arial" w:hAnsi="Arial" w:cs="Arial"/>
          <w:i/>
          <w:iCs/>
          <w:sz w:val="24"/>
          <w:szCs w:val="24"/>
        </w:rPr>
        <w:t>Legal aid</w:t>
      </w:r>
      <w:r w:rsidRPr="00C97F43">
        <w:rPr>
          <w:rFonts w:ascii="Arial" w:hAnsi="Arial" w:cs="Arial"/>
          <w:sz w:val="24"/>
          <w:szCs w:val="24"/>
        </w:rPr>
        <w:t>.</w:t>
      </w:r>
    </w:p>
    <w:p w14:paraId="0E4863C4" w14:textId="11072B84" w:rsidR="00C97F43" w:rsidRPr="00431373" w:rsidRDefault="00C97F43" w:rsidP="0091177D">
      <w:pPr>
        <w:spacing w:line="480" w:lineRule="auto"/>
        <w:rPr>
          <w:rFonts w:ascii="Arial" w:hAnsi="Arial" w:cs="Arial"/>
          <w:sz w:val="24"/>
          <w:szCs w:val="24"/>
        </w:rPr>
      </w:pPr>
      <w:r w:rsidRPr="00C97F43">
        <w:rPr>
          <w:rFonts w:ascii="Arial" w:hAnsi="Arial" w:cs="Arial"/>
          <w:sz w:val="24"/>
          <w:szCs w:val="24"/>
        </w:rPr>
        <w:t xml:space="preserve">Available at: </w:t>
      </w:r>
      <w:hyperlink r:id="rId16" w:history="1">
        <w:r w:rsidRPr="00C97F43">
          <w:rPr>
            <w:rStyle w:val="Hyperlink"/>
            <w:rFonts w:ascii="Arial" w:hAnsi="Arial" w:cs="Arial"/>
            <w:sz w:val="24"/>
            <w:szCs w:val="24"/>
          </w:rPr>
          <w:t>https://www.gov.uk/legal-aid</w:t>
        </w:r>
      </w:hyperlink>
    </w:p>
    <w:p w14:paraId="258E010E" w14:textId="77777777" w:rsidR="00C97F43" w:rsidRPr="00431373" w:rsidRDefault="00C97F43" w:rsidP="0091177D">
      <w:pPr>
        <w:spacing w:line="480" w:lineRule="auto"/>
        <w:rPr>
          <w:rFonts w:ascii="Arial" w:hAnsi="Arial" w:cs="Arial"/>
          <w:sz w:val="24"/>
          <w:szCs w:val="24"/>
        </w:rPr>
      </w:pPr>
      <w:r w:rsidRPr="00C97F43">
        <w:rPr>
          <w:rFonts w:ascii="Arial" w:hAnsi="Arial" w:cs="Arial"/>
          <w:sz w:val="24"/>
          <w:szCs w:val="24"/>
        </w:rPr>
        <w:t>Accessed:17/03/2024.</w:t>
      </w:r>
    </w:p>
    <w:p w14:paraId="1424CEDF" w14:textId="77777777" w:rsidR="00FA0057" w:rsidRPr="00431373" w:rsidRDefault="00FA0057" w:rsidP="0091177D">
      <w:pPr>
        <w:spacing w:line="480" w:lineRule="auto"/>
        <w:rPr>
          <w:rFonts w:ascii="Arial" w:hAnsi="Arial" w:cs="Arial"/>
          <w:sz w:val="24"/>
          <w:szCs w:val="24"/>
        </w:rPr>
      </w:pPr>
    </w:p>
    <w:p w14:paraId="1913EA6A" w14:textId="77777777" w:rsidR="00FA0057" w:rsidRPr="00431373" w:rsidRDefault="00FA0057" w:rsidP="0091177D">
      <w:pPr>
        <w:spacing w:line="480" w:lineRule="auto"/>
        <w:rPr>
          <w:rFonts w:ascii="Arial" w:hAnsi="Arial" w:cs="Arial"/>
          <w:sz w:val="24"/>
          <w:szCs w:val="24"/>
        </w:rPr>
      </w:pPr>
      <w:r w:rsidRPr="00431373">
        <w:rPr>
          <w:rFonts w:ascii="Arial" w:hAnsi="Arial" w:cs="Arial"/>
          <w:sz w:val="24"/>
          <w:szCs w:val="24"/>
        </w:rPr>
        <w:t xml:space="preserve">Halsbury's Laws of England (2020) 'Extent to which mens rea is required', </w:t>
      </w:r>
      <w:r w:rsidRPr="00431373">
        <w:rPr>
          <w:rFonts w:ascii="Arial" w:hAnsi="Arial" w:cs="Arial"/>
          <w:i/>
          <w:iCs/>
          <w:sz w:val="24"/>
          <w:szCs w:val="24"/>
        </w:rPr>
        <w:t>Criminal Law</w:t>
      </w:r>
      <w:r w:rsidRPr="00431373">
        <w:rPr>
          <w:rFonts w:ascii="Arial" w:hAnsi="Arial" w:cs="Arial"/>
          <w:sz w:val="24"/>
          <w:szCs w:val="24"/>
        </w:rPr>
        <w:t xml:space="preserve">, 25. </w:t>
      </w:r>
    </w:p>
    <w:p w14:paraId="74759C3B" w14:textId="51A67B18" w:rsidR="00FA0057" w:rsidRPr="00431373" w:rsidRDefault="00FA0057" w:rsidP="0091177D">
      <w:pPr>
        <w:spacing w:line="480" w:lineRule="auto"/>
        <w:rPr>
          <w:rFonts w:ascii="Arial" w:hAnsi="Arial" w:cs="Arial"/>
          <w:sz w:val="24"/>
          <w:szCs w:val="24"/>
        </w:rPr>
      </w:pPr>
      <w:r w:rsidRPr="00431373">
        <w:rPr>
          <w:rFonts w:ascii="Arial" w:hAnsi="Arial" w:cs="Arial"/>
          <w:sz w:val="24"/>
          <w:szCs w:val="24"/>
        </w:rPr>
        <w:t xml:space="preserve">Available at: </w:t>
      </w:r>
      <w:hyperlink w:history="1">
        <w:r w:rsidRPr="00431373">
          <w:rPr>
            <w:rStyle w:val="Hyperlink"/>
            <w:rFonts w:ascii="Arial" w:hAnsi="Arial" w:cs="Arial"/>
            <w:sz w:val="24"/>
            <w:szCs w:val="24"/>
          </w:rPr>
          <w:t>https://plus-lexis</w:t>
        </w:r>
        <w:r w:rsidRPr="00431373">
          <w:rPr>
            <w:rStyle w:val="Hyperlink"/>
            <w:rFonts w:ascii="Arial" w:hAnsi="Arial" w:cs="Arial"/>
            <w:sz w:val="24"/>
            <w:szCs w:val="24"/>
          </w:rPr>
          <w:t xml:space="preserve"> </w:t>
        </w:r>
        <w:r w:rsidRPr="00431373">
          <w:rPr>
            <w:rStyle w:val="Hyperlink"/>
            <w:rFonts w:ascii="Arial" w:hAnsi="Arial" w:cs="Arial"/>
            <w:sz w:val="24"/>
            <w:szCs w:val="24"/>
          </w:rPr>
          <w:t>com.ezproxy.uwtsd.ac.uk/uk/document/?pdmfid=1001073&amp;pddocfullpath=%2Fshared%2Fdocument%2Fanalytical-materials-uk%2Furn:contentItem:616R-H963-GXFD-841F-00000-00&amp;crid=92c278b2-a24e-41b2-a9e3-cedf8ba6bced</w:t>
        </w:r>
      </w:hyperlink>
    </w:p>
    <w:p w14:paraId="56DE28D8" w14:textId="77777777" w:rsidR="00FA0057" w:rsidRPr="00431373" w:rsidRDefault="00FA0057" w:rsidP="0091177D">
      <w:pPr>
        <w:spacing w:line="480" w:lineRule="auto"/>
        <w:rPr>
          <w:rFonts w:ascii="Arial" w:hAnsi="Arial" w:cs="Arial"/>
          <w:sz w:val="24"/>
          <w:szCs w:val="24"/>
        </w:rPr>
      </w:pPr>
      <w:r w:rsidRPr="00431373">
        <w:rPr>
          <w:rFonts w:ascii="Arial" w:hAnsi="Arial" w:cs="Arial"/>
          <w:sz w:val="24"/>
          <w:szCs w:val="24"/>
        </w:rPr>
        <w:t>Accessed: 13/03/2024</w:t>
      </w:r>
    </w:p>
    <w:p w14:paraId="05C86920" w14:textId="77777777" w:rsidR="00FA0057" w:rsidRPr="00C97F43" w:rsidRDefault="00FA0057" w:rsidP="0091177D">
      <w:pPr>
        <w:spacing w:line="480" w:lineRule="auto"/>
        <w:rPr>
          <w:rFonts w:ascii="Arial" w:hAnsi="Arial" w:cs="Arial"/>
          <w:sz w:val="24"/>
          <w:szCs w:val="24"/>
        </w:rPr>
      </w:pPr>
    </w:p>
    <w:p w14:paraId="791C83A3" w14:textId="77777777" w:rsidR="00C97F43" w:rsidRPr="00431373" w:rsidRDefault="00C97F43" w:rsidP="0091177D">
      <w:pPr>
        <w:spacing w:line="480" w:lineRule="auto"/>
        <w:rPr>
          <w:rFonts w:ascii="Arial" w:hAnsi="Arial" w:cs="Arial"/>
          <w:b/>
          <w:bCs/>
          <w:sz w:val="24"/>
          <w:szCs w:val="24"/>
          <w:u w:val="single"/>
        </w:rPr>
      </w:pPr>
    </w:p>
    <w:p w14:paraId="6D25CC65" w14:textId="77777777" w:rsidR="003B1659" w:rsidRPr="00431373" w:rsidRDefault="00EF7529" w:rsidP="0091177D">
      <w:pPr>
        <w:spacing w:line="480" w:lineRule="auto"/>
        <w:rPr>
          <w:rFonts w:ascii="Arial" w:hAnsi="Arial" w:cs="Arial"/>
          <w:sz w:val="24"/>
          <w:szCs w:val="24"/>
        </w:rPr>
      </w:pPr>
      <w:r w:rsidRPr="00EF7529">
        <w:rPr>
          <w:rFonts w:ascii="Arial" w:hAnsi="Arial" w:cs="Arial"/>
          <w:sz w:val="24"/>
          <w:szCs w:val="24"/>
        </w:rPr>
        <w:t xml:space="preserve">Herbet, A. (2002) 'CROWN COURT OR MAGISTRATES’ </w:t>
      </w:r>
      <w:proofErr w:type="gramStart"/>
      <w:r w:rsidRPr="00EF7529">
        <w:rPr>
          <w:rFonts w:ascii="Arial" w:hAnsi="Arial" w:cs="Arial"/>
          <w:sz w:val="24"/>
          <w:szCs w:val="24"/>
        </w:rPr>
        <w:t>COURT :</w:t>
      </w:r>
      <w:proofErr w:type="gramEnd"/>
      <w:r w:rsidRPr="00EF7529">
        <w:rPr>
          <w:rFonts w:ascii="Arial" w:hAnsi="Arial" w:cs="Arial"/>
          <w:sz w:val="24"/>
          <w:szCs w:val="24"/>
        </w:rPr>
        <w:t xml:space="preserve"> A STUDY OF MAGISTRATES IN ACTION', ProQuest Dissertations Publishing. </w:t>
      </w:r>
    </w:p>
    <w:p w14:paraId="4474C26C" w14:textId="008AEFFF" w:rsidR="00EF7529" w:rsidRPr="00EF7529" w:rsidRDefault="00EF7529" w:rsidP="0091177D">
      <w:pPr>
        <w:spacing w:line="480" w:lineRule="auto"/>
        <w:rPr>
          <w:rFonts w:ascii="Arial" w:hAnsi="Arial" w:cs="Arial"/>
          <w:sz w:val="24"/>
          <w:szCs w:val="24"/>
        </w:rPr>
      </w:pPr>
      <w:r w:rsidRPr="00EF7529">
        <w:rPr>
          <w:rFonts w:ascii="Arial" w:hAnsi="Arial" w:cs="Arial"/>
          <w:sz w:val="24"/>
          <w:szCs w:val="24"/>
        </w:rPr>
        <w:t xml:space="preserve">Available at: </w:t>
      </w:r>
      <w:hyperlink r:id="rId17" w:history="1">
        <w:r w:rsidRPr="00EF7529">
          <w:rPr>
            <w:rStyle w:val="Hyperlink"/>
            <w:rFonts w:ascii="Arial" w:hAnsi="Arial" w:cs="Arial"/>
            <w:sz w:val="24"/>
            <w:szCs w:val="24"/>
            <w:u w:val="none"/>
          </w:rPr>
          <w:t>https://www.proquest.com/openview/27764228ee91eb8a0db112be663556d7/1?pq-origsite=gscholar&amp;cbl=51922&amp;diss=y</w:t>
        </w:r>
      </w:hyperlink>
    </w:p>
    <w:p w14:paraId="4E5392A8" w14:textId="77777777" w:rsidR="00EF7529" w:rsidRPr="00EF7529" w:rsidRDefault="00EF7529" w:rsidP="0091177D">
      <w:pPr>
        <w:spacing w:line="480" w:lineRule="auto"/>
        <w:rPr>
          <w:rFonts w:ascii="Arial" w:hAnsi="Arial" w:cs="Arial"/>
          <w:sz w:val="24"/>
          <w:szCs w:val="24"/>
        </w:rPr>
      </w:pPr>
      <w:r w:rsidRPr="00EF7529">
        <w:rPr>
          <w:rFonts w:ascii="Arial" w:hAnsi="Arial" w:cs="Arial"/>
          <w:sz w:val="24"/>
          <w:szCs w:val="24"/>
        </w:rPr>
        <w:t xml:space="preserve">Accessed on: </w:t>
      </w:r>
      <w:proofErr w:type="gramStart"/>
      <w:r w:rsidRPr="00EF7529">
        <w:rPr>
          <w:rFonts w:ascii="Arial" w:hAnsi="Arial" w:cs="Arial"/>
          <w:sz w:val="24"/>
          <w:szCs w:val="24"/>
        </w:rPr>
        <w:t>15/03/2024</w:t>
      </w:r>
      <w:proofErr w:type="gramEnd"/>
    </w:p>
    <w:p w14:paraId="7F5A2438" w14:textId="77777777" w:rsidR="002C706C" w:rsidRPr="00431373" w:rsidRDefault="002C706C" w:rsidP="0091177D">
      <w:pPr>
        <w:spacing w:line="480" w:lineRule="auto"/>
        <w:rPr>
          <w:rFonts w:ascii="Arial" w:hAnsi="Arial" w:cs="Arial"/>
          <w:sz w:val="24"/>
          <w:szCs w:val="24"/>
        </w:rPr>
      </w:pPr>
    </w:p>
    <w:p w14:paraId="1528B1CC" w14:textId="77777777" w:rsidR="0029613A" w:rsidRPr="00431373" w:rsidRDefault="0029613A" w:rsidP="0091177D">
      <w:pPr>
        <w:spacing w:line="480" w:lineRule="auto"/>
        <w:rPr>
          <w:rFonts w:ascii="Arial" w:hAnsi="Arial" w:cs="Arial"/>
          <w:sz w:val="24"/>
          <w:szCs w:val="24"/>
        </w:rPr>
      </w:pPr>
      <w:r w:rsidRPr="00431373">
        <w:rPr>
          <w:rFonts w:ascii="Arial" w:hAnsi="Arial" w:cs="Arial"/>
          <w:sz w:val="24"/>
          <w:szCs w:val="24"/>
        </w:rPr>
        <w:t xml:space="preserve">Sentencing Council (2021) </w:t>
      </w:r>
    </w:p>
    <w:p w14:paraId="55398D1D" w14:textId="77777777" w:rsidR="0029613A" w:rsidRPr="00431373" w:rsidRDefault="0029613A" w:rsidP="0091177D">
      <w:pPr>
        <w:spacing w:line="480" w:lineRule="auto"/>
        <w:rPr>
          <w:rFonts w:ascii="Arial" w:hAnsi="Arial" w:cs="Arial"/>
          <w:sz w:val="24"/>
          <w:szCs w:val="24"/>
        </w:rPr>
      </w:pPr>
      <w:r w:rsidRPr="00431373">
        <w:rPr>
          <w:rFonts w:ascii="Arial" w:hAnsi="Arial" w:cs="Arial"/>
          <w:i/>
          <w:iCs/>
          <w:sz w:val="24"/>
          <w:szCs w:val="24"/>
        </w:rPr>
        <w:t xml:space="preserve">Assault occasioning actual bodily harm / Racially or religiously aggravated ABH. </w:t>
      </w:r>
      <w:r w:rsidRPr="00431373">
        <w:rPr>
          <w:rFonts w:ascii="Arial" w:hAnsi="Arial" w:cs="Arial"/>
          <w:sz w:val="24"/>
          <w:szCs w:val="24"/>
        </w:rPr>
        <w:t xml:space="preserve">Available at: </w:t>
      </w:r>
      <w:hyperlink r:id="rId18" w:history="1">
        <w:r w:rsidRPr="00431373">
          <w:rPr>
            <w:rStyle w:val="Hyperlink"/>
            <w:rFonts w:ascii="Arial" w:hAnsi="Arial" w:cs="Arial"/>
            <w:sz w:val="24"/>
            <w:szCs w:val="24"/>
          </w:rPr>
          <w:t>https://www.sentencingcouncil.org.uk/offences/crown-court/item/assault-occasioning-actual-bodily-harm-racially-or-religiously-aggravated-abh/</w:t>
        </w:r>
      </w:hyperlink>
    </w:p>
    <w:p w14:paraId="1BE77F9B" w14:textId="77777777" w:rsidR="0029613A" w:rsidRPr="00431373" w:rsidRDefault="0029613A" w:rsidP="0091177D">
      <w:pPr>
        <w:spacing w:line="480" w:lineRule="auto"/>
        <w:rPr>
          <w:rFonts w:ascii="Arial" w:hAnsi="Arial" w:cs="Arial"/>
          <w:sz w:val="24"/>
          <w:szCs w:val="24"/>
        </w:rPr>
      </w:pPr>
      <w:r w:rsidRPr="00431373">
        <w:rPr>
          <w:rFonts w:ascii="Arial" w:hAnsi="Arial" w:cs="Arial"/>
          <w:sz w:val="24"/>
          <w:szCs w:val="24"/>
        </w:rPr>
        <w:t>Accessed on:15/03/2024.</w:t>
      </w:r>
    </w:p>
    <w:p w14:paraId="7F5F26EE" w14:textId="77777777" w:rsidR="0029613A" w:rsidRPr="00431373" w:rsidRDefault="0029613A" w:rsidP="0091177D">
      <w:pPr>
        <w:spacing w:line="480" w:lineRule="auto"/>
        <w:rPr>
          <w:rFonts w:ascii="Arial" w:hAnsi="Arial" w:cs="Arial"/>
          <w:sz w:val="24"/>
          <w:szCs w:val="24"/>
        </w:rPr>
      </w:pPr>
    </w:p>
    <w:p w14:paraId="75BF6E4A" w14:textId="77777777" w:rsidR="006C3114" w:rsidRPr="00431373" w:rsidRDefault="006C3114" w:rsidP="0091177D">
      <w:pPr>
        <w:spacing w:line="480" w:lineRule="auto"/>
        <w:rPr>
          <w:rFonts w:ascii="Arial" w:hAnsi="Arial" w:cs="Arial"/>
          <w:sz w:val="24"/>
          <w:szCs w:val="24"/>
        </w:rPr>
      </w:pPr>
      <w:r w:rsidRPr="006C3114">
        <w:rPr>
          <w:rFonts w:ascii="Arial" w:hAnsi="Arial" w:cs="Arial"/>
          <w:sz w:val="24"/>
          <w:szCs w:val="24"/>
        </w:rPr>
        <w:t>Sharpley, D. (2023) </w:t>
      </w:r>
      <w:r w:rsidRPr="006C3114">
        <w:rPr>
          <w:rFonts w:ascii="Arial" w:hAnsi="Arial" w:cs="Arial"/>
          <w:i/>
          <w:iCs/>
          <w:sz w:val="24"/>
          <w:szCs w:val="24"/>
        </w:rPr>
        <w:t>Criminal Litigation: 2023/2024</w:t>
      </w:r>
      <w:r w:rsidRPr="006C3114">
        <w:rPr>
          <w:rFonts w:ascii="Arial" w:hAnsi="Arial" w:cs="Arial"/>
          <w:sz w:val="24"/>
          <w:szCs w:val="24"/>
        </w:rPr>
        <w:t xml:space="preserve">. Bristol: College of Law Publishing. </w:t>
      </w:r>
    </w:p>
    <w:p w14:paraId="656E243B" w14:textId="508ABE9D" w:rsidR="006C3114" w:rsidRPr="006C3114" w:rsidRDefault="006C3114" w:rsidP="0091177D">
      <w:pPr>
        <w:spacing w:line="480" w:lineRule="auto"/>
        <w:rPr>
          <w:rFonts w:ascii="Arial" w:hAnsi="Arial" w:cs="Arial"/>
          <w:sz w:val="24"/>
          <w:szCs w:val="24"/>
        </w:rPr>
      </w:pPr>
      <w:r w:rsidRPr="006C3114">
        <w:rPr>
          <w:rFonts w:ascii="Arial" w:hAnsi="Arial" w:cs="Arial"/>
          <w:sz w:val="24"/>
          <w:szCs w:val="24"/>
        </w:rPr>
        <w:t xml:space="preserve">Available at: </w:t>
      </w:r>
      <w:hyperlink r:id="rId19" w:history="1">
        <w:r w:rsidRPr="006C3114">
          <w:rPr>
            <w:rStyle w:val="Hyperlink"/>
            <w:rFonts w:ascii="Arial" w:hAnsi="Arial" w:cs="Arial"/>
            <w:sz w:val="24"/>
            <w:szCs w:val="24"/>
          </w:rPr>
          <w:t>https://ebookcentral.proquest.com/lib/trinity/detail.action?docID=30540412#</w:t>
        </w:r>
      </w:hyperlink>
    </w:p>
    <w:p w14:paraId="4D70CEF0" w14:textId="77777777" w:rsidR="006C3114" w:rsidRPr="006C3114" w:rsidRDefault="006C3114" w:rsidP="0091177D">
      <w:pPr>
        <w:spacing w:line="480" w:lineRule="auto"/>
        <w:rPr>
          <w:rFonts w:ascii="Arial" w:hAnsi="Arial" w:cs="Arial"/>
          <w:sz w:val="24"/>
          <w:szCs w:val="24"/>
        </w:rPr>
      </w:pPr>
    </w:p>
    <w:p w14:paraId="67DDDD84" w14:textId="77777777" w:rsidR="00876B73" w:rsidRPr="00431373" w:rsidRDefault="00E544B7" w:rsidP="0091177D">
      <w:pPr>
        <w:spacing w:line="480" w:lineRule="auto"/>
        <w:rPr>
          <w:rFonts w:ascii="Arial" w:hAnsi="Arial" w:cs="Arial"/>
          <w:sz w:val="24"/>
          <w:szCs w:val="24"/>
        </w:rPr>
      </w:pPr>
      <w:r w:rsidRPr="00E544B7">
        <w:rPr>
          <w:rFonts w:ascii="Arial" w:hAnsi="Arial" w:cs="Arial"/>
          <w:sz w:val="24"/>
          <w:szCs w:val="24"/>
        </w:rPr>
        <w:t xml:space="preserve">Solicitors Regulation Authority, (2018), ‘SRA Code of Conduct for Solicitors, RELs and RFLs’ </w:t>
      </w:r>
      <w:r w:rsidRPr="00E544B7">
        <w:rPr>
          <w:rFonts w:ascii="Arial" w:hAnsi="Arial" w:cs="Arial"/>
          <w:i/>
          <w:iCs/>
          <w:sz w:val="24"/>
          <w:szCs w:val="24"/>
        </w:rPr>
        <w:t>SRA Standards and Regulations</w:t>
      </w:r>
      <w:r w:rsidRPr="00E544B7">
        <w:rPr>
          <w:rFonts w:ascii="Arial" w:hAnsi="Arial" w:cs="Arial"/>
          <w:sz w:val="24"/>
          <w:szCs w:val="24"/>
        </w:rPr>
        <w:t xml:space="preserve">.  </w:t>
      </w:r>
    </w:p>
    <w:p w14:paraId="1F21DC50" w14:textId="77777777" w:rsidR="00876B73" w:rsidRPr="00431373" w:rsidRDefault="00E544B7" w:rsidP="0091177D">
      <w:pPr>
        <w:spacing w:line="480" w:lineRule="auto"/>
        <w:rPr>
          <w:rFonts w:ascii="Arial" w:hAnsi="Arial" w:cs="Arial"/>
          <w:sz w:val="24"/>
          <w:szCs w:val="24"/>
        </w:rPr>
      </w:pPr>
      <w:r w:rsidRPr="00E544B7">
        <w:rPr>
          <w:rFonts w:ascii="Arial" w:hAnsi="Arial" w:cs="Arial"/>
          <w:sz w:val="24"/>
          <w:szCs w:val="24"/>
        </w:rPr>
        <w:t xml:space="preserve">Available at: </w:t>
      </w:r>
      <w:hyperlink r:id="rId20" w:history="1">
        <w:r w:rsidRPr="00E544B7">
          <w:rPr>
            <w:rStyle w:val="Hyperlink"/>
            <w:rFonts w:ascii="Arial" w:hAnsi="Arial" w:cs="Arial"/>
            <w:sz w:val="24"/>
            <w:szCs w:val="24"/>
          </w:rPr>
          <w:t>https://www.sra.org.uk/solicitors/standards-regulations/code-conduct-solicitors/</w:t>
        </w:r>
      </w:hyperlink>
      <w:r w:rsidRPr="00E544B7">
        <w:rPr>
          <w:rFonts w:ascii="Arial" w:hAnsi="Arial" w:cs="Arial"/>
          <w:sz w:val="24"/>
          <w:szCs w:val="24"/>
        </w:rPr>
        <w:t xml:space="preserve"> </w:t>
      </w:r>
    </w:p>
    <w:p w14:paraId="70BB88E5" w14:textId="63506AE6" w:rsidR="00E544B7" w:rsidRPr="00E544B7" w:rsidRDefault="00E544B7" w:rsidP="0091177D">
      <w:pPr>
        <w:spacing w:line="480" w:lineRule="auto"/>
        <w:rPr>
          <w:rFonts w:ascii="Arial" w:hAnsi="Arial" w:cs="Arial"/>
          <w:sz w:val="24"/>
          <w:szCs w:val="24"/>
        </w:rPr>
      </w:pPr>
      <w:r w:rsidRPr="00E544B7">
        <w:rPr>
          <w:rFonts w:ascii="Arial" w:hAnsi="Arial" w:cs="Arial"/>
          <w:sz w:val="24"/>
          <w:szCs w:val="24"/>
        </w:rPr>
        <w:t>Accessed: 20/03/2024.</w:t>
      </w:r>
    </w:p>
    <w:p w14:paraId="6ED3DEE0" w14:textId="77777777" w:rsidR="003B1659" w:rsidRPr="00431373" w:rsidRDefault="003B1659" w:rsidP="0091177D">
      <w:pPr>
        <w:spacing w:line="480" w:lineRule="auto"/>
        <w:rPr>
          <w:rFonts w:ascii="Arial" w:hAnsi="Arial" w:cs="Arial"/>
          <w:sz w:val="24"/>
          <w:szCs w:val="24"/>
        </w:rPr>
      </w:pPr>
    </w:p>
    <w:p w14:paraId="4C149261" w14:textId="77777777" w:rsidR="00876B73" w:rsidRPr="00431373" w:rsidRDefault="00876B73" w:rsidP="0091177D">
      <w:pPr>
        <w:spacing w:line="480" w:lineRule="auto"/>
        <w:rPr>
          <w:rFonts w:ascii="Arial" w:hAnsi="Arial" w:cs="Arial"/>
          <w:i/>
          <w:iCs/>
          <w:sz w:val="24"/>
          <w:szCs w:val="24"/>
        </w:rPr>
      </w:pPr>
      <w:r w:rsidRPr="00876B73">
        <w:rPr>
          <w:rFonts w:ascii="Arial" w:hAnsi="Arial" w:cs="Arial"/>
          <w:sz w:val="24"/>
          <w:szCs w:val="24"/>
        </w:rPr>
        <w:t>Solicitors Regulation Authority, (2019</w:t>
      </w:r>
      <w:proofErr w:type="gramStart"/>
      <w:r w:rsidRPr="00876B73">
        <w:rPr>
          <w:rFonts w:ascii="Arial" w:hAnsi="Arial" w:cs="Arial"/>
          <w:sz w:val="24"/>
          <w:szCs w:val="24"/>
        </w:rPr>
        <w:t>),  ‘</w:t>
      </w:r>
      <w:proofErr w:type="gramEnd"/>
      <w:r w:rsidRPr="00876B73">
        <w:rPr>
          <w:rFonts w:ascii="Arial" w:hAnsi="Arial" w:cs="Arial"/>
          <w:sz w:val="24"/>
          <w:szCs w:val="24"/>
        </w:rPr>
        <w:t xml:space="preserve">SRA Principles’ </w:t>
      </w:r>
      <w:r w:rsidRPr="00876B73">
        <w:rPr>
          <w:rFonts w:ascii="Arial" w:hAnsi="Arial" w:cs="Arial"/>
          <w:i/>
          <w:iCs/>
          <w:sz w:val="24"/>
          <w:szCs w:val="24"/>
        </w:rPr>
        <w:t>SRA Standards and Regulations (2018).</w:t>
      </w:r>
    </w:p>
    <w:p w14:paraId="296D5B33" w14:textId="77777777" w:rsidR="00876B73" w:rsidRPr="00431373" w:rsidRDefault="00876B73" w:rsidP="0091177D">
      <w:pPr>
        <w:spacing w:line="480" w:lineRule="auto"/>
        <w:rPr>
          <w:rFonts w:ascii="Arial" w:hAnsi="Arial" w:cs="Arial"/>
          <w:sz w:val="24"/>
          <w:szCs w:val="24"/>
        </w:rPr>
      </w:pPr>
      <w:r w:rsidRPr="00876B73">
        <w:rPr>
          <w:rFonts w:ascii="Arial" w:hAnsi="Arial" w:cs="Arial"/>
          <w:sz w:val="24"/>
          <w:szCs w:val="24"/>
        </w:rPr>
        <w:t>Available at:</w:t>
      </w:r>
      <w:r w:rsidRPr="00876B73">
        <w:rPr>
          <w:rFonts w:ascii="Arial" w:hAnsi="Arial" w:cs="Arial"/>
          <w:i/>
          <w:iCs/>
          <w:sz w:val="24"/>
          <w:szCs w:val="24"/>
        </w:rPr>
        <w:t xml:space="preserve"> </w:t>
      </w:r>
      <w:hyperlink r:id="rId21" w:history="1">
        <w:r w:rsidRPr="00876B73">
          <w:rPr>
            <w:rStyle w:val="Hyperlink"/>
            <w:rFonts w:ascii="Arial" w:hAnsi="Arial" w:cs="Arial"/>
            <w:i/>
            <w:iCs/>
            <w:sz w:val="24"/>
            <w:szCs w:val="24"/>
          </w:rPr>
          <w:t>https://www.sra.org.uk/solicitors/standards-regulations/principles/</w:t>
        </w:r>
      </w:hyperlink>
    </w:p>
    <w:p w14:paraId="3AA9A8B7" w14:textId="6162E162" w:rsidR="00876B73" w:rsidRPr="00876B73" w:rsidRDefault="00876B73" w:rsidP="0091177D">
      <w:pPr>
        <w:spacing w:line="480" w:lineRule="auto"/>
        <w:rPr>
          <w:rFonts w:ascii="Arial" w:hAnsi="Arial" w:cs="Arial"/>
          <w:i/>
          <w:iCs/>
          <w:sz w:val="24"/>
          <w:szCs w:val="24"/>
        </w:rPr>
      </w:pPr>
      <w:r w:rsidRPr="00876B73">
        <w:rPr>
          <w:rFonts w:ascii="Arial" w:hAnsi="Arial" w:cs="Arial"/>
          <w:i/>
          <w:iCs/>
          <w:sz w:val="24"/>
          <w:szCs w:val="24"/>
        </w:rPr>
        <w:t xml:space="preserve"> </w:t>
      </w:r>
      <w:r w:rsidRPr="00876B73">
        <w:rPr>
          <w:rFonts w:ascii="Arial" w:hAnsi="Arial" w:cs="Arial"/>
          <w:sz w:val="24"/>
          <w:szCs w:val="24"/>
        </w:rPr>
        <w:t xml:space="preserve">Accessed: 20/03/2024. </w:t>
      </w:r>
    </w:p>
    <w:p w14:paraId="501604EE" w14:textId="77777777" w:rsidR="00876B73" w:rsidRPr="00431373" w:rsidRDefault="00876B73" w:rsidP="0091177D">
      <w:pPr>
        <w:spacing w:line="480" w:lineRule="auto"/>
        <w:rPr>
          <w:rFonts w:ascii="Arial" w:hAnsi="Arial" w:cs="Arial"/>
          <w:sz w:val="24"/>
          <w:szCs w:val="24"/>
        </w:rPr>
      </w:pPr>
    </w:p>
    <w:p w14:paraId="4510EA82" w14:textId="77777777" w:rsidR="00700090" w:rsidRPr="00700090" w:rsidRDefault="00700090" w:rsidP="0091177D">
      <w:pPr>
        <w:spacing w:line="480" w:lineRule="auto"/>
        <w:rPr>
          <w:rFonts w:ascii="Arial" w:hAnsi="Arial" w:cs="Arial"/>
          <w:sz w:val="24"/>
          <w:szCs w:val="24"/>
        </w:rPr>
      </w:pPr>
      <w:r w:rsidRPr="00700090">
        <w:rPr>
          <w:rFonts w:ascii="Arial" w:hAnsi="Arial" w:cs="Arial"/>
          <w:sz w:val="24"/>
          <w:szCs w:val="24"/>
        </w:rPr>
        <w:t>Taylor, L. (2018) </w:t>
      </w:r>
      <w:r w:rsidRPr="00700090">
        <w:rPr>
          <w:rFonts w:ascii="Arial" w:hAnsi="Arial" w:cs="Arial"/>
          <w:i/>
          <w:iCs/>
          <w:sz w:val="24"/>
          <w:szCs w:val="24"/>
        </w:rPr>
        <w:t>Elliott and Quinn</w:t>
      </w:r>
      <w:r w:rsidRPr="00700090">
        <w:rPr>
          <w:rFonts w:ascii="Arial" w:hAnsi="Arial" w:cs="Arial"/>
          <w:i/>
          <w:iCs/>
          <w:sz w:val="24"/>
          <w:szCs w:val="24"/>
          <w:vertAlign w:val="superscript"/>
        </w:rPr>
        <w:t>1</w:t>
      </w:r>
      <w:r w:rsidRPr="00700090">
        <w:rPr>
          <w:rFonts w:ascii="Arial" w:hAnsi="Arial" w:cs="Arial"/>
          <w:i/>
          <w:iCs/>
          <w:sz w:val="24"/>
          <w:szCs w:val="24"/>
        </w:rPr>
        <w:t xml:space="preserve">s criminal </w:t>
      </w:r>
      <w:proofErr w:type="spellStart"/>
      <w:r w:rsidRPr="00700090">
        <w:rPr>
          <w:rFonts w:ascii="Arial" w:hAnsi="Arial" w:cs="Arial"/>
          <w:i/>
          <w:iCs/>
          <w:sz w:val="24"/>
          <w:szCs w:val="24"/>
        </w:rPr>
        <w:t>law.</w:t>
      </w:r>
      <w:proofErr w:type="spellEnd"/>
      <w:r w:rsidRPr="00700090">
        <w:rPr>
          <w:rFonts w:ascii="Arial" w:hAnsi="Arial" w:cs="Arial"/>
          <w:sz w:val="24"/>
          <w:szCs w:val="24"/>
        </w:rPr>
        <w:t xml:space="preserve"> Twelfth edition. Harlow, </w:t>
      </w:r>
      <w:proofErr w:type="gramStart"/>
      <w:r w:rsidRPr="00700090">
        <w:rPr>
          <w:rFonts w:ascii="Arial" w:hAnsi="Arial" w:cs="Arial"/>
          <w:sz w:val="24"/>
          <w:szCs w:val="24"/>
        </w:rPr>
        <w:t>England ;</w:t>
      </w:r>
      <w:proofErr w:type="gramEnd"/>
      <w:r w:rsidRPr="00700090">
        <w:rPr>
          <w:rFonts w:ascii="Arial" w:hAnsi="Arial" w:cs="Arial"/>
          <w:sz w:val="24"/>
          <w:szCs w:val="24"/>
        </w:rPr>
        <w:t xml:space="preserve"> New York, United States : Pearson Education Limited.</w:t>
      </w:r>
    </w:p>
    <w:p w14:paraId="350143A7" w14:textId="533CFE8F" w:rsidR="00700090" w:rsidRPr="00700090" w:rsidRDefault="00700090" w:rsidP="0091177D">
      <w:pPr>
        <w:spacing w:line="480" w:lineRule="auto"/>
        <w:rPr>
          <w:rFonts w:ascii="Arial" w:hAnsi="Arial" w:cs="Arial"/>
          <w:sz w:val="24"/>
          <w:szCs w:val="24"/>
        </w:rPr>
      </w:pPr>
      <w:r w:rsidRPr="00431373">
        <w:rPr>
          <w:rFonts w:ascii="Arial" w:hAnsi="Arial" w:cs="Arial"/>
          <w:sz w:val="24"/>
          <w:szCs w:val="24"/>
        </w:rPr>
        <w:t xml:space="preserve">Available at: </w:t>
      </w:r>
      <w:hyperlink r:id="rId22" w:history="1">
        <w:r w:rsidR="00431373" w:rsidRPr="00700090">
          <w:rPr>
            <w:rStyle w:val="Hyperlink"/>
            <w:rFonts w:ascii="Arial" w:hAnsi="Arial" w:cs="Arial"/>
            <w:sz w:val="24"/>
            <w:szCs w:val="24"/>
          </w:rPr>
          <w:t>https://link.springer.com/chapter/10.1007/978-1-349-19928-0_6</w:t>
        </w:r>
      </w:hyperlink>
    </w:p>
    <w:p w14:paraId="335C130A" w14:textId="77777777" w:rsidR="00700090" w:rsidRPr="00431373" w:rsidRDefault="00700090" w:rsidP="0045578A">
      <w:pPr>
        <w:rPr>
          <w:rFonts w:ascii="Arial" w:hAnsi="Arial" w:cs="Arial"/>
          <w:sz w:val="24"/>
          <w:szCs w:val="24"/>
        </w:rPr>
      </w:pPr>
    </w:p>
    <w:sectPr w:rsidR="00700090" w:rsidRPr="00431373" w:rsidSect="00D630F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122B1" w14:textId="77777777" w:rsidR="00D630F3" w:rsidRDefault="00D630F3" w:rsidP="00421821">
      <w:r>
        <w:separator/>
      </w:r>
    </w:p>
  </w:endnote>
  <w:endnote w:type="continuationSeparator" w:id="0">
    <w:p w14:paraId="2F37E7E7" w14:textId="77777777" w:rsidR="00D630F3" w:rsidRDefault="00D630F3" w:rsidP="00421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519295"/>
      <w:docPartObj>
        <w:docPartGallery w:val="Page Numbers (Bottom of Page)"/>
        <w:docPartUnique/>
      </w:docPartObj>
    </w:sdtPr>
    <w:sdtContent>
      <w:p w14:paraId="1D2B9A82" w14:textId="1D7B6B2E" w:rsidR="00BB2958" w:rsidRDefault="00BB2958">
        <w:pPr>
          <w:pStyle w:val="Footer"/>
          <w:jc w:val="right"/>
        </w:pPr>
        <w:r>
          <w:fldChar w:fldCharType="begin"/>
        </w:r>
        <w:r>
          <w:instrText>PAGE   \* MERGEFORMAT</w:instrText>
        </w:r>
        <w:r>
          <w:fldChar w:fldCharType="separate"/>
        </w:r>
        <w:r>
          <w:t>2</w:t>
        </w:r>
        <w:r>
          <w:fldChar w:fldCharType="end"/>
        </w:r>
      </w:p>
    </w:sdtContent>
  </w:sdt>
  <w:p w14:paraId="138B4DC7" w14:textId="77777777" w:rsidR="00421821" w:rsidRDefault="00421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1DEFF" w14:textId="77777777" w:rsidR="00D630F3" w:rsidRDefault="00D630F3" w:rsidP="00421821">
      <w:r>
        <w:separator/>
      </w:r>
    </w:p>
  </w:footnote>
  <w:footnote w:type="continuationSeparator" w:id="0">
    <w:p w14:paraId="766E0F87" w14:textId="77777777" w:rsidR="00D630F3" w:rsidRDefault="00D630F3" w:rsidP="004218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10041C"/>
    <w:multiLevelType w:val="multilevel"/>
    <w:tmpl w:val="BF2A6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B4909"/>
    <w:multiLevelType w:val="multilevel"/>
    <w:tmpl w:val="5374F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397712">
    <w:abstractNumId w:val="1"/>
  </w:num>
  <w:num w:numId="2" w16cid:durableId="1315644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306"/>
    <w:rsid w:val="000035AE"/>
    <w:rsid w:val="00017212"/>
    <w:rsid w:val="00021F90"/>
    <w:rsid w:val="00027A40"/>
    <w:rsid w:val="00035611"/>
    <w:rsid w:val="000711CC"/>
    <w:rsid w:val="000804CC"/>
    <w:rsid w:val="000A1AED"/>
    <w:rsid w:val="000A5E90"/>
    <w:rsid w:val="000B4111"/>
    <w:rsid w:val="000C31A3"/>
    <w:rsid w:val="000D1310"/>
    <w:rsid w:val="000D5BF5"/>
    <w:rsid w:val="000E2C9A"/>
    <w:rsid w:val="000F0C87"/>
    <w:rsid w:val="00102933"/>
    <w:rsid w:val="00127B79"/>
    <w:rsid w:val="00134FB5"/>
    <w:rsid w:val="0017176C"/>
    <w:rsid w:val="0017557C"/>
    <w:rsid w:val="00176A14"/>
    <w:rsid w:val="00180F59"/>
    <w:rsid w:val="001A04A6"/>
    <w:rsid w:val="001A33D4"/>
    <w:rsid w:val="001A459A"/>
    <w:rsid w:val="001C2105"/>
    <w:rsid w:val="001D218D"/>
    <w:rsid w:val="001F2317"/>
    <w:rsid w:val="00202C35"/>
    <w:rsid w:val="00223394"/>
    <w:rsid w:val="002406E6"/>
    <w:rsid w:val="002542FE"/>
    <w:rsid w:val="002617DD"/>
    <w:rsid w:val="00265756"/>
    <w:rsid w:val="00282E83"/>
    <w:rsid w:val="00283E22"/>
    <w:rsid w:val="0028632B"/>
    <w:rsid w:val="0029613A"/>
    <w:rsid w:val="002B3B67"/>
    <w:rsid w:val="002C1379"/>
    <w:rsid w:val="002C6E03"/>
    <w:rsid w:val="002C706C"/>
    <w:rsid w:val="002D70C9"/>
    <w:rsid w:val="002F31DD"/>
    <w:rsid w:val="00311990"/>
    <w:rsid w:val="003153A1"/>
    <w:rsid w:val="003217BC"/>
    <w:rsid w:val="003269BB"/>
    <w:rsid w:val="00335860"/>
    <w:rsid w:val="0034092A"/>
    <w:rsid w:val="00342031"/>
    <w:rsid w:val="003455B9"/>
    <w:rsid w:val="0035033E"/>
    <w:rsid w:val="00360D16"/>
    <w:rsid w:val="00364826"/>
    <w:rsid w:val="0037055A"/>
    <w:rsid w:val="00377AA7"/>
    <w:rsid w:val="00380C00"/>
    <w:rsid w:val="003B1659"/>
    <w:rsid w:val="003B5FAA"/>
    <w:rsid w:val="003B7D91"/>
    <w:rsid w:val="003E3CF8"/>
    <w:rsid w:val="003E59F4"/>
    <w:rsid w:val="0041496A"/>
    <w:rsid w:val="00416244"/>
    <w:rsid w:val="00421821"/>
    <w:rsid w:val="00421860"/>
    <w:rsid w:val="004235DB"/>
    <w:rsid w:val="0042545D"/>
    <w:rsid w:val="00431373"/>
    <w:rsid w:val="0045578A"/>
    <w:rsid w:val="00460AB3"/>
    <w:rsid w:val="00461971"/>
    <w:rsid w:val="00492FDD"/>
    <w:rsid w:val="004A6CBE"/>
    <w:rsid w:val="004B0E92"/>
    <w:rsid w:val="004C4009"/>
    <w:rsid w:val="004C5F99"/>
    <w:rsid w:val="004D0B78"/>
    <w:rsid w:val="004D5839"/>
    <w:rsid w:val="004E39B4"/>
    <w:rsid w:val="004F6310"/>
    <w:rsid w:val="004F7A2A"/>
    <w:rsid w:val="00500E78"/>
    <w:rsid w:val="00507F2C"/>
    <w:rsid w:val="00511B67"/>
    <w:rsid w:val="005207EE"/>
    <w:rsid w:val="00530C65"/>
    <w:rsid w:val="0053280B"/>
    <w:rsid w:val="00532F2A"/>
    <w:rsid w:val="00533930"/>
    <w:rsid w:val="0054045A"/>
    <w:rsid w:val="0054485C"/>
    <w:rsid w:val="0055432D"/>
    <w:rsid w:val="00556F45"/>
    <w:rsid w:val="00563DDD"/>
    <w:rsid w:val="00565390"/>
    <w:rsid w:val="005702EE"/>
    <w:rsid w:val="00593292"/>
    <w:rsid w:val="005B2F3D"/>
    <w:rsid w:val="005B7082"/>
    <w:rsid w:val="005C27E1"/>
    <w:rsid w:val="005C48CA"/>
    <w:rsid w:val="005C7929"/>
    <w:rsid w:val="0062103D"/>
    <w:rsid w:val="00633410"/>
    <w:rsid w:val="00643A51"/>
    <w:rsid w:val="0064767E"/>
    <w:rsid w:val="006512A7"/>
    <w:rsid w:val="0065371C"/>
    <w:rsid w:val="00661EF5"/>
    <w:rsid w:val="00667399"/>
    <w:rsid w:val="006678F8"/>
    <w:rsid w:val="0067549C"/>
    <w:rsid w:val="00681B99"/>
    <w:rsid w:val="0068456A"/>
    <w:rsid w:val="00686C9F"/>
    <w:rsid w:val="00697C37"/>
    <w:rsid w:val="006B4648"/>
    <w:rsid w:val="006C3114"/>
    <w:rsid w:val="006C6508"/>
    <w:rsid w:val="006D2CFC"/>
    <w:rsid w:val="006F74E6"/>
    <w:rsid w:val="00700090"/>
    <w:rsid w:val="00700534"/>
    <w:rsid w:val="00704BBE"/>
    <w:rsid w:val="007050C8"/>
    <w:rsid w:val="007061A6"/>
    <w:rsid w:val="007122E6"/>
    <w:rsid w:val="00723AA7"/>
    <w:rsid w:val="00732D33"/>
    <w:rsid w:val="007436A6"/>
    <w:rsid w:val="0075015A"/>
    <w:rsid w:val="00750E1C"/>
    <w:rsid w:val="0075764B"/>
    <w:rsid w:val="00774069"/>
    <w:rsid w:val="00782ED8"/>
    <w:rsid w:val="007911E6"/>
    <w:rsid w:val="00794757"/>
    <w:rsid w:val="00796C23"/>
    <w:rsid w:val="007B5681"/>
    <w:rsid w:val="007D4F1A"/>
    <w:rsid w:val="007D623B"/>
    <w:rsid w:val="007E3E8A"/>
    <w:rsid w:val="007F6FD5"/>
    <w:rsid w:val="007F70F9"/>
    <w:rsid w:val="008241CF"/>
    <w:rsid w:val="00834DE1"/>
    <w:rsid w:val="00841578"/>
    <w:rsid w:val="0087418F"/>
    <w:rsid w:val="0087577D"/>
    <w:rsid w:val="00876B73"/>
    <w:rsid w:val="008820C8"/>
    <w:rsid w:val="008A1571"/>
    <w:rsid w:val="008A6FAE"/>
    <w:rsid w:val="008B310F"/>
    <w:rsid w:val="008C216E"/>
    <w:rsid w:val="008C4889"/>
    <w:rsid w:val="008C49A9"/>
    <w:rsid w:val="008C5E01"/>
    <w:rsid w:val="008D326F"/>
    <w:rsid w:val="008E0499"/>
    <w:rsid w:val="008E4A1E"/>
    <w:rsid w:val="008E6F7A"/>
    <w:rsid w:val="009070DC"/>
    <w:rsid w:val="0091177D"/>
    <w:rsid w:val="00912819"/>
    <w:rsid w:val="00915788"/>
    <w:rsid w:val="00932016"/>
    <w:rsid w:val="0094167E"/>
    <w:rsid w:val="009455F8"/>
    <w:rsid w:val="00951077"/>
    <w:rsid w:val="0095257D"/>
    <w:rsid w:val="00962020"/>
    <w:rsid w:val="009620DB"/>
    <w:rsid w:val="0097741C"/>
    <w:rsid w:val="009957AB"/>
    <w:rsid w:val="009A143D"/>
    <w:rsid w:val="009A63D0"/>
    <w:rsid w:val="009B54B2"/>
    <w:rsid w:val="009B71CB"/>
    <w:rsid w:val="009C251D"/>
    <w:rsid w:val="009C3B28"/>
    <w:rsid w:val="009C6A82"/>
    <w:rsid w:val="009F442A"/>
    <w:rsid w:val="00A36785"/>
    <w:rsid w:val="00A43F83"/>
    <w:rsid w:val="00A61365"/>
    <w:rsid w:val="00A639B0"/>
    <w:rsid w:val="00A95F9C"/>
    <w:rsid w:val="00A9635E"/>
    <w:rsid w:val="00AA55AD"/>
    <w:rsid w:val="00AA653E"/>
    <w:rsid w:val="00AB05E7"/>
    <w:rsid w:val="00AC25F9"/>
    <w:rsid w:val="00AD1CCA"/>
    <w:rsid w:val="00AE100C"/>
    <w:rsid w:val="00AE5115"/>
    <w:rsid w:val="00AF1C54"/>
    <w:rsid w:val="00AF5BCC"/>
    <w:rsid w:val="00AF7768"/>
    <w:rsid w:val="00AF7A06"/>
    <w:rsid w:val="00B0199B"/>
    <w:rsid w:val="00B04A97"/>
    <w:rsid w:val="00B06998"/>
    <w:rsid w:val="00B242E9"/>
    <w:rsid w:val="00B6137A"/>
    <w:rsid w:val="00B627CD"/>
    <w:rsid w:val="00B67D23"/>
    <w:rsid w:val="00B764AB"/>
    <w:rsid w:val="00B957BC"/>
    <w:rsid w:val="00BA1DF1"/>
    <w:rsid w:val="00BA45DB"/>
    <w:rsid w:val="00BB2958"/>
    <w:rsid w:val="00BC621F"/>
    <w:rsid w:val="00BD16EE"/>
    <w:rsid w:val="00BD5AF8"/>
    <w:rsid w:val="00BE29AB"/>
    <w:rsid w:val="00BF1985"/>
    <w:rsid w:val="00BF6B37"/>
    <w:rsid w:val="00C01659"/>
    <w:rsid w:val="00C02306"/>
    <w:rsid w:val="00C054E8"/>
    <w:rsid w:val="00C07067"/>
    <w:rsid w:val="00C140FC"/>
    <w:rsid w:val="00C400EF"/>
    <w:rsid w:val="00C51305"/>
    <w:rsid w:val="00C72CE4"/>
    <w:rsid w:val="00C834C5"/>
    <w:rsid w:val="00C97F43"/>
    <w:rsid w:val="00CA06AD"/>
    <w:rsid w:val="00CA1AF9"/>
    <w:rsid w:val="00CC1064"/>
    <w:rsid w:val="00CC7940"/>
    <w:rsid w:val="00CE2A1B"/>
    <w:rsid w:val="00CF4A4C"/>
    <w:rsid w:val="00D040E3"/>
    <w:rsid w:val="00D15778"/>
    <w:rsid w:val="00D31C0B"/>
    <w:rsid w:val="00D35EE1"/>
    <w:rsid w:val="00D52484"/>
    <w:rsid w:val="00D546E5"/>
    <w:rsid w:val="00D630F3"/>
    <w:rsid w:val="00D701D1"/>
    <w:rsid w:val="00D75F0A"/>
    <w:rsid w:val="00D77A71"/>
    <w:rsid w:val="00D80FBD"/>
    <w:rsid w:val="00D82EDC"/>
    <w:rsid w:val="00D83D49"/>
    <w:rsid w:val="00D95F89"/>
    <w:rsid w:val="00DA4260"/>
    <w:rsid w:val="00DB3E65"/>
    <w:rsid w:val="00DC0368"/>
    <w:rsid w:val="00DC4066"/>
    <w:rsid w:val="00E131DF"/>
    <w:rsid w:val="00E31A9E"/>
    <w:rsid w:val="00E349EF"/>
    <w:rsid w:val="00E53B96"/>
    <w:rsid w:val="00E53D4D"/>
    <w:rsid w:val="00E544B7"/>
    <w:rsid w:val="00E67EBE"/>
    <w:rsid w:val="00E7084F"/>
    <w:rsid w:val="00E87F02"/>
    <w:rsid w:val="00E9556D"/>
    <w:rsid w:val="00EA0848"/>
    <w:rsid w:val="00EA19FD"/>
    <w:rsid w:val="00EC266D"/>
    <w:rsid w:val="00EC63EA"/>
    <w:rsid w:val="00ED1254"/>
    <w:rsid w:val="00EE4385"/>
    <w:rsid w:val="00EE73E4"/>
    <w:rsid w:val="00EE7A55"/>
    <w:rsid w:val="00EF0BF1"/>
    <w:rsid w:val="00EF2956"/>
    <w:rsid w:val="00EF7529"/>
    <w:rsid w:val="00EF7D9B"/>
    <w:rsid w:val="00F00E46"/>
    <w:rsid w:val="00F06609"/>
    <w:rsid w:val="00F14877"/>
    <w:rsid w:val="00F2493E"/>
    <w:rsid w:val="00F26358"/>
    <w:rsid w:val="00F30CC8"/>
    <w:rsid w:val="00F30E80"/>
    <w:rsid w:val="00F61FC8"/>
    <w:rsid w:val="00F825DE"/>
    <w:rsid w:val="00FA0057"/>
    <w:rsid w:val="00FA2576"/>
    <w:rsid w:val="00FA3F0A"/>
    <w:rsid w:val="00FA4881"/>
    <w:rsid w:val="00FC1282"/>
    <w:rsid w:val="00FD4DD4"/>
    <w:rsid w:val="00FE3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EEA18"/>
  <w15:chartTrackingRefBased/>
  <w15:docId w15:val="{F6F1FD97-C1E4-2C44-AB45-469389481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78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0230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0230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02306"/>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C02306"/>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C02306"/>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C02306"/>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C02306"/>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C02306"/>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C02306"/>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3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23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23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023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3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3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3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3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306"/>
    <w:rPr>
      <w:rFonts w:eastAsiaTheme="majorEastAsia" w:cstheme="majorBidi"/>
      <w:color w:val="272727" w:themeColor="text1" w:themeTint="D8"/>
    </w:rPr>
  </w:style>
  <w:style w:type="paragraph" w:styleId="Title">
    <w:name w:val="Title"/>
    <w:basedOn w:val="Normal"/>
    <w:next w:val="Normal"/>
    <w:link w:val="TitleChar"/>
    <w:uiPriority w:val="10"/>
    <w:qFormat/>
    <w:rsid w:val="00C0230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023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306"/>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023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306"/>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C02306"/>
    <w:rPr>
      <w:i/>
      <w:iCs/>
      <w:color w:val="404040" w:themeColor="text1" w:themeTint="BF"/>
    </w:rPr>
  </w:style>
  <w:style w:type="paragraph" w:styleId="ListParagraph">
    <w:name w:val="List Paragraph"/>
    <w:basedOn w:val="Normal"/>
    <w:uiPriority w:val="34"/>
    <w:qFormat/>
    <w:rsid w:val="00C02306"/>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C02306"/>
    <w:rPr>
      <w:i/>
      <w:iCs/>
      <w:color w:val="0F4761" w:themeColor="accent1" w:themeShade="BF"/>
    </w:rPr>
  </w:style>
  <w:style w:type="paragraph" w:styleId="IntenseQuote">
    <w:name w:val="Intense Quote"/>
    <w:basedOn w:val="Normal"/>
    <w:next w:val="Normal"/>
    <w:link w:val="IntenseQuoteChar"/>
    <w:uiPriority w:val="30"/>
    <w:qFormat/>
    <w:rsid w:val="00C0230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C02306"/>
    <w:rPr>
      <w:i/>
      <w:iCs/>
      <w:color w:val="0F4761" w:themeColor="accent1" w:themeShade="BF"/>
    </w:rPr>
  </w:style>
  <w:style w:type="character" w:styleId="IntenseReference">
    <w:name w:val="Intense Reference"/>
    <w:basedOn w:val="DefaultParagraphFont"/>
    <w:uiPriority w:val="32"/>
    <w:qFormat/>
    <w:rsid w:val="00C02306"/>
    <w:rPr>
      <w:b/>
      <w:bCs/>
      <w:smallCaps/>
      <w:color w:val="0F4761" w:themeColor="accent1" w:themeShade="BF"/>
      <w:spacing w:val="5"/>
    </w:rPr>
  </w:style>
  <w:style w:type="character" w:styleId="Hyperlink">
    <w:name w:val="Hyperlink"/>
    <w:basedOn w:val="DefaultParagraphFont"/>
    <w:uiPriority w:val="99"/>
    <w:unhideWhenUsed/>
    <w:rsid w:val="005B7082"/>
    <w:rPr>
      <w:color w:val="467886" w:themeColor="hyperlink"/>
      <w:u w:val="single"/>
    </w:rPr>
  </w:style>
  <w:style w:type="character" w:styleId="UnresolvedMention">
    <w:name w:val="Unresolved Mention"/>
    <w:basedOn w:val="DefaultParagraphFont"/>
    <w:uiPriority w:val="99"/>
    <w:semiHidden/>
    <w:unhideWhenUsed/>
    <w:rsid w:val="005B7082"/>
    <w:rPr>
      <w:color w:val="605E5C"/>
      <w:shd w:val="clear" w:color="auto" w:fill="E1DFDD"/>
    </w:rPr>
  </w:style>
  <w:style w:type="character" w:styleId="Emphasis">
    <w:name w:val="Emphasis"/>
    <w:basedOn w:val="DefaultParagraphFont"/>
    <w:uiPriority w:val="20"/>
    <w:qFormat/>
    <w:rsid w:val="00DC4066"/>
    <w:rPr>
      <w:i/>
      <w:iCs/>
    </w:rPr>
  </w:style>
  <w:style w:type="paragraph" w:styleId="Header">
    <w:name w:val="header"/>
    <w:basedOn w:val="Normal"/>
    <w:link w:val="HeaderChar"/>
    <w:uiPriority w:val="99"/>
    <w:unhideWhenUsed/>
    <w:rsid w:val="00421821"/>
    <w:pPr>
      <w:tabs>
        <w:tab w:val="center" w:pos="4513"/>
        <w:tab w:val="right" w:pos="9026"/>
      </w:tabs>
    </w:pPr>
  </w:style>
  <w:style w:type="character" w:customStyle="1" w:styleId="HeaderChar">
    <w:name w:val="Header Char"/>
    <w:basedOn w:val="DefaultParagraphFont"/>
    <w:link w:val="Header"/>
    <w:uiPriority w:val="99"/>
    <w:rsid w:val="0042182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21821"/>
    <w:pPr>
      <w:tabs>
        <w:tab w:val="center" w:pos="4513"/>
        <w:tab w:val="right" w:pos="9026"/>
      </w:tabs>
    </w:pPr>
  </w:style>
  <w:style w:type="character" w:customStyle="1" w:styleId="FooterChar">
    <w:name w:val="Footer Char"/>
    <w:basedOn w:val="DefaultParagraphFont"/>
    <w:link w:val="Footer"/>
    <w:uiPriority w:val="99"/>
    <w:rsid w:val="00421821"/>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42182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21821"/>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115325">
      <w:bodyDiv w:val="1"/>
      <w:marLeft w:val="0"/>
      <w:marRight w:val="0"/>
      <w:marTop w:val="0"/>
      <w:marBottom w:val="0"/>
      <w:divBdr>
        <w:top w:val="none" w:sz="0" w:space="0" w:color="auto"/>
        <w:left w:val="none" w:sz="0" w:space="0" w:color="auto"/>
        <w:bottom w:val="none" w:sz="0" w:space="0" w:color="auto"/>
        <w:right w:val="none" w:sz="0" w:space="0" w:color="auto"/>
      </w:divBdr>
    </w:div>
    <w:div w:id="931544667">
      <w:bodyDiv w:val="1"/>
      <w:marLeft w:val="0"/>
      <w:marRight w:val="0"/>
      <w:marTop w:val="0"/>
      <w:marBottom w:val="0"/>
      <w:divBdr>
        <w:top w:val="none" w:sz="0" w:space="0" w:color="auto"/>
        <w:left w:val="none" w:sz="0" w:space="0" w:color="auto"/>
        <w:bottom w:val="none" w:sz="0" w:space="0" w:color="auto"/>
        <w:right w:val="none" w:sz="0" w:space="0" w:color="auto"/>
      </w:divBdr>
    </w:div>
    <w:div w:id="1688556824">
      <w:bodyDiv w:val="1"/>
      <w:marLeft w:val="0"/>
      <w:marRight w:val="0"/>
      <w:marTop w:val="0"/>
      <w:marBottom w:val="0"/>
      <w:divBdr>
        <w:top w:val="none" w:sz="0" w:space="0" w:color="auto"/>
        <w:left w:val="none" w:sz="0" w:space="0" w:color="auto"/>
        <w:bottom w:val="none" w:sz="0" w:space="0" w:color="auto"/>
        <w:right w:val="none" w:sz="0" w:space="0" w:color="auto"/>
      </w:divBdr>
    </w:div>
    <w:div w:id="1718040996">
      <w:bodyDiv w:val="1"/>
      <w:marLeft w:val="0"/>
      <w:marRight w:val="0"/>
      <w:marTop w:val="0"/>
      <w:marBottom w:val="0"/>
      <w:divBdr>
        <w:top w:val="none" w:sz="0" w:space="0" w:color="auto"/>
        <w:left w:val="none" w:sz="0" w:space="0" w:color="auto"/>
        <w:bottom w:val="none" w:sz="0" w:space="0" w:color="auto"/>
        <w:right w:val="none" w:sz="0" w:space="0" w:color="auto"/>
      </w:divBdr>
    </w:div>
    <w:div w:id="182485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8/33/contents" TargetMode="External"/><Relationship Id="rId13" Type="http://schemas.openxmlformats.org/officeDocument/2006/relationships/hyperlink" Target="https://www.legislation.gov.uk/ukpga/1986/64/section/5" TargetMode="External"/><Relationship Id="rId18" Type="http://schemas.openxmlformats.org/officeDocument/2006/relationships/hyperlink" Target="https://www.sentencingcouncil.org.uk/offences/crown-court/item/assault-occasioning-actual-bodily-harm-racially-or-religiously-aggravated-abh/" TargetMode="External"/><Relationship Id="rId3" Type="http://schemas.openxmlformats.org/officeDocument/2006/relationships/settings" Target="settings.xml"/><Relationship Id="rId21" Type="http://schemas.openxmlformats.org/officeDocument/2006/relationships/hyperlink" Target="https://www.sra.org.uk/solicitors/standards-regulations/principles/" TargetMode="External"/><Relationship Id="rId7" Type="http://schemas.openxmlformats.org/officeDocument/2006/relationships/hyperlink" Target="https://www.legislation.gov.uk/ukpga/1976/63/contents" TargetMode="External"/><Relationship Id="rId12" Type="http://schemas.openxmlformats.org/officeDocument/2006/relationships/hyperlink" Target="https://www.legislation.gov.uk/ukpga/1984/60/contents" TargetMode="External"/><Relationship Id="rId17" Type="http://schemas.openxmlformats.org/officeDocument/2006/relationships/hyperlink" Target="https://www.proquest.com/openview/27764228ee91eb8a0db112be663556d7/1?pq-origsite=gscholar&amp;cbl=51922&amp;diss=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legal-aid" TargetMode="External"/><Relationship Id="rId20" Type="http://schemas.openxmlformats.org/officeDocument/2006/relationships/hyperlink" Target="https://www.sra.org.uk/solicitors/standards-regulations/code-conduct-solicito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Vict/24-25/100/contents/enacted"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lus-lexis-com.ezproxy.uwtsd.ac.uk/uk/cases-uk/regina-respondent-and-savage-appellant-direct_2?crid=a5a091d8-7086-4d91-8723-6e1d18562ab3&amp;pdproductcontenttypeid=urn:pct:285&amp;pdiskwicview=false&amp;pdpinpoint=" TargetMode="External"/><Relationship Id="rId23" Type="http://schemas.openxmlformats.org/officeDocument/2006/relationships/footer" Target="footer1.xml"/><Relationship Id="rId10" Type="http://schemas.openxmlformats.org/officeDocument/2006/relationships/hyperlink" Target="https://www.legislation.gov.uk/ukpga/2007/29/section/1" TargetMode="External"/><Relationship Id="rId19" Type="http://schemas.openxmlformats.org/officeDocument/2006/relationships/hyperlink" Target="https://ebookcentral.proquest.com/lib/trinity/detail.action?docID=30540412" TargetMode="External"/><Relationship Id="rId4" Type="http://schemas.openxmlformats.org/officeDocument/2006/relationships/webSettings" Target="webSettings.xml"/><Relationship Id="rId9" Type="http://schemas.openxmlformats.org/officeDocument/2006/relationships/hyperlink" Target="https://www.legislation.gov.uk/ukpga/1998/42/contents" TargetMode="External"/><Relationship Id="rId14" Type="http://schemas.openxmlformats.org/officeDocument/2006/relationships/hyperlink" Target="https://www.legislation.gov.uk/ukpga/2020/17/section/73#:~:text=73Reduction%20in%20sentence%20for,before%20that%20or%20another%20court.&amp;text=(b)the%20circumstances%20in%20which%20the%20indication%20was%20given" TargetMode="External"/><Relationship Id="rId22" Type="http://schemas.openxmlformats.org/officeDocument/2006/relationships/hyperlink" Target="https://link.springer.com/chapter/10.1007/978-1-349-19928-0_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8</Pages>
  <Words>1489</Words>
  <Characters>8905</Characters>
  <Application>Microsoft Office Word</Application>
  <DocSecurity>0</DocSecurity>
  <Lines>183</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10372</CharactersWithSpaces>
  <SharedDoc>false</SharedDoc>
  <HLinks>
    <vt:vector size="6" baseType="variant">
      <vt:variant>
        <vt:i4>1507416</vt:i4>
      </vt:variant>
      <vt:variant>
        <vt:i4>0</vt:i4>
      </vt:variant>
      <vt:variant>
        <vt:i4>0</vt:i4>
      </vt:variant>
      <vt:variant>
        <vt:i4>5</vt:i4>
      </vt:variant>
      <vt:variant>
        <vt:lpwstr>https://plus-lexis-com.ezproxy.uwtsd.ac.uk/uk/document/?pdmfid=1001073&amp;pddocfullpath=%2Fshared%2Fdocument%2Fanalytical-materials-uk%2Furn:contentItem:616R-H963-GXFD-841F-00000-00&amp;crid=92c278b2-a24e-41b2-a9e3-cedf8ba6bced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Scenario Question</dc:title>
  <dc:subject/>
  <dc:creator>Shannon Davies</dc:creator>
  <cp:keywords/>
  <dc:description/>
  <cp:lastModifiedBy>Shannon Davies</cp:lastModifiedBy>
  <cp:revision>167</cp:revision>
  <dcterms:created xsi:type="dcterms:W3CDTF">2024-03-17T20:06:00Z</dcterms:created>
  <dcterms:modified xsi:type="dcterms:W3CDTF">2024-04-01T16:56:00Z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ccafadb179d886eceec7d5d9dec69bebec319bc77f3408032636bab96bb4185c</vt:lpwstr>
  </property>
</Properties>
</file>