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2FCDD85" w14:textId="77777777" w:rsidR="00B144B7" w:rsidRDefault="00B144B7" w:rsidP="00B144B7">
      <w:pPr>
        <w:jc w:val="center"/>
        <w:rPr>
          <w:b/>
        </w:rPr>
      </w:pPr>
    </w:p>
    <w:p w14:paraId="5333CEA9" w14:textId="61144DE3" w:rsidR="00B144B7" w:rsidRPr="00B144B7" w:rsidRDefault="00B144B7" w:rsidP="00B144B7">
      <w:pPr>
        <w:jc w:val="center"/>
        <w:rPr>
          <w:b/>
        </w:rPr>
      </w:pPr>
      <w:r w:rsidRPr="00B144B7">
        <w:rPr>
          <w:b/>
        </w:rPr>
        <w:t>‘</w:t>
      </w:r>
      <w:r w:rsidRPr="00B144B7">
        <w:rPr>
          <w:rFonts w:ascii="Arial" w:hAnsi="Arial" w:cs="Arial"/>
          <w:b/>
        </w:rPr>
        <w:t>A Critical Comparison of Two Secondary Sources’</w:t>
      </w:r>
    </w:p>
    <w:p w14:paraId="058C0DE1" w14:textId="022F7191" w:rsidR="00B144B7" w:rsidRDefault="00B144B7" w:rsidP="00B144B7">
      <w:pPr>
        <w:jc w:val="center"/>
      </w:pPr>
      <w:r w:rsidRPr="00422C36">
        <w:t xml:space="preserve">Word Count: </w:t>
      </w:r>
      <w:r w:rsidR="004B5D1C">
        <w:t>2547</w:t>
      </w:r>
    </w:p>
    <w:p w14:paraId="69C8BFF5" w14:textId="55790526" w:rsidR="00B144B7" w:rsidRDefault="00B144B7" w:rsidP="00B144B7">
      <w:pPr>
        <w:jc w:val="center"/>
      </w:pPr>
    </w:p>
    <w:p w14:paraId="1EC77945" w14:textId="65840635" w:rsidR="00B144B7" w:rsidRDefault="00B144B7" w:rsidP="00B144B7">
      <w:pPr>
        <w:jc w:val="center"/>
      </w:pPr>
    </w:p>
    <w:p w14:paraId="60D2D232" w14:textId="00173E94" w:rsidR="00A9101D" w:rsidRDefault="00F7163D" w:rsidP="00B144B7">
      <w:pPr>
        <w:spacing w:after="120" w:line="276" w:lineRule="auto"/>
      </w:pPr>
      <w:r>
        <w:t>This essay critically compares two published articles from their position as secondary sources in the social sciences literature</w:t>
      </w:r>
      <w:r w:rsidR="00FE0C70">
        <w:t xml:space="preserve"> and written exclusively for academic audiences</w:t>
      </w:r>
      <w:r>
        <w:t>.</w:t>
      </w:r>
      <w:r w:rsidR="00FE0C70">
        <w:t xml:space="preserve"> These audiences could include, but are not limited to, those who conduct research in educational psychology, folklore studies, the sociology of religion, and the scientific study of non-traditional belief systems.</w:t>
      </w:r>
      <w:r>
        <w:t xml:space="preserve"> The selected papers are T.L. Brink, ‘Inconsistency of Belief Among Roman Catholic Girls: Concerning Religion, Astrology, Reincarnation’, Review of Religious Research, 20 (1), (Fall, 1978): 82-85, and; Tony Walter and Helen Waterhouse, ‘A Very Private Belief: Reincarnation in Contemporary England’, Sociology of Religion, 60 (2) (1999): 187-197.</w:t>
      </w:r>
      <w:r>
        <w:rPr>
          <w:rStyle w:val="FootnoteReference"/>
        </w:rPr>
        <w:footnoteReference w:id="1"/>
      </w:r>
      <w:r>
        <w:t xml:space="preserve"> </w:t>
      </w:r>
      <w:r w:rsidR="007B01F1">
        <w:t>T</w:t>
      </w:r>
      <w:r w:rsidR="007B01F1" w:rsidRPr="00422C36">
        <w:t>h</w:t>
      </w:r>
      <w:r w:rsidR="007B01F1">
        <w:t>e</w:t>
      </w:r>
      <w:r w:rsidR="007B01F1" w:rsidRPr="00422C36">
        <w:t xml:space="preserve"> essay </w:t>
      </w:r>
      <w:r w:rsidR="007B01F1">
        <w:t xml:space="preserve">structure </w:t>
      </w:r>
      <w:r w:rsidR="007B01F1" w:rsidRPr="00422C36">
        <w:t>considers these two papers within</w:t>
      </w:r>
      <w:r w:rsidR="007B01F1">
        <w:t xml:space="preserve"> the following: 1) the respective </w:t>
      </w:r>
      <w:r w:rsidR="00585522">
        <w:t>context</w:t>
      </w:r>
      <w:r w:rsidR="00B44799">
        <w:t>,</w:t>
      </w:r>
      <w:r w:rsidR="00585522">
        <w:t xml:space="preserve"> </w:t>
      </w:r>
      <w:r w:rsidR="007B01F1">
        <w:t>method</w:t>
      </w:r>
      <w:r w:rsidR="00585522">
        <w:t>s</w:t>
      </w:r>
      <w:r w:rsidR="00B44799">
        <w:t xml:space="preserve"> and research ethos</w:t>
      </w:r>
      <w:r w:rsidR="007B01F1">
        <w:t xml:space="preserve"> utilized by the researcher(s)</w:t>
      </w:r>
      <w:r w:rsidR="004D2CBD">
        <w:t xml:space="preserve"> in each paper</w:t>
      </w:r>
      <w:r w:rsidR="007B01F1">
        <w:t xml:space="preserve">; 2) the manner in which the researcher(s) are placed – or place themselves – on a continuum from the </w:t>
      </w:r>
      <w:r w:rsidR="00341C9F">
        <w:t>‘</w:t>
      </w:r>
      <w:r w:rsidR="00A9101D">
        <w:t xml:space="preserve">insider/participant and the perspective of the outsider/observer’, and; 3) how the author(s) situate their study results within </w:t>
      </w:r>
      <w:r w:rsidR="00341C9F">
        <w:t xml:space="preserve">their chosen literature base </w:t>
      </w:r>
      <w:r w:rsidR="00A9101D">
        <w:t>related to systems of belief.</w:t>
      </w:r>
      <w:r w:rsidR="005B7A7B">
        <w:rPr>
          <w:rStyle w:val="FootnoteReference"/>
        </w:rPr>
        <w:footnoteReference w:id="2"/>
      </w:r>
    </w:p>
    <w:p w14:paraId="14EF1DA9" w14:textId="4B30806C" w:rsidR="00B144B7" w:rsidRDefault="00585522" w:rsidP="00585522">
      <w:pPr>
        <w:spacing w:after="120" w:line="276" w:lineRule="auto"/>
        <w:rPr>
          <w:b/>
          <w:bCs/>
        </w:rPr>
      </w:pPr>
      <w:r>
        <w:rPr>
          <w:b/>
          <w:bCs/>
        </w:rPr>
        <w:t>Context</w:t>
      </w:r>
      <w:r w:rsidR="00B44799">
        <w:rPr>
          <w:b/>
          <w:bCs/>
        </w:rPr>
        <w:t xml:space="preserve">, </w:t>
      </w:r>
      <w:r>
        <w:rPr>
          <w:b/>
          <w:bCs/>
        </w:rPr>
        <w:t>Method</w:t>
      </w:r>
      <w:r w:rsidR="009E75BB">
        <w:rPr>
          <w:b/>
          <w:bCs/>
        </w:rPr>
        <w:t>s</w:t>
      </w:r>
      <w:r w:rsidR="00B44799">
        <w:rPr>
          <w:b/>
          <w:bCs/>
        </w:rPr>
        <w:t xml:space="preserve"> and Research Ethos</w:t>
      </w:r>
    </w:p>
    <w:p w14:paraId="24344BD2" w14:textId="7F4DB30C" w:rsidR="00585522" w:rsidRDefault="009E75BB" w:rsidP="00585522">
      <w:pPr>
        <w:spacing w:after="120" w:line="276" w:lineRule="auto"/>
      </w:pPr>
      <w:r>
        <w:t>At the time T.L. Brink was collecting data on systems of belief among girls in a Catholic high school in NW Chicago, Illinois in the USA, he was in the final year of doctoral studies in psychometrics at the University of Chicago.</w:t>
      </w:r>
      <w:r>
        <w:rPr>
          <w:rStyle w:val="FootnoteReference"/>
        </w:rPr>
        <w:footnoteReference w:id="3"/>
      </w:r>
      <w:r>
        <w:t xml:space="preserve"> The year was 1976, and he was a religious education teacher at the school with access to over 200 potential subjects each day due to the compulsory catechetics courses in Catholic doctrine with which he was tasked.</w:t>
      </w:r>
      <w:r>
        <w:rPr>
          <w:rStyle w:val="FootnoteReference"/>
        </w:rPr>
        <w:footnoteReference w:id="4"/>
      </w:r>
      <w:r>
        <w:t xml:space="preserve"> </w:t>
      </w:r>
      <w:r w:rsidR="00421E84">
        <w:t>Upon the completion of the PhD, Brink moved to Menlo Park, California to simultaneously maintain a practice in psychotherapy and teach Catholic doctrine at Sacred Heart High School which at that time was a finishing school for girls operated by the Sisters of the Society of the Sacred Heart.</w:t>
      </w:r>
      <w:r w:rsidR="00421E84">
        <w:rPr>
          <w:rStyle w:val="FootnoteReference"/>
        </w:rPr>
        <w:footnoteReference w:id="5"/>
      </w:r>
      <w:r w:rsidR="00165BF4">
        <w:t xml:space="preserve"> This context is important in situating the data upon which </w:t>
      </w:r>
      <w:r w:rsidR="00FD4AAB">
        <w:t>his 1976</w:t>
      </w:r>
      <w:r w:rsidR="00165BF4">
        <w:t xml:space="preserve"> study is based, principally due to Brink’s theoretical commitment to a ‘psychotherapeutic model for religious education’.</w:t>
      </w:r>
      <w:r w:rsidR="00165BF4">
        <w:rPr>
          <w:rStyle w:val="FootnoteReference"/>
        </w:rPr>
        <w:footnoteReference w:id="6"/>
      </w:r>
      <w:r w:rsidR="00A601BB">
        <w:t xml:space="preserve"> This model of religious education, for Brink, grounds religious instruction in a behaviourist paradigm which emphasizes – not doctrine or recitation of beliefs – but ‘how one functions within life’s </w:t>
      </w:r>
      <w:r w:rsidR="00A601BB">
        <w:lastRenderedPageBreak/>
        <w:t>concrete situations’ and the use of ‘cognitive scientific materials to transform an individual’s way of thinking about one’s self’.</w:t>
      </w:r>
      <w:r w:rsidR="00FD4AAB">
        <w:rPr>
          <w:rStyle w:val="FootnoteReference"/>
        </w:rPr>
        <w:footnoteReference w:id="7"/>
      </w:r>
    </w:p>
    <w:p w14:paraId="62DAD702" w14:textId="1196DC86" w:rsidR="00CC7F43" w:rsidRDefault="00CC7F43" w:rsidP="00585522">
      <w:pPr>
        <w:spacing w:after="120" w:line="276" w:lineRule="auto"/>
      </w:pPr>
      <w:r>
        <w:t xml:space="preserve">There is evidence </w:t>
      </w:r>
      <w:r w:rsidR="00E737DA">
        <w:t xml:space="preserve">for Brink’s commitment to behaviours and moralizing over religious content mastery when examining the statements which were included in the questionnaires distributed among his students. Of the statements presented (which, according to his own recollection were five-point Likert </w:t>
      </w:r>
      <w:r w:rsidR="00613211">
        <w:t xml:space="preserve">rating </w:t>
      </w:r>
      <w:r w:rsidR="00E737DA">
        <w:t>scales), only two constitute dogmatic theological commitments; the remainder are primarily statements related to the Christian moral life and religious attitudes coming from Catholic belief.</w:t>
      </w:r>
      <w:r w:rsidR="00E737DA">
        <w:rPr>
          <w:rStyle w:val="FootnoteReference"/>
        </w:rPr>
        <w:footnoteReference w:id="8"/>
      </w:r>
      <w:r w:rsidR="00613211">
        <w:t xml:space="preserve"> Belief or non-belief in astrology and reincarnation, respectively, create two distinct cohorts of students and so provide the essence of the hypothesis framed by Brink at the outset of his study: that ‘beliefs of adolescent girls will show an acceptance of only one belief set (i.e., Roman Catholicism, astrology, or reincarnation</w:t>
      </w:r>
      <w:r w:rsidR="00AA12D8">
        <w:t>) accompanied by the rejection of the others’.</w:t>
      </w:r>
      <w:r w:rsidR="00AA12D8">
        <w:rPr>
          <w:rStyle w:val="FootnoteReference"/>
        </w:rPr>
        <w:footnoteReference w:id="9"/>
      </w:r>
      <w:r w:rsidR="00A3254B">
        <w:t xml:space="preserve"> </w:t>
      </w:r>
    </w:p>
    <w:p w14:paraId="6396CB15" w14:textId="3B8029AA" w:rsidR="00A3254B" w:rsidRDefault="00A3254B" w:rsidP="00585522">
      <w:pPr>
        <w:spacing w:after="120" w:line="276" w:lineRule="auto"/>
      </w:pPr>
      <w:r>
        <w:t xml:space="preserve">The design of Brink’s study bears close resemblance to that of Robert </w:t>
      </w:r>
      <w:proofErr w:type="spellStart"/>
      <w:r>
        <w:t>Wuthnow</w:t>
      </w:r>
      <w:proofErr w:type="spellEnd"/>
      <w:r>
        <w:t>, who, in 1973 conducted a large-scale examination of social correlates of</w:t>
      </w:r>
      <w:r w:rsidR="000F74EA">
        <w:t>,</w:t>
      </w:r>
      <w:r>
        <w:t xml:space="preserve"> and belief in</w:t>
      </w:r>
      <w:r w:rsidR="000F74EA">
        <w:t>,</w:t>
      </w:r>
      <w:r>
        <w:t xml:space="preserve"> astrology</w:t>
      </w:r>
      <w:r w:rsidR="000F74EA">
        <w:t xml:space="preserve"> in the San Francisco Bay area</w:t>
      </w:r>
      <w:r w:rsidR="0071529E">
        <w:t xml:space="preserve">. </w:t>
      </w:r>
      <w:proofErr w:type="gramStart"/>
      <w:r w:rsidR="0071529E">
        <w:t>Similar to</w:t>
      </w:r>
      <w:proofErr w:type="gramEnd"/>
      <w:r w:rsidR="0071529E">
        <w:t xml:space="preserve"> Brink, </w:t>
      </w:r>
      <w:proofErr w:type="spellStart"/>
      <w:r w:rsidR="0071529E">
        <w:t>Wuthnow’s</w:t>
      </w:r>
      <w:proofErr w:type="spellEnd"/>
      <w:r w:rsidR="0071529E">
        <w:t xml:space="preserve"> study </w:t>
      </w:r>
      <w:r w:rsidR="000F74EA">
        <w:t>also included a cohort of adolescent respondents</w:t>
      </w:r>
      <w:r w:rsidR="00AE5993">
        <w:t xml:space="preserve"> which were over-sampled</w:t>
      </w:r>
      <w:r w:rsidR="000F74EA">
        <w:t>.</w:t>
      </w:r>
      <w:r w:rsidR="000F74EA">
        <w:rPr>
          <w:rStyle w:val="FootnoteReference"/>
        </w:rPr>
        <w:footnoteReference w:id="10"/>
      </w:r>
      <w:r w:rsidR="00C64288">
        <w:t xml:space="preserve"> </w:t>
      </w:r>
      <w:r w:rsidR="0071529E">
        <w:t>An homogenous group of girls in a Catholic finishing school</w:t>
      </w:r>
      <w:r w:rsidR="0006215E">
        <w:t>, all taking a required course in catechetics,</w:t>
      </w:r>
      <w:r w:rsidR="0071529E">
        <w:t xml:space="preserve"> borders on the definition of oversampling in the case of Brink’s subjects. </w:t>
      </w:r>
      <w:r w:rsidR="00AE5993">
        <w:t xml:space="preserve">Brink </w:t>
      </w:r>
      <w:proofErr w:type="gramStart"/>
      <w:r w:rsidR="00AE5993">
        <w:t>makes an attempt</w:t>
      </w:r>
      <w:proofErr w:type="gramEnd"/>
      <w:r w:rsidR="00AE5993">
        <w:t xml:space="preserve"> to link </w:t>
      </w:r>
      <w:proofErr w:type="spellStart"/>
      <w:r w:rsidR="00AE5993">
        <w:t>Wuthnow’s</w:t>
      </w:r>
      <w:proofErr w:type="spellEnd"/>
      <w:r w:rsidR="00AE5993">
        <w:t xml:space="preserve"> ‘index of marginality’ – which scored subjects on a 0-5 scale with ‘5’ being ‘highly socially marginalized’ – to his own students’ attitudes toward ‘socially-oriented religious rituals such as marriage and the baptism of one’s children</w:t>
      </w:r>
      <w:r w:rsidR="008D197A">
        <w:t>’.</w:t>
      </w:r>
      <w:r w:rsidR="008D197A">
        <w:rPr>
          <w:rStyle w:val="FootnoteReference"/>
        </w:rPr>
        <w:footnoteReference w:id="11"/>
      </w:r>
      <w:r w:rsidR="0071529E">
        <w:t xml:space="preserve"> That is, he intends to claim that about </w:t>
      </w:r>
      <w:r w:rsidR="0006215E">
        <w:t>one</w:t>
      </w:r>
      <w:r w:rsidR="0071529E">
        <w:t>-third of his students could be classed as ‘marginalized’</w:t>
      </w:r>
      <w:r w:rsidR="00FE2472">
        <w:t xml:space="preserve">, are not accepting of the traditions of inclusivity and family </w:t>
      </w:r>
      <w:r w:rsidR="009E7341">
        <w:t>and</w:t>
      </w:r>
      <w:r w:rsidR="00FE2472">
        <w:t xml:space="preserve"> more inclined toward a belief in astrology and/or reincarnation</w:t>
      </w:r>
      <w:r w:rsidR="0071529E">
        <w:t xml:space="preserve">. </w:t>
      </w:r>
      <w:r w:rsidR="00FE2472">
        <w:t>The data as presented by Brink appears to argue the reverse</w:t>
      </w:r>
      <w:r w:rsidR="009E7341">
        <w:t xml:space="preserve"> or at the very least no association at all</w:t>
      </w:r>
      <w:r w:rsidR="00FE2472">
        <w:t>. Moreover, t</w:t>
      </w:r>
      <w:r w:rsidR="0071529E">
        <w:t>h</w:t>
      </w:r>
      <w:r w:rsidR="00FE2472">
        <w:t>ese</w:t>
      </w:r>
      <w:r w:rsidR="0071529E">
        <w:t xml:space="preserve"> </w:t>
      </w:r>
      <w:r w:rsidR="00FE2472">
        <w:t>are</w:t>
      </w:r>
      <w:r w:rsidR="0071529E">
        <w:t xml:space="preserve"> difficult association</w:t>
      </w:r>
      <w:r w:rsidR="00FE2472">
        <w:t>s</w:t>
      </w:r>
      <w:r w:rsidR="0071529E">
        <w:t xml:space="preserve"> to accept given the typical demographics that one would come to expect from a faith-based</w:t>
      </w:r>
      <w:r w:rsidR="0006215E">
        <w:t>, private-funded</w:t>
      </w:r>
      <w:r w:rsidR="0071529E">
        <w:t xml:space="preserve"> finishing school of the 1970s. </w:t>
      </w:r>
    </w:p>
    <w:p w14:paraId="3D0B748D" w14:textId="77777777" w:rsidR="000B3EE2" w:rsidRDefault="00001AFE" w:rsidP="00585522">
      <w:pPr>
        <w:spacing w:after="120" w:line="276" w:lineRule="auto"/>
      </w:pPr>
      <w:r>
        <w:t xml:space="preserve">If the study by </w:t>
      </w:r>
      <w:r w:rsidR="00D579CC">
        <w:t xml:space="preserve">T. L. </w:t>
      </w:r>
      <w:r>
        <w:t xml:space="preserve">Brink relied exclusively on survey data from a convenience sample of his own students, the study conducted by Tony Walter and Helen Waterhouse has its reliance upon </w:t>
      </w:r>
      <w:r w:rsidR="00D579CC">
        <w:t xml:space="preserve">what they describe as ‘small-scale </w:t>
      </w:r>
      <w:r>
        <w:t>interview</w:t>
      </w:r>
      <w:r w:rsidR="00D579CC">
        <w:t>’</w:t>
      </w:r>
      <w:r>
        <w:t xml:space="preserve"> data.</w:t>
      </w:r>
      <w:r>
        <w:rPr>
          <w:rStyle w:val="FootnoteReference"/>
        </w:rPr>
        <w:footnoteReference w:id="12"/>
      </w:r>
      <w:r>
        <w:t xml:space="preserve"> </w:t>
      </w:r>
      <w:r w:rsidR="007B70E4">
        <w:t>By ‘small-scale’ the reference is, methodologically, to about thirty taped interviews conducted in the homes of adults who had indicated an interest in discussing reincarnation.</w:t>
      </w:r>
      <w:r w:rsidR="007B70E4">
        <w:rPr>
          <w:rStyle w:val="FootnoteReference"/>
        </w:rPr>
        <w:footnoteReference w:id="13"/>
      </w:r>
      <w:r w:rsidR="007B70E4">
        <w:t xml:space="preserve"> </w:t>
      </w:r>
      <w:r>
        <w:t>That said, it can be stated that</w:t>
      </w:r>
      <w:r w:rsidR="006A0540">
        <w:t xml:space="preserve"> precursor survey data</w:t>
      </w:r>
      <w:r w:rsidR="00760E58">
        <w:t xml:space="preserve"> on belief in reincarnation</w:t>
      </w:r>
      <w:r w:rsidR="006A0540">
        <w:t xml:space="preserve"> – especially that of the 1990 European Values Survey </w:t>
      </w:r>
      <w:r w:rsidR="00760E58">
        <w:t>–</w:t>
      </w:r>
      <w:r w:rsidR="006A0540">
        <w:t xml:space="preserve"> </w:t>
      </w:r>
      <w:r w:rsidR="00760E58">
        <w:t>is cited by the authors as background, though no reference is made to where that data can be located in the literature</w:t>
      </w:r>
      <w:r w:rsidR="00F3632F">
        <w:t xml:space="preserve">. Walter and Waterhouse claim that prior survey data from certain other (and identified) sources prompted them to ‘elicit the meaning of </w:t>
      </w:r>
      <w:r w:rsidR="00F3632F">
        <w:lastRenderedPageBreak/>
        <w:t>reincarnation’</w:t>
      </w:r>
      <w:r w:rsidR="00760E58">
        <w:t xml:space="preserve"> </w:t>
      </w:r>
      <w:r w:rsidR="00F3632F">
        <w:t xml:space="preserve">which complements Brink’s orientation to measure belief in reincarnation primarily quantitatively from scales. </w:t>
      </w:r>
    </w:p>
    <w:p w14:paraId="3ECB24AB" w14:textId="388F8D7A" w:rsidR="00001AFE" w:rsidRDefault="00C4520E" w:rsidP="00585522">
      <w:pPr>
        <w:spacing w:after="120" w:line="276" w:lineRule="auto"/>
      </w:pPr>
      <w:r>
        <w:t>In a curious aside, Walter and Waterhouse also claim to have interviewed schoolchildren</w:t>
      </w:r>
      <w:r w:rsidR="006D5E7A">
        <w:t xml:space="preserve"> but the data from these interviews is inaccessible in the literature</w:t>
      </w:r>
      <w:r>
        <w:t xml:space="preserve">. Brink, in his 2017 text </w:t>
      </w:r>
      <w:r>
        <w:rPr>
          <w:i/>
          <w:iCs/>
        </w:rPr>
        <w:t>Research Methods for Psychology</w:t>
      </w:r>
      <w:r>
        <w:t>, clearly points out that one ‘problem with informed consent is how certain individuals might not be capable of giving it, especially minors’.</w:t>
      </w:r>
      <w:r>
        <w:rPr>
          <w:rStyle w:val="FootnoteReference"/>
        </w:rPr>
        <w:footnoteReference w:id="14"/>
      </w:r>
      <w:r w:rsidR="006D5E7A">
        <w:t xml:space="preserve"> In addition – and this may argue for why in his 1976 study informed consent was not required among Brink’s students – it is stated that for certain studies ‘institutions such as schools have a right to gather data on their students and these data are exempt from ethical review if the data reflect standard activities for that organization’.</w:t>
      </w:r>
      <w:r w:rsidR="006D5E7A">
        <w:rPr>
          <w:rStyle w:val="FootnoteReference"/>
        </w:rPr>
        <w:footnoteReference w:id="15"/>
      </w:r>
      <w:r w:rsidR="00783AE4">
        <w:t xml:space="preserve"> </w:t>
      </w:r>
      <w:r w:rsidR="00BC7010">
        <w:t xml:space="preserve">Is it a ‘standard activity’ within a school for adolescent girls to ask about belief in astrology or reincarnation? Without an understanding of the context of their religious education, this may be difficult to adjudicate. </w:t>
      </w:r>
      <w:r w:rsidR="000B3EE2">
        <w:t xml:space="preserve">In their treatment of ethical principles in qualitative research, </w:t>
      </w:r>
      <w:r w:rsidR="002E5AB3">
        <w:t>notably</w:t>
      </w:r>
      <w:r w:rsidR="00BC7010">
        <w:t xml:space="preserve">, </w:t>
      </w:r>
      <w:proofErr w:type="spellStart"/>
      <w:r w:rsidR="000B3EE2">
        <w:t>Hennink</w:t>
      </w:r>
      <w:proofErr w:type="spellEnd"/>
      <w:r w:rsidR="000B3EE2">
        <w:t xml:space="preserve">, </w:t>
      </w:r>
      <w:proofErr w:type="spellStart"/>
      <w:r w:rsidR="000B3EE2">
        <w:t>Hutter</w:t>
      </w:r>
      <w:proofErr w:type="spellEnd"/>
      <w:r w:rsidR="000B3EE2">
        <w:t xml:space="preserve"> and Bailey state that ‘there are more pronounced ethical challenges in qualitative research’ as such research methods are ‘used to understand perceptions, beliefs and feelings of people – the voices of study participants.’</w:t>
      </w:r>
      <w:r w:rsidR="000B3EE2">
        <w:rPr>
          <w:rStyle w:val="FootnoteReference"/>
        </w:rPr>
        <w:footnoteReference w:id="16"/>
      </w:r>
      <w:r w:rsidR="00BC7010">
        <w:t xml:space="preserve"> When those ‘voices’ are asked to participate in a questionnaire from an authority figure, ethical considerations do become of primary concern.</w:t>
      </w:r>
      <w:r w:rsidR="00BC7010">
        <w:rPr>
          <w:rStyle w:val="FootnoteReference"/>
        </w:rPr>
        <w:footnoteReference w:id="17"/>
      </w:r>
      <w:r w:rsidR="002E5AB3">
        <w:t xml:space="preserve"> A further argument in support of extra measures of care in the case of schoolchildren in research is provided by Judith Bell who noted that ‘regardless of the requirements of your [academic] institution…[you] will need to satisfy yourself that you have done everything possible to ensure that your research is conducted in a way which complies with your own ethical principles’.</w:t>
      </w:r>
      <w:r w:rsidR="002E5AB3">
        <w:rPr>
          <w:rStyle w:val="FootnoteReference"/>
        </w:rPr>
        <w:footnoteReference w:id="18"/>
      </w:r>
      <w:r w:rsidR="00B53B6D">
        <w:t xml:space="preserve"> Bell’s position does, nevertheless, open a door to the ‘conscientious insider’ to adopt a set of self-organizing and self-regulating ethical principles.</w:t>
      </w:r>
    </w:p>
    <w:p w14:paraId="76334FEB" w14:textId="3D3CA45A" w:rsidR="00B53B6D" w:rsidRDefault="00D72D60" w:rsidP="00585522">
      <w:pPr>
        <w:spacing w:after="120" w:line="276" w:lineRule="auto"/>
        <w:rPr>
          <w:b/>
          <w:bCs/>
        </w:rPr>
      </w:pPr>
      <w:r>
        <w:rPr>
          <w:b/>
          <w:bCs/>
        </w:rPr>
        <w:t xml:space="preserve">Insider/Participant </w:t>
      </w:r>
      <w:r w:rsidR="009148CE">
        <w:rPr>
          <w:b/>
          <w:bCs/>
        </w:rPr>
        <w:t>or</w:t>
      </w:r>
      <w:r>
        <w:rPr>
          <w:b/>
          <w:bCs/>
        </w:rPr>
        <w:t xml:space="preserve"> Outsider/Observer</w:t>
      </w:r>
      <w:r w:rsidR="009148CE">
        <w:rPr>
          <w:b/>
          <w:bCs/>
        </w:rPr>
        <w:t>?</w:t>
      </w:r>
    </w:p>
    <w:p w14:paraId="77547419" w14:textId="53C2EDB2" w:rsidR="00D72D60" w:rsidRDefault="002B627C" w:rsidP="00585522">
      <w:pPr>
        <w:spacing w:after="120" w:line="276" w:lineRule="auto"/>
      </w:pPr>
      <w:r>
        <w:t>The question of the positionality of the researcher is a perennial one and cannot easily be separated from research ethics or from methodological concerns.</w:t>
      </w:r>
      <w:r>
        <w:rPr>
          <w:rStyle w:val="FootnoteReference"/>
        </w:rPr>
        <w:footnoteReference w:id="19"/>
      </w:r>
      <w:r w:rsidR="002701E3">
        <w:t xml:space="preserve"> In an example of conducting research within a school setting as a teacher (as T.L. Brink did), Judith Bell noted that a ‘personal code of practice’ which ‘ensures the integrity’ of both the embedded educator-researcher and that of the school are recommended.</w:t>
      </w:r>
      <w:r w:rsidR="002701E3">
        <w:rPr>
          <w:rStyle w:val="FootnoteReference"/>
        </w:rPr>
        <w:footnoteReference w:id="20"/>
      </w:r>
      <w:r w:rsidR="00994ADF">
        <w:t xml:space="preserve"> In a recent informal communication with T.L. Brink, his recollection was that the data collected for his 1976 study on Catholic beliefs and astrology/reincarnation was collected ‘just for fun and helped me develop skills in questionnaire preparation and quantitative data analysis’.</w:t>
      </w:r>
      <w:r w:rsidR="00994ADF">
        <w:rPr>
          <w:rStyle w:val="FootnoteReference"/>
        </w:rPr>
        <w:footnoteReference w:id="21"/>
      </w:r>
      <w:r w:rsidR="00994ADF">
        <w:t xml:space="preserve"> </w:t>
      </w:r>
      <w:r w:rsidR="00342901">
        <w:t xml:space="preserve">In that time period, where psychological and psychometric research was inclined towards the administration of </w:t>
      </w:r>
      <w:r w:rsidR="00342901">
        <w:lastRenderedPageBreak/>
        <w:t>surveys almost exclusively, convenience sampling of students in school settings was deemed acceptable and it was widespread. Strict ethical controls on researcher behaviour in the United States and in Europe were not common (outside of federal institutions) until the early 1990s.</w:t>
      </w:r>
      <w:r w:rsidR="00342901">
        <w:rPr>
          <w:rStyle w:val="FootnoteReference"/>
        </w:rPr>
        <w:footnoteReference w:id="22"/>
      </w:r>
      <w:r w:rsidR="003B123D">
        <w:t xml:space="preserve"> In the instance of T.L. Brink and his local study, he could be described as an ‘insider’ by virtue of being employed by the school, but as an actor in the research his role is that of the ‘observer’. Hence, on the continuum of insider/participant and outsider/observer, his positionality could not be more embedded nor more central. By virtue of his legitimate authority over the students in his care, he occupied </w:t>
      </w:r>
      <w:r w:rsidR="00590B01">
        <w:t>that space which Guillemin and Gillam described as where ‘ethical tensions are part of the everyday practice of doing research’.</w:t>
      </w:r>
      <w:r w:rsidR="00590B01">
        <w:rPr>
          <w:rStyle w:val="FootnoteReference"/>
        </w:rPr>
        <w:footnoteReference w:id="23"/>
      </w:r>
      <w:r w:rsidR="00F57F93">
        <w:t xml:space="preserve"> His experience would fit well into both dimensions of </w:t>
      </w:r>
      <w:r w:rsidR="00F57F93">
        <w:t>Guillemin and Gillam</w:t>
      </w:r>
      <w:r w:rsidR="00F57F93">
        <w:t xml:space="preserve"> when they refer to ‘procedural ethics’ (how the study is designed and constructed) and ‘ethics in practice’ (what occurs on the ground at the site of the research).</w:t>
      </w:r>
      <w:r w:rsidR="00F57F93">
        <w:rPr>
          <w:rStyle w:val="FootnoteReference"/>
        </w:rPr>
        <w:footnoteReference w:id="24"/>
      </w:r>
    </w:p>
    <w:p w14:paraId="00339A50" w14:textId="52B2F9C1" w:rsidR="00F40B23" w:rsidRDefault="00A34AAF" w:rsidP="00585522">
      <w:pPr>
        <w:spacing w:after="120" w:line="276" w:lineRule="auto"/>
      </w:pPr>
      <w:r>
        <w:t>In the case of Walter and Waterhouse, their positionality is more that of the interested outsider / observer</w:t>
      </w:r>
      <w:r w:rsidR="00C61F0C">
        <w:t xml:space="preserve"> in combination with professional lens – Walter the sociologist and Waterhouse academician on religious studies. Their interview-exclusive approach, when combined with their notable reliance upon snowballing, situates them in a dimension of ‘ethics in practice’ and more specifically in that space of a steadily changing data collection environment (</w:t>
      </w:r>
      <w:r w:rsidR="00E56E1D">
        <w:t>‘</w:t>
      </w:r>
      <w:r w:rsidR="00C61F0C">
        <w:t>microethics</w:t>
      </w:r>
      <w:r w:rsidR="00E56E1D">
        <w:t>’</w:t>
      </w:r>
      <w:r w:rsidR="00C61F0C">
        <w:t>) together with a traditional procedural ethos.</w:t>
      </w:r>
      <w:r w:rsidR="00C61F0C">
        <w:rPr>
          <w:rStyle w:val="FootnoteReference"/>
        </w:rPr>
        <w:footnoteReference w:id="25"/>
      </w:r>
      <w:r w:rsidR="00E56E1D">
        <w:t xml:space="preserve"> There is, therefore, in the instance of Walter and Waterhouse, an attractive complementarity of a simple placement of their research </w:t>
      </w:r>
      <w:r w:rsidR="00DF41AB">
        <w:t>at</w:t>
      </w:r>
      <w:r w:rsidR="00E56E1D">
        <w:t xml:space="preserve"> the outsider/observer end member of </w:t>
      </w:r>
      <w:r w:rsidR="00DF41AB">
        <w:t>one</w:t>
      </w:r>
      <w:r w:rsidR="00E56E1D">
        <w:t xml:space="preserve"> continuum but in combination with </w:t>
      </w:r>
      <w:r w:rsidR="00DF41AB">
        <w:t>another placement – along the continuum of procedural ethics and ethics in practice.</w:t>
      </w:r>
      <w:r w:rsidR="00DF41AB">
        <w:rPr>
          <w:rStyle w:val="FootnoteReference"/>
        </w:rPr>
        <w:footnoteReference w:id="26"/>
      </w:r>
    </w:p>
    <w:p w14:paraId="438F23E5" w14:textId="1E60F9BD" w:rsidR="00F40B23" w:rsidRDefault="00F40B23" w:rsidP="00585522">
      <w:pPr>
        <w:spacing w:after="120" w:line="276" w:lineRule="auto"/>
        <w:rPr>
          <w:b/>
          <w:bCs/>
        </w:rPr>
      </w:pPr>
      <w:r>
        <w:rPr>
          <w:b/>
          <w:bCs/>
        </w:rPr>
        <w:t>Situating Results Within the Literature</w:t>
      </w:r>
    </w:p>
    <w:p w14:paraId="6A921A26" w14:textId="1D3EC835" w:rsidR="00856D52" w:rsidRDefault="00E938E7" w:rsidP="00585522">
      <w:pPr>
        <w:spacing w:after="120" w:line="276" w:lineRule="auto"/>
      </w:pPr>
      <w:proofErr w:type="gramStart"/>
      <w:r>
        <w:t>In order to</w:t>
      </w:r>
      <w:proofErr w:type="gramEnd"/>
      <w:r>
        <w:t xml:space="preserve"> appreciate the positionality of Walter and Waterhouse within the sociology of religion literature, it is of interest to examine the parallel paper by Helen Waterhouse which preceded it.</w:t>
      </w:r>
      <w:r>
        <w:rPr>
          <w:rStyle w:val="FootnoteReference"/>
        </w:rPr>
        <w:footnoteReference w:id="27"/>
      </w:r>
      <w:r w:rsidR="005762EC">
        <w:t xml:space="preserve"> There is a striking consonance across these two papers such that, when set side by side, it is difficult to imagine that these are two separate</w:t>
      </w:r>
      <w:r w:rsidR="00675672">
        <w:t xml:space="preserve"> peer-reviewed</w:t>
      </w:r>
      <w:r w:rsidR="005762EC">
        <w:t xml:space="preserve"> papers. </w:t>
      </w:r>
      <w:r w:rsidR="00770BB4">
        <w:t xml:space="preserve">The previous section noted that Walter and Waterhouse had interviewed twenty-one school-aged </w:t>
      </w:r>
      <w:proofErr w:type="gramStart"/>
      <w:r w:rsidR="00770BB4">
        <w:t>children;</w:t>
      </w:r>
      <w:proofErr w:type="gramEnd"/>
      <w:r w:rsidR="00770BB4">
        <w:t xml:space="preserve"> some as young as age </w:t>
      </w:r>
      <w:r w:rsidR="00DE3A4F">
        <w:t>eleven</w:t>
      </w:r>
      <w:r w:rsidR="00770BB4">
        <w:t>. What has become of that interview data? Is it sequestered in one of Walter’s unpublished manuscripts? Has the data been expunged and not addressed? We cannot answer these questions adequately</w:t>
      </w:r>
      <w:r w:rsidR="00686F3D">
        <w:t>,</w:t>
      </w:r>
      <w:r w:rsidR="00770BB4">
        <w:t xml:space="preserve"> though tantalizingly the existence of the data is alluded to in their paper.</w:t>
      </w:r>
      <w:r w:rsidR="00770BB4">
        <w:rPr>
          <w:rStyle w:val="FootnoteReference"/>
        </w:rPr>
        <w:footnoteReference w:id="28"/>
      </w:r>
      <w:r w:rsidR="00770BB4">
        <w:t xml:space="preserve"> The use of “snowballing” techniques may provide the reader a clue that these children were</w:t>
      </w:r>
      <w:r w:rsidR="00686F3D">
        <w:t xml:space="preserve"> -</w:t>
      </w:r>
      <w:r w:rsidR="00770BB4">
        <w:t xml:space="preserve"> within the families of some of the adult interviewees.</w:t>
      </w:r>
      <w:r w:rsidR="00A9462F">
        <w:t xml:space="preserve"> </w:t>
      </w:r>
      <w:r w:rsidR="00686F3D">
        <w:t>To support this conjecture</w:t>
      </w:r>
      <w:r w:rsidR="00A9462F">
        <w:t xml:space="preserve">, </w:t>
      </w:r>
      <w:proofErr w:type="spellStart"/>
      <w:r w:rsidR="00A9462F">
        <w:t>Hennink</w:t>
      </w:r>
      <w:proofErr w:type="spellEnd"/>
      <w:r w:rsidR="00A9462F">
        <w:t xml:space="preserve">, </w:t>
      </w:r>
      <w:proofErr w:type="spellStart"/>
      <w:r w:rsidR="00A9462F">
        <w:t>Hutter</w:t>
      </w:r>
      <w:proofErr w:type="spellEnd"/>
      <w:r w:rsidR="00A9462F">
        <w:t xml:space="preserve"> and Bailey indicate that an ‘advantage of the </w:t>
      </w:r>
      <w:r w:rsidR="00A9462F">
        <w:lastRenderedPageBreak/>
        <w:t>snowball technique is that…[participants] are linked to the study by a familiar, trusted person who can describe what participation entails and alleviate any concerns.</w:t>
      </w:r>
      <w:r w:rsidR="00E21449">
        <w:rPr>
          <w:rStyle w:val="FootnoteReference"/>
        </w:rPr>
        <w:footnoteReference w:id="29"/>
      </w:r>
      <w:r w:rsidR="00770BB4">
        <w:t xml:space="preserve"> </w:t>
      </w:r>
      <w:r w:rsidR="00154386">
        <w:t xml:space="preserve"> </w:t>
      </w:r>
      <w:r w:rsidR="007E145A">
        <w:t xml:space="preserve">It is a reasonable </w:t>
      </w:r>
      <w:r w:rsidR="00686F3D">
        <w:t>opinion</w:t>
      </w:r>
      <w:r w:rsidR="007E145A">
        <w:t xml:space="preserve"> that a person who could satisfy such needs for an adolescent would be the parent. This is not only a question of methods or research </w:t>
      </w:r>
      <w:proofErr w:type="gramStart"/>
      <w:r w:rsidR="007E145A">
        <w:t>ethos, but</w:t>
      </w:r>
      <w:proofErr w:type="gramEnd"/>
      <w:r w:rsidR="007E145A">
        <w:t xml:space="preserve"> has an impact on the literature by creating analysis voids which cannot be filled. </w:t>
      </w:r>
    </w:p>
    <w:p w14:paraId="09598BA0" w14:textId="4C829C5B" w:rsidR="00F40B23" w:rsidRDefault="005762EC" w:rsidP="00585522">
      <w:pPr>
        <w:spacing w:after="120" w:line="276" w:lineRule="auto"/>
      </w:pPr>
      <w:r>
        <w:t xml:space="preserve">A series of unpublished articles by Walter cited in the references leaves the reader wanting – quite literally – to know where the ‘detailed analyses of the data in relation to theoretical issues’ </w:t>
      </w:r>
      <w:r w:rsidR="00DE3A4F">
        <w:t xml:space="preserve">surrounding belief in reincarnation </w:t>
      </w:r>
      <w:r>
        <w:t>are to be found.</w:t>
      </w:r>
      <w:r>
        <w:rPr>
          <w:rStyle w:val="FootnoteReference"/>
        </w:rPr>
        <w:footnoteReference w:id="30"/>
      </w:r>
      <w:r>
        <w:t xml:space="preserve"> </w:t>
      </w:r>
      <w:r w:rsidR="00675672">
        <w:t>The authors elude this problem by claiming that the later article</w:t>
      </w:r>
      <w:r w:rsidR="00856D52">
        <w:t xml:space="preserve"> co-authored with Waterhouse</w:t>
      </w:r>
      <w:r w:rsidR="00675672">
        <w:t xml:space="preserve"> ‘differs in summarizing all the main findings together and framing them within the debate about the privatization of contemporary religion’.</w:t>
      </w:r>
      <w:r w:rsidR="00675672">
        <w:rPr>
          <w:rStyle w:val="FootnoteReference"/>
        </w:rPr>
        <w:footnoteReference w:id="31"/>
      </w:r>
      <w:r w:rsidR="00770BB4">
        <w:t xml:space="preserve"> </w:t>
      </w:r>
      <w:r w:rsidR="00DE3A4F">
        <w:t>T.L. Brink similarly leaves the reader reaching for much of the needed foundational literature connections, but for a different set of concerns. In the case of Brink, the reader is caught between the metrics of his study on belief in reincarnation</w:t>
      </w:r>
      <w:r w:rsidR="00154386">
        <w:t xml:space="preserve"> </w:t>
      </w:r>
      <w:r w:rsidR="00DE3A4F">
        <w:t xml:space="preserve">and the series of social psychological theories enunciated in his introduction but not addressed further in the paper to allow for the necessary connection between the study data, its </w:t>
      </w:r>
      <w:proofErr w:type="gramStart"/>
      <w:r w:rsidR="00DE3A4F">
        <w:t>analysis</w:t>
      </w:r>
      <w:proofErr w:type="gramEnd"/>
      <w:r w:rsidR="00DE3A4F">
        <w:t xml:space="preserve"> and a firm connectedness to those initial theoretical positions.</w:t>
      </w:r>
      <w:r w:rsidR="00DE3A4F">
        <w:rPr>
          <w:rStyle w:val="FootnoteReference"/>
        </w:rPr>
        <w:footnoteReference w:id="32"/>
      </w:r>
    </w:p>
    <w:p w14:paraId="1BFD4C68" w14:textId="77777777" w:rsidR="00282E91" w:rsidRDefault="00B10F40" w:rsidP="00585522">
      <w:pPr>
        <w:spacing w:after="120" w:line="276" w:lineRule="auto"/>
      </w:pPr>
      <w:r>
        <w:t xml:space="preserve">T.L. Brink noted to his surprise - among the students with whom he worked as their teacher - that acceptance of belief in astrology and/or reincarnation provided ‘no assurance that incompatible beliefs </w:t>
      </w:r>
      <w:r w:rsidR="00FB330B">
        <w:t xml:space="preserve">would be rejected </w:t>
      </w:r>
      <w:r>
        <w:t>(e.g., dogmatic belief that Jesus Christ was the Saviour or infant baptism)</w:t>
      </w:r>
      <w:r w:rsidR="00FB330B">
        <w:t>.</w:t>
      </w:r>
      <w:r w:rsidR="00FB330B">
        <w:rPr>
          <w:rStyle w:val="FootnoteReference"/>
        </w:rPr>
        <w:footnoteReference w:id="33"/>
      </w:r>
      <w:r w:rsidR="004A4C4A">
        <w:t xml:space="preserve"> He goes on to claim that this could be accounted for by ‘numerous and competing cultural influences’ on adolescent development.</w:t>
      </w:r>
      <w:r w:rsidR="004A4C4A">
        <w:rPr>
          <w:rStyle w:val="FootnoteReference"/>
        </w:rPr>
        <w:footnoteReference w:id="34"/>
      </w:r>
      <w:r w:rsidR="002134C4">
        <w:t xml:space="preserve"> Certain of these ‘cultural influences’, for Brink, are ‘alternative doctrines’ and are either explicitly taught or privately explored by the individual</w:t>
      </w:r>
      <w:r w:rsidR="00570D97">
        <w:t xml:space="preserve"> and lead to observable or occult (i.e. hidden) practices</w:t>
      </w:r>
      <w:r w:rsidR="002134C4">
        <w:t>.</w:t>
      </w:r>
      <w:r w:rsidR="002134C4">
        <w:rPr>
          <w:rStyle w:val="FootnoteReference"/>
        </w:rPr>
        <w:footnoteReference w:id="35"/>
      </w:r>
      <w:r w:rsidR="002134C4">
        <w:t xml:space="preserve"> He appeals to Robert </w:t>
      </w:r>
      <w:proofErr w:type="spellStart"/>
      <w:r w:rsidR="002134C4">
        <w:t>Bellah’s</w:t>
      </w:r>
      <w:proofErr w:type="spellEnd"/>
      <w:r w:rsidR="002134C4">
        <w:t xml:space="preserve"> work </w:t>
      </w:r>
      <w:r w:rsidR="00570D97">
        <w:t>of the 1970s by citing</w:t>
      </w:r>
      <w:r w:rsidR="002134C4">
        <w:t xml:space="preserve"> the ‘fragmentation and dissociation’ of American culture</w:t>
      </w:r>
      <w:r w:rsidR="00570D97">
        <w:t xml:space="preserve">. </w:t>
      </w:r>
      <w:r w:rsidR="00780931">
        <w:t xml:space="preserve">That is </w:t>
      </w:r>
      <w:r w:rsidR="00971A2F">
        <w:t>simply</w:t>
      </w:r>
      <w:r w:rsidR="00780931">
        <w:t xml:space="preserve"> akin to an opening statement by </w:t>
      </w:r>
      <w:proofErr w:type="spellStart"/>
      <w:r w:rsidR="00780931">
        <w:t>Bellah</w:t>
      </w:r>
      <w:proofErr w:type="spellEnd"/>
      <w:r w:rsidR="00780931">
        <w:t xml:space="preserve">, however. A further reading of </w:t>
      </w:r>
      <w:proofErr w:type="spellStart"/>
      <w:r w:rsidR="00780931">
        <w:t>Bellah</w:t>
      </w:r>
      <w:proofErr w:type="spellEnd"/>
      <w:r w:rsidR="00780931">
        <w:t xml:space="preserve"> provides notable claims such as ‘neither the churches nor our secular culture </w:t>
      </w:r>
      <w:proofErr w:type="gramStart"/>
      <w:r w:rsidR="00780931">
        <w:t>seem</w:t>
      </w:r>
      <w:proofErr w:type="gramEnd"/>
      <w:r w:rsidR="00780931">
        <w:t xml:space="preserve"> to be providing the symbols which evoke the wholeness of life’ and ‘religion itself has taken on a certain symbolic reductionism and hidden its fantastic myths’.</w:t>
      </w:r>
      <w:r w:rsidR="00780931">
        <w:rPr>
          <w:rStyle w:val="FootnoteReference"/>
        </w:rPr>
        <w:footnoteReference w:id="36"/>
      </w:r>
      <w:r w:rsidR="00780931">
        <w:t xml:space="preserve"> Quite possibly, Brink’s commitment to </w:t>
      </w:r>
      <w:r w:rsidR="003B3DFA">
        <w:t>the strict examination of students’ adherence (or not) to Catholic doctrine or excursions into alternative doctrine and their behavioural and moral consequences can lead only to research results which themselves have the ‘consequential reductionism and statistical-symbolic reductionism which are mere expressions of an objective cognitive bias which has dominated Western thought’.</w:t>
      </w:r>
      <w:r w:rsidR="003B3DFA">
        <w:rPr>
          <w:rStyle w:val="FootnoteReference"/>
        </w:rPr>
        <w:footnoteReference w:id="37"/>
      </w:r>
      <w:r w:rsidR="003B3DFA">
        <w:t xml:space="preserve"> </w:t>
      </w:r>
      <w:r w:rsidR="00971A2F">
        <w:t>This is less of a critique of Brink than it is a recognition that he was a graduate student in his mid-twenties at the time in a Chicago parochial school and defensibly a novice researcher.</w:t>
      </w:r>
      <w:r w:rsidR="00971A2F">
        <w:rPr>
          <w:rStyle w:val="FootnoteReference"/>
        </w:rPr>
        <w:footnoteReference w:id="38"/>
      </w:r>
      <w:r w:rsidR="00971A2F">
        <w:t xml:space="preserve"> </w:t>
      </w:r>
    </w:p>
    <w:p w14:paraId="49B53004" w14:textId="4B9F6434" w:rsidR="00B10F40" w:rsidRDefault="00570D97" w:rsidP="00585522">
      <w:pPr>
        <w:spacing w:after="120" w:line="276" w:lineRule="auto"/>
      </w:pPr>
      <w:r>
        <w:lastRenderedPageBreak/>
        <w:t>Walter and Waterhouse use different terminologies to explain many of the same phenomena</w:t>
      </w:r>
      <w:r w:rsidR="00282E91">
        <w:t xml:space="preserve"> identified by Brink. Whereas Brink considers a discipline such as astrology or acceptance of reincarnation as representing manifestations of alternative doctrinal belief systems, Walter and Waterhouse prefer the term ‘private belief’ which demands ‘no church, no sectarianism, or no cult for its sustenance’.</w:t>
      </w:r>
      <w:r w:rsidR="00282E91">
        <w:rPr>
          <w:rStyle w:val="FootnoteReference"/>
        </w:rPr>
        <w:footnoteReference w:id="39"/>
      </w:r>
      <w:r w:rsidR="002E260E">
        <w:t xml:space="preserve"> Waterhouse herself, in the companion paper, explicitly links belief in reincarnation to New Age spiritualism, a new ideological culture of hiding such views from conventional clerics and family, unconventional religiosity and a view of life which is actually quite pessimistic.</w:t>
      </w:r>
      <w:r w:rsidR="002E260E">
        <w:rPr>
          <w:rStyle w:val="FootnoteReference"/>
        </w:rPr>
        <w:footnoteReference w:id="40"/>
      </w:r>
      <w:r w:rsidR="007D17AA">
        <w:t xml:space="preserve"> However, in concluding her analysis, Waterhouse disassociates reincarnation from New Age ‘religiosity’ to be unaligned and ties it to the manner in which certain individuals in British society cope with human suffering.</w:t>
      </w:r>
      <w:r w:rsidR="007D17AA">
        <w:rPr>
          <w:rStyle w:val="FootnoteReference"/>
        </w:rPr>
        <w:footnoteReference w:id="41"/>
      </w:r>
    </w:p>
    <w:p w14:paraId="0ADF2901" w14:textId="370C4A19" w:rsidR="00DE3A4F" w:rsidRDefault="00AF6D56" w:rsidP="00585522">
      <w:pPr>
        <w:spacing w:after="120" w:line="276" w:lineRule="auto"/>
        <w:rPr>
          <w:b/>
          <w:bCs/>
        </w:rPr>
      </w:pPr>
      <w:r>
        <w:rPr>
          <w:b/>
          <w:bCs/>
        </w:rPr>
        <w:t>Concluding Remarks</w:t>
      </w:r>
    </w:p>
    <w:p w14:paraId="259B4925" w14:textId="315C73DB" w:rsidR="004A47A9" w:rsidRDefault="00AF6D56" w:rsidP="004A47A9">
      <w:pPr>
        <w:spacing w:after="120" w:line="276" w:lineRule="auto"/>
        <w:rPr>
          <w:b/>
          <w:bCs/>
        </w:rPr>
      </w:pPr>
      <w:r>
        <w:t xml:space="preserve">This paper set out to compare and contrast two research studies separated by twenty years and two </w:t>
      </w:r>
      <w:proofErr w:type="gramStart"/>
      <w:r>
        <w:t>continents;</w:t>
      </w:r>
      <w:proofErr w:type="gramEnd"/>
      <w:r>
        <w:t xml:space="preserve"> but with a common thread of assessing levels of belief in astrology (in the case of T.L. Brink) and reincarnation (both Brink and </w:t>
      </w:r>
      <w:r>
        <w:t>Walter and Waterhouse</w:t>
      </w:r>
      <w:r>
        <w:t xml:space="preserve">). </w:t>
      </w:r>
      <w:r w:rsidR="004A47A9">
        <w:t>The focus areas of this review concentrated themselves in three areas across the two papers: 1) the c</w:t>
      </w:r>
      <w:r w:rsidR="004A47A9" w:rsidRPr="004A47A9">
        <w:t xml:space="preserve">ontext, </w:t>
      </w:r>
      <w:r w:rsidR="004A47A9">
        <w:t>m</w:t>
      </w:r>
      <w:r w:rsidR="004A47A9" w:rsidRPr="004A47A9">
        <w:t xml:space="preserve">ethods and </w:t>
      </w:r>
      <w:r w:rsidR="004A47A9">
        <w:t>r</w:t>
      </w:r>
      <w:r w:rsidR="004A47A9" w:rsidRPr="004A47A9">
        <w:t xml:space="preserve">esearch </w:t>
      </w:r>
      <w:r w:rsidR="004A47A9">
        <w:t>e</w:t>
      </w:r>
      <w:r w:rsidR="004A47A9" w:rsidRPr="004A47A9">
        <w:t>thos</w:t>
      </w:r>
      <w:r w:rsidR="00A37F0D">
        <w:t xml:space="preserve"> of the writers</w:t>
      </w:r>
      <w:r w:rsidR="004A47A9">
        <w:t>; 2) the respective positions of the papers on continua related to the insider/participant and the outsider/</w:t>
      </w:r>
      <w:r w:rsidR="005E7920">
        <w:t xml:space="preserve">observer, </w:t>
      </w:r>
      <w:proofErr w:type="gramStart"/>
      <w:r w:rsidR="005E7920">
        <w:t>and;</w:t>
      </w:r>
      <w:proofErr w:type="gramEnd"/>
      <w:r w:rsidR="005E7920">
        <w:t xml:space="preserve"> </w:t>
      </w:r>
      <w:r w:rsidR="004A47A9">
        <w:t xml:space="preserve">3) the manner in which the research results </w:t>
      </w:r>
      <w:r w:rsidR="005E7920">
        <w:t xml:space="preserve">of the two studies </w:t>
      </w:r>
      <w:r w:rsidR="004A47A9">
        <w:t xml:space="preserve">were situated in the literature </w:t>
      </w:r>
      <w:r w:rsidR="005E7920">
        <w:t>selected by</w:t>
      </w:r>
      <w:r w:rsidR="004A47A9">
        <w:t xml:space="preserve"> the respective authors. </w:t>
      </w:r>
      <w:r w:rsidR="00A37F0D">
        <w:t xml:space="preserve">It was evident that – </w:t>
      </w:r>
      <w:proofErr w:type="gramStart"/>
      <w:r w:rsidR="00A37F0D">
        <w:t>with the exception of</w:t>
      </w:r>
      <w:proofErr w:type="gramEnd"/>
      <w:r w:rsidR="00A37F0D">
        <w:t xml:space="preserve"> common threads which could be described as alternative or non-traditional systems to which individuals attach themselves (i.e., astrology and/or reincarnation), the two papers diverged methodologically. T.L. Brink’s approach was a survey-exclusive, quantitative approach while Walter and Waterhouse had a reliance upon an interview-exclusive approach. Each approach was consistent with the academic background of the researchers, their previous publications, and professional orientation. To juxtapose these two studies </w:t>
      </w:r>
      <w:r w:rsidR="004B5D1C">
        <w:t>became</w:t>
      </w:r>
      <w:r w:rsidR="00A37F0D">
        <w:t xml:space="preserve"> an exercise in what </w:t>
      </w:r>
      <w:r w:rsidR="004B5D1C">
        <w:t xml:space="preserve">Gregory </w:t>
      </w:r>
      <w:proofErr w:type="spellStart"/>
      <w:r w:rsidR="00A37F0D">
        <w:t>Cizek</w:t>
      </w:r>
      <w:proofErr w:type="spellEnd"/>
      <w:r w:rsidR="00A37F0D">
        <w:t xml:space="preserve"> described as ‘number-crunching</w:t>
      </w:r>
      <w:r w:rsidR="00BC103C">
        <w:t xml:space="preserve">, objectivist quantitative types and the scorned, wild-eyed storytelling (qualitative) </w:t>
      </w:r>
      <w:r w:rsidR="00313D12">
        <w:t xml:space="preserve">hegemonic </w:t>
      </w:r>
      <w:r w:rsidR="003C615E">
        <w:t>mythmakers</w:t>
      </w:r>
      <w:r w:rsidR="00BC103C">
        <w:t>.</w:t>
      </w:r>
      <w:r w:rsidR="00BC103C">
        <w:rPr>
          <w:rStyle w:val="FootnoteReference"/>
        </w:rPr>
        <w:footnoteReference w:id="42"/>
      </w:r>
      <w:r w:rsidR="004B5D1C">
        <w:t xml:space="preserve"> </w:t>
      </w:r>
    </w:p>
    <w:p w14:paraId="6D8378AC" w14:textId="5151E1F6" w:rsidR="00AF6D56" w:rsidRPr="00AF6D56" w:rsidRDefault="00AF6D56" w:rsidP="00585522">
      <w:pPr>
        <w:spacing w:after="120" w:line="276" w:lineRule="auto"/>
      </w:pPr>
    </w:p>
    <w:p w14:paraId="085677DD" w14:textId="2A36C0D7" w:rsidR="00B144B7" w:rsidRDefault="00B144B7" w:rsidP="00B144B7">
      <w:pPr>
        <w:spacing w:after="120" w:line="276" w:lineRule="auto"/>
        <w:jc w:val="center"/>
      </w:pPr>
    </w:p>
    <w:p w14:paraId="1190BE17" w14:textId="77777777" w:rsidR="00B144B7" w:rsidRDefault="00B144B7">
      <w:r>
        <w:br w:type="page"/>
      </w:r>
    </w:p>
    <w:p w14:paraId="48F6415F" w14:textId="0DFA754C" w:rsidR="00216A2B" w:rsidRPr="005A7A17" w:rsidRDefault="005A7A17">
      <w:r w:rsidRPr="005A7A17">
        <w:rPr>
          <w:b/>
          <w:bCs/>
          <w:u w:val="single"/>
        </w:rPr>
        <w:lastRenderedPageBreak/>
        <w:t>References</w:t>
      </w:r>
    </w:p>
    <w:p w14:paraId="35F336A0" w14:textId="77777777" w:rsidR="005A7A17" w:rsidRDefault="005A7A17" w:rsidP="005A7A17">
      <w:pPr>
        <w:spacing w:after="120" w:line="276" w:lineRule="auto"/>
      </w:pPr>
      <w:r>
        <w:t>Bell, Judith, ‘Doing Your Research Project: A Guide for First-time Researchers in Education, Health and Social Science’ (4</w:t>
      </w:r>
      <w:r w:rsidRPr="00566DE7">
        <w:rPr>
          <w:vertAlign w:val="superscript"/>
        </w:rPr>
        <w:t>th</w:t>
      </w:r>
      <w:r>
        <w:t xml:space="preserve"> ed.), (London, UK: Open University Press, 2005).</w:t>
      </w:r>
    </w:p>
    <w:p w14:paraId="4E8379E8" w14:textId="77777777" w:rsidR="005A7A17" w:rsidRPr="006802A8" w:rsidRDefault="005A7A17" w:rsidP="005A7A17">
      <w:pPr>
        <w:spacing w:after="120" w:line="276" w:lineRule="auto"/>
      </w:pPr>
      <w:proofErr w:type="spellStart"/>
      <w:r>
        <w:t>Bellah</w:t>
      </w:r>
      <w:proofErr w:type="spellEnd"/>
      <w:r>
        <w:t xml:space="preserve">, Robert, ‘Christianity and Symbolic Realism’, </w:t>
      </w:r>
      <w:r>
        <w:rPr>
          <w:i/>
          <w:iCs/>
        </w:rPr>
        <w:t xml:space="preserve">Scientific Study of Religion, </w:t>
      </w:r>
      <w:r>
        <w:t>9(2) (Summer, 1970), pp. 89-96.</w:t>
      </w:r>
    </w:p>
    <w:p w14:paraId="24E894B2" w14:textId="77777777" w:rsidR="005A7A17" w:rsidRDefault="005A7A17" w:rsidP="005A7A17">
      <w:pPr>
        <w:spacing w:after="120" w:line="276" w:lineRule="auto"/>
      </w:pPr>
      <w:r>
        <w:t xml:space="preserve">Brink, T.L. (Terry), ‘A Psychotherapeutic Model for Religious Education’, </w:t>
      </w:r>
      <w:r>
        <w:rPr>
          <w:i/>
          <w:iCs/>
        </w:rPr>
        <w:t xml:space="preserve">Religious Education, </w:t>
      </w:r>
      <w:r>
        <w:t>72 (4), (July-</w:t>
      </w:r>
      <w:proofErr w:type="gramStart"/>
      <w:r>
        <w:t>August,</w:t>
      </w:r>
      <w:proofErr w:type="gramEnd"/>
      <w:r>
        <w:t xml:space="preserve"> 1977), pp. 409-413.</w:t>
      </w:r>
    </w:p>
    <w:p w14:paraId="099D3B39" w14:textId="77777777" w:rsidR="005A7A17" w:rsidRDefault="005A7A17" w:rsidP="005A7A17">
      <w:pPr>
        <w:spacing w:after="120" w:line="276" w:lineRule="auto"/>
      </w:pPr>
      <w:r>
        <w:t xml:space="preserve">Brink, T.L. (Terry), ‘Inconsistency of Belief Among Roman Catholic Girls: Concerning Religion, Astrology, Reincarnation’, </w:t>
      </w:r>
      <w:r w:rsidRPr="00F7163D">
        <w:rPr>
          <w:i/>
          <w:iCs/>
        </w:rPr>
        <w:t>Review of Religious Research</w:t>
      </w:r>
      <w:r>
        <w:t>, 20 (1), (Fall, 1978), pp. 82-85.</w:t>
      </w:r>
    </w:p>
    <w:p w14:paraId="6FF5A2EA" w14:textId="77777777" w:rsidR="005A7A17" w:rsidRDefault="005A7A17" w:rsidP="005A7A17">
      <w:pPr>
        <w:spacing w:after="120" w:line="276" w:lineRule="auto"/>
      </w:pPr>
      <w:r>
        <w:t xml:space="preserve">Brink, T.L. (Terry), </w:t>
      </w:r>
      <w:r>
        <w:rPr>
          <w:i/>
          <w:iCs/>
        </w:rPr>
        <w:t>Research Methods for Psychology,</w:t>
      </w:r>
      <w:r>
        <w:t xml:space="preserve"> (Crafton Hills, CA: 2017),</w:t>
      </w:r>
      <w:r>
        <w:rPr>
          <w:i/>
          <w:iCs/>
        </w:rPr>
        <w:t xml:space="preserve"> </w:t>
      </w:r>
      <w:r>
        <w:t xml:space="preserve">online at </w:t>
      </w:r>
      <w:hyperlink r:id="rId7" w:history="1">
        <w:r w:rsidRPr="00B8614B">
          <w:rPr>
            <w:rStyle w:val="Hyperlink"/>
          </w:rPr>
          <w:t>https://www.researchgate.net/publication/335128772_Research_Methods_for_Psychology</w:t>
        </w:r>
      </w:hyperlink>
      <w:r>
        <w:t xml:space="preserve"> [accessed February 18, 2021],</w:t>
      </w:r>
      <w:r w:rsidRPr="00C4520E">
        <w:t xml:space="preserve"> </w:t>
      </w:r>
      <w:r>
        <w:t xml:space="preserve"> </w:t>
      </w:r>
    </w:p>
    <w:p w14:paraId="3D77E777" w14:textId="77777777" w:rsidR="005A7A17" w:rsidRDefault="005A7A17" w:rsidP="005A7A17">
      <w:pPr>
        <w:spacing w:after="120" w:line="276" w:lineRule="auto"/>
      </w:pPr>
      <w:proofErr w:type="spellStart"/>
      <w:r w:rsidRPr="006802A8">
        <w:t>Cizek</w:t>
      </w:r>
      <w:proofErr w:type="spellEnd"/>
      <w:r w:rsidRPr="006802A8">
        <w:t xml:space="preserve">, Gregory J., ‘Crunchy Granola and the Hegemony of the Narrative’, </w:t>
      </w:r>
      <w:r w:rsidRPr="006802A8">
        <w:rPr>
          <w:i/>
          <w:iCs/>
        </w:rPr>
        <w:t xml:space="preserve">Educational Researcher, </w:t>
      </w:r>
      <w:r w:rsidRPr="006802A8">
        <w:t>24 (2) (</w:t>
      </w:r>
      <w:proofErr w:type="gramStart"/>
      <w:r w:rsidRPr="006802A8">
        <w:t>March,</w:t>
      </w:r>
      <w:proofErr w:type="gramEnd"/>
      <w:r w:rsidRPr="006802A8">
        <w:t xml:space="preserve"> 1995)</w:t>
      </w:r>
      <w:r>
        <w:t>, pp.</w:t>
      </w:r>
      <w:r w:rsidRPr="006802A8">
        <w:t xml:space="preserve"> 26-28.</w:t>
      </w:r>
    </w:p>
    <w:p w14:paraId="3BF78ED5" w14:textId="77777777" w:rsidR="005A7A17" w:rsidRDefault="005A7A17" w:rsidP="005A7A17">
      <w:pPr>
        <w:spacing w:after="120" w:line="276" w:lineRule="auto"/>
      </w:pPr>
      <w:r>
        <w:t xml:space="preserve">Emmerich, Nathan, ‘Reframing Research Ethics: Towards a Professional Ethics for the Social Sciences’, </w:t>
      </w:r>
      <w:r>
        <w:rPr>
          <w:i/>
          <w:iCs/>
        </w:rPr>
        <w:t xml:space="preserve">Sociological Research Online, </w:t>
      </w:r>
      <w:r>
        <w:t xml:space="preserve">21(4) (2016), </w:t>
      </w:r>
      <w:hyperlink r:id="rId8" w:history="1">
        <w:r w:rsidRPr="00B8614B">
          <w:rPr>
            <w:rStyle w:val="Hyperlink"/>
            <w:rFonts w:ascii="Helvetica" w:hAnsi="Helvetica" w:cs="Helvetica"/>
            <w:sz w:val="20"/>
            <w:szCs w:val="20"/>
          </w:rPr>
          <w:t>http://www.socresonline.org.uk/21/4/7.html</w:t>
        </w:r>
      </w:hyperlink>
      <w:r>
        <w:rPr>
          <w:rFonts w:ascii="Helvetica" w:hAnsi="Helvetica" w:cs="Helvetica"/>
          <w:sz w:val="20"/>
          <w:szCs w:val="20"/>
        </w:rPr>
        <w:t xml:space="preserve"> [accessed March 27, 2021], pp. 1-14.</w:t>
      </w:r>
    </w:p>
    <w:p w14:paraId="232F499D" w14:textId="77777777" w:rsidR="005A7A17" w:rsidRDefault="005A7A17" w:rsidP="005A7A17">
      <w:pPr>
        <w:spacing w:after="120" w:line="276" w:lineRule="auto"/>
      </w:pPr>
      <w:proofErr w:type="spellStart"/>
      <w:r>
        <w:t>Hennink</w:t>
      </w:r>
      <w:proofErr w:type="spellEnd"/>
      <w:r>
        <w:t xml:space="preserve">, Monique, Inge </w:t>
      </w:r>
      <w:proofErr w:type="spellStart"/>
      <w:r>
        <w:t>Hutter</w:t>
      </w:r>
      <w:proofErr w:type="spellEnd"/>
      <w:r>
        <w:t xml:space="preserve"> and Ajay Bailey. </w:t>
      </w:r>
      <w:r>
        <w:rPr>
          <w:i/>
          <w:iCs/>
        </w:rPr>
        <w:t>Qualitative Research Methods (2</w:t>
      </w:r>
      <w:r w:rsidRPr="00D51D83">
        <w:rPr>
          <w:i/>
          <w:iCs/>
          <w:vertAlign w:val="superscript"/>
        </w:rPr>
        <w:t>nd</w:t>
      </w:r>
      <w:r>
        <w:rPr>
          <w:i/>
          <w:iCs/>
        </w:rPr>
        <w:t xml:space="preserve"> Ed.)</w:t>
      </w:r>
      <w:r>
        <w:t>. (London: UK: SAGE, 2020).</w:t>
      </w:r>
    </w:p>
    <w:p w14:paraId="6827C368" w14:textId="77777777" w:rsidR="005A7A17" w:rsidRDefault="005A7A17" w:rsidP="005A7A17">
      <w:pPr>
        <w:spacing w:after="120" w:line="276" w:lineRule="auto"/>
      </w:pPr>
      <w:r>
        <w:t xml:space="preserve">Ruggles, Clive, ‘Indigenous Astronomies and Progress in Modern Astronomy’, </w:t>
      </w:r>
      <w:proofErr w:type="spellStart"/>
      <w:r w:rsidRPr="00585522">
        <w:rPr>
          <w:i/>
          <w:iCs/>
        </w:rPr>
        <w:t>arXiv</w:t>
      </w:r>
      <w:proofErr w:type="spellEnd"/>
      <w:r w:rsidRPr="00585522">
        <w:rPr>
          <w:i/>
          <w:iCs/>
        </w:rPr>
        <w:t xml:space="preserve"> Preprint</w:t>
      </w:r>
      <w:r w:rsidRPr="00585522">
        <w:t xml:space="preserve"> arXiv:1010.4873</w:t>
      </w:r>
      <w:r>
        <w:t xml:space="preserve"> (2010), pp. 1-18.</w:t>
      </w:r>
    </w:p>
    <w:p w14:paraId="58804F89" w14:textId="77777777" w:rsidR="005A7A17" w:rsidRDefault="005A7A17" w:rsidP="005A7A17">
      <w:pPr>
        <w:spacing w:after="120" w:line="276" w:lineRule="auto"/>
      </w:pPr>
      <w:r>
        <w:t xml:space="preserve">Walter, </w:t>
      </w:r>
      <w:proofErr w:type="gramStart"/>
      <w:r>
        <w:t>Tony</w:t>
      </w:r>
      <w:proofErr w:type="gramEnd"/>
      <w:r>
        <w:t xml:space="preserve"> and Helen Waterhouse, ‘A Very Private Belief: Reincarnation in Contemporary England’, </w:t>
      </w:r>
      <w:r w:rsidRPr="006A7322">
        <w:rPr>
          <w:i/>
          <w:iCs/>
        </w:rPr>
        <w:t>Sociology of Religion</w:t>
      </w:r>
      <w:r>
        <w:t>, 60 (2) (1999), pp. 187-197.</w:t>
      </w:r>
    </w:p>
    <w:p w14:paraId="4D78240B" w14:textId="77777777" w:rsidR="005A7A17" w:rsidRDefault="005A7A17" w:rsidP="005A7A17">
      <w:pPr>
        <w:spacing w:after="120" w:line="276" w:lineRule="auto"/>
      </w:pPr>
      <w:r>
        <w:t xml:space="preserve">Waterhouse, Helen, ‘Reincarnation Belief in Britain: New Age Orientation or Mainstream Option?’, </w:t>
      </w:r>
      <w:r>
        <w:rPr>
          <w:i/>
          <w:iCs/>
        </w:rPr>
        <w:t xml:space="preserve">Journal of Contemporary Religion, </w:t>
      </w:r>
      <w:r>
        <w:t>14 (1) (1999), pp. 97-109.</w:t>
      </w:r>
    </w:p>
    <w:p w14:paraId="5C72AA11" w14:textId="77777777" w:rsidR="005A7A17" w:rsidRPr="005A7A17" w:rsidRDefault="005A7A17">
      <w:pPr>
        <w:rPr>
          <w:b/>
          <w:bCs/>
        </w:rPr>
      </w:pPr>
    </w:p>
    <w:sectPr w:rsidR="005A7A17" w:rsidRPr="005A7A17" w:rsidSect="008F4E28">
      <w:headerReference w:type="even" r:id="rId9"/>
      <w:headerReference w:type="default" r:id="rId10"/>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7CA713" w14:textId="77777777" w:rsidR="002D4284" w:rsidRDefault="002D4284" w:rsidP="008F4E28">
      <w:pPr>
        <w:spacing w:after="0" w:line="240" w:lineRule="auto"/>
      </w:pPr>
      <w:r>
        <w:separator/>
      </w:r>
    </w:p>
  </w:endnote>
  <w:endnote w:type="continuationSeparator" w:id="0">
    <w:p w14:paraId="2DE6E813" w14:textId="77777777" w:rsidR="002D4284" w:rsidRDefault="002D4284" w:rsidP="008F4E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87154634"/>
      <w:docPartObj>
        <w:docPartGallery w:val="Page Numbers (Bottom of Page)"/>
        <w:docPartUnique/>
      </w:docPartObj>
    </w:sdtPr>
    <w:sdtEndPr>
      <w:rPr>
        <w:noProof/>
      </w:rPr>
    </w:sdtEndPr>
    <w:sdtContent>
      <w:p w14:paraId="636DE4D9" w14:textId="06907262" w:rsidR="001A7253" w:rsidRDefault="001A72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75607C5" w14:textId="77777777" w:rsidR="001A7253" w:rsidRDefault="001A72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08075167"/>
      <w:docPartObj>
        <w:docPartGallery w:val="Page Numbers (Bottom of Page)"/>
        <w:docPartUnique/>
      </w:docPartObj>
    </w:sdtPr>
    <w:sdtEndPr>
      <w:rPr>
        <w:noProof/>
      </w:rPr>
    </w:sdtEndPr>
    <w:sdtContent>
      <w:p w14:paraId="6C5E479D" w14:textId="09800665" w:rsidR="001A7253" w:rsidRDefault="001A72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0213EBB" w14:textId="77777777" w:rsidR="001A7253" w:rsidRDefault="001A72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35EC8D" w14:textId="77777777" w:rsidR="002D4284" w:rsidRDefault="002D4284" w:rsidP="008F4E28">
      <w:pPr>
        <w:spacing w:after="0" w:line="240" w:lineRule="auto"/>
      </w:pPr>
      <w:r>
        <w:separator/>
      </w:r>
    </w:p>
  </w:footnote>
  <w:footnote w:type="continuationSeparator" w:id="0">
    <w:p w14:paraId="4A9140A4" w14:textId="77777777" w:rsidR="002D4284" w:rsidRDefault="002D4284" w:rsidP="008F4E28">
      <w:pPr>
        <w:spacing w:after="0" w:line="240" w:lineRule="auto"/>
      </w:pPr>
      <w:r>
        <w:continuationSeparator/>
      </w:r>
    </w:p>
  </w:footnote>
  <w:footnote w:id="1">
    <w:p w14:paraId="221742F9" w14:textId="2C6E8E5A" w:rsidR="000B11B7" w:rsidRDefault="000B11B7">
      <w:pPr>
        <w:pStyle w:val="FootnoteText"/>
      </w:pPr>
      <w:r>
        <w:rPr>
          <w:rStyle w:val="FootnoteReference"/>
        </w:rPr>
        <w:footnoteRef/>
      </w:r>
      <w:r>
        <w:t xml:space="preserve"> T.L. (Terry) Brink, ‘Inconsistency of Belief Among Roman Catholic Girls: Concerning Religion, Astrology, Reincarnation’, </w:t>
      </w:r>
      <w:r w:rsidRPr="00F7163D">
        <w:rPr>
          <w:i/>
          <w:iCs/>
        </w:rPr>
        <w:t>Review of Religious Research</w:t>
      </w:r>
      <w:r>
        <w:t xml:space="preserve">, 20 (1), (Fall, 1978): 82-85 [hereafter, T.L. Brink, </w:t>
      </w:r>
      <w:r>
        <w:rPr>
          <w:i/>
          <w:iCs/>
        </w:rPr>
        <w:t>Inconsistency of Belief</w:t>
      </w:r>
      <w:r>
        <w:t xml:space="preserve">]; Tony Walter and Helen Waterhouse, ‘A Very Private Belief: Reincarnation in Contemporary England’, </w:t>
      </w:r>
      <w:r w:rsidRPr="006A7322">
        <w:rPr>
          <w:i/>
          <w:iCs/>
        </w:rPr>
        <w:t>Sociology of Religion</w:t>
      </w:r>
      <w:r>
        <w:t xml:space="preserve">, 60 (2) (1999): 187-197. </w:t>
      </w:r>
    </w:p>
  </w:footnote>
  <w:footnote w:id="2">
    <w:p w14:paraId="4742391C" w14:textId="440FE319" w:rsidR="000B11B7" w:rsidRDefault="000B11B7">
      <w:pPr>
        <w:pStyle w:val="FootnoteText"/>
      </w:pPr>
      <w:r>
        <w:rPr>
          <w:rStyle w:val="FootnoteReference"/>
        </w:rPr>
        <w:footnoteRef/>
      </w:r>
      <w:r>
        <w:t xml:space="preserve"> Clive Ruggles, ‘Indigenous Astronomies and Progress in Modern Astronomy’, </w:t>
      </w:r>
      <w:proofErr w:type="spellStart"/>
      <w:r w:rsidRPr="00585522">
        <w:rPr>
          <w:i/>
          <w:iCs/>
        </w:rPr>
        <w:t>arXiv</w:t>
      </w:r>
      <w:proofErr w:type="spellEnd"/>
      <w:r w:rsidRPr="00585522">
        <w:rPr>
          <w:i/>
          <w:iCs/>
        </w:rPr>
        <w:t xml:space="preserve"> Preprint</w:t>
      </w:r>
      <w:r w:rsidRPr="00585522">
        <w:t xml:space="preserve"> arXiv:1010.4873</w:t>
      </w:r>
      <w:r>
        <w:t xml:space="preserve"> (2010): p. 9. (Point (2)).</w:t>
      </w:r>
    </w:p>
  </w:footnote>
  <w:footnote w:id="3">
    <w:p w14:paraId="6B54F661" w14:textId="686702AD" w:rsidR="000B11B7" w:rsidRDefault="000B11B7">
      <w:pPr>
        <w:pStyle w:val="FootnoteText"/>
      </w:pPr>
      <w:r>
        <w:rPr>
          <w:rStyle w:val="FootnoteReference"/>
        </w:rPr>
        <w:footnoteRef/>
      </w:r>
      <w:r>
        <w:t xml:space="preserve"> T.L. Brink, personal communication, February 14, 2021. [hereafter, T.L. Brink, </w:t>
      </w:r>
      <w:r w:rsidRPr="009E75BB">
        <w:rPr>
          <w:i/>
          <w:iCs/>
        </w:rPr>
        <w:t>pers. comm.</w:t>
      </w:r>
      <w:r>
        <w:t>]</w:t>
      </w:r>
    </w:p>
  </w:footnote>
  <w:footnote w:id="4">
    <w:p w14:paraId="0D6DAF70" w14:textId="40B3DCBD" w:rsidR="000B11B7" w:rsidRPr="009E75BB" w:rsidRDefault="000B11B7">
      <w:pPr>
        <w:pStyle w:val="FootnoteText"/>
      </w:pPr>
      <w:r>
        <w:rPr>
          <w:rStyle w:val="FootnoteReference"/>
        </w:rPr>
        <w:footnoteRef/>
      </w:r>
      <w:r>
        <w:t xml:space="preserve"> T.L. Brink, </w:t>
      </w:r>
      <w:r>
        <w:rPr>
          <w:i/>
          <w:iCs/>
        </w:rPr>
        <w:t xml:space="preserve">Inconsistency of Belief, </w:t>
      </w:r>
      <w:r>
        <w:t>p. 83.</w:t>
      </w:r>
    </w:p>
  </w:footnote>
  <w:footnote w:id="5">
    <w:p w14:paraId="432E714B" w14:textId="230D9741" w:rsidR="000B11B7" w:rsidRDefault="000B11B7">
      <w:pPr>
        <w:pStyle w:val="FootnoteText"/>
      </w:pPr>
      <w:r>
        <w:rPr>
          <w:rStyle w:val="FootnoteReference"/>
        </w:rPr>
        <w:footnoteRef/>
      </w:r>
      <w:r>
        <w:t xml:space="preserve"> T.L. Brink, </w:t>
      </w:r>
      <w:r w:rsidRPr="009E75BB">
        <w:rPr>
          <w:i/>
          <w:iCs/>
        </w:rPr>
        <w:t>pers. comm</w:t>
      </w:r>
      <w:r>
        <w:rPr>
          <w:i/>
          <w:iCs/>
        </w:rPr>
        <w:t>.</w:t>
      </w:r>
    </w:p>
  </w:footnote>
  <w:footnote w:id="6">
    <w:p w14:paraId="1A5434D0" w14:textId="763FBC7A" w:rsidR="000B11B7" w:rsidRPr="00E753AF" w:rsidRDefault="000B11B7">
      <w:pPr>
        <w:pStyle w:val="FootnoteText"/>
      </w:pPr>
      <w:r>
        <w:rPr>
          <w:rStyle w:val="FootnoteReference"/>
        </w:rPr>
        <w:footnoteRef/>
      </w:r>
      <w:r>
        <w:t xml:space="preserve"> T.L. Brink, ‘A Psychotherapeutic Model for Religious Education’, </w:t>
      </w:r>
      <w:r>
        <w:rPr>
          <w:i/>
          <w:iCs/>
        </w:rPr>
        <w:t xml:space="preserve">Religious Education, </w:t>
      </w:r>
      <w:r>
        <w:t>72 (4), (July-</w:t>
      </w:r>
      <w:proofErr w:type="gramStart"/>
      <w:r>
        <w:t>August,</w:t>
      </w:r>
      <w:proofErr w:type="gramEnd"/>
      <w:r>
        <w:t xml:space="preserve"> 1977): p.409. [hereafter, T.L. Brink, </w:t>
      </w:r>
      <w:r w:rsidRPr="00A601BB">
        <w:rPr>
          <w:i/>
          <w:iCs/>
        </w:rPr>
        <w:t>A Psychotherapeutic Model</w:t>
      </w:r>
      <w:r>
        <w:t>].</w:t>
      </w:r>
    </w:p>
  </w:footnote>
  <w:footnote w:id="7">
    <w:p w14:paraId="34813EE1" w14:textId="16B0A53E" w:rsidR="000B11B7" w:rsidRPr="00FD4AAB" w:rsidRDefault="000B11B7">
      <w:pPr>
        <w:pStyle w:val="FootnoteText"/>
      </w:pPr>
      <w:r>
        <w:rPr>
          <w:rStyle w:val="FootnoteReference"/>
        </w:rPr>
        <w:footnoteRef/>
      </w:r>
      <w:r>
        <w:t xml:space="preserve">  T.L. Brink, </w:t>
      </w:r>
      <w:r w:rsidRPr="00A601BB">
        <w:rPr>
          <w:i/>
          <w:iCs/>
        </w:rPr>
        <w:t>A Psychotherapeutic Model</w:t>
      </w:r>
      <w:r>
        <w:rPr>
          <w:i/>
          <w:iCs/>
        </w:rPr>
        <w:t xml:space="preserve">, </w:t>
      </w:r>
      <w:r>
        <w:t>p. 410.</w:t>
      </w:r>
    </w:p>
  </w:footnote>
  <w:footnote w:id="8">
    <w:p w14:paraId="3B84FD35" w14:textId="6F70A364" w:rsidR="000B11B7" w:rsidRDefault="000B11B7">
      <w:pPr>
        <w:pStyle w:val="FootnoteText"/>
      </w:pPr>
      <w:r>
        <w:rPr>
          <w:rStyle w:val="FootnoteReference"/>
        </w:rPr>
        <w:footnoteRef/>
      </w:r>
      <w:r>
        <w:t xml:space="preserve">  T.L. Brink, </w:t>
      </w:r>
      <w:r w:rsidRPr="009E75BB">
        <w:rPr>
          <w:i/>
          <w:iCs/>
        </w:rPr>
        <w:t>pers. comm</w:t>
      </w:r>
      <w:r>
        <w:rPr>
          <w:i/>
          <w:iCs/>
        </w:rPr>
        <w:t xml:space="preserve">., </w:t>
      </w:r>
      <w:r>
        <w:t>February 14, 2021.</w:t>
      </w:r>
    </w:p>
  </w:footnote>
  <w:footnote w:id="9">
    <w:p w14:paraId="3E1B8DCD" w14:textId="02829545" w:rsidR="000B11B7" w:rsidRDefault="000B11B7">
      <w:pPr>
        <w:pStyle w:val="FootnoteText"/>
      </w:pPr>
      <w:r>
        <w:rPr>
          <w:rStyle w:val="FootnoteReference"/>
        </w:rPr>
        <w:footnoteRef/>
      </w:r>
      <w:r>
        <w:t xml:space="preserve">  T.L. Brink, </w:t>
      </w:r>
      <w:r>
        <w:rPr>
          <w:i/>
          <w:iCs/>
        </w:rPr>
        <w:t xml:space="preserve">Inconsistency of Belief, </w:t>
      </w:r>
      <w:r w:rsidRPr="00AA12D8">
        <w:t>p. 82.</w:t>
      </w:r>
    </w:p>
  </w:footnote>
  <w:footnote w:id="10">
    <w:p w14:paraId="13DFC607" w14:textId="273C43CD" w:rsidR="000B11B7" w:rsidRPr="000F74EA" w:rsidRDefault="000B11B7">
      <w:pPr>
        <w:pStyle w:val="FootnoteText"/>
      </w:pPr>
      <w:r>
        <w:rPr>
          <w:rStyle w:val="FootnoteReference"/>
        </w:rPr>
        <w:footnoteRef/>
      </w:r>
      <w:r>
        <w:t xml:space="preserve"> Robert </w:t>
      </w:r>
      <w:proofErr w:type="spellStart"/>
      <w:r>
        <w:t>Wuthnow</w:t>
      </w:r>
      <w:proofErr w:type="spellEnd"/>
      <w:r>
        <w:t xml:space="preserve">, ‘Astrology and Marginality’, </w:t>
      </w:r>
      <w:r>
        <w:rPr>
          <w:i/>
          <w:iCs/>
        </w:rPr>
        <w:t xml:space="preserve">Journal for the Scientific Study of Religion, </w:t>
      </w:r>
      <w:r>
        <w:t>15 (2) (1976): p.157.</w:t>
      </w:r>
    </w:p>
  </w:footnote>
  <w:footnote w:id="11">
    <w:p w14:paraId="73C481A0" w14:textId="168A4EF5" w:rsidR="000B11B7" w:rsidRDefault="000B11B7">
      <w:pPr>
        <w:pStyle w:val="FootnoteText"/>
      </w:pPr>
      <w:r>
        <w:rPr>
          <w:rStyle w:val="FootnoteReference"/>
        </w:rPr>
        <w:footnoteRef/>
      </w:r>
      <w:r>
        <w:t xml:space="preserve"> T.L. Brink, </w:t>
      </w:r>
      <w:r>
        <w:rPr>
          <w:i/>
          <w:iCs/>
        </w:rPr>
        <w:t xml:space="preserve">Inconsistency of Belief, </w:t>
      </w:r>
      <w:r w:rsidRPr="00AA12D8">
        <w:t>p. 8</w:t>
      </w:r>
      <w:r>
        <w:t>4.</w:t>
      </w:r>
    </w:p>
  </w:footnote>
  <w:footnote w:id="12">
    <w:p w14:paraId="0D9D14FB" w14:textId="1A24420A" w:rsidR="000B11B7" w:rsidRDefault="000B11B7" w:rsidP="007463E9">
      <w:pPr>
        <w:pStyle w:val="FootnoteText"/>
        <w:ind w:left="142" w:hanging="142"/>
      </w:pPr>
      <w:r>
        <w:rPr>
          <w:rStyle w:val="FootnoteReference"/>
        </w:rPr>
        <w:footnoteRef/>
      </w:r>
      <w:r>
        <w:t xml:space="preserve"> Tony Walter and Helen Waterhouse, ‘A Very Private Belief: Reincarnation in Contemporary England’, </w:t>
      </w:r>
      <w:r w:rsidRPr="00001AFE">
        <w:rPr>
          <w:i/>
          <w:iCs/>
        </w:rPr>
        <w:t>Sociology of Religion,</w:t>
      </w:r>
      <w:r>
        <w:t xml:space="preserve"> 60 (2) (1999): p. 188. [hereafter, T. Walter &amp; H. Waterhouse, </w:t>
      </w:r>
      <w:r w:rsidRPr="006A7322">
        <w:rPr>
          <w:i/>
          <w:iCs/>
        </w:rPr>
        <w:t>A Very Private Belief</w:t>
      </w:r>
      <w:r>
        <w:t>].</w:t>
      </w:r>
    </w:p>
  </w:footnote>
  <w:footnote w:id="13">
    <w:p w14:paraId="05860319" w14:textId="62055C85" w:rsidR="000B11B7" w:rsidRPr="007B70E4" w:rsidRDefault="000B11B7">
      <w:pPr>
        <w:pStyle w:val="FootnoteText"/>
      </w:pPr>
      <w:r>
        <w:rPr>
          <w:rStyle w:val="FootnoteReference"/>
        </w:rPr>
        <w:footnoteRef/>
      </w:r>
      <w:r>
        <w:t xml:space="preserve"> T. Walter &amp; H. Waterhouse, </w:t>
      </w:r>
      <w:r w:rsidRPr="006A7322">
        <w:rPr>
          <w:i/>
          <w:iCs/>
        </w:rPr>
        <w:t>A Very Private Belief</w:t>
      </w:r>
      <w:r>
        <w:rPr>
          <w:i/>
          <w:iCs/>
        </w:rPr>
        <w:t xml:space="preserve">, </w:t>
      </w:r>
      <w:r>
        <w:t>p. 189.</w:t>
      </w:r>
    </w:p>
  </w:footnote>
  <w:footnote w:id="14">
    <w:p w14:paraId="66E43ACF" w14:textId="1E99D33A" w:rsidR="000B11B7" w:rsidRPr="00C4520E" w:rsidRDefault="000B11B7">
      <w:pPr>
        <w:pStyle w:val="FootnoteText"/>
      </w:pPr>
      <w:r>
        <w:rPr>
          <w:rStyle w:val="FootnoteReference"/>
        </w:rPr>
        <w:footnoteRef/>
      </w:r>
      <w:r>
        <w:t xml:space="preserve"> T.L. Brink, </w:t>
      </w:r>
      <w:r>
        <w:rPr>
          <w:i/>
          <w:iCs/>
        </w:rPr>
        <w:t xml:space="preserve">Research Methods for Psychology, </w:t>
      </w:r>
      <w:r>
        <w:t xml:space="preserve">available online </w:t>
      </w:r>
      <w:hyperlink r:id="rId1" w:history="1">
        <w:r w:rsidRPr="00B8614B">
          <w:rPr>
            <w:rStyle w:val="Hyperlink"/>
          </w:rPr>
          <w:t>https://www.researchgate.net/publication/335128772_Research_Methods_for_Psychology</w:t>
        </w:r>
      </w:hyperlink>
      <w:r>
        <w:t xml:space="preserve"> [accessed February 18, 2021]</w:t>
      </w:r>
      <w:proofErr w:type="gramStart"/>
      <w:r>
        <w:t>,</w:t>
      </w:r>
      <w:r w:rsidRPr="00C4520E">
        <w:t xml:space="preserve"> </w:t>
      </w:r>
      <w:r>
        <w:t xml:space="preserve"> p.71</w:t>
      </w:r>
      <w:proofErr w:type="gramEnd"/>
    </w:p>
  </w:footnote>
  <w:footnote w:id="15">
    <w:p w14:paraId="49A2AFF2" w14:textId="702677E0" w:rsidR="000B11B7" w:rsidRPr="006D5E7A" w:rsidRDefault="000B11B7">
      <w:pPr>
        <w:pStyle w:val="FootnoteText"/>
      </w:pPr>
      <w:r>
        <w:rPr>
          <w:rStyle w:val="FootnoteReference"/>
        </w:rPr>
        <w:footnoteRef/>
      </w:r>
      <w:r>
        <w:t xml:space="preserve"> T.L. Brink, </w:t>
      </w:r>
      <w:r>
        <w:rPr>
          <w:i/>
          <w:iCs/>
        </w:rPr>
        <w:t xml:space="preserve">Research Methods for Psychology, </w:t>
      </w:r>
      <w:r>
        <w:t>p. 73.</w:t>
      </w:r>
    </w:p>
  </w:footnote>
  <w:footnote w:id="16">
    <w:p w14:paraId="729B4818" w14:textId="07602C3A" w:rsidR="000B11B7" w:rsidRDefault="000B11B7">
      <w:pPr>
        <w:pStyle w:val="FootnoteText"/>
      </w:pPr>
      <w:r>
        <w:rPr>
          <w:rStyle w:val="FootnoteReference"/>
        </w:rPr>
        <w:footnoteRef/>
      </w:r>
      <w:r>
        <w:t xml:space="preserve"> Monique </w:t>
      </w:r>
      <w:proofErr w:type="spellStart"/>
      <w:r>
        <w:t>Hennink</w:t>
      </w:r>
      <w:proofErr w:type="spellEnd"/>
      <w:r>
        <w:t xml:space="preserve">, Inge </w:t>
      </w:r>
      <w:proofErr w:type="spellStart"/>
      <w:r>
        <w:t>Hutter</w:t>
      </w:r>
      <w:proofErr w:type="spellEnd"/>
      <w:r>
        <w:t xml:space="preserve"> and Ajay Bailey. </w:t>
      </w:r>
      <w:r>
        <w:rPr>
          <w:i/>
          <w:iCs/>
        </w:rPr>
        <w:t>Qualitative Research Methods</w:t>
      </w:r>
      <w:r>
        <w:t>. SAGE, (2020): p.71</w:t>
      </w:r>
    </w:p>
  </w:footnote>
  <w:footnote w:id="17">
    <w:p w14:paraId="08EA646A" w14:textId="2091A383" w:rsidR="000B11B7" w:rsidRPr="00BC7010" w:rsidRDefault="000B11B7">
      <w:pPr>
        <w:pStyle w:val="FootnoteText"/>
      </w:pPr>
      <w:r>
        <w:rPr>
          <w:rStyle w:val="FootnoteReference"/>
        </w:rPr>
        <w:footnoteRef/>
      </w:r>
      <w:r>
        <w:t xml:space="preserve"> </w:t>
      </w:r>
      <w:proofErr w:type="spellStart"/>
      <w:r>
        <w:t>Hennink</w:t>
      </w:r>
      <w:proofErr w:type="spellEnd"/>
      <w:r>
        <w:t xml:space="preserve">, </w:t>
      </w:r>
      <w:proofErr w:type="spellStart"/>
      <w:r>
        <w:t>Hutter</w:t>
      </w:r>
      <w:proofErr w:type="spellEnd"/>
      <w:r>
        <w:t xml:space="preserve"> &amp; Bailey. </w:t>
      </w:r>
      <w:r>
        <w:rPr>
          <w:i/>
          <w:iCs/>
        </w:rPr>
        <w:t xml:space="preserve">Qualitative Research Methods, </w:t>
      </w:r>
      <w:r>
        <w:t>p. 77.</w:t>
      </w:r>
    </w:p>
  </w:footnote>
  <w:footnote w:id="18">
    <w:p w14:paraId="6BF63840" w14:textId="2CC61AB2" w:rsidR="000B11B7" w:rsidRDefault="000B11B7" w:rsidP="00566DE7">
      <w:pPr>
        <w:pStyle w:val="FootnoteText"/>
        <w:ind w:left="142" w:hanging="142"/>
      </w:pPr>
      <w:r>
        <w:rPr>
          <w:rStyle w:val="FootnoteReference"/>
        </w:rPr>
        <w:footnoteRef/>
      </w:r>
      <w:r>
        <w:t xml:space="preserve"> Judith Bell, ‘Doing Your Research Project: A Guide for First-time Researchers in Education, Health and Social Science’ (4</w:t>
      </w:r>
      <w:r w:rsidRPr="00566DE7">
        <w:rPr>
          <w:vertAlign w:val="superscript"/>
        </w:rPr>
        <w:t>th</w:t>
      </w:r>
      <w:r>
        <w:t xml:space="preserve"> ed.), Open University Press (2005): p. 51. [hereafter, Judith Bell, ‘Doing Your Research Project]</w:t>
      </w:r>
    </w:p>
  </w:footnote>
  <w:footnote w:id="19">
    <w:p w14:paraId="624D2044" w14:textId="536DFCEE" w:rsidR="000B11B7" w:rsidRPr="002B627C" w:rsidRDefault="000B11B7" w:rsidP="002B627C">
      <w:pPr>
        <w:pStyle w:val="FootnoteText"/>
        <w:ind w:left="142" w:hanging="142"/>
      </w:pPr>
      <w:r>
        <w:rPr>
          <w:rStyle w:val="FootnoteReference"/>
        </w:rPr>
        <w:footnoteRef/>
      </w:r>
      <w:r>
        <w:t xml:space="preserve"> Nathan Emmerich, ‘Reframing Research Ethics: Towards a Professional Ethics for the Social Sciences’, </w:t>
      </w:r>
      <w:r>
        <w:rPr>
          <w:i/>
          <w:iCs/>
        </w:rPr>
        <w:t xml:space="preserve">Sociological Research Online, </w:t>
      </w:r>
      <w:r>
        <w:t xml:space="preserve">21(4) (2016), p.1. </w:t>
      </w:r>
    </w:p>
  </w:footnote>
  <w:footnote w:id="20">
    <w:p w14:paraId="260D351A" w14:textId="21EF59A4" w:rsidR="000B11B7" w:rsidRPr="002701E3" w:rsidRDefault="000B11B7">
      <w:pPr>
        <w:pStyle w:val="FootnoteText"/>
      </w:pPr>
      <w:r>
        <w:rPr>
          <w:rStyle w:val="FootnoteReference"/>
        </w:rPr>
        <w:footnoteRef/>
      </w:r>
      <w:r>
        <w:t xml:space="preserve"> Judith Bell, </w:t>
      </w:r>
      <w:r w:rsidRPr="002701E3">
        <w:rPr>
          <w:i/>
          <w:iCs/>
        </w:rPr>
        <w:t>Doing Your Research Project</w:t>
      </w:r>
      <w:r>
        <w:rPr>
          <w:i/>
          <w:iCs/>
        </w:rPr>
        <w:t xml:space="preserve">, </w:t>
      </w:r>
      <w:r>
        <w:t>p. 51.</w:t>
      </w:r>
    </w:p>
  </w:footnote>
  <w:footnote w:id="21">
    <w:p w14:paraId="159D5360" w14:textId="5B748AF8" w:rsidR="000B11B7" w:rsidRDefault="000B11B7">
      <w:pPr>
        <w:pStyle w:val="FootnoteText"/>
      </w:pPr>
      <w:r>
        <w:rPr>
          <w:rStyle w:val="FootnoteReference"/>
        </w:rPr>
        <w:footnoteRef/>
      </w:r>
      <w:r>
        <w:t xml:space="preserve"> T.L. Brink, </w:t>
      </w:r>
      <w:r w:rsidRPr="009E75BB">
        <w:rPr>
          <w:i/>
          <w:iCs/>
        </w:rPr>
        <w:t>pers. comm</w:t>
      </w:r>
      <w:r>
        <w:rPr>
          <w:i/>
          <w:iCs/>
        </w:rPr>
        <w:t xml:space="preserve">., </w:t>
      </w:r>
      <w:r>
        <w:t>February 14, 2021.</w:t>
      </w:r>
    </w:p>
  </w:footnote>
  <w:footnote w:id="22">
    <w:p w14:paraId="177DC8F1" w14:textId="61E00F0E" w:rsidR="000B11B7" w:rsidRDefault="000B11B7" w:rsidP="00342901">
      <w:pPr>
        <w:pStyle w:val="FootnoteText"/>
        <w:ind w:left="142" w:hanging="142"/>
      </w:pPr>
      <w:r>
        <w:rPr>
          <w:rStyle w:val="FootnoteReference"/>
        </w:rPr>
        <w:footnoteRef/>
      </w:r>
      <w:r>
        <w:t xml:space="preserve"> Claudia </w:t>
      </w:r>
      <w:proofErr w:type="spellStart"/>
      <w:r>
        <w:t>Oellers</w:t>
      </w:r>
      <w:proofErr w:type="spellEnd"/>
      <w:r>
        <w:t xml:space="preserve"> and Eva Wegner, ‘A New Research Ethics for the Social Sciences?’, </w:t>
      </w:r>
      <w:proofErr w:type="spellStart"/>
      <w:r>
        <w:t>RatSWD</w:t>
      </w:r>
      <w:proofErr w:type="spellEnd"/>
      <w:r>
        <w:t xml:space="preserve"> Working Paper Series, 86, (2009).</w:t>
      </w:r>
    </w:p>
  </w:footnote>
  <w:footnote w:id="23">
    <w:p w14:paraId="50021C18" w14:textId="23CE4F19" w:rsidR="00590B01" w:rsidRPr="00F57F93" w:rsidRDefault="00590B01" w:rsidP="00590B01">
      <w:pPr>
        <w:pStyle w:val="FootnoteText"/>
        <w:ind w:left="142" w:hanging="142"/>
      </w:pPr>
      <w:r>
        <w:rPr>
          <w:rStyle w:val="FootnoteReference"/>
        </w:rPr>
        <w:footnoteRef/>
      </w:r>
      <w:r>
        <w:t xml:space="preserve"> </w:t>
      </w:r>
      <w:proofErr w:type="spellStart"/>
      <w:r>
        <w:t>Marilys</w:t>
      </w:r>
      <w:proofErr w:type="spellEnd"/>
      <w:r>
        <w:t xml:space="preserve"> Guillemin and Lynn Gillam, ‘Ethics, Reflexivity, and “Ethically Important Moments” in Research’, </w:t>
      </w:r>
      <w:r>
        <w:rPr>
          <w:i/>
          <w:iCs/>
        </w:rPr>
        <w:t xml:space="preserve">Qualitative Inquiry, </w:t>
      </w:r>
      <w:r>
        <w:t>10(2) (2004), p. 261.</w:t>
      </w:r>
      <w:r w:rsidR="00F57F93">
        <w:t xml:space="preserve"> [hereafter, </w:t>
      </w:r>
      <w:r w:rsidR="00F57F93">
        <w:t xml:space="preserve">Guillemin and Gillam, </w:t>
      </w:r>
      <w:r w:rsidR="00F57F93" w:rsidRPr="00F57F93">
        <w:rPr>
          <w:i/>
          <w:iCs/>
        </w:rPr>
        <w:t>Ethics, Reflexivity, and “Ethically Important Moments</w:t>
      </w:r>
      <w:r w:rsidR="00F57F93">
        <w:t>]</w:t>
      </w:r>
    </w:p>
  </w:footnote>
  <w:footnote w:id="24">
    <w:p w14:paraId="110510A6" w14:textId="1AD86B87" w:rsidR="00F57F93" w:rsidRPr="00F57F93" w:rsidRDefault="00F57F93">
      <w:pPr>
        <w:pStyle w:val="FootnoteText"/>
      </w:pPr>
      <w:r>
        <w:rPr>
          <w:rStyle w:val="FootnoteReference"/>
        </w:rPr>
        <w:footnoteRef/>
      </w:r>
      <w:r>
        <w:t xml:space="preserve"> </w:t>
      </w:r>
      <w:r>
        <w:t xml:space="preserve">Guillemin and Gillam, </w:t>
      </w:r>
      <w:r w:rsidRPr="00F57F93">
        <w:rPr>
          <w:i/>
          <w:iCs/>
        </w:rPr>
        <w:t>Ethics, Reflexivity, and “Ethically Important Moments</w:t>
      </w:r>
      <w:r>
        <w:rPr>
          <w:i/>
          <w:iCs/>
        </w:rPr>
        <w:t xml:space="preserve">, </w:t>
      </w:r>
      <w:r>
        <w:t>p. 263-264.</w:t>
      </w:r>
    </w:p>
  </w:footnote>
  <w:footnote w:id="25">
    <w:p w14:paraId="69401F6D" w14:textId="10303A40" w:rsidR="00C61F0C" w:rsidRDefault="00C61F0C">
      <w:pPr>
        <w:pStyle w:val="FootnoteText"/>
      </w:pPr>
      <w:r>
        <w:rPr>
          <w:rStyle w:val="FootnoteReference"/>
        </w:rPr>
        <w:footnoteRef/>
      </w:r>
      <w:r>
        <w:t xml:space="preserve"> </w:t>
      </w:r>
      <w:r>
        <w:t xml:space="preserve">Guillemin and Gillam, </w:t>
      </w:r>
      <w:r w:rsidRPr="00F57F93">
        <w:rPr>
          <w:i/>
          <w:iCs/>
        </w:rPr>
        <w:t>Ethics, Reflexivity, and “Ethically Important Moments</w:t>
      </w:r>
      <w:r>
        <w:rPr>
          <w:i/>
          <w:iCs/>
        </w:rPr>
        <w:t xml:space="preserve">, </w:t>
      </w:r>
      <w:r>
        <w:t xml:space="preserve">p. </w:t>
      </w:r>
      <w:r>
        <w:t>267.</w:t>
      </w:r>
    </w:p>
  </w:footnote>
  <w:footnote w:id="26">
    <w:p w14:paraId="6607A107" w14:textId="4F8FF126" w:rsidR="00DF41AB" w:rsidRDefault="00DF41AB">
      <w:pPr>
        <w:pStyle w:val="FootnoteText"/>
      </w:pPr>
      <w:r>
        <w:rPr>
          <w:rStyle w:val="FootnoteReference"/>
        </w:rPr>
        <w:footnoteRef/>
      </w:r>
      <w:r>
        <w:t xml:space="preserve"> </w:t>
      </w:r>
      <w:r>
        <w:t xml:space="preserve">Guillemin and Gillam, </w:t>
      </w:r>
      <w:r w:rsidRPr="00F57F93">
        <w:rPr>
          <w:i/>
          <w:iCs/>
        </w:rPr>
        <w:t>Ethics, Reflexivity, and “Ethically Important Moments</w:t>
      </w:r>
      <w:r>
        <w:rPr>
          <w:i/>
          <w:iCs/>
        </w:rPr>
        <w:t xml:space="preserve">, </w:t>
      </w:r>
      <w:r>
        <w:t>p. 2</w:t>
      </w:r>
      <w:r>
        <w:t>73.</w:t>
      </w:r>
    </w:p>
  </w:footnote>
  <w:footnote w:id="27">
    <w:p w14:paraId="48040942" w14:textId="4DAAB7E6" w:rsidR="000B11B7" w:rsidRPr="00E938E7" w:rsidRDefault="000B11B7" w:rsidP="00E938E7">
      <w:pPr>
        <w:pStyle w:val="FootnoteText"/>
        <w:ind w:left="142" w:hanging="142"/>
      </w:pPr>
      <w:r>
        <w:rPr>
          <w:rStyle w:val="FootnoteReference"/>
        </w:rPr>
        <w:footnoteRef/>
      </w:r>
      <w:r>
        <w:t xml:space="preserve"> Helen Waterhouse, ‘Reincarnation Belief in Britain: New Age Orientation or Mainstream Option?’, </w:t>
      </w:r>
      <w:r>
        <w:rPr>
          <w:i/>
          <w:iCs/>
        </w:rPr>
        <w:t xml:space="preserve">Journal of Contemporary Religion, </w:t>
      </w:r>
      <w:r>
        <w:t>14 (1) (1999): 97-109.</w:t>
      </w:r>
    </w:p>
  </w:footnote>
  <w:footnote w:id="28">
    <w:p w14:paraId="6426406F" w14:textId="1608FFEE" w:rsidR="000B11B7" w:rsidRDefault="000B11B7">
      <w:pPr>
        <w:pStyle w:val="FootnoteText"/>
      </w:pPr>
      <w:r>
        <w:rPr>
          <w:rStyle w:val="FootnoteReference"/>
        </w:rPr>
        <w:footnoteRef/>
      </w:r>
      <w:r>
        <w:t xml:space="preserve"> T. Walter &amp; H. Waterhouse, </w:t>
      </w:r>
      <w:r w:rsidRPr="006A7322">
        <w:rPr>
          <w:i/>
          <w:iCs/>
        </w:rPr>
        <w:t>A Very Private Belief</w:t>
      </w:r>
      <w:r>
        <w:rPr>
          <w:i/>
          <w:iCs/>
        </w:rPr>
        <w:t xml:space="preserve">, </w:t>
      </w:r>
      <w:r>
        <w:t>p. 189.</w:t>
      </w:r>
    </w:p>
  </w:footnote>
  <w:footnote w:id="29">
    <w:p w14:paraId="60F4A9B3" w14:textId="6F855546" w:rsidR="000B11B7" w:rsidRDefault="000B11B7">
      <w:pPr>
        <w:pStyle w:val="FootnoteText"/>
      </w:pPr>
      <w:r>
        <w:rPr>
          <w:rStyle w:val="FootnoteReference"/>
        </w:rPr>
        <w:footnoteRef/>
      </w:r>
      <w:r>
        <w:t xml:space="preserve"> </w:t>
      </w:r>
      <w:proofErr w:type="spellStart"/>
      <w:r>
        <w:t>Hennink</w:t>
      </w:r>
      <w:proofErr w:type="spellEnd"/>
      <w:r>
        <w:t xml:space="preserve">, </w:t>
      </w:r>
      <w:proofErr w:type="spellStart"/>
      <w:r>
        <w:t>Hutter</w:t>
      </w:r>
      <w:proofErr w:type="spellEnd"/>
      <w:r>
        <w:t xml:space="preserve"> &amp; Bailey. </w:t>
      </w:r>
      <w:r>
        <w:rPr>
          <w:i/>
          <w:iCs/>
        </w:rPr>
        <w:t xml:space="preserve">Qualitative Research Methods, </w:t>
      </w:r>
      <w:r>
        <w:t>p. 106.</w:t>
      </w:r>
    </w:p>
  </w:footnote>
  <w:footnote w:id="30">
    <w:p w14:paraId="0D23AD4A" w14:textId="34A74264" w:rsidR="000B11B7" w:rsidRDefault="000B11B7">
      <w:pPr>
        <w:pStyle w:val="FootnoteText"/>
      </w:pPr>
      <w:r>
        <w:rPr>
          <w:rStyle w:val="FootnoteReference"/>
        </w:rPr>
        <w:footnoteRef/>
      </w:r>
      <w:r>
        <w:t xml:space="preserve"> T. Walter &amp; H. Waterhouse, </w:t>
      </w:r>
      <w:r w:rsidRPr="006A7322">
        <w:rPr>
          <w:i/>
          <w:iCs/>
        </w:rPr>
        <w:t>A Very Private Belief</w:t>
      </w:r>
      <w:r>
        <w:rPr>
          <w:i/>
          <w:iCs/>
        </w:rPr>
        <w:t xml:space="preserve">, </w:t>
      </w:r>
      <w:r>
        <w:t>p. 189.</w:t>
      </w:r>
    </w:p>
  </w:footnote>
  <w:footnote w:id="31">
    <w:p w14:paraId="743B21E0" w14:textId="798B725E" w:rsidR="000B11B7" w:rsidRDefault="000B11B7">
      <w:pPr>
        <w:pStyle w:val="FootnoteText"/>
      </w:pPr>
      <w:r>
        <w:rPr>
          <w:rStyle w:val="FootnoteReference"/>
        </w:rPr>
        <w:footnoteRef/>
      </w:r>
      <w:r>
        <w:t xml:space="preserve"> T. Walter &amp; H. Waterhouse, </w:t>
      </w:r>
      <w:r w:rsidRPr="006A7322">
        <w:rPr>
          <w:i/>
          <w:iCs/>
        </w:rPr>
        <w:t>A Very Private Belief</w:t>
      </w:r>
      <w:r>
        <w:rPr>
          <w:i/>
          <w:iCs/>
        </w:rPr>
        <w:t xml:space="preserve">, </w:t>
      </w:r>
      <w:r>
        <w:t>p. 189.</w:t>
      </w:r>
    </w:p>
  </w:footnote>
  <w:footnote w:id="32">
    <w:p w14:paraId="0235D65E" w14:textId="560AB7B2" w:rsidR="000B11B7" w:rsidRDefault="000B11B7">
      <w:pPr>
        <w:pStyle w:val="FootnoteText"/>
      </w:pPr>
      <w:r>
        <w:rPr>
          <w:rStyle w:val="FootnoteReference"/>
        </w:rPr>
        <w:footnoteRef/>
      </w:r>
      <w:r>
        <w:t xml:space="preserve"> T.L. Brink, </w:t>
      </w:r>
      <w:r>
        <w:rPr>
          <w:i/>
          <w:iCs/>
        </w:rPr>
        <w:t xml:space="preserve">Inconsistency of Belief, </w:t>
      </w:r>
      <w:r w:rsidRPr="00AA12D8">
        <w:t xml:space="preserve">p. </w:t>
      </w:r>
      <w:r>
        <w:t>82 &amp; 85.</w:t>
      </w:r>
    </w:p>
  </w:footnote>
  <w:footnote w:id="33">
    <w:p w14:paraId="1BB768D7" w14:textId="62D6F41A" w:rsidR="000B11B7" w:rsidRDefault="000B11B7">
      <w:pPr>
        <w:pStyle w:val="FootnoteText"/>
      </w:pPr>
      <w:r>
        <w:rPr>
          <w:rStyle w:val="FootnoteReference"/>
        </w:rPr>
        <w:footnoteRef/>
      </w:r>
      <w:r>
        <w:t xml:space="preserve"> T.L. Brink, </w:t>
      </w:r>
      <w:r>
        <w:rPr>
          <w:i/>
          <w:iCs/>
        </w:rPr>
        <w:t xml:space="preserve">Inconsistency of Belief, </w:t>
      </w:r>
      <w:r w:rsidRPr="00AA12D8">
        <w:t xml:space="preserve">p. </w:t>
      </w:r>
      <w:r>
        <w:t>84.</w:t>
      </w:r>
    </w:p>
  </w:footnote>
  <w:footnote w:id="34">
    <w:p w14:paraId="68D22EAB" w14:textId="749C6E9F" w:rsidR="000B11B7" w:rsidRDefault="000B11B7">
      <w:pPr>
        <w:pStyle w:val="FootnoteText"/>
      </w:pPr>
      <w:r>
        <w:rPr>
          <w:rStyle w:val="FootnoteReference"/>
        </w:rPr>
        <w:footnoteRef/>
      </w:r>
      <w:r>
        <w:t xml:space="preserve"> T.L. Brink, </w:t>
      </w:r>
      <w:r>
        <w:rPr>
          <w:i/>
          <w:iCs/>
        </w:rPr>
        <w:t xml:space="preserve">Inconsistency of Belief, </w:t>
      </w:r>
      <w:r w:rsidRPr="00AA12D8">
        <w:t xml:space="preserve">p. </w:t>
      </w:r>
      <w:r>
        <w:t>84.</w:t>
      </w:r>
    </w:p>
  </w:footnote>
  <w:footnote w:id="35">
    <w:p w14:paraId="21B8A232" w14:textId="6296AA73" w:rsidR="000B11B7" w:rsidRDefault="000B11B7">
      <w:pPr>
        <w:pStyle w:val="FootnoteText"/>
      </w:pPr>
      <w:r>
        <w:rPr>
          <w:rStyle w:val="FootnoteReference"/>
        </w:rPr>
        <w:footnoteRef/>
      </w:r>
      <w:r>
        <w:t xml:space="preserve"> T.L. Brink, </w:t>
      </w:r>
      <w:r w:rsidRPr="009E75BB">
        <w:rPr>
          <w:i/>
          <w:iCs/>
        </w:rPr>
        <w:t>pers. comm</w:t>
      </w:r>
      <w:r>
        <w:rPr>
          <w:i/>
          <w:iCs/>
        </w:rPr>
        <w:t xml:space="preserve">., </w:t>
      </w:r>
      <w:r>
        <w:t xml:space="preserve">February 14, 2021. </w:t>
      </w:r>
    </w:p>
  </w:footnote>
  <w:footnote w:id="36">
    <w:p w14:paraId="129490B8" w14:textId="3AEA7396" w:rsidR="000B11B7" w:rsidRPr="00780931" w:rsidRDefault="000B11B7">
      <w:pPr>
        <w:pStyle w:val="FootnoteText"/>
      </w:pPr>
      <w:r>
        <w:rPr>
          <w:rStyle w:val="FootnoteReference"/>
        </w:rPr>
        <w:footnoteRef/>
      </w:r>
      <w:r>
        <w:t xml:space="preserve"> </w:t>
      </w:r>
      <w:bookmarkStart w:id="0" w:name="_Hlk67989154"/>
      <w:r>
        <w:t xml:space="preserve">Robert </w:t>
      </w:r>
      <w:proofErr w:type="spellStart"/>
      <w:r>
        <w:t>Bellah</w:t>
      </w:r>
      <w:proofErr w:type="spellEnd"/>
      <w:r>
        <w:t xml:space="preserve">, ‘Christianity and Symbolic Realism’, </w:t>
      </w:r>
      <w:r>
        <w:rPr>
          <w:i/>
          <w:iCs/>
        </w:rPr>
        <w:t xml:space="preserve">Scientific Study of Religion, </w:t>
      </w:r>
      <w:r>
        <w:t>9(2) (Summer, 1970), p. 92.</w:t>
      </w:r>
      <w:bookmarkEnd w:id="0"/>
    </w:p>
  </w:footnote>
  <w:footnote w:id="37">
    <w:p w14:paraId="39C590A1" w14:textId="154FEE01" w:rsidR="000B11B7" w:rsidRDefault="000B11B7">
      <w:pPr>
        <w:pStyle w:val="FootnoteText"/>
      </w:pPr>
      <w:r>
        <w:rPr>
          <w:rStyle w:val="FootnoteReference"/>
        </w:rPr>
        <w:footnoteRef/>
      </w:r>
      <w:r>
        <w:t xml:space="preserve"> </w:t>
      </w:r>
      <w:proofErr w:type="spellStart"/>
      <w:r>
        <w:t>Bellah</w:t>
      </w:r>
      <w:proofErr w:type="spellEnd"/>
      <w:r>
        <w:t xml:space="preserve">, </w:t>
      </w:r>
      <w:r w:rsidRPr="003B3DFA">
        <w:rPr>
          <w:i/>
          <w:iCs/>
        </w:rPr>
        <w:t>Christianity and Symbolic Realism</w:t>
      </w:r>
      <w:r>
        <w:t>, p. 92.</w:t>
      </w:r>
    </w:p>
  </w:footnote>
  <w:footnote w:id="38">
    <w:p w14:paraId="0E18B196" w14:textId="503545E4" w:rsidR="000B11B7" w:rsidRDefault="000B11B7">
      <w:pPr>
        <w:pStyle w:val="FootnoteText"/>
      </w:pPr>
      <w:r>
        <w:rPr>
          <w:rStyle w:val="FootnoteReference"/>
        </w:rPr>
        <w:footnoteRef/>
      </w:r>
      <w:r>
        <w:t xml:space="preserve"> T.L. Brink, </w:t>
      </w:r>
      <w:r w:rsidRPr="009E75BB">
        <w:rPr>
          <w:i/>
          <w:iCs/>
        </w:rPr>
        <w:t>pers. comm</w:t>
      </w:r>
      <w:r>
        <w:rPr>
          <w:i/>
          <w:iCs/>
        </w:rPr>
        <w:t xml:space="preserve">., </w:t>
      </w:r>
      <w:r>
        <w:t>March 28, 2021.</w:t>
      </w:r>
    </w:p>
  </w:footnote>
  <w:footnote w:id="39">
    <w:p w14:paraId="32A58E98" w14:textId="2DCFC0AF" w:rsidR="000B11B7" w:rsidRDefault="000B11B7">
      <w:pPr>
        <w:pStyle w:val="FootnoteText"/>
      </w:pPr>
      <w:r>
        <w:rPr>
          <w:rStyle w:val="FootnoteReference"/>
        </w:rPr>
        <w:footnoteRef/>
      </w:r>
      <w:r>
        <w:t xml:space="preserve"> T. Walter &amp; H. Waterhouse, </w:t>
      </w:r>
      <w:r w:rsidRPr="006A7322">
        <w:rPr>
          <w:i/>
          <w:iCs/>
        </w:rPr>
        <w:t>A Very Private Belief</w:t>
      </w:r>
      <w:r>
        <w:rPr>
          <w:i/>
          <w:iCs/>
        </w:rPr>
        <w:t xml:space="preserve">, </w:t>
      </w:r>
      <w:r>
        <w:t>p. 196.</w:t>
      </w:r>
    </w:p>
  </w:footnote>
  <w:footnote w:id="40">
    <w:p w14:paraId="35ACF88E" w14:textId="7E4505EA" w:rsidR="000B11B7" w:rsidRPr="002E260E" w:rsidRDefault="000B11B7">
      <w:pPr>
        <w:pStyle w:val="FootnoteText"/>
      </w:pPr>
      <w:r>
        <w:rPr>
          <w:rStyle w:val="FootnoteReference"/>
        </w:rPr>
        <w:footnoteRef/>
      </w:r>
      <w:r>
        <w:t xml:space="preserve"> Waterhouse, </w:t>
      </w:r>
      <w:r w:rsidRPr="002E260E">
        <w:rPr>
          <w:i/>
          <w:iCs/>
        </w:rPr>
        <w:t>Reincarnation Belief in Britain</w:t>
      </w:r>
      <w:r>
        <w:rPr>
          <w:i/>
          <w:iCs/>
        </w:rPr>
        <w:t xml:space="preserve">, </w:t>
      </w:r>
      <w:r>
        <w:t>p. 105.</w:t>
      </w:r>
    </w:p>
  </w:footnote>
  <w:footnote w:id="41">
    <w:p w14:paraId="3CD3F821" w14:textId="7DB86C2D" w:rsidR="000B11B7" w:rsidRDefault="000B11B7">
      <w:pPr>
        <w:pStyle w:val="FootnoteText"/>
      </w:pPr>
      <w:r>
        <w:rPr>
          <w:rStyle w:val="FootnoteReference"/>
        </w:rPr>
        <w:footnoteRef/>
      </w:r>
      <w:r>
        <w:t xml:space="preserve"> Waterhouse, </w:t>
      </w:r>
      <w:r w:rsidRPr="002E260E">
        <w:rPr>
          <w:i/>
          <w:iCs/>
        </w:rPr>
        <w:t>Reincarnation Belief in Britain</w:t>
      </w:r>
      <w:r>
        <w:rPr>
          <w:i/>
          <w:iCs/>
        </w:rPr>
        <w:t xml:space="preserve">, </w:t>
      </w:r>
      <w:r>
        <w:t>p. 107.</w:t>
      </w:r>
    </w:p>
  </w:footnote>
  <w:footnote w:id="42">
    <w:p w14:paraId="07B08E6A" w14:textId="60D4D065" w:rsidR="00BC103C" w:rsidRPr="00BC103C" w:rsidRDefault="00BC103C" w:rsidP="00BC103C">
      <w:pPr>
        <w:pStyle w:val="FootnoteText"/>
        <w:ind w:left="142" w:hanging="142"/>
      </w:pPr>
      <w:r>
        <w:rPr>
          <w:rStyle w:val="FootnoteReference"/>
        </w:rPr>
        <w:footnoteRef/>
      </w:r>
      <w:r>
        <w:t xml:space="preserve"> Gregory J. </w:t>
      </w:r>
      <w:proofErr w:type="spellStart"/>
      <w:r>
        <w:t>Cizek</w:t>
      </w:r>
      <w:proofErr w:type="spellEnd"/>
      <w:r>
        <w:t xml:space="preserve">, ‘Crunchy Granola and the Hegemony of the Narrative’, </w:t>
      </w:r>
      <w:r>
        <w:rPr>
          <w:i/>
          <w:iCs/>
        </w:rPr>
        <w:t xml:space="preserve">Educational Researcher, </w:t>
      </w:r>
      <w:r>
        <w:t xml:space="preserve">24(2) </w:t>
      </w:r>
      <w:r w:rsidR="00B04228">
        <w:t xml:space="preserve">   </w:t>
      </w:r>
      <w:proofErr w:type="gramStart"/>
      <w:r w:rsidR="00B04228">
        <w:t xml:space="preserve">   </w:t>
      </w:r>
      <w:r>
        <w:t>(</w:t>
      </w:r>
      <w:proofErr w:type="gramEnd"/>
      <w:r>
        <w:t>March, 1995), p. 26.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DAFA78" w14:textId="3C164A7B" w:rsidR="000B11B7" w:rsidRPr="00B144B7" w:rsidRDefault="000B11B7" w:rsidP="00B144B7">
    <w:pPr>
      <w:pStyle w:val="Header"/>
      <w:jc w:val="right"/>
      <w:rPr>
        <w:sz w:val="18"/>
        <w:szCs w:val="18"/>
      </w:rPr>
    </w:pPr>
    <w:r>
      <w:rPr>
        <w:sz w:val="18"/>
        <w:szCs w:val="18"/>
      </w:rPr>
      <w:t>John Murray 2008616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9BE7E2" w14:textId="77777777" w:rsidR="000B11B7" w:rsidRPr="008F4E28" w:rsidRDefault="000B11B7" w:rsidP="008F4E28">
    <w:pPr>
      <w:jc w:val="right"/>
      <w:rPr>
        <w:rFonts w:ascii="Arial" w:hAnsi="Arial" w:cs="Arial"/>
        <w:sz w:val="18"/>
        <w:szCs w:val="18"/>
      </w:rPr>
    </w:pPr>
    <w:r w:rsidRPr="008F4E28">
      <w:rPr>
        <w:rFonts w:ascii="Arial" w:hAnsi="Arial" w:cs="Arial"/>
        <w:sz w:val="18"/>
        <w:szCs w:val="18"/>
      </w:rPr>
      <w:t>John Murray – HPCA7016 – Essay 1</w:t>
    </w:r>
  </w:p>
  <w:p w14:paraId="09D87568" w14:textId="77777777" w:rsidR="000B11B7" w:rsidRDefault="000B11B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E28"/>
    <w:rsid w:val="00001AFE"/>
    <w:rsid w:val="00002ECA"/>
    <w:rsid w:val="0006215E"/>
    <w:rsid w:val="000B11B7"/>
    <w:rsid w:val="000B3EE2"/>
    <w:rsid w:val="000B5EFE"/>
    <w:rsid w:val="000B6074"/>
    <w:rsid w:val="000F74EA"/>
    <w:rsid w:val="00154386"/>
    <w:rsid w:val="00165BF4"/>
    <w:rsid w:val="001A7253"/>
    <w:rsid w:val="002134C4"/>
    <w:rsid w:val="00216A2B"/>
    <w:rsid w:val="002701E3"/>
    <w:rsid w:val="00282E91"/>
    <w:rsid w:val="002B627C"/>
    <w:rsid w:val="002D4284"/>
    <w:rsid w:val="002E260E"/>
    <w:rsid w:val="002E5AB3"/>
    <w:rsid w:val="002F05BB"/>
    <w:rsid w:val="00304F23"/>
    <w:rsid w:val="00313D12"/>
    <w:rsid w:val="00324E28"/>
    <w:rsid w:val="003350D2"/>
    <w:rsid w:val="00341C9F"/>
    <w:rsid w:val="00342901"/>
    <w:rsid w:val="003B123D"/>
    <w:rsid w:val="003B3DFA"/>
    <w:rsid w:val="003C615E"/>
    <w:rsid w:val="003D38E1"/>
    <w:rsid w:val="00421E84"/>
    <w:rsid w:val="004A47A9"/>
    <w:rsid w:val="004A4C4A"/>
    <w:rsid w:val="004B5D1C"/>
    <w:rsid w:val="004D2CBD"/>
    <w:rsid w:val="00566DE7"/>
    <w:rsid w:val="00570D97"/>
    <w:rsid w:val="005762EC"/>
    <w:rsid w:val="00585522"/>
    <w:rsid w:val="00590B01"/>
    <w:rsid w:val="005A7A17"/>
    <w:rsid w:val="005B7A7B"/>
    <w:rsid w:val="005E7920"/>
    <w:rsid w:val="00613211"/>
    <w:rsid w:val="00626F1F"/>
    <w:rsid w:val="00675672"/>
    <w:rsid w:val="00686F3D"/>
    <w:rsid w:val="006A0540"/>
    <w:rsid w:val="006A7322"/>
    <w:rsid w:val="006D5E7A"/>
    <w:rsid w:val="006F5F3D"/>
    <w:rsid w:val="0071529E"/>
    <w:rsid w:val="00743C4B"/>
    <w:rsid w:val="007463E9"/>
    <w:rsid w:val="00760E58"/>
    <w:rsid w:val="00770BB4"/>
    <w:rsid w:val="00780931"/>
    <w:rsid w:val="00783AE4"/>
    <w:rsid w:val="007B01F1"/>
    <w:rsid w:val="007B70E4"/>
    <w:rsid w:val="007D17AA"/>
    <w:rsid w:val="007E145A"/>
    <w:rsid w:val="00833216"/>
    <w:rsid w:val="00856D52"/>
    <w:rsid w:val="008D197A"/>
    <w:rsid w:val="008D6AA4"/>
    <w:rsid w:val="008F4E28"/>
    <w:rsid w:val="009148CE"/>
    <w:rsid w:val="009278C2"/>
    <w:rsid w:val="00971A2F"/>
    <w:rsid w:val="00994ADF"/>
    <w:rsid w:val="009E7341"/>
    <w:rsid w:val="009E75BB"/>
    <w:rsid w:val="00A3254B"/>
    <w:rsid w:val="00A34AAF"/>
    <w:rsid w:val="00A37F0D"/>
    <w:rsid w:val="00A601BB"/>
    <w:rsid w:val="00A9101D"/>
    <w:rsid w:val="00A9462F"/>
    <w:rsid w:val="00AA12D8"/>
    <w:rsid w:val="00AE5993"/>
    <w:rsid w:val="00AE6CDE"/>
    <w:rsid w:val="00AF6D56"/>
    <w:rsid w:val="00B03852"/>
    <w:rsid w:val="00B04228"/>
    <w:rsid w:val="00B10F40"/>
    <w:rsid w:val="00B144B7"/>
    <w:rsid w:val="00B43F38"/>
    <w:rsid w:val="00B44799"/>
    <w:rsid w:val="00B53B6D"/>
    <w:rsid w:val="00B64FC5"/>
    <w:rsid w:val="00BC103C"/>
    <w:rsid w:val="00BC32E5"/>
    <w:rsid w:val="00BC7010"/>
    <w:rsid w:val="00C0399B"/>
    <w:rsid w:val="00C3359B"/>
    <w:rsid w:val="00C4520E"/>
    <w:rsid w:val="00C61F0C"/>
    <w:rsid w:val="00C64288"/>
    <w:rsid w:val="00CC7F43"/>
    <w:rsid w:val="00D579CC"/>
    <w:rsid w:val="00D72D60"/>
    <w:rsid w:val="00DE3A4F"/>
    <w:rsid w:val="00DF41AB"/>
    <w:rsid w:val="00E21449"/>
    <w:rsid w:val="00E56E1D"/>
    <w:rsid w:val="00E737DA"/>
    <w:rsid w:val="00E753AF"/>
    <w:rsid w:val="00E938E7"/>
    <w:rsid w:val="00EF3F6C"/>
    <w:rsid w:val="00F3632F"/>
    <w:rsid w:val="00F40B23"/>
    <w:rsid w:val="00F57F93"/>
    <w:rsid w:val="00F7163D"/>
    <w:rsid w:val="00F8016A"/>
    <w:rsid w:val="00FB330B"/>
    <w:rsid w:val="00FD4AAB"/>
    <w:rsid w:val="00FE0C70"/>
    <w:rsid w:val="00FE247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95C2A"/>
  <w15:chartTrackingRefBased/>
  <w15:docId w15:val="{F173D418-72DE-4D99-8889-AB7E92041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E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4E28"/>
  </w:style>
  <w:style w:type="paragraph" w:styleId="Footer">
    <w:name w:val="footer"/>
    <w:basedOn w:val="Normal"/>
    <w:link w:val="FooterChar"/>
    <w:uiPriority w:val="99"/>
    <w:unhideWhenUsed/>
    <w:rsid w:val="008F4E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4E28"/>
  </w:style>
  <w:style w:type="paragraph" w:styleId="FootnoteText">
    <w:name w:val="footnote text"/>
    <w:basedOn w:val="Normal"/>
    <w:link w:val="FootnoteTextChar"/>
    <w:uiPriority w:val="99"/>
    <w:semiHidden/>
    <w:unhideWhenUsed/>
    <w:rsid w:val="00F7163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7163D"/>
    <w:rPr>
      <w:sz w:val="20"/>
      <w:szCs w:val="20"/>
    </w:rPr>
  </w:style>
  <w:style w:type="character" w:styleId="FootnoteReference">
    <w:name w:val="footnote reference"/>
    <w:basedOn w:val="DefaultParagraphFont"/>
    <w:uiPriority w:val="99"/>
    <w:semiHidden/>
    <w:unhideWhenUsed/>
    <w:rsid w:val="00F7163D"/>
    <w:rPr>
      <w:vertAlign w:val="superscript"/>
    </w:rPr>
  </w:style>
  <w:style w:type="character" w:styleId="Hyperlink">
    <w:name w:val="Hyperlink"/>
    <w:basedOn w:val="DefaultParagraphFont"/>
    <w:uiPriority w:val="99"/>
    <w:unhideWhenUsed/>
    <w:rsid w:val="00C4520E"/>
    <w:rPr>
      <w:color w:val="0563C1" w:themeColor="hyperlink"/>
      <w:u w:val="single"/>
    </w:rPr>
  </w:style>
  <w:style w:type="character" w:styleId="UnresolvedMention">
    <w:name w:val="Unresolved Mention"/>
    <w:basedOn w:val="DefaultParagraphFont"/>
    <w:uiPriority w:val="99"/>
    <w:semiHidden/>
    <w:unhideWhenUsed/>
    <w:rsid w:val="00C452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ocresonline.org.uk/21/4/7.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researchgate.net/publication/335128772_Research_Methods_for_Psychology"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researchgate.net/publication/335128772_Research_Methods_for_Psych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0BD3F94A-431B-4A4E-90C2-3D20BD3D9B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Pages>
  <Words>2871</Words>
  <Characters>15848</Characters>
  <Application>Microsoft Office Word</Application>
  <DocSecurity>0</DocSecurity>
  <Lines>214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Murray</dc:creator>
  <cp:keywords/>
  <dc:description/>
  <cp:lastModifiedBy>John Murray</cp:lastModifiedBy>
  <cp:revision>2</cp:revision>
  <dcterms:created xsi:type="dcterms:W3CDTF">2021-03-30T17:05:00Z</dcterms:created>
  <dcterms:modified xsi:type="dcterms:W3CDTF">2021-03-30T17:05:00Z</dcterms:modified>
</cp:coreProperties>
</file>