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rFonts w:ascii="Calibri" w:cs="Calibri" w:eastAsia="Calibri" w:hAnsi="Calibri"/>
          <w:sz w:val="22"/>
          <w:szCs w:val="22"/>
        </w:rPr>
      </w:pPr>
      <w:bookmarkStart w:colFirst="0" w:colLast="0" w:name="_heading=h.fts7gb77cip6" w:id="0"/>
      <w:bookmarkEnd w:id="0"/>
      <w:r w:rsidDel="00000000" w:rsidR="00000000" w:rsidRPr="00000000">
        <w:rPr>
          <w:rtl w:val="0"/>
        </w:rPr>
      </w:r>
    </w:p>
    <w:p w:rsidR="00000000" w:rsidDel="00000000" w:rsidP="00000000" w:rsidRDefault="00000000" w:rsidRPr="00000000" w14:paraId="00000002">
      <w:pPr>
        <w:jc w:val="center"/>
        <w:rPr>
          <w:rFonts w:ascii="Calibri" w:cs="Calibri" w:eastAsia="Calibri" w:hAnsi="Calibri"/>
          <w:sz w:val="22"/>
          <w:szCs w:val="22"/>
        </w:rPr>
      </w:pPr>
      <w:r w:rsidDel="00000000" w:rsidR="00000000" w:rsidRPr="00000000">
        <w:rPr>
          <w:rFonts w:ascii="Calibri" w:cs="Calibri" w:eastAsia="Calibri" w:hAnsi="Calibri"/>
          <w:sz w:val="22"/>
          <w:szCs w:val="22"/>
        </w:rPr>
        <w:drawing>
          <wp:inline distB="0" distT="0" distL="0" distR="0">
            <wp:extent cx="1634959" cy="644316"/>
            <wp:effectExtent b="0" l="0" r="0" t="0"/>
            <wp:docPr id="45"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1634959" cy="644316"/>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jc w:val="center"/>
        <w:rPr>
          <w:rFonts w:ascii="Calibri" w:cs="Calibri" w:eastAsia="Calibri" w:hAnsi="Calibri"/>
          <w:sz w:val="22"/>
          <w:szCs w:val="22"/>
        </w:rPr>
      </w:pPr>
      <w:r w:rsidDel="00000000" w:rsidR="00000000" w:rsidRPr="00000000">
        <w:rPr>
          <w:rtl w:val="0"/>
        </w:rPr>
      </w:r>
    </w:p>
    <w:tbl>
      <w:tblPr>
        <w:tblStyle w:val="Table1"/>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350"/>
        <w:tblGridChange w:id="0">
          <w:tblGrid>
            <w:gridCol w:w="9350"/>
          </w:tblGrid>
        </w:tblGridChange>
      </w:tblGrid>
      <w:tr>
        <w:trPr>
          <w:cantSplit w:val="0"/>
          <w:tblHeader w:val="0"/>
        </w:trPr>
        <w:tc>
          <w:tcPr>
            <w:shd w:fill="e7e6e6" w:val="clear"/>
          </w:tcPr>
          <w:p w:rsidR="00000000" w:rsidDel="00000000" w:rsidP="00000000" w:rsidRDefault="00000000" w:rsidRPr="00000000" w14:paraId="00000004">
            <w:pPr>
              <w:jc w:val="center"/>
              <w:rPr>
                <w:b w:val="1"/>
                <w:bCs w:val="1"/>
              </w:rPr>
            </w:pPr>
            <w:r w:rsidDel="00000000" w:rsidR="00000000" w:rsidRPr="00000000">
              <w:rPr>
                <w:rtl w:val="0"/>
              </w:rPr>
            </w:r>
          </w:p>
          <w:p w:rsidR="00000000" w:rsidDel="00000000" w:rsidP="00000000" w:rsidRDefault="00000000" w:rsidRPr="00000000" w14:paraId="00000005">
            <w:pPr>
              <w:jc w:val="center"/>
              <w:rPr>
                <w:b w:val="1"/>
                <w:bCs w:val="1"/>
              </w:rPr>
            </w:pPr>
            <w:r w:rsidDel="00000000" w:rsidR="00000000" w:rsidRPr="00000000">
              <w:rPr>
                <w:b w:val="1"/>
                <w:bCs w:val="1"/>
                <w:rtl w:val="0"/>
              </w:rPr>
              <w:t xml:space="preserve">UNDERGRADUATE DISSERTATION</w:t>
            </w:r>
          </w:p>
          <w:p w:rsidR="00000000" w:rsidDel="00000000" w:rsidP="00000000" w:rsidRDefault="00000000" w:rsidRPr="00000000" w14:paraId="00000006">
            <w:pPr>
              <w:jc w:val="center"/>
              <w:rPr>
                <w:b w:val="1"/>
                <w:bCs w:val="1"/>
              </w:rPr>
            </w:pPr>
            <w:r w:rsidDel="00000000" w:rsidR="00000000" w:rsidRPr="00000000">
              <w:rPr>
                <w:b w:val="1"/>
                <w:bCs w:val="1"/>
                <w:rtl w:val="0"/>
              </w:rPr>
              <w:t xml:space="preserve">RESEARCH PROPOSAL FORM</w:t>
            </w:r>
          </w:p>
          <w:p w:rsidR="00000000" w:rsidDel="00000000" w:rsidP="00000000" w:rsidRDefault="00000000" w:rsidRPr="00000000" w14:paraId="00000007">
            <w:pPr>
              <w:jc w:val="center"/>
              <w:rPr>
                <w:rFonts w:ascii="Calibri" w:cs="Calibri" w:eastAsia="Calibri" w:hAnsi="Calibri"/>
                <w:sz w:val="22"/>
                <w:szCs w:val="22"/>
              </w:rPr>
            </w:pPr>
            <w:r w:rsidDel="00000000" w:rsidR="00000000" w:rsidRPr="00000000">
              <w:rPr>
                <w:rtl w:val="0"/>
              </w:rPr>
            </w:r>
          </w:p>
        </w:tc>
      </w:tr>
    </w:tbl>
    <w:p w:rsidR="00000000" w:rsidDel="00000000" w:rsidP="00000000" w:rsidRDefault="00000000" w:rsidRPr="00000000" w14:paraId="00000008">
      <w:pPr>
        <w:ind w:right="-199"/>
        <w:rPr>
          <w:rFonts w:ascii="Calibri" w:cs="Calibri" w:eastAsia="Calibri" w:hAnsi="Calibri"/>
          <w:sz w:val="22"/>
          <w:szCs w:val="22"/>
        </w:rPr>
      </w:pPr>
      <w:r w:rsidDel="00000000" w:rsidR="00000000" w:rsidRPr="00000000">
        <w:rPr>
          <w:rFonts w:ascii="Calibri" w:cs="Calibri" w:eastAsia="Calibri" w:hAnsi="Calibri"/>
          <w:b w:val="1"/>
          <w:bCs w:val="1"/>
          <w:sz w:val="22"/>
          <w:szCs w:val="22"/>
          <w:rtl w:val="0"/>
        </w:rPr>
        <w:t xml:space="preserve"> </w:t>
      </w:r>
      <w:r w:rsidDel="00000000" w:rsidR="00000000" w:rsidRPr="00000000">
        <w:rPr>
          <w:rtl w:val="0"/>
        </w:rPr>
      </w:r>
    </w:p>
    <w:p w:rsidR="00000000" w:rsidDel="00000000" w:rsidP="00000000" w:rsidRDefault="00000000" w:rsidRPr="00000000" w14:paraId="00000009">
      <w:pPr>
        <w:rPr>
          <w:sz w:val="22"/>
          <w:szCs w:val="22"/>
        </w:rPr>
      </w:pPr>
      <w:r w:rsidDel="00000000" w:rsidR="00000000" w:rsidRPr="00000000">
        <w:rPr>
          <w:sz w:val="22"/>
          <w:szCs w:val="22"/>
          <w:rtl w:val="0"/>
        </w:rPr>
        <w:t xml:space="preserve">Please complete the following research proposal and email to </w:t>
      </w:r>
      <w:hyperlink r:id="rId8">
        <w:r w:rsidDel="00000000" w:rsidR="00000000" w:rsidRPr="00000000">
          <w:rPr>
            <w:color w:val="0000ff"/>
            <w:sz w:val="22"/>
            <w:szCs w:val="22"/>
            <w:u w:val="single"/>
            <w:rtl w:val="0"/>
          </w:rPr>
          <w:t xml:space="preserve">mike.durke@uwtsd.ac.uk</w:t>
        </w:r>
      </w:hyperlink>
      <w:r w:rsidDel="00000000" w:rsidR="00000000" w:rsidRPr="00000000">
        <w:rPr>
          <w:sz w:val="22"/>
          <w:szCs w:val="22"/>
          <w:rtl w:val="0"/>
        </w:rPr>
        <w:t xml:space="preserve"> </w:t>
      </w:r>
    </w:p>
    <w:p w:rsidR="00000000" w:rsidDel="00000000" w:rsidP="00000000" w:rsidRDefault="00000000" w:rsidRPr="00000000" w14:paraId="0000000A">
      <w:pPr>
        <w:jc w:val="both"/>
        <w:rPr>
          <w:rFonts w:ascii="Calibri" w:cs="Calibri" w:eastAsia="Calibri" w:hAnsi="Calibri"/>
          <w:sz w:val="22"/>
          <w:szCs w:val="22"/>
        </w:rPr>
      </w:pPr>
      <w:r w:rsidDel="00000000" w:rsidR="00000000" w:rsidRPr="00000000">
        <w:rPr>
          <w:rtl w:val="0"/>
        </w:rPr>
      </w:r>
    </w:p>
    <w:tbl>
      <w:tblPr>
        <w:tblStyle w:val="Table2"/>
        <w:tblW w:w="9077.0" w:type="dxa"/>
        <w:jc w:val="left"/>
        <w:tblInd w:w="-1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242"/>
        <w:gridCol w:w="2835"/>
        <w:tblGridChange w:id="0">
          <w:tblGrid>
            <w:gridCol w:w="6242"/>
            <w:gridCol w:w="2835"/>
          </w:tblGrid>
        </w:tblGridChange>
      </w:tblGrid>
      <w:tr>
        <w:trPr>
          <w:cantSplit w:val="0"/>
          <w:tblHeader w:val="0"/>
        </w:trPr>
        <w:tc>
          <w:tcPr>
            <w:tcMar>
              <w:top w:w="0.0" w:type="dxa"/>
              <w:left w:w="108.0" w:type="dxa"/>
              <w:bottom w:w="0.0" w:type="dxa"/>
              <w:right w:w="108.0" w:type="dxa"/>
            </w:tcMar>
          </w:tcPr>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NAME: </w:t>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b w:val="1"/>
                <w:bCs w:val="1"/>
                <w:sz w:val="22"/>
                <w:szCs w:val="22"/>
              </w:rPr>
            </w:pPr>
            <w:r w:rsidDel="00000000" w:rsidR="00000000" w:rsidRPr="00000000">
              <w:rPr>
                <w:b w:val="1"/>
                <w:bCs w:val="1"/>
                <w:sz w:val="22"/>
                <w:szCs w:val="22"/>
                <w:rtl w:val="0"/>
              </w:rPr>
              <w:t xml:space="preserve">Allanna Marshall </w:t>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b w:val="1"/>
                <w:bCs w:val="1"/>
                <w:sz w:val="22"/>
                <w:szCs w:val="22"/>
              </w:rPr>
            </w:pPr>
            <w:r w:rsidDel="00000000" w:rsidR="00000000" w:rsidRPr="00000000">
              <w:rPr>
                <w:rtl w:val="0"/>
              </w:rPr>
            </w:r>
          </w:p>
        </w:tc>
        <w:tc>
          <w:tcPr/>
          <w:p w:rsidR="00000000" w:rsidDel="00000000" w:rsidP="00000000" w:rsidRDefault="00000000" w:rsidRPr="00000000" w14:paraId="0000000E">
            <w:pPr>
              <w:jc w:val="both"/>
              <w:rPr>
                <w:sz w:val="22"/>
                <w:szCs w:val="22"/>
              </w:rPr>
            </w:pPr>
            <w:r w:rsidDel="00000000" w:rsidR="00000000" w:rsidRPr="00000000">
              <w:rPr>
                <w:rFonts w:ascii="Calibri" w:cs="Calibri" w:eastAsia="Calibri" w:hAnsi="Calibri"/>
                <w:b w:val="1"/>
                <w:bCs w:val="1"/>
                <w:sz w:val="22"/>
                <w:szCs w:val="22"/>
                <w:rtl w:val="0"/>
              </w:rPr>
              <w:t xml:space="preserve"> </w:t>
            </w:r>
            <w:r w:rsidDel="00000000" w:rsidR="00000000" w:rsidRPr="00000000">
              <w:rPr>
                <w:b w:val="1"/>
                <w:bCs w:val="1"/>
                <w:sz w:val="22"/>
                <w:szCs w:val="22"/>
                <w:rtl w:val="0"/>
              </w:rPr>
              <w:t xml:space="preserve">ID No.: </w:t>
            </w:r>
            <w:r w:rsidDel="00000000" w:rsidR="00000000" w:rsidRPr="00000000">
              <w:rPr>
                <w:rtl w:val="0"/>
              </w:rPr>
            </w:r>
          </w:p>
        </w:tc>
      </w:tr>
      <w:tr>
        <w:trPr>
          <w:cantSplit w:val="0"/>
          <w:tblHeader w:val="0"/>
        </w:trPr>
        <w:tc>
          <w:tcPr>
            <w:gridSpan w:val="2"/>
            <w:shd w:fill="ffffff" w:val="clear"/>
            <w:tcMar>
              <w:top w:w="0.0" w:type="dxa"/>
              <w:left w:w="108.0" w:type="dxa"/>
              <w:bottom w:w="0.0" w:type="dxa"/>
              <w:right w:w="108.0" w:type="dxa"/>
            </w:tcMar>
          </w:tcPr>
          <w:p w:rsidR="00000000" w:rsidDel="00000000" w:rsidP="00000000" w:rsidRDefault="00000000" w:rsidRPr="00000000" w14:paraId="0000000F">
            <w:pPr>
              <w:jc w:val="both"/>
              <w:rPr>
                <w:sz w:val="22"/>
                <w:szCs w:val="22"/>
              </w:rPr>
            </w:pPr>
            <w:r w:rsidDel="00000000" w:rsidR="00000000" w:rsidRPr="00000000">
              <w:rPr>
                <w:b w:val="1"/>
                <w:bCs w:val="1"/>
                <w:sz w:val="22"/>
                <w:szCs w:val="22"/>
                <w:rtl w:val="0"/>
              </w:rPr>
              <w:t xml:space="preserve">DRAFT RESEARCH TITLE QUESTION:</w:t>
            </w:r>
            <w:r w:rsidDel="00000000" w:rsidR="00000000" w:rsidRPr="00000000">
              <w:rPr>
                <w:rtl w:val="0"/>
              </w:rPr>
            </w:r>
          </w:p>
          <w:p w:rsidR="00000000" w:rsidDel="00000000" w:rsidP="00000000" w:rsidRDefault="00000000" w:rsidRPr="00000000" w14:paraId="00000010">
            <w:pPr>
              <w:jc w:val="both"/>
              <w:rPr>
                <w:sz w:val="22"/>
                <w:szCs w:val="22"/>
                <w:highlight w:val="yellow"/>
              </w:rPr>
            </w:pPr>
            <w:r w:rsidDel="00000000" w:rsidR="00000000" w:rsidRPr="00000000">
              <w:rPr>
                <w:sz w:val="22"/>
                <w:szCs w:val="22"/>
                <w:rtl w:val="0"/>
              </w:rPr>
              <w:t xml:space="preserve">Why this topic?  Why is it worthy of consideration for an undergraduate dissertation? </w:t>
            </w:r>
            <w:r w:rsidDel="00000000" w:rsidR="00000000" w:rsidRPr="00000000">
              <w:rPr>
                <w:rtl w:val="0"/>
              </w:rPr>
            </w:r>
          </w:p>
          <w:p w:rsidR="00000000" w:rsidDel="00000000" w:rsidP="00000000" w:rsidRDefault="00000000" w:rsidRPr="00000000" w14:paraId="00000011">
            <w:pPr>
              <w:tabs>
                <w:tab w:val="left" w:leader="none" w:pos="1860"/>
              </w:tabs>
              <w:jc w:val="both"/>
              <w:rPr>
                <w:sz w:val="22"/>
                <w:szCs w:val="22"/>
              </w:rPr>
            </w:pPr>
            <w:r w:rsidDel="00000000" w:rsidR="00000000" w:rsidRPr="00000000">
              <w:rPr>
                <w:sz w:val="22"/>
                <w:szCs w:val="22"/>
                <w:rtl w:val="0"/>
              </w:rPr>
              <w:t xml:space="preserve">The topic is worthy of consideration because it addresses a central challenge within criminology; why do some individuals successfully reintegrate after punishment, while others reoffend? Examining how these differing social and criminological frameworks shape reintegration outcomes, allows for a wider understanding of how policy, culture, and social support systems influence reoffending rates, rather than addressing this as an individual's failing. Importantly, this topic is also worthy of consideration as it integrates social explanations - such as; housing, stigma, community support - with criminological theories. This will help to further analyse the core reason as to why offenders reoffend; If it is sociological, political or criminological. As well as, perhaps a combination of these which impact each other. Furthermore, the topic has strong relevance to policy and practise; reoffending imposes significant social and economic costs. A critical analysis of the Welsh criminal justice system can generate insights into transferable practices and highlights improving reintegration outcomes to, consequently, lower offending. In particular, examining structural issues such as employment and housing can help discover the barriers present that limit an offender to reintegrate back into a community after incarceration. This research is worthy of consideration as reoffending impacts, not only the individual, but the families, communities and installs pressure on the criminal justice system and the economic burden it carries. By applying criminological theory into this, it allows for a deeper understanding of reoffending and identify gaps in the current rehabilitation system and highlights areas which need further development to assist in lowering reoffending.</w:t>
            </w:r>
          </w:p>
          <w:p w:rsidR="00000000" w:rsidDel="00000000" w:rsidP="00000000" w:rsidRDefault="00000000" w:rsidRPr="00000000" w14:paraId="00000012">
            <w:pPr>
              <w:tabs>
                <w:tab w:val="left" w:leader="none" w:pos="1860"/>
              </w:tabs>
              <w:jc w:val="both"/>
              <w:rPr>
                <w:sz w:val="22"/>
                <w:szCs w:val="22"/>
                <w:highlight w:val="yellow"/>
              </w:rPr>
            </w:pPr>
            <w:r w:rsidDel="00000000" w:rsidR="00000000" w:rsidRPr="00000000">
              <w:rPr>
                <w:rtl w:val="0"/>
              </w:rPr>
            </w:r>
          </w:p>
          <w:p w:rsidR="00000000" w:rsidDel="00000000" w:rsidP="00000000" w:rsidRDefault="00000000" w:rsidRPr="00000000" w14:paraId="00000013">
            <w:pPr>
              <w:tabs>
                <w:tab w:val="left" w:leader="none" w:pos="1860"/>
              </w:tabs>
              <w:jc w:val="both"/>
              <w:rPr>
                <w:sz w:val="22"/>
                <w:szCs w:val="22"/>
                <w:highlight w:val="yellow"/>
              </w:rPr>
            </w:pPr>
            <w:r w:rsidDel="00000000" w:rsidR="00000000" w:rsidRPr="00000000">
              <w:rPr>
                <w:rtl w:val="0"/>
              </w:rPr>
            </w:r>
          </w:p>
          <w:p w:rsidR="00000000" w:rsidDel="00000000" w:rsidP="00000000" w:rsidRDefault="00000000" w:rsidRPr="00000000" w14:paraId="00000014">
            <w:pPr>
              <w:tabs>
                <w:tab w:val="left" w:leader="none" w:pos="1860"/>
              </w:tabs>
              <w:jc w:val="both"/>
              <w:rPr>
                <w:sz w:val="22"/>
                <w:szCs w:val="22"/>
              </w:rPr>
            </w:pPr>
            <w:r w:rsidDel="00000000" w:rsidR="00000000" w:rsidRPr="00000000">
              <w:rPr>
                <w:rtl w:val="0"/>
              </w:rPr>
            </w:r>
          </w:p>
        </w:tc>
      </w:tr>
      <w:tr>
        <w:trPr>
          <w:cantSplit w:val="0"/>
          <w:tblHeader w:val="0"/>
        </w:trPr>
        <w:tc>
          <w:tcPr>
            <w:gridSpan w:val="2"/>
            <w:tcMar>
              <w:top w:w="0.0" w:type="dxa"/>
              <w:left w:w="108.0" w:type="dxa"/>
              <w:bottom w:w="0.0" w:type="dxa"/>
              <w:right w:w="108.0" w:type="dxa"/>
            </w:tcMar>
          </w:tcPr>
          <w:p w:rsidR="00000000" w:rsidDel="00000000" w:rsidP="00000000" w:rsidRDefault="00000000" w:rsidRPr="00000000" w14:paraId="00000016">
            <w:pPr>
              <w:jc w:val="both"/>
              <w:rPr>
                <w:b w:val="1"/>
                <w:bCs w:val="1"/>
                <w:sz w:val="22"/>
                <w:szCs w:val="22"/>
              </w:rPr>
            </w:pPr>
            <w:r w:rsidDel="00000000" w:rsidR="00000000" w:rsidRPr="00000000">
              <w:rPr>
                <w:b w:val="1"/>
                <w:bCs w:val="1"/>
                <w:sz w:val="22"/>
                <w:szCs w:val="22"/>
                <w:rtl w:val="0"/>
              </w:rPr>
              <w:t xml:space="preserve">SUMMARY OF RESEARCH AIM &amp; OBJECTIVES: </w:t>
            </w:r>
          </w:p>
          <w:p w:rsidR="00000000" w:rsidDel="00000000" w:rsidP="00000000" w:rsidRDefault="00000000" w:rsidRPr="00000000" w14:paraId="00000017">
            <w:pPr>
              <w:rPr>
                <w:sz w:val="22"/>
                <w:szCs w:val="22"/>
              </w:rPr>
            </w:pPr>
            <w:r w:rsidDel="00000000" w:rsidR="00000000" w:rsidRPr="00000000">
              <w:rPr>
                <w:sz w:val="22"/>
                <w:szCs w:val="22"/>
                <w:rtl w:val="0"/>
              </w:rPr>
              <w:t xml:space="preserve">The assessment specification has broken down the structure of the dissertation or placement-based project. Here, you are required to clarify the information you want to collect on your research topic in the form of two, three or four key objectives: </w:t>
            </w:r>
          </w:p>
          <w:p w:rsidR="00000000" w:rsidDel="00000000" w:rsidP="00000000" w:rsidRDefault="00000000" w:rsidRPr="00000000" w14:paraId="00000018">
            <w:pPr>
              <w:rPr>
                <w:sz w:val="22"/>
                <w:szCs w:val="22"/>
              </w:rPr>
            </w:pPr>
            <w:r w:rsidDel="00000000" w:rsidR="00000000" w:rsidRPr="00000000">
              <w:rPr>
                <w:sz w:val="22"/>
                <w:szCs w:val="22"/>
                <w:rtl w:val="0"/>
              </w:rPr>
              <w:t xml:space="preserve">Aim;</w:t>
            </w:r>
          </w:p>
          <w:p w:rsidR="00000000" w:rsidDel="00000000" w:rsidP="00000000" w:rsidRDefault="00000000" w:rsidRPr="00000000" w14:paraId="00000019">
            <w:pPr>
              <w:spacing w:after="160" w:line="259" w:lineRule="auto"/>
              <w:rPr>
                <w:sz w:val="22"/>
                <w:szCs w:val="22"/>
              </w:rPr>
            </w:pPr>
            <w:r w:rsidDel="00000000" w:rsidR="00000000" w:rsidRPr="00000000">
              <w:rPr>
                <w:sz w:val="22"/>
                <w:szCs w:val="22"/>
                <w:rtl w:val="0"/>
              </w:rPr>
              <w:t xml:space="preserve">To integrate criminological theory with empirical evidence in order to assess why reoffending remains high in Wales.</w:t>
            </w:r>
          </w:p>
          <w:p w:rsidR="00000000" w:rsidDel="00000000" w:rsidP="00000000" w:rsidRDefault="00000000" w:rsidRPr="00000000" w14:paraId="0000001A">
            <w:pPr>
              <w:spacing w:after="160" w:line="259" w:lineRule="auto"/>
              <w:rPr>
                <w:i w:val="1"/>
                <w:iCs w:val="1"/>
                <w:sz w:val="22"/>
                <w:szCs w:val="22"/>
              </w:rPr>
            </w:pPr>
            <w:r w:rsidDel="00000000" w:rsidR="00000000" w:rsidRPr="00000000">
              <w:rPr>
                <w:i w:val="1"/>
                <w:iCs w:val="1"/>
                <w:sz w:val="22"/>
                <w:szCs w:val="22"/>
                <w:rtl w:val="0"/>
              </w:rPr>
              <w:t xml:space="preserve">Objectives; </w:t>
            </w:r>
          </w:p>
          <w:p w:rsidR="00000000" w:rsidDel="00000000" w:rsidP="00000000" w:rsidRDefault="00000000" w:rsidRPr="00000000" w14:paraId="0000001B">
            <w:pPr>
              <w:spacing w:after="160" w:line="259" w:lineRule="auto"/>
              <w:ind w:left="720" w:firstLine="0"/>
              <w:rPr>
                <w:sz w:val="22"/>
                <w:szCs w:val="22"/>
              </w:rPr>
            </w:pPr>
            <w:r w:rsidDel="00000000" w:rsidR="00000000" w:rsidRPr="00000000">
              <w:rPr>
                <w:sz w:val="22"/>
                <w:szCs w:val="22"/>
                <w:rtl w:val="0"/>
              </w:rPr>
              <w:t xml:space="preserve">To apply criminological theories to explain reoffending in the UK.</w:t>
            </w:r>
          </w:p>
          <w:p w:rsidR="00000000" w:rsidDel="00000000" w:rsidP="00000000" w:rsidRDefault="00000000" w:rsidRPr="00000000" w14:paraId="0000001C">
            <w:pPr>
              <w:spacing w:after="160" w:line="259" w:lineRule="auto"/>
              <w:ind w:left="720" w:firstLine="0"/>
              <w:rPr>
                <w:sz w:val="22"/>
                <w:szCs w:val="22"/>
              </w:rPr>
            </w:pPr>
            <w:r w:rsidDel="00000000" w:rsidR="00000000" w:rsidRPr="00000000">
              <w:rPr>
                <w:sz w:val="22"/>
                <w:szCs w:val="22"/>
                <w:rtl w:val="0"/>
              </w:rPr>
              <w:t xml:space="preserve">To critically assess the role of the criminal justice system in reinforcing or reducing criminal behaviour.</w:t>
            </w:r>
          </w:p>
          <w:p w:rsidR="00000000" w:rsidDel="00000000" w:rsidP="00000000" w:rsidRDefault="00000000" w:rsidRPr="00000000" w14:paraId="0000001D">
            <w:pPr>
              <w:spacing w:after="160" w:line="259" w:lineRule="auto"/>
              <w:ind w:left="720" w:firstLine="0"/>
              <w:rPr>
                <w:sz w:val="22"/>
                <w:szCs w:val="22"/>
              </w:rPr>
            </w:pPr>
            <w:r w:rsidDel="00000000" w:rsidR="00000000" w:rsidRPr="00000000">
              <w:rPr>
                <w:sz w:val="22"/>
                <w:szCs w:val="22"/>
                <w:rtl w:val="0"/>
              </w:rPr>
              <w:t xml:space="preserve">To examine public attitudes towards the rehabilitation of those previously incarcerated in Wales.</w:t>
            </w:r>
          </w:p>
          <w:p w:rsidR="00000000" w:rsidDel="00000000" w:rsidP="00000000" w:rsidRDefault="00000000" w:rsidRPr="00000000" w14:paraId="0000001E">
            <w:pPr>
              <w:jc w:val="both"/>
              <w:rPr>
                <w:sz w:val="22"/>
                <w:szCs w:val="22"/>
              </w:rPr>
            </w:pPr>
            <w:r w:rsidDel="00000000" w:rsidR="00000000" w:rsidRPr="00000000">
              <w:rPr>
                <w:rtl w:val="0"/>
              </w:rPr>
            </w:r>
          </w:p>
          <w:p w:rsidR="00000000" w:rsidDel="00000000" w:rsidP="00000000" w:rsidRDefault="00000000" w:rsidRPr="00000000" w14:paraId="0000001F">
            <w:pPr>
              <w:jc w:val="both"/>
              <w:rPr>
                <w:sz w:val="22"/>
                <w:szCs w:val="22"/>
              </w:rPr>
            </w:pPr>
            <w:r w:rsidDel="00000000" w:rsidR="00000000" w:rsidRPr="00000000">
              <w:rPr>
                <w:rtl w:val="0"/>
              </w:rPr>
            </w:r>
          </w:p>
        </w:tc>
      </w:tr>
      <w:tr>
        <w:trPr>
          <w:cantSplit w:val="0"/>
          <w:tblHeader w:val="0"/>
        </w:trPr>
        <w:tc>
          <w:tcPr>
            <w:gridSpan w:val="2"/>
            <w:tcMar>
              <w:top w:w="0.0" w:type="dxa"/>
              <w:left w:w="108.0" w:type="dxa"/>
              <w:bottom w:w="0.0" w:type="dxa"/>
              <w:right w:w="108.0" w:type="dxa"/>
            </w:tcMar>
          </w:tcPr>
          <w:p w:rsidR="00000000" w:rsidDel="00000000" w:rsidP="00000000" w:rsidRDefault="00000000" w:rsidRPr="00000000" w14:paraId="00000021">
            <w:pPr>
              <w:rPr>
                <w:b w:val="1"/>
                <w:bCs w:val="1"/>
                <w:sz w:val="22"/>
                <w:szCs w:val="22"/>
              </w:rPr>
            </w:pPr>
            <w:r w:rsidDel="00000000" w:rsidR="00000000" w:rsidRPr="00000000">
              <w:rPr>
                <w:b w:val="1"/>
                <w:bCs w:val="1"/>
                <w:sz w:val="22"/>
                <w:szCs w:val="22"/>
                <w:rtl w:val="0"/>
              </w:rPr>
              <w:t xml:space="preserve">THEORETICAL CONTEXT:</w:t>
            </w:r>
          </w:p>
          <w:p w:rsidR="00000000" w:rsidDel="00000000" w:rsidP="00000000" w:rsidRDefault="00000000" w:rsidRPr="00000000" w14:paraId="00000022">
            <w:pPr>
              <w:rPr>
                <w:sz w:val="22"/>
                <w:szCs w:val="22"/>
              </w:rPr>
            </w:pPr>
            <w:r w:rsidDel="00000000" w:rsidR="00000000" w:rsidRPr="00000000">
              <w:rPr>
                <w:sz w:val="22"/>
                <w:szCs w:val="22"/>
                <w:rtl w:val="0"/>
              </w:rPr>
              <w:t xml:space="preserve">Please clarify some of the key literature to be utilised as part of your research. Consider textbooks, journals, articles, government reports, organisational strategic plans, and list a short bibliography of these key sources. This need not be extensive but will give your supervisor a good point to start from.</w:t>
            </w:r>
          </w:p>
          <w:p w:rsidR="00000000" w:rsidDel="00000000" w:rsidP="00000000" w:rsidRDefault="00000000" w:rsidRPr="00000000" w14:paraId="00000023">
            <w:pPr>
              <w:spacing w:after="160" w:line="259" w:lineRule="auto"/>
              <w:rPr>
                <w:sz w:val="22"/>
                <w:szCs w:val="22"/>
              </w:rPr>
            </w:pPr>
            <w:r w:rsidDel="00000000" w:rsidR="00000000" w:rsidRPr="00000000">
              <w:rPr>
                <w:sz w:val="22"/>
                <w:szCs w:val="22"/>
                <w:rtl w:val="0"/>
              </w:rPr>
              <w:t xml:space="preserve">One objective of my research is to critically assess the role of the criminal justice system in reinforcing or reducing criminal behaviour. There is several key literature and methods to discuss if the justice system provides an aid to reoffending and rehabilitation or hinders it. On the one hand, Robison and Crow, (2009, p.40-41), express that although prisons do offer rehabilitative programs, such as education, the success of these programs are often restricted. The prison system's capacity to concentrate on rehabilitation is compromised by problems like overcrowding, a lack of resources, and limited access to programs. This was published in 2009 and states overcrowding is a severe problem limiting rehabilitation, since then, this issue has only grown. Data from 2024–25 indicates that overcrowding remains a significant issue within prisons in England and Wales, with around 72% operating beyond their intended capacity. Additionally, nearly half, 49%, of prisons in England and Wales were assessed as having performance levels that were either concerning or seriously inadequate by HM Prisons and Probation Service. Inspections also revealed that approximately 74% of prisons failed to provide sufficient purposeful activities, highlighting major issues in rehabilitation focused provision, (Prison Reform Trust, 2026). These government statistics, together with Robison and Crow, these findings strengthen the argument that the criminal justice system often struggles to reduce criminal behaviour due to structural limitations within prisons. This suggests that instead of consistently reducing criminal behaviour, the prison system may unintentionally reinforce it; when individuals are held in overcrowded environments with limited access to constructive activities. This creates an increase in reoffending and unintentionally reinforcing criminal behaviour by the criminal justice system. However, Maruna (2001, p.812), expresses that deterring a person from reoffending does not come from external factors, such as housing and employment. He emphasises that rehabilitation can be effective if it first comes from a change of a person reinventing themselves and creating a new narrative within themselves and this needs to be supported by opportunities. The key differences within these perspectives is that Robison and Crow focus on structural barriers, arguing that rehabilitation is limited by overcrowding, lack of resources, and poor prison conditions. In contrast, Maruna’s perspective emphasises that individual change, supported by meaningful opportunities, will result in lowering reoffending. However, these views can also be linked. </w:t>
            </w:r>
            <w:r w:rsidDel="00000000" w:rsidR="00000000" w:rsidRPr="00000000">
              <w:rPr>
                <w:sz w:val="22"/>
                <w:szCs w:val="22"/>
                <w:rtl w:val="0"/>
              </w:rPr>
              <w:t xml:space="preserve">Maruna</w:t>
            </w:r>
            <w:r w:rsidDel="00000000" w:rsidR="00000000" w:rsidRPr="00000000">
              <w:rPr>
                <w:sz w:val="22"/>
                <w:szCs w:val="22"/>
                <w:rtl w:val="0"/>
              </w:rPr>
              <w:t xml:space="preserve"> emphasises the significance of personal transformation, but as Robison and Crow point out, this is challenging to do in reality if prisons are overcrowded and underfunded. As a result, both personal motivation and appropriate jail conditions are necessary for rehabilitation. This implies that the criminal justice system can lessen crime, but only in situations where rehabilitation is actually possible. </w:t>
            </w:r>
          </w:p>
          <w:p w:rsidR="00000000" w:rsidDel="00000000" w:rsidP="00000000" w:rsidRDefault="00000000" w:rsidRPr="00000000" w14:paraId="00000024">
            <w:pPr>
              <w:spacing w:after="160" w:line="259" w:lineRule="auto"/>
              <w:rPr>
                <w:sz w:val="22"/>
                <w:szCs w:val="22"/>
              </w:rPr>
            </w:pPr>
            <w:r w:rsidDel="00000000" w:rsidR="00000000" w:rsidRPr="00000000">
              <w:rPr>
                <w:sz w:val="22"/>
                <w:szCs w:val="22"/>
                <w:rtl w:val="0"/>
              </w:rPr>
              <w:t xml:space="preserve">Another objective for my research is to assess if criminological theories can be applied to explain reoffending in Wales. As previously mentioned, Maruna (2001, p.812),  argues that stopping reoffending depends on an individual creating a non-criminal, identity change of themselves. This is also known as desistance theory. According to Paternoster and Bushway, (2009), desistance theory begins when an individual first changes their thinking and their own perception of themself. They state that an internal change must begin first before outside influences then start to matter, such as; relationships, education and employment. Similar to this, Labelling theory suggests that crime and deviance are a result from society labelling them this way. As a consequence, they believe these labels and act in accordance with them and commit crimes, (Krohn, Lizotte and Hall, 2009, p187). The relation between these two theories is that they both emphasise the impact of self identity on crime, rather than external factors. However, labelling theory suggests that a person's self identity relies on how society responds and labels them which they then act upon. Whereas, desistance theory argues that people discontinue committing crimes once they firstly create a positive identity of themselves. This theory places emphasis on internal change and labelling theory focuses on how society labels people and this affects their behaviour. In relation to reoffending in the UK, labelling theory suggests people may keep offending because they are stigmatised and excluded after being labelled as criminals. Desistance theory suggests reoffending can be reduced if people are supported to change their identity first and then need support to move towards education, work, and positive relationships. Overall, both theories show that self identity is important in relation to crime, but they explain it in different ways. According to Reich, (2023. p.1), employers often possess a concern of employing ex-offenders due to the safety of their business, this can create barriers to successful reintegration. Reich, (2023, p.1), also implies that, based on criminological findings,  criminals are able to alleviate employers' concerns by displaying they have moved away from crime. This links to both theories as it displays employment can be critical to move away from a person’s previous criminal identity and assist in challenging stigma. This demonstrates how criminological theory can be applied to barriers restricting reintegration and reducing reoffending in Wales.</w:t>
            </w:r>
          </w:p>
          <w:p w:rsidR="00000000" w:rsidDel="00000000" w:rsidP="00000000" w:rsidRDefault="00000000" w:rsidRPr="00000000" w14:paraId="00000025">
            <w:pPr>
              <w:spacing w:after="160" w:line="259" w:lineRule="auto"/>
              <w:rPr>
                <w:sz w:val="22"/>
                <w:szCs w:val="22"/>
              </w:rPr>
            </w:pPr>
            <w:r w:rsidDel="00000000" w:rsidR="00000000" w:rsidRPr="00000000">
              <w:rPr>
                <w:sz w:val="22"/>
                <w:szCs w:val="22"/>
                <w:rtl w:val="0"/>
              </w:rPr>
              <w:t xml:space="preserve">My final objective is to examine public attitudes towards reoffending and rehabilitation in Wales. Roberts and Hough, (2002), argues that the public often misunderstands crime and punishment. Claiming many believe courts are too lenient, when actually sentencing has become more severe. Overall, highlighting a gap between public perception and the reality of criminal justice. Since this was published in 2002, it is important to consider recent statistics to provide reliability to this statement. In a 2024 study, 63% of respondents answered having limited knowledge surrounding prisons and prison systems. In addition, over 53% responded that prisons were not effective, from their knowledge, (Magistrates’ Association, 2024). This suggests that public opinion is still based on limited knowledge of prisons and their effectiveness, which may contribute to negative opinions following offenders. Overall, this highlights a persistent gap between public understanding and the realities of the criminal justice system, which can affect how rehabilitation and reoffending are viewed in the Wales. Additionally, this is particularly significant as it links to labelling theory which was mentioned in my previous objective, suggesting that negative and uninformed public perceptions may reinforce stigma towards offenders, potentially making reintegration more difficult and increasing the likelihood of reoffending. Although this links to the UK, it is also relevant to Wales as it displays that a wider negative stigma can influence how an individual can be accepted.</w:t>
            </w:r>
          </w:p>
          <w:p w:rsidR="00000000" w:rsidDel="00000000" w:rsidP="00000000" w:rsidRDefault="00000000" w:rsidRPr="00000000" w14:paraId="00000026">
            <w:pPr>
              <w:rPr>
                <w:sz w:val="22"/>
                <w:szCs w:val="22"/>
              </w:rPr>
            </w:pPr>
            <w:r w:rsidDel="00000000" w:rsidR="00000000" w:rsidRPr="00000000">
              <w:rPr>
                <w:rtl w:val="0"/>
              </w:rPr>
            </w:r>
          </w:p>
          <w:p w:rsidR="00000000" w:rsidDel="00000000" w:rsidP="00000000" w:rsidRDefault="00000000" w:rsidRPr="00000000" w14:paraId="00000027">
            <w:pPr>
              <w:jc w:val="both"/>
              <w:rPr>
                <w:b w:val="1"/>
                <w:bCs w:val="1"/>
                <w:sz w:val="22"/>
                <w:szCs w:val="22"/>
              </w:rPr>
            </w:pPr>
            <w:r w:rsidDel="00000000" w:rsidR="00000000" w:rsidRPr="00000000">
              <w:rPr>
                <w:rtl w:val="0"/>
              </w:rPr>
            </w:r>
          </w:p>
          <w:p w:rsidR="00000000" w:rsidDel="00000000" w:rsidP="00000000" w:rsidRDefault="00000000" w:rsidRPr="00000000" w14:paraId="00000028">
            <w:pPr>
              <w:jc w:val="both"/>
              <w:rPr>
                <w:sz w:val="22"/>
                <w:szCs w:val="22"/>
              </w:rPr>
            </w:pPr>
            <w:r w:rsidDel="00000000" w:rsidR="00000000" w:rsidRPr="00000000">
              <w:rPr>
                <w:rtl w:val="0"/>
              </w:rPr>
            </w:r>
          </w:p>
        </w:tc>
      </w:tr>
      <w:tr>
        <w:trPr>
          <w:cantSplit w:val="0"/>
          <w:tblHeader w:val="0"/>
        </w:trPr>
        <w:tc>
          <w:tcPr>
            <w:gridSpan w:val="2"/>
            <w:tcMar>
              <w:top w:w="0.0" w:type="dxa"/>
              <w:left w:w="108.0" w:type="dxa"/>
              <w:bottom w:w="0.0" w:type="dxa"/>
              <w:right w:w="108.0" w:type="dxa"/>
            </w:tcMar>
          </w:tcPr>
          <w:p w:rsidR="00000000" w:rsidDel="00000000" w:rsidP="00000000" w:rsidRDefault="00000000" w:rsidRPr="00000000" w14:paraId="0000002A">
            <w:pPr>
              <w:rPr>
                <w:b w:val="1"/>
                <w:bCs w:val="1"/>
                <w:sz w:val="22"/>
                <w:szCs w:val="22"/>
              </w:rPr>
            </w:pPr>
            <w:r w:rsidDel="00000000" w:rsidR="00000000" w:rsidRPr="00000000">
              <w:rPr>
                <w:b w:val="1"/>
                <w:bCs w:val="1"/>
                <w:sz w:val="22"/>
                <w:szCs w:val="22"/>
                <w:rtl w:val="0"/>
              </w:rPr>
              <w:t xml:space="preserve">SUMMARY OF RESEARCH –SURVEY METHOD: </w:t>
            </w:r>
          </w:p>
          <w:p w:rsidR="00000000" w:rsidDel="00000000" w:rsidP="00000000" w:rsidRDefault="00000000" w:rsidRPr="00000000" w14:paraId="0000002B">
            <w:pPr>
              <w:rPr>
                <w:sz w:val="22"/>
                <w:szCs w:val="22"/>
              </w:rPr>
            </w:pPr>
            <w:r w:rsidDel="00000000" w:rsidR="00000000" w:rsidRPr="00000000">
              <w:rPr>
                <w:sz w:val="22"/>
                <w:szCs w:val="22"/>
                <w:rtl w:val="0"/>
              </w:rPr>
              <w:t xml:space="preserve">Summary of qualitative or quantitative methods, and survey techniques being considered.</w:t>
            </w:r>
          </w:p>
          <w:p w:rsidR="00000000" w:rsidDel="00000000" w:rsidP="00000000" w:rsidRDefault="00000000" w:rsidRPr="00000000" w14:paraId="0000002C">
            <w:pPr>
              <w:rPr>
                <w:sz w:val="22"/>
                <w:szCs w:val="22"/>
              </w:rPr>
            </w:pPr>
            <w:r w:rsidDel="00000000" w:rsidR="00000000" w:rsidRPr="00000000">
              <w:rPr>
                <w:sz w:val="22"/>
                <w:szCs w:val="22"/>
                <w:rtl w:val="0"/>
              </w:rPr>
              <w:t xml:space="preserve">This study will use a mixed-methods approach of qualitative and quantitative methods. A survey method will be used to examine public perceptions of reoffending and rehabilitation in the UK. Data will be collected through an online questionnaire distributed via platforms such as Microsoft Forms, allowing for anonymous, accessible, and efficient participation. The survey will consist of open-ended questions to gather public opinions and also closed-ended questions, such as multiple choice. These techniques will generate numerical data that can be analysed statistically to identify patterns, trends, and overall public opinion.</w:t>
            </w:r>
          </w:p>
          <w:p w:rsidR="00000000" w:rsidDel="00000000" w:rsidP="00000000" w:rsidRDefault="00000000" w:rsidRPr="00000000" w14:paraId="0000002D">
            <w:pPr>
              <w:rPr>
                <w:sz w:val="22"/>
                <w:szCs w:val="22"/>
              </w:rPr>
            </w:pPr>
            <w:r w:rsidDel="00000000" w:rsidR="00000000" w:rsidRPr="00000000">
              <w:rPr>
                <w:rtl w:val="0"/>
              </w:rPr>
            </w:r>
          </w:p>
          <w:p w:rsidR="00000000" w:rsidDel="00000000" w:rsidP="00000000" w:rsidRDefault="00000000" w:rsidRPr="00000000" w14:paraId="0000002E">
            <w:pPr>
              <w:jc w:val="both"/>
              <w:rPr>
                <w:sz w:val="22"/>
                <w:szCs w:val="22"/>
              </w:rPr>
            </w:pPr>
            <w:r w:rsidDel="00000000" w:rsidR="00000000" w:rsidRPr="00000000">
              <w:rPr>
                <w:rtl w:val="0"/>
              </w:rPr>
            </w:r>
          </w:p>
        </w:tc>
      </w:tr>
      <w:tr>
        <w:trPr>
          <w:cantSplit w:val="0"/>
          <w:tblHeader w:val="0"/>
        </w:trPr>
        <w:tc>
          <w:tcPr>
            <w:gridSpan w:val="2"/>
            <w:tcMar>
              <w:top w:w="0.0" w:type="dxa"/>
              <w:left w:w="108.0" w:type="dxa"/>
              <w:bottom w:w="0.0" w:type="dxa"/>
              <w:right w:w="108.0" w:type="dxa"/>
            </w:tcMar>
          </w:tcPr>
          <w:p w:rsidR="00000000" w:rsidDel="00000000" w:rsidP="00000000" w:rsidRDefault="00000000" w:rsidRPr="00000000" w14:paraId="00000030">
            <w:pPr>
              <w:rPr>
                <w:sz w:val="22"/>
                <w:szCs w:val="22"/>
              </w:rPr>
            </w:pPr>
            <w:r w:rsidDel="00000000" w:rsidR="00000000" w:rsidRPr="00000000">
              <w:rPr>
                <w:b w:val="1"/>
                <w:bCs w:val="1"/>
                <w:sz w:val="22"/>
                <w:szCs w:val="22"/>
                <w:rtl w:val="0"/>
              </w:rPr>
              <w:t xml:space="preserve">SUMMARY OF SAMPLING FRAMEWORK:</w:t>
            </w:r>
            <w:r w:rsidDel="00000000" w:rsidR="00000000" w:rsidRPr="00000000">
              <w:rPr>
                <w:sz w:val="22"/>
                <w:szCs w:val="22"/>
                <w:rtl w:val="0"/>
              </w:rPr>
              <w:t xml:space="preserve"> </w:t>
            </w:r>
          </w:p>
          <w:p w:rsidR="00000000" w:rsidDel="00000000" w:rsidP="00000000" w:rsidRDefault="00000000" w:rsidRPr="00000000" w14:paraId="00000031">
            <w:pPr>
              <w:rPr>
                <w:sz w:val="22"/>
                <w:szCs w:val="22"/>
              </w:rPr>
            </w:pPr>
            <w:r w:rsidDel="00000000" w:rsidR="00000000" w:rsidRPr="00000000">
              <w:rPr>
                <w:sz w:val="22"/>
                <w:szCs w:val="22"/>
                <w:rtl w:val="0"/>
              </w:rPr>
              <w:t xml:space="preserve">Provide details of target sample. For example, who are you intending to ask to participate in your research, will you be seeking perspectives from experts who work in a given field, or will you be using a general questionnaire to gauge perspectives from members of the public? </w:t>
            </w:r>
          </w:p>
          <w:p w:rsidR="00000000" w:rsidDel="00000000" w:rsidP="00000000" w:rsidRDefault="00000000" w:rsidRPr="00000000" w14:paraId="00000032">
            <w:pPr>
              <w:jc w:val="both"/>
              <w:rPr>
                <w:sz w:val="22"/>
                <w:szCs w:val="22"/>
              </w:rPr>
            </w:pPr>
            <w:r w:rsidDel="00000000" w:rsidR="00000000" w:rsidRPr="00000000">
              <w:rPr>
                <w:rtl w:val="0"/>
              </w:rPr>
            </w:r>
          </w:p>
          <w:p w:rsidR="00000000" w:rsidDel="00000000" w:rsidP="00000000" w:rsidRDefault="00000000" w:rsidRPr="00000000" w14:paraId="00000033">
            <w:pPr>
              <w:spacing w:after="160" w:line="259" w:lineRule="auto"/>
              <w:jc w:val="both"/>
              <w:rPr>
                <w:sz w:val="22"/>
                <w:szCs w:val="22"/>
              </w:rPr>
            </w:pPr>
            <w:r w:rsidDel="00000000" w:rsidR="00000000" w:rsidRPr="00000000">
              <w:rPr>
                <w:sz w:val="22"/>
                <w:szCs w:val="22"/>
                <w:rtl w:val="0"/>
              </w:rPr>
              <w:t xml:space="preserve">This target sample for this research will consist of members of the UK, through an online survey. The sample will aim to include individuals aged 18 and over, with no requirement for prior knowledge of the criminal justice system. The survey will include adults only as they are able to provide informed consent and will be completely voluntary. The questions would be constructed in a way which is easy to understand from a person who has no prior knowledge of the justice system. This is important, as the research focuses on public perceptions rather than expert opinion. The questionnaire will be open to a broad demographic in order to capture a variety of perspectives on key issues such as the causes of reoffending, the effectiveness of rehabilitation programmes, and opinions on prison conditions. </w:t>
            </w:r>
          </w:p>
          <w:p w:rsidR="00000000" w:rsidDel="00000000" w:rsidP="00000000" w:rsidRDefault="00000000" w:rsidRPr="00000000" w14:paraId="00000034">
            <w:pPr>
              <w:jc w:val="both"/>
              <w:rPr>
                <w:sz w:val="22"/>
                <w:szCs w:val="22"/>
              </w:rPr>
            </w:pPr>
            <w:r w:rsidDel="00000000" w:rsidR="00000000" w:rsidRPr="00000000">
              <w:rPr>
                <w:rtl w:val="0"/>
              </w:rPr>
            </w:r>
          </w:p>
        </w:tc>
      </w:tr>
      <w:tr>
        <w:trPr>
          <w:cantSplit w:val="0"/>
          <w:tblHeader w:val="0"/>
        </w:trPr>
        <w:tc>
          <w:tcPr>
            <w:gridSpan w:val="2"/>
            <w:tcMar>
              <w:top w:w="0.0" w:type="dxa"/>
              <w:left w:w="108.0" w:type="dxa"/>
              <w:bottom w:w="0.0" w:type="dxa"/>
              <w:right w:w="108.0" w:type="dxa"/>
            </w:tcMar>
          </w:tcPr>
          <w:p w:rsidR="00000000" w:rsidDel="00000000" w:rsidP="00000000" w:rsidRDefault="00000000" w:rsidRPr="00000000" w14:paraId="00000036">
            <w:pPr>
              <w:jc w:val="both"/>
              <w:rPr>
                <w:b w:val="1"/>
                <w:bCs w:val="1"/>
                <w:sz w:val="22"/>
                <w:szCs w:val="22"/>
              </w:rPr>
            </w:pPr>
            <w:r w:rsidDel="00000000" w:rsidR="00000000" w:rsidRPr="00000000">
              <w:rPr>
                <w:b w:val="1"/>
                <w:bCs w:val="1"/>
                <w:sz w:val="22"/>
                <w:szCs w:val="22"/>
                <w:rtl w:val="0"/>
              </w:rPr>
              <w:t xml:space="preserve">INITIAL REFERENCE LIST:</w:t>
            </w:r>
          </w:p>
          <w:p w:rsidR="00000000" w:rsidDel="00000000" w:rsidP="00000000" w:rsidRDefault="00000000" w:rsidRPr="00000000" w14:paraId="00000037">
            <w:pPr>
              <w:jc w:val="both"/>
              <w:rPr>
                <w:sz w:val="22"/>
                <w:szCs w:val="22"/>
              </w:rPr>
            </w:pPr>
            <w:r w:rsidDel="00000000" w:rsidR="00000000" w:rsidRPr="00000000">
              <w:rPr>
                <w:sz w:val="22"/>
                <w:szCs w:val="22"/>
                <w:rtl w:val="0"/>
              </w:rPr>
              <w:t xml:space="preserve">Please follow the Harvard referencing system</w:t>
            </w:r>
          </w:p>
          <w:p w:rsidR="00000000" w:rsidDel="00000000" w:rsidP="00000000" w:rsidRDefault="00000000" w:rsidRPr="00000000" w14:paraId="00000038">
            <w:pPr>
              <w:jc w:val="both"/>
              <w:rPr>
                <w:sz w:val="22"/>
                <w:szCs w:val="22"/>
              </w:rPr>
            </w:pPr>
            <w:r w:rsidDel="00000000" w:rsidR="00000000" w:rsidRPr="00000000">
              <w:rPr>
                <w:rtl w:val="0"/>
              </w:rPr>
            </w:r>
          </w:p>
          <w:p w:rsidR="00000000" w:rsidDel="00000000" w:rsidP="00000000" w:rsidRDefault="00000000" w:rsidRPr="00000000" w14:paraId="00000039">
            <w:pPr>
              <w:pBdr>
                <w:top w:color="auto" w:space="0" w:sz="0" w:val="none"/>
                <w:left w:color="auto" w:space="0" w:sz="0" w:val="none"/>
                <w:bottom w:color="auto" w:space="0" w:sz="0" w:val="none"/>
                <w:right w:color="auto" w:space="0" w:sz="0" w:val="none"/>
                <w:between w:color="auto" w:space="0" w:sz="0" w:val="none"/>
              </w:pBdr>
              <w:shd w:fill="ffffff" w:val="clear"/>
              <w:spacing w:line="259" w:lineRule="auto"/>
              <w:rPr>
                <w:sz w:val="22"/>
                <w:szCs w:val="22"/>
              </w:rPr>
            </w:pPr>
            <w:r w:rsidDel="00000000" w:rsidR="00000000" w:rsidRPr="00000000">
              <w:rPr>
                <w:sz w:val="22"/>
                <w:szCs w:val="22"/>
                <w:rtl w:val="0"/>
              </w:rPr>
              <w:t xml:space="preserve">Krohn, M.D., Lizotte, A.J. and Hall, G.P. (eds.) (2010) </w:t>
            </w:r>
            <w:r w:rsidDel="00000000" w:rsidR="00000000" w:rsidRPr="00000000">
              <w:rPr>
                <w:i w:val="1"/>
                <w:iCs w:val="1"/>
                <w:sz w:val="22"/>
                <w:szCs w:val="22"/>
                <w:rtl w:val="0"/>
              </w:rPr>
              <w:t xml:space="preserve">Handbook on Crime and Deviance</w:t>
            </w:r>
            <w:r w:rsidDel="00000000" w:rsidR="00000000" w:rsidRPr="00000000">
              <w:rPr>
                <w:sz w:val="22"/>
                <w:szCs w:val="22"/>
                <w:rtl w:val="0"/>
              </w:rPr>
              <w:t xml:space="preserve">. Springer Science &amp; Business Media, p.182-187</w:t>
            </w:r>
          </w:p>
          <w:p w:rsidR="00000000" w:rsidDel="00000000" w:rsidP="00000000" w:rsidRDefault="00000000" w:rsidRPr="00000000" w14:paraId="0000003A">
            <w:pPr>
              <w:pBdr>
                <w:top w:color="auto" w:space="0" w:sz="0" w:val="none"/>
                <w:left w:color="auto" w:space="0" w:sz="0" w:val="none"/>
                <w:bottom w:color="auto" w:space="0" w:sz="0" w:val="none"/>
                <w:right w:color="auto" w:space="0" w:sz="0" w:val="none"/>
                <w:between w:color="auto" w:space="0" w:sz="0" w:val="none"/>
              </w:pBdr>
              <w:shd w:fill="ffffff" w:val="clear"/>
              <w:spacing w:line="259" w:lineRule="auto"/>
              <w:rPr>
                <w:sz w:val="22"/>
                <w:szCs w:val="22"/>
              </w:rPr>
            </w:pPr>
            <w:r w:rsidDel="00000000" w:rsidR="00000000" w:rsidRPr="00000000">
              <w:rPr>
                <w:rtl w:val="0"/>
              </w:rPr>
            </w:r>
          </w:p>
          <w:p w:rsidR="00000000" w:rsidDel="00000000" w:rsidP="00000000" w:rsidRDefault="00000000" w:rsidRPr="00000000" w14:paraId="0000003B">
            <w:pPr>
              <w:pBdr>
                <w:top w:color="auto" w:space="0" w:sz="0" w:val="none"/>
                <w:left w:color="auto" w:space="0" w:sz="0" w:val="none"/>
                <w:bottom w:color="auto" w:space="0" w:sz="0" w:val="none"/>
                <w:right w:color="auto" w:space="0" w:sz="0" w:val="none"/>
                <w:between w:color="auto" w:space="0" w:sz="0" w:val="none"/>
              </w:pBdr>
              <w:shd w:fill="ffffff" w:val="clear"/>
              <w:spacing w:line="259" w:lineRule="auto"/>
              <w:rPr>
                <w:sz w:val="22"/>
                <w:szCs w:val="22"/>
              </w:rPr>
            </w:pPr>
            <w:r w:rsidDel="00000000" w:rsidR="00000000" w:rsidRPr="00000000">
              <w:rPr>
                <w:sz w:val="22"/>
                <w:szCs w:val="22"/>
                <w:highlight w:val="white"/>
                <w:rtl w:val="0"/>
              </w:rPr>
              <w:t xml:space="preserve">Maruna, S. (2001). </w:t>
            </w:r>
            <w:r w:rsidDel="00000000" w:rsidR="00000000" w:rsidRPr="00000000">
              <w:rPr>
                <w:i w:val="1"/>
                <w:iCs w:val="1"/>
                <w:sz w:val="22"/>
                <w:szCs w:val="22"/>
                <w:highlight w:val="white"/>
                <w:rtl w:val="0"/>
              </w:rPr>
              <w:t xml:space="preserve">Making good: How ex-convicts reform and rebuild their lives.</w:t>
            </w:r>
            <w:r w:rsidDel="00000000" w:rsidR="00000000" w:rsidRPr="00000000">
              <w:rPr>
                <w:sz w:val="22"/>
                <w:szCs w:val="22"/>
                <w:highlight w:val="white"/>
                <w:rtl w:val="0"/>
              </w:rPr>
              <w:t xml:space="preserve"> American Psychological Association. p.182</w:t>
            </w:r>
            <w:r w:rsidDel="00000000" w:rsidR="00000000" w:rsidRPr="00000000">
              <w:rPr>
                <w:rtl w:val="0"/>
              </w:rPr>
            </w:r>
          </w:p>
          <w:p w:rsidR="00000000" w:rsidDel="00000000" w:rsidP="00000000" w:rsidRDefault="00000000" w:rsidRPr="00000000" w14:paraId="0000003C">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259" w:lineRule="auto"/>
              <w:rPr>
                <w:sz w:val="22"/>
                <w:szCs w:val="22"/>
              </w:rPr>
            </w:pPr>
            <w:r w:rsidDel="00000000" w:rsidR="00000000" w:rsidRPr="00000000">
              <w:rPr>
                <w:sz w:val="22"/>
                <w:szCs w:val="22"/>
                <w:rtl w:val="0"/>
              </w:rPr>
              <w:t xml:space="preserve"> McNeill, F., Farrall, S., Lightowler, C. and Maruna, S. (2012). </w:t>
            </w:r>
            <w:r w:rsidDel="00000000" w:rsidR="00000000" w:rsidRPr="00000000">
              <w:rPr>
                <w:i w:val="1"/>
                <w:iCs w:val="1"/>
                <w:sz w:val="22"/>
                <w:szCs w:val="22"/>
                <w:rtl w:val="0"/>
              </w:rPr>
              <w:t xml:space="preserve">How and why people stop offending: Discovering desistance</w:t>
            </w:r>
            <w:r w:rsidDel="00000000" w:rsidR="00000000" w:rsidRPr="00000000">
              <w:rPr>
                <w:sz w:val="22"/>
                <w:szCs w:val="22"/>
                <w:rtl w:val="0"/>
              </w:rPr>
              <w:t xml:space="preserve">. Iriss. Available at: </w:t>
            </w:r>
            <w:hyperlink r:id="rId9">
              <w:r w:rsidDel="00000000" w:rsidR="00000000" w:rsidRPr="00000000">
                <w:rPr>
                  <w:color w:val="467886"/>
                  <w:sz w:val="22"/>
                  <w:szCs w:val="22"/>
                  <w:u w:val="single"/>
                  <w:rtl w:val="0"/>
                </w:rPr>
                <w:t xml:space="preserve">https://www.iriss.org.uk/resources/insights/how-why-people-stop-offending-discovering-desistance</w:t>
              </w:r>
            </w:hyperlink>
            <w:r w:rsidDel="00000000" w:rsidR="00000000" w:rsidRPr="00000000">
              <w:rPr>
                <w:sz w:val="22"/>
                <w:szCs w:val="22"/>
                <w:rtl w:val="0"/>
              </w:rPr>
              <w:t xml:space="preserve">. (Accessed; 19/02/26) </w:t>
            </w:r>
          </w:p>
          <w:p w:rsidR="00000000" w:rsidDel="00000000" w:rsidP="00000000" w:rsidRDefault="00000000" w:rsidRPr="00000000" w14:paraId="0000003D">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259" w:lineRule="auto"/>
              <w:rPr>
                <w:sz w:val="22"/>
                <w:szCs w:val="22"/>
              </w:rPr>
            </w:pPr>
            <w:r w:rsidDel="00000000" w:rsidR="00000000" w:rsidRPr="00000000">
              <w:rPr>
                <w:sz w:val="22"/>
                <w:szCs w:val="22"/>
                <w:rtl w:val="0"/>
              </w:rPr>
              <w:t xml:space="preserve">Magistrates’ Association (2024) </w:t>
            </w:r>
            <w:r w:rsidDel="00000000" w:rsidR="00000000" w:rsidRPr="00000000">
              <w:rPr>
                <w:i w:val="1"/>
                <w:iCs w:val="1"/>
                <w:sz w:val="22"/>
                <w:szCs w:val="22"/>
                <w:rtl w:val="0"/>
              </w:rPr>
              <w:t xml:space="preserve">What do the public know about prisons?</w:t>
            </w:r>
            <w:r w:rsidDel="00000000" w:rsidR="00000000" w:rsidRPr="00000000">
              <w:rPr>
                <w:sz w:val="22"/>
                <w:szCs w:val="22"/>
                <w:rtl w:val="0"/>
              </w:rPr>
              <w:t xml:space="preserve"> Available at: </w:t>
            </w:r>
            <w:hyperlink r:id="rId10">
              <w:r w:rsidDel="00000000" w:rsidR="00000000" w:rsidRPr="00000000">
                <w:rPr>
                  <w:color w:val="1155cc"/>
                  <w:sz w:val="22"/>
                  <w:szCs w:val="22"/>
                  <w:u w:val="single"/>
                  <w:rtl w:val="0"/>
                </w:rPr>
                <w:t xml:space="preserve">https://www.magistrates-association.org.uk/blog/what-do-the-public-know-about-prisons/</w:t>
              </w:r>
            </w:hyperlink>
            <w:r w:rsidDel="00000000" w:rsidR="00000000" w:rsidRPr="00000000">
              <w:rPr>
                <w:sz w:val="22"/>
                <w:szCs w:val="22"/>
                <w:rtl w:val="0"/>
              </w:rPr>
              <w:t xml:space="preserve"> (Accessed: 28 April 2026). </w:t>
            </w:r>
          </w:p>
          <w:p w:rsidR="00000000" w:rsidDel="00000000" w:rsidP="00000000" w:rsidRDefault="00000000" w:rsidRPr="00000000" w14:paraId="0000003E">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259" w:lineRule="auto"/>
              <w:rPr>
                <w:sz w:val="22"/>
                <w:szCs w:val="22"/>
              </w:rPr>
            </w:pPr>
            <w:r w:rsidDel="00000000" w:rsidR="00000000" w:rsidRPr="00000000">
              <w:rPr>
                <w:sz w:val="22"/>
                <w:szCs w:val="22"/>
                <w:rtl w:val="0"/>
              </w:rPr>
              <w:t xml:space="preserve">Ministry of Justice (2026) </w:t>
            </w:r>
            <w:r w:rsidDel="00000000" w:rsidR="00000000" w:rsidRPr="00000000">
              <w:rPr>
                <w:i w:val="1"/>
                <w:iCs w:val="1"/>
                <w:sz w:val="22"/>
                <w:szCs w:val="22"/>
                <w:rtl w:val="0"/>
              </w:rPr>
              <w:t xml:space="preserve">Proven reoffending statistics: January to March 2024</w:t>
            </w:r>
            <w:r w:rsidDel="00000000" w:rsidR="00000000" w:rsidRPr="00000000">
              <w:rPr>
                <w:sz w:val="22"/>
                <w:szCs w:val="22"/>
                <w:rtl w:val="0"/>
              </w:rPr>
              <w:t xml:space="preserve">. England and Wales: GOV.UK. Published 29 January 2026. Available at: </w:t>
            </w:r>
            <w:hyperlink r:id="rId11">
              <w:r w:rsidDel="00000000" w:rsidR="00000000" w:rsidRPr="00000000">
                <w:rPr>
                  <w:color w:val="467886"/>
                  <w:sz w:val="22"/>
                  <w:szCs w:val="22"/>
                  <w:u w:val="single"/>
                  <w:rtl w:val="0"/>
                </w:rPr>
                <w:t xml:space="preserve">https://www.gov.uk/government/statistics/proven-reoffending-statistics-january-to-march-2024/proven-reoffending-statistics-january-to-march-2024</w:t>
              </w:r>
            </w:hyperlink>
            <w:r w:rsidDel="00000000" w:rsidR="00000000" w:rsidRPr="00000000">
              <w:rPr>
                <w:sz w:val="22"/>
                <w:szCs w:val="22"/>
                <w:rtl w:val="0"/>
              </w:rPr>
              <w:t xml:space="preserve"> (Accessed 19/02/26). </w:t>
            </w:r>
          </w:p>
          <w:p w:rsidR="00000000" w:rsidDel="00000000" w:rsidP="00000000" w:rsidRDefault="00000000" w:rsidRPr="00000000" w14:paraId="0000003F">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259" w:lineRule="auto"/>
              <w:rPr>
                <w:sz w:val="22"/>
                <w:szCs w:val="22"/>
              </w:rPr>
            </w:pPr>
            <w:r w:rsidDel="00000000" w:rsidR="00000000" w:rsidRPr="00000000">
              <w:rPr>
                <w:sz w:val="22"/>
                <w:szCs w:val="22"/>
                <w:rtl w:val="0"/>
              </w:rPr>
              <w:t xml:space="preserve">Ministry of Justice (2025) </w:t>
            </w:r>
            <w:r w:rsidDel="00000000" w:rsidR="00000000" w:rsidRPr="00000000">
              <w:rPr>
                <w:i w:val="1"/>
                <w:iCs w:val="1"/>
                <w:sz w:val="22"/>
                <w:szCs w:val="22"/>
                <w:rtl w:val="0"/>
              </w:rPr>
              <w:t xml:space="preserve">Employing Prisoners and Ex-offenders. Ministry of Justice. </w:t>
            </w:r>
            <w:r w:rsidDel="00000000" w:rsidR="00000000" w:rsidRPr="00000000">
              <w:rPr>
                <w:sz w:val="22"/>
                <w:szCs w:val="22"/>
                <w:rtl w:val="0"/>
              </w:rPr>
              <w:t xml:space="preserve">Available at; </w:t>
            </w:r>
            <w:hyperlink r:id="rId12">
              <w:r w:rsidDel="00000000" w:rsidR="00000000" w:rsidRPr="00000000">
                <w:rPr>
                  <w:color w:val="1155cc"/>
                  <w:sz w:val="22"/>
                  <w:szCs w:val="22"/>
                  <w:u w:val="single"/>
                  <w:rtl w:val="0"/>
                </w:rPr>
                <w:t xml:space="preserve">https://www.gov.uk/government/publications/unlock-opportunity-employer-information-pack-and-case-studies/employing-prisoners-and-ex-offenders#future-skills-programme</w:t>
              </w:r>
            </w:hyperlink>
            <w:r w:rsidDel="00000000" w:rsidR="00000000" w:rsidRPr="00000000">
              <w:rPr>
                <w:sz w:val="22"/>
                <w:szCs w:val="22"/>
                <w:rtl w:val="0"/>
              </w:rPr>
              <w:t xml:space="preserve"> (Accessed; 1/10/26)</w:t>
            </w:r>
          </w:p>
          <w:p w:rsidR="00000000" w:rsidDel="00000000" w:rsidP="00000000" w:rsidRDefault="00000000" w:rsidRPr="00000000" w14:paraId="00000040">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259" w:lineRule="auto"/>
              <w:rPr>
                <w:sz w:val="22"/>
                <w:szCs w:val="22"/>
              </w:rPr>
            </w:pPr>
            <w:r w:rsidDel="00000000" w:rsidR="00000000" w:rsidRPr="00000000">
              <w:rPr>
                <w:sz w:val="22"/>
                <w:szCs w:val="22"/>
                <w:rtl w:val="0"/>
              </w:rPr>
              <w:t xml:space="preserve">Ministry of Justice (2024) </w:t>
            </w:r>
            <w:r w:rsidDel="00000000" w:rsidR="00000000" w:rsidRPr="00000000">
              <w:rPr>
                <w:i w:val="1"/>
                <w:iCs w:val="1"/>
                <w:sz w:val="22"/>
                <w:szCs w:val="22"/>
                <w:rtl w:val="0"/>
              </w:rPr>
              <w:t xml:space="preserve">Proven reoffending statistics quarterly bulletin: October to December 2023</w:t>
            </w:r>
            <w:r w:rsidDel="00000000" w:rsidR="00000000" w:rsidRPr="00000000">
              <w:rPr>
                <w:sz w:val="22"/>
                <w:szCs w:val="22"/>
                <w:rtl w:val="0"/>
              </w:rPr>
              <w:t xml:space="preserve">. Ministry of Justice. Available at: </w:t>
            </w:r>
            <w:hyperlink r:id="rId13">
              <w:r w:rsidDel="00000000" w:rsidR="00000000" w:rsidRPr="00000000">
                <w:rPr>
                  <w:color w:val="467886"/>
                  <w:sz w:val="22"/>
                  <w:szCs w:val="22"/>
                  <w:u w:val="single"/>
                  <w:rtl w:val="0"/>
                </w:rPr>
                <w:t xml:space="preserve">https://assets.publishing.service.gov.uk/media/68fa7260b3e33205c4e6f058/PRSQ_Bulletin_oct_to_dec_23.pdf</w:t>
              </w:r>
            </w:hyperlink>
            <w:r w:rsidDel="00000000" w:rsidR="00000000" w:rsidRPr="00000000">
              <w:rPr>
                <w:sz w:val="22"/>
                <w:szCs w:val="22"/>
                <w:rtl w:val="0"/>
              </w:rPr>
              <w:t xml:space="preserve"> (Accessed; 19/02/26) </w:t>
            </w:r>
          </w:p>
          <w:p w:rsidR="00000000" w:rsidDel="00000000" w:rsidP="00000000" w:rsidRDefault="00000000" w:rsidRPr="00000000" w14:paraId="00000041">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259" w:lineRule="auto"/>
              <w:rPr>
                <w:sz w:val="22"/>
                <w:szCs w:val="22"/>
              </w:rPr>
            </w:pPr>
            <w:r w:rsidDel="00000000" w:rsidR="00000000" w:rsidRPr="00000000">
              <w:rPr>
                <w:sz w:val="22"/>
                <w:szCs w:val="22"/>
                <w:rtl w:val="0"/>
              </w:rPr>
              <w:t xml:space="preserve">‌</w:t>
            </w:r>
            <w:r w:rsidDel="00000000" w:rsidR="00000000" w:rsidRPr="00000000">
              <w:rPr>
                <w:b w:val="1"/>
                <w:bCs w:val="1"/>
                <w:sz w:val="22"/>
                <w:szCs w:val="22"/>
                <w:rtl w:val="0"/>
              </w:rPr>
              <w:t xml:space="preserve"> </w:t>
            </w:r>
            <w:r w:rsidDel="00000000" w:rsidR="00000000" w:rsidRPr="00000000">
              <w:rPr>
                <w:sz w:val="22"/>
                <w:szCs w:val="22"/>
                <w:rtl w:val="0"/>
              </w:rPr>
              <w:t xml:space="preserve">Ministry of Justice. (2023). </w:t>
            </w:r>
            <w:r w:rsidDel="00000000" w:rsidR="00000000" w:rsidRPr="00000000">
              <w:rPr>
                <w:i w:val="1"/>
                <w:iCs w:val="1"/>
                <w:sz w:val="22"/>
                <w:szCs w:val="22"/>
                <w:rtl w:val="0"/>
              </w:rPr>
              <w:t xml:space="preserve">Guidance on the Rehabilitation of Offenders Act 1974 and the Exceptions Order 1975</w:t>
            </w:r>
            <w:r w:rsidDel="00000000" w:rsidR="00000000" w:rsidRPr="00000000">
              <w:rPr>
                <w:sz w:val="22"/>
                <w:szCs w:val="22"/>
                <w:rtl w:val="0"/>
              </w:rPr>
              <w:t xml:space="preserve">. Ministry of Justice. Available at: </w:t>
            </w:r>
            <w:hyperlink r:id="rId14">
              <w:r w:rsidDel="00000000" w:rsidR="00000000" w:rsidRPr="00000000">
                <w:rPr>
                  <w:color w:val="1155cc"/>
                  <w:sz w:val="22"/>
                  <w:szCs w:val="22"/>
                  <w:u w:val="single"/>
                  <w:rtl w:val="0"/>
                </w:rPr>
                <w:t xml:space="preserve">https://www.gov.uk/government/publications/new-guidance-on-the-rehabilitation-of-offenders-act-1974/guidance-on-the-rehabilitation-of-offenders-act-1974-and-the-exceptions-order-1975</w:t>
              </w:r>
            </w:hyperlink>
            <w:r w:rsidDel="00000000" w:rsidR="00000000" w:rsidRPr="00000000">
              <w:rPr>
                <w:color w:val="1155cc"/>
                <w:sz w:val="22"/>
                <w:szCs w:val="22"/>
                <w:rtl w:val="0"/>
              </w:rPr>
              <w:t xml:space="preserve"> </w:t>
            </w:r>
            <w:r w:rsidDel="00000000" w:rsidR="00000000" w:rsidRPr="00000000">
              <w:rPr>
                <w:sz w:val="22"/>
                <w:szCs w:val="22"/>
                <w:rtl w:val="0"/>
              </w:rPr>
              <w:t xml:space="preserve">(Accessed; 19/02/26) </w:t>
            </w:r>
          </w:p>
          <w:p w:rsidR="00000000" w:rsidDel="00000000" w:rsidP="00000000" w:rsidRDefault="00000000" w:rsidRPr="00000000" w14:paraId="00000042">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259" w:lineRule="auto"/>
              <w:rPr>
                <w:sz w:val="22"/>
                <w:szCs w:val="22"/>
              </w:rPr>
            </w:pPr>
            <w:r w:rsidDel="00000000" w:rsidR="00000000" w:rsidRPr="00000000">
              <w:rPr>
                <w:sz w:val="22"/>
                <w:szCs w:val="22"/>
                <w:rtl w:val="0"/>
              </w:rPr>
              <w:t xml:space="preserve">Pareek, B.B. (2024). </w:t>
            </w:r>
            <w:r w:rsidDel="00000000" w:rsidR="00000000" w:rsidRPr="00000000">
              <w:rPr>
                <w:i w:val="1"/>
                <w:iCs w:val="1"/>
                <w:sz w:val="22"/>
                <w:szCs w:val="22"/>
                <w:rtl w:val="0"/>
              </w:rPr>
              <w:t xml:space="preserve">Inhuman Conditions; The Struggle For Dignity in India’s Prisons; Prisons and Prisoners. </w:t>
            </w:r>
            <w:r w:rsidDel="00000000" w:rsidR="00000000" w:rsidRPr="00000000">
              <w:rPr>
                <w:sz w:val="22"/>
                <w:szCs w:val="22"/>
                <w:rtl w:val="0"/>
              </w:rPr>
              <w:t xml:space="preserve">Bharat Bhushan Pareek. Chapter 4</w:t>
            </w:r>
          </w:p>
          <w:p w:rsidR="00000000" w:rsidDel="00000000" w:rsidP="00000000" w:rsidRDefault="00000000" w:rsidRPr="00000000" w14:paraId="00000043">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259" w:lineRule="auto"/>
              <w:rPr>
                <w:sz w:val="22"/>
                <w:szCs w:val="22"/>
              </w:rPr>
            </w:pPr>
            <w:r w:rsidDel="00000000" w:rsidR="00000000" w:rsidRPr="00000000">
              <w:rPr>
                <w:sz w:val="22"/>
                <w:szCs w:val="22"/>
                <w:rtl w:val="0"/>
              </w:rPr>
              <w:t xml:space="preserve">Paternoster, R. and Bushway, S. (2009). ‘Desistance and the “feared self”: Toward an identity theory of criminal desistance’. Journal of Criminal Law and Criminology, 99(4), p.1105</w:t>
            </w:r>
          </w:p>
          <w:p w:rsidR="00000000" w:rsidDel="00000000" w:rsidP="00000000" w:rsidRDefault="00000000" w:rsidRPr="00000000" w14:paraId="00000044">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259" w:lineRule="auto"/>
              <w:rPr>
                <w:sz w:val="22"/>
                <w:szCs w:val="22"/>
              </w:rPr>
            </w:pPr>
            <w:r w:rsidDel="00000000" w:rsidR="00000000" w:rsidRPr="00000000">
              <w:rPr>
                <w:sz w:val="22"/>
                <w:szCs w:val="22"/>
                <w:rtl w:val="0"/>
              </w:rPr>
              <w:t xml:space="preserve">Prison Reform Trust. (2024). </w:t>
            </w:r>
            <w:r w:rsidDel="00000000" w:rsidR="00000000" w:rsidRPr="00000000">
              <w:rPr>
                <w:i w:val="1"/>
                <w:iCs w:val="1"/>
                <w:sz w:val="22"/>
                <w:szCs w:val="22"/>
                <w:rtl w:val="0"/>
              </w:rPr>
              <w:t xml:space="preserve">Education and work in prison</w:t>
            </w:r>
            <w:r w:rsidDel="00000000" w:rsidR="00000000" w:rsidRPr="00000000">
              <w:rPr>
                <w:sz w:val="22"/>
                <w:szCs w:val="22"/>
                <w:rtl w:val="0"/>
              </w:rPr>
              <w:t xml:space="preserve">. Prison Reform Trust. Available at: </w:t>
            </w:r>
            <w:hyperlink r:id="rId15">
              <w:r w:rsidDel="00000000" w:rsidR="00000000" w:rsidRPr="00000000">
                <w:rPr>
                  <w:color w:val="1155cc"/>
                  <w:sz w:val="22"/>
                  <w:szCs w:val="22"/>
                  <w:u w:val="single"/>
                  <w:rtl w:val="0"/>
                </w:rPr>
                <w:t xml:space="preserve">https://prisonreformtrust.org.uk/adviceguide/education-and-work-in-prison/</w:t>
              </w:r>
            </w:hyperlink>
            <w:r w:rsidDel="00000000" w:rsidR="00000000" w:rsidRPr="00000000">
              <w:rPr>
                <w:color w:val="1155cc"/>
                <w:sz w:val="22"/>
                <w:szCs w:val="22"/>
                <w:rtl w:val="0"/>
              </w:rPr>
              <w:t xml:space="preserve"> </w:t>
            </w:r>
            <w:r w:rsidDel="00000000" w:rsidR="00000000" w:rsidRPr="00000000">
              <w:rPr>
                <w:sz w:val="22"/>
                <w:szCs w:val="22"/>
                <w:rtl w:val="0"/>
              </w:rPr>
              <w:t xml:space="preserve">(Accessed; 19/02/26) . </w:t>
            </w:r>
          </w:p>
          <w:p w:rsidR="00000000" w:rsidDel="00000000" w:rsidP="00000000" w:rsidRDefault="00000000" w:rsidRPr="00000000" w14:paraId="00000045">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259" w:lineRule="auto"/>
              <w:rPr>
                <w:sz w:val="22"/>
                <w:szCs w:val="22"/>
              </w:rPr>
            </w:pPr>
            <w:r w:rsidDel="00000000" w:rsidR="00000000" w:rsidRPr="00000000">
              <w:rPr>
                <w:sz w:val="22"/>
                <w:szCs w:val="22"/>
                <w:rtl w:val="0"/>
              </w:rPr>
              <w:t xml:space="preserve">Prison Reform Trust (2026) </w:t>
            </w:r>
            <w:r w:rsidDel="00000000" w:rsidR="00000000" w:rsidRPr="00000000">
              <w:rPr>
                <w:i w:val="1"/>
                <w:iCs w:val="1"/>
                <w:sz w:val="22"/>
                <w:szCs w:val="22"/>
                <w:rtl w:val="0"/>
              </w:rPr>
              <w:t xml:space="preserve">Report underlines “urgent need to reduce demand on our critically overburdened prisons”</w:t>
            </w:r>
            <w:r w:rsidDel="00000000" w:rsidR="00000000" w:rsidRPr="00000000">
              <w:rPr>
                <w:sz w:val="22"/>
                <w:szCs w:val="22"/>
                <w:rtl w:val="0"/>
              </w:rPr>
              <w:t xml:space="preserve">. Prison Reform Trust. Available at:</w:t>
            </w:r>
            <w:hyperlink r:id="rId16">
              <w:r w:rsidDel="00000000" w:rsidR="00000000" w:rsidRPr="00000000">
                <w:rPr>
                  <w:sz w:val="22"/>
                  <w:szCs w:val="22"/>
                  <w:rtl w:val="0"/>
                </w:rPr>
                <w:t xml:space="preserve"> </w:t>
              </w:r>
            </w:hyperlink>
            <w:hyperlink r:id="rId17">
              <w:r w:rsidDel="00000000" w:rsidR="00000000" w:rsidRPr="00000000">
                <w:rPr>
                  <w:color w:val="1155cc"/>
                  <w:sz w:val="22"/>
                  <w:szCs w:val="22"/>
                  <w:u w:val="single"/>
                  <w:rtl w:val="0"/>
                </w:rPr>
                <w:t xml:space="preserve">https://prisonreformtrust.org.uk/report-underlines-urgent-need-to-reduce-demand-on-our-critically-overburdened-prisons/</w:t>
              </w:r>
            </w:hyperlink>
            <w:r w:rsidDel="00000000" w:rsidR="00000000" w:rsidRPr="00000000">
              <w:rPr>
                <w:sz w:val="22"/>
                <w:szCs w:val="22"/>
                <w:rtl w:val="0"/>
              </w:rPr>
              <w:t xml:space="preserve"> (Accessed: 28/ 04/26).</w:t>
            </w:r>
          </w:p>
          <w:p w:rsidR="00000000" w:rsidDel="00000000" w:rsidP="00000000" w:rsidRDefault="00000000" w:rsidRPr="00000000" w14:paraId="00000046">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259" w:lineRule="auto"/>
              <w:rPr>
                <w:sz w:val="22"/>
                <w:szCs w:val="22"/>
              </w:rPr>
            </w:pPr>
            <w:r w:rsidDel="00000000" w:rsidR="00000000" w:rsidRPr="00000000">
              <w:rPr>
                <w:sz w:val="22"/>
                <w:szCs w:val="22"/>
                <w:rtl w:val="0"/>
              </w:rPr>
              <w:t xml:space="preserve">Robinson, G. and Crow, I. (2009) </w:t>
            </w:r>
            <w:r w:rsidDel="00000000" w:rsidR="00000000" w:rsidRPr="00000000">
              <w:rPr>
                <w:i w:val="1"/>
                <w:iCs w:val="1"/>
                <w:sz w:val="22"/>
                <w:szCs w:val="22"/>
                <w:rtl w:val="0"/>
              </w:rPr>
              <w:t xml:space="preserve">Offender rehabilitation: theory, research and practice</w:t>
            </w:r>
            <w:r w:rsidDel="00000000" w:rsidR="00000000" w:rsidRPr="00000000">
              <w:rPr>
                <w:sz w:val="22"/>
                <w:szCs w:val="22"/>
                <w:rtl w:val="0"/>
              </w:rPr>
              <w:t xml:space="preserve">. SAGE Publications</w:t>
            </w:r>
          </w:p>
          <w:p w:rsidR="00000000" w:rsidDel="00000000" w:rsidP="00000000" w:rsidRDefault="00000000" w:rsidRPr="00000000" w14:paraId="00000047">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259" w:lineRule="auto"/>
              <w:rPr>
                <w:sz w:val="22"/>
                <w:szCs w:val="22"/>
              </w:rPr>
            </w:pPr>
            <w:r w:rsidDel="00000000" w:rsidR="00000000" w:rsidRPr="00000000">
              <w:rPr>
                <w:sz w:val="22"/>
                <w:szCs w:val="22"/>
                <w:rtl w:val="0"/>
              </w:rPr>
              <w:t xml:space="preserve">Roberts, J.V. and Hough, M. (eds.) (2002) </w:t>
            </w:r>
            <w:r w:rsidDel="00000000" w:rsidR="00000000" w:rsidRPr="00000000">
              <w:rPr>
                <w:i w:val="1"/>
                <w:iCs w:val="1"/>
                <w:sz w:val="22"/>
                <w:szCs w:val="22"/>
                <w:rtl w:val="0"/>
              </w:rPr>
              <w:t xml:space="preserve">Changing attitudes to punishment: public opinion, crime and justice</w:t>
            </w:r>
            <w:r w:rsidDel="00000000" w:rsidR="00000000" w:rsidRPr="00000000">
              <w:rPr>
                <w:sz w:val="22"/>
                <w:szCs w:val="22"/>
                <w:rtl w:val="0"/>
              </w:rPr>
              <w:t xml:space="preserve">. Willan Publishing.</w:t>
            </w:r>
          </w:p>
          <w:p w:rsidR="00000000" w:rsidDel="00000000" w:rsidP="00000000" w:rsidRDefault="00000000" w:rsidRPr="00000000" w14:paraId="00000048">
            <w:pPr>
              <w:pBdr>
                <w:top w:color="auto" w:space="0" w:sz="0" w:val="none"/>
                <w:left w:color="auto" w:space="0" w:sz="0" w:val="none"/>
                <w:bottom w:color="auto" w:space="0" w:sz="0" w:val="none"/>
                <w:right w:color="auto" w:space="0" w:sz="0" w:val="none"/>
                <w:between w:color="auto" w:space="0" w:sz="0" w:val="none"/>
              </w:pBdr>
              <w:shd w:fill="ffffff" w:val="clear"/>
              <w:spacing w:after="240" w:before="240" w:line="259" w:lineRule="auto"/>
              <w:rPr>
                <w:sz w:val="22"/>
                <w:szCs w:val="22"/>
              </w:rPr>
            </w:pPr>
            <w:r w:rsidDel="00000000" w:rsidR="00000000" w:rsidRPr="00000000">
              <w:rPr>
                <w:sz w:val="22"/>
                <w:szCs w:val="22"/>
                <w:rtl w:val="0"/>
              </w:rPr>
              <w:t xml:space="preserve">Reich, E.S. (2024). </w:t>
            </w:r>
            <w:r w:rsidDel="00000000" w:rsidR="00000000" w:rsidRPr="00000000">
              <w:rPr>
                <w:i w:val="1"/>
                <w:iCs w:val="1"/>
                <w:sz w:val="22"/>
                <w:szCs w:val="22"/>
                <w:rtl w:val="0"/>
              </w:rPr>
              <w:t xml:space="preserve">Making Desistance Recognizable: How Ex-Offenders Can Signal Their Desistance From Crime to Employers by Strategic Design. </w:t>
            </w:r>
            <w:r w:rsidDel="00000000" w:rsidR="00000000" w:rsidRPr="00000000">
              <w:rPr>
                <w:sz w:val="22"/>
                <w:szCs w:val="22"/>
                <w:rtl w:val="0"/>
              </w:rPr>
              <w:t xml:space="preserve">Oxford University Press. p.1</w:t>
            </w:r>
          </w:p>
          <w:p w:rsidR="00000000" w:rsidDel="00000000" w:rsidP="00000000" w:rsidRDefault="00000000" w:rsidRPr="00000000" w14:paraId="00000049">
            <w:pPr>
              <w:pBdr>
                <w:top w:color="auto" w:space="0" w:sz="0" w:val="none"/>
                <w:left w:color="auto" w:space="0" w:sz="0" w:val="none"/>
                <w:bottom w:color="auto" w:space="0" w:sz="0" w:val="none"/>
                <w:right w:color="auto" w:space="0" w:sz="0" w:val="none"/>
                <w:between w:color="auto" w:space="0" w:sz="0" w:val="none"/>
              </w:pBdr>
              <w:shd w:fill="ffffff" w:val="clear"/>
              <w:spacing w:line="259" w:lineRule="auto"/>
              <w:rPr>
                <w:sz w:val="22"/>
                <w:szCs w:val="22"/>
              </w:rPr>
            </w:pPr>
            <w:r w:rsidDel="00000000" w:rsidR="00000000" w:rsidRPr="00000000">
              <w:rPr>
                <w:sz w:val="22"/>
                <w:szCs w:val="22"/>
                <w:rtl w:val="0"/>
              </w:rPr>
              <w:t xml:space="preserve">Woodhouse, D. (2024). Institutional Theory - Sheffield Hallam University Research Archive. doi:https://shura.shu.ac.uk/33895/3/Woodhouse-InstitutionalTheory%28AM%29.pdf. </w:t>
            </w:r>
          </w:p>
        </w:tc>
      </w:tr>
    </w:tbl>
    <w:p w:rsidR="00000000" w:rsidDel="00000000" w:rsidP="00000000" w:rsidRDefault="00000000" w:rsidRPr="00000000" w14:paraId="0000004B">
      <w:pPr>
        <w:jc w:val="both"/>
        <w:rPr>
          <w:rFonts w:ascii="Calibri" w:cs="Calibri" w:eastAsia="Calibri" w:hAnsi="Calibri"/>
          <w:b w:val="1"/>
          <w:bCs w:val="1"/>
          <w:sz w:val="22"/>
          <w:szCs w:val="22"/>
        </w:rPr>
      </w:pPr>
      <w:r w:rsidDel="00000000" w:rsidR="00000000" w:rsidRPr="00000000">
        <w:rPr>
          <w:rtl w:val="0"/>
        </w:rPr>
      </w:r>
    </w:p>
    <w:sectPr>
      <w:footerReference r:id="rId18" w:type="first"/>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mbria"/>
  <w:font w:name="Georgia"/>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819"/>
        <w:tab w:val="right" w:leader="none" w:pos="9071"/>
      </w:tabs>
      <w:spacing w:after="0" w:before="0" w:line="240" w:lineRule="auto"/>
      <w:ind w:left="0" w:right="0" w:firstLine="0"/>
      <w:jc w:val="center"/>
      <w:rPr>
        <w:rFonts w:ascii="Arial" w:cs="Arial" w:eastAsia="Arial" w:hAnsi="Arial"/>
        <w:b w:val="0"/>
        <w:bCs w:val="0"/>
        <w:i w:val="0"/>
        <w:iCs w:val="0"/>
        <w:smallCaps w:val="0"/>
        <w:strike w:val="0"/>
        <w:color w:val="000000"/>
        <w:sz w:val="10"/>
        <w:szCs w:val="1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Arial" w:cs="Arial" w:eastAsia="Arial" w:hAnsi="Arial"/>
        <w:b w:val="0"/>
        <w:bCs w:val="0"/>
        <w:i w:val="0"/>
        <w:iCs w:val="0"/>
        <w:smallCaps w:val="0"/>
        <w:strike w:val="0"/>
        <w:color w:val="000000"/>
        <w:sz w:val="10"/>
        <w:szCs w:val="10"/>
        <w:u w:val="none"/>
        <w:shd w:fill="auto" w:val="clear"/>
        <w:vertAlign w:val="baseline"/>
        <w:rtl w:val="0"/>
      </w:rPr>
      <w:tab/>
      <w:tab/>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_GB"/>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spacing w:after="60" w:before="240" w:lineRule="auto"/>
    </w:pPr>
    <w:rPr>
      <w:b w:val="1"/>
      <w:bCs w:val="1"/>
      <w:sz w:val="32"/>
      <w:szCs w:val="32"/>
    </w:rPr>
  </w:style>
  <w:style w:type="paragraph" w:styleId="Heading2">
    <w:name w:val="heading 2"/>
    <w:basedOn w:val="Normal"/>
    <w:next w:val="Normal"/>
    <w:pPr>
      <w:keepNext w:val="1"/>
      <w:spacing w:after="60" w:before="240" w:lineRule="auto"/>
    </w:pPr>
    <w:rPr>
      <w:b w:val="1"/>
      <w:bCs w:val="1"/>
      <w:sz w:val="28"/>
      <w:szCs w:val="28"/>
    </w:rPr>
  </w:style>
  <w:style w:type="paragraph" w:styleId="Heading3">
    <w:name w:val="heading 3"/>
    <w:basedOn w:val="Normal"/>
    <w:next w:val="Normal"/>
    <w:pPr>
      <w:keepNext w:val="1"/>
      <w:keepLines w:val="1"/>
      <w:spacing w:before="200" w:lineRule="auto"/>
    </w:pPr>
    <w:rPr>
      <w:rFonts w:ascii="Cambria" w:cs="Cambria" w:eastAsia="Cambria" w:hAnsi="Cambria"/>
      <w:b w:val="1"/>
      <w:bCs w:val="1"/>
      <w:color w:val="4f81bd"/>
    </w:rPr>
  </w:style>
  <w:style w:type="paragraph" w:styleId="Heading4">
    <w:name w:val="heading 4"/>
    <w:basedOn w:val="Normal"/>
    <w:next w:val="Normal"/>
    <w:pPr>
      <w:keepNext w:val="1"/>
      <w:spacing w:after="60" w:before="240" w:lineRule="auto"/>
    </w:pPr>
    <w:rPr>
      <w:b w:val="1"/>
      <w:bCs w:val="1"/>
      <w:sz w:val="28"/>
      <w:szCs w:val="28"/>
    </w:rPr>
  </w:style>
  <w:style w:type="paragraph" w:styleId="Heading5">
    <w:name w:val="heading 5"/>
    <w:basedOn w:val="Normal"/>
    <w:next w:val="Normal"/>
    <w:pPr>
      <w:keepNext w:val="1"/>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ind w:left="630" w:right="-616"/>
    </w:pPr>
    <w:rPr>
      <w:b w:val="1"/>
      <w:bCs w:val="1"/>
      <w:i w:val="1"/>
      <w:iCs w:val="1"/>
      <w:sz w:val="28"/>
      <w:szCs w:val="28"/>
      <w:u w:val="single"/>
    </w:rPr>
  </w:style>
  <w:style w:type="paragraph" w:styleId="Heading6">
    <w:name w:val="heading 6"/>
    <w:basedOn w:val="Normal"/>
    <w:next w:val="Normal"/>
    <w:pPr>
      <w:spacing w:after="60" w:before="240" w:lineRule="auto"/>
    </w:pPr>
    <w:rPr>
      <w:b w:val="1"/>
      <w:bCs w:val="1"/>
      <w:sz w:val="22"/>
      <w:szCs w:val="22"/>
    </w:rPr>
  </w:style>
  <w:style w:type="paragraph" w:styleId="Title">
    <w:name w:val="Title"/>
    <w:basedOn w:val="Normal"/>
    <w:next w:val="Normal"/>
    <w:pPr>
      <w:jc w:val="center"/>
    </w:pPr>
    <w:rPr>
      <w:b w:val="1"/>
      <w:bCs w:val="1"/>
    </w:rPr>
  </w:style>
  <w:style w:type="paragraph" w:styleId="Heading7">
    <w:name w:val="heading 7"/>
    <w:aliases w:val="Sub heading"/>
    <w:basedOn w:val="Normal"/>
    <w:next w:val="Normal"/>
    <w:link w:val="Heading7Char"/>
    <w:uiPriority w:val="99"/>
    <w:qFormat w:val="1"/>
    <w:rsid w:val="00940A08"/>
    <w:pPr>
      <w:numPr>
        <w:ilvl w:val="1"/>
        <w:numId w:val="10"/>
      </w:numPr>
      <w:spacing w:before="240"/>
      <w:outlineLvl w:val="6"/>
    </w:pPr>
    <w:rPr>
      <w:rFonts w:cs="Arial"/>
      <w:b w:val="1"/>
      <w:bCs w:val="1"/>
      <w:sz w:val="22"/>
      <w:szCs w:val="22"/>
      <w:lang w:eastAsia="en-GB"/>
    </w:rPr>
  </w:style>
  <w:style w:type="paragraph" w:styleId="Heading8">
    <w:name w:val="heading 8"/>
    <w:basedOn w:val="Normal"/>
    <w:next w:val="Normal"/>
    <w:link w:val="Heading8Char"/>
    <w:uiPriority w:val="9"/>
    <w:qFormat w:val="1"/>
    <w:rsid w:val="00A01FCE"/>
    <w:pPr>
      <w:keepNext w:val="1"/>
      <w:jc w:val="center"/>
      <w:outlineLvl w:val="7"/>
    </w:pPr>
    <w:rPr>
      <w:b w:val="1"/>
      <w:sz w:val="4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link w:val="Heading1"/>
    <w:uiPriority w:val="99"/>
    <w:rsid w:val="008E4A17"/>
    <w:rPr>
      <w:rFonts w:ascii="Cambria" w:cs="Times New Roman" w:eastAsia="Times New Roman" w:hAnsi="Cambria"/>
      <w:b w:val="1"/>
      <w:bCs w:val="1"/>
      <w:kern w:val="32"/>
      <w:sz w:val="32"/>
      <w:szCs w:val="32"/>
      <w:lang w:eastAsia="en-US"/>
    </w:rPr>
  </w:style>
  <w:style w:type="character" w:styleId="Heading2Char" w:customStyle="1">
    <w:name w:val="Heading 2 Char"/>
    <w:link w:val="Heading2"/>
    <w:uiPriority w:val="9"/>
    <w:rsid w:val="00680B0E"/>
    <w:rPr>
      <w:rFonts w:ascii="Arial" w:cs="Arial" w:hAnsi="Arial"/>
      <w:b w:val="1"/>
      <w:bCs w:val="1"/>
      <w:iCs w:val="1"/>
      <w:sz w:val="28"/>
      <w:szCs w:val="28"/>
      <w:lang w:eastAsia="en-US"/>
    </w:rPr>
  </w:style>
  <w:style w:type="character" w:styleId="Heading4Char" w:customStyle="1">
    <w:name w:val="Heading 4 Char"/>
    <w:link w:val="Heading4"/>
    <w:uiPriority w:val="99"/>
    <w:semiHidden w:val="1"/>
    <w:rsid w:val="008E4A17"/>
    <w:rPr>
      <w:rFonts w:ascii="Calibri" w:cs="Times New Roman" w:eastAsia="Times New Roman" w:hAnsi="Calibri"/>
      <w:b w:val="1"/>
      <w:bCs w:val="1"/>
      <w:sz w:val="28"/>
      <w:szCs w:val="28"/>
      <w:lang w:eastAsia="en-US"/>
    </w:rPr>
  </w:style>
  <w:style w:type="character" w:styleId="Heading5Char" w:customStyle="1">
    <w:name w:val="Heading 5 Char"/>
    <w:link w:val="Heading5"/>
    <w:uiPriority w:val="9"/>
    <w:semiHidden w:val="1"/>
    <w:rsid w:val="008E4A17"/>
    <w:rPr>
      <w:rFonts w:ascii="Calibri" w:cs="Times New Roman" w:eastAsia="Times New Roman" w:hAnsi="Calibri"/>
      <w:b w:val="1"/>
      <w:bCs w:val="1"/>
      <w:i w:val="1"/>
      <w:iCs w:val="1"/>
      <w:sz w:val="26"/>
      <w:szCs w:val="26"/>
      <w:lang w:eastAsia="en-US"/>
    </w:rPr>
  </w:style>
  <w:style w:type="character" w:styleId="Heading6Char" w:customStyle="1">
    <w:name w:val="Heading 6 Char"/>
    <w:link w:val="Heading6"/>
    <w:uiPriority w:val="9"/>
    <w:semiHidden w:val="1"/>
    <w:rsid w:val="008E4A17"/>
    <w:rPr>
      <w:rFonts w:ascii="Calibri" w:cs="Times New Roman" w:eastAsia="Times New Roman" w:hAnsi="Calibri"/>
      <w:b w:val="1"/>
      <w:bCs w:val="1"/>
      <w:sz w:val="22"/>
      <w:szCs w:val="22"/>
      <w:lang w:eastAsia="en-US"/>
    </w:rPr>
  </w:style>
  <w:style w:type="character" w:styleId="Heading8Char" w:customStyle="1">
    <w:name w:val="Heading 8 Char"/>
    <w:link w:val="Heading8"/>
    <w:uiPriority w:val="9"/>
    <w:semiHidden w:val="1"/>
    <w:rsid w:val="008E4A17"/>
    <w:rPr>
      <w:rFonts w:ascii="Calibri" w:cs="Times New Roman" w:eastAsia="Times New Roman" w:hAnsi="Calibri"/>
      <w:i w:val="1"/>
      <w:iCs w:val="1"/>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styleId="FooterChar" w:customStyle="1">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styleId="HeaderChar" w:customStyle="1">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styleId="BodyTextChar" w:customStyle="1">
    <w:name w:val="Body Text Char"/>
    <w:link w:val="BodyText"/>
    <w:uiPriority w:val="99"/>
    <w:rsid w:val="008E4A17"/>
    <w:rPr>
      <w:sz w:val="24"/>
      <w:lang w:eastAsia="en-US"/>
    </w:rPr>
  </w:style>
  <w:style w:type="paragraph" w:styleId="t3" w:customStyle="1">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styleId="BodyText2Char" w:customStyle="1">
    <w:name w:val="Body Text 2 Char"/>
    <w:link w:val="BodyText2"/>
    <w:uiPriority w:val="99"/>
    <w:semiHidden w:val="1"/>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BodyText3">
    <w:name w:val="Body Text 3"/>
    <w:basedOn w:val="Normal"/>
    <w:link w:val="BodyText3Char"/>
    <w:uiPriority w:val="99"/>
    <w:rsid w:val="00E939AC"/>
    <w:pPr>
      <w:spacing w:after="120"/>
    </w:pPr>
    <w:rPr>
      <w:sz w:val="16"/>
      <w:szCs w:val="16"/>
    </w:rPr>
  </w:style>
  <w:style w:type="character" w:styleId="BodyText3Char" w:customStyle="1">
    <w:name w:val="Body Text 3 Char"/>
    <w:link w:val="BodyText3"/>
    <w:uiPriority w:val="99"/>
    <w:semiHidden w:val="1"/>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styleId="BodyTextIndent2Char" w:customStyle="1">
    <w:name w:val="Body Text Indent 2 Char"/>
    <w:link w:val="BodyTextIndent2"/>
    <w:uiPriority w:val="99"/>
    <w:semiHidden w:val="1"/>
    <w:rsid w:val="008E4A17"/>
    <w:rPr>
      <w:sz w:val="24"/>
      <w:lang w:eastAsia="en-US"/>
    </w:rPr>
  </w:style>
  <w:style w:type="paragraph" w:styleId="Default" w:customStyle="1">
    <w:name w:val="Default"/>
    <w:rsid w:val="00EE32BC"/>
    <w:pPr>
      <w:widowControl w:val="0"/>
      <w:autoSpaceDE w:val="0"/>
      <w:autoSpaceDN w:val="0"/>
      <w:adjustRightInd w:val="0"/>
    </w:pPr>
    <w:rPr>
      <w:color w:val="000000"/>
      <w:sz w:val="24"/>
      <w:szCs w:val="24"/>
      <w:lang w:eastAsia="en-US" w:val="en-US"/>
    </w:rPr>
  </w:style>
  <w:style w:type="paragraph" w:styleId="NormalWeb">
    <w:name w:val="Normal (Web)"/>
    <w:basedOn w:val="Default"/>
    <w:next w:val="Default"/>
    <w:uiPriority w:val="99"/>
    <w:rsid w:val="00AF05ED"/>
    <w:pPr>
      <w:spacing w:after="100" w:before="100"/>
    </w:pPr>
    <w:rPr>
      <w:color w:val="auto"/>
    </w:rPr>
  </w:style>
  <w:style w:type="paragraph" w:styleId="BodyTextIndent">
    <w:name w:val="Body Text Indent"/>
    <w:basedOn w:val="Normal"/>
    <w:link w:val="BodyTextIndentChar"/>
    <w:uiPriority w:val="99"/>
    <w:unhideWhenUsed w:val="1"/>
    <w:rsid w:val="006F69A1"/>
    <w:pPr>
      <w:widowControl w:val="0"/>
      <w:autoSpaceDE w:val="0"/>
      <w:autoSpaceDN w:val="0"/>
      <w:adjustRightInd w:val="0"/>
      <w:spacing w:after="120"/>
      <w:ind w:left="283"/>
    </w:pPr>
    <w:rPr>
      <w:szCs w:val="24"/>
    </w:rPr>
  </w:style>
  <w:style w:type="character" w:styleId="BodyTextIndentChar" w:customStyle="1">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cs="Tahoma" w:hAnsi="Tahoma"/>
      <w:sz w:val="16"/>
      <w:szCs w:val="16"/>
    </w:rPr>
  </w:style>
  <w:style w:type="character" w:styleId="BalloonTextChar" w:customStyle="1">
    <w:name w:val="Balloon Text Char"/>
    <w:link w:val="BalloonText"/>
    <w:uiPriority w:val="99"/>
    <w:rsid w:val="006221DF"/>
    <w:rPr>
      <w:rFonts w:ascii="Tahoma" w:cs="Tahoma" w:hAnsi="Tahoma"/>
      <w:sz w:val="16"/>
      <w:szCs w:val="16"/>
      <w:lang w:eastAsia="en-US"/>
    </w:rPr>
  </w:style>
  <w:style w:type="paragraph" w:styleId="ListParagraph">
    <w:name w:val="List Paragraph"/>
    <w:basedOn w:val="Normal"/>
    <w:link w:val="ListParagraphChar"/>
    <w:uiPriority w:val="34"/>
    <w:qFormat w:val="1"/>
    <w:rsid w:val="00680B0E"/>
    <w:pPr>
      <w:ind w:left="720"/>
      <w:contextualSpacing w:val="1"/>
    </w:pPr>
  </w:style>
  <w:style w:type="paragraph" w:styleId="TOC1">
    <w:name w:val="toc 1"/>
    <w:basedOn w:val="Normal"/>
    <w:next w:val="Normal"/>
    <w:autoRedefine w:val="1"/>
    <w:uiPriority w:val="39"/>
    <w:rsid w:val="003B45E8"/>
    <w:pPr>
      <w:spacing w:after="120" w:before="120"/>
    </w:pPr>
    <w:rPr>
      <w:rFonts w:ascii="Calibri" w:hAnsi="Calibri"/>
      <w:b w:val="1"/>
      <w:bCs w:val="1"/>
      <w:caps w:val="1"/>
      <w:sz w:val="20"/>
    </w:rPr>
  </w:style>
  <w:style w:type="paragraph" w:styleId="TOC2">
    <w:name w:val="toc 2"/>
    <w:basedOn w:val="Normal"/>
    <w:next w:val="Normal"/>
    <w:autoRedefine w:val="1"/>
    <w:uiPriority w:val="39"/>
    <w:rsid w:val="003B45E8"/>
    <w:pPr>
      <w:ind w:left="240"/>
    </w:pPr>
    <w:rPr>
      <w:rFonts w:ascii="Calibri" w:hAnsi="Calibri"/>
      <w:smallCaps w:val="1"/>
      <w:sz w:val="20"/>
    </w:rPr>
  </w:style>
  <w:style w:type="paragraph" w:styleId="TOC3">
    <w:name w:val="toc 3"/>
    <w:basedOn w:val="Normal"/>
    <w:next w:val="Normal"/>
    <w:autoRedefine w:val="1"/>
    <w:uiPriority w:val="39"/>
    <w:rsid w:val="003B45E8"/>
    <w:pPr>
      <w:ind w:left="480"/>
    </w:pPr>
    <w:rPr>
      <w:rFonts w:ascii="Calibri" w:hAnsi="Calibri"/>
      <w:i w:val="1"/>
      <w:iCs w:val="1"/>
      <w:sz w:val="20"/>
    </w:rPr>
  </w:style>
  <w:style w:type="paragraph" w:styleId="TOC4">
    <w:name w:val="toc 4"/>
    <w:basedOn w:val="Normal"/>
    <w:next w:val="Normal"/>
    <w:autoRedefine w:val="1"/>
    <w:uiPriority w:val="39"/>
    <w:rsid w:val="003B45E8"/>
    <w:pPr>
      <w:ind w:left="720"/>
    </w:pPr>
    <w:rPr>
      <w:rFonts w:ascii="Calibri" w:hAnsi="Calibri"/>
      <w:sz w:val="18"/>
      <w:szCs w:val="18"/>
    </w:rPr>
  </w:style>
  <w:style w:type="paragraph" w:styleId="TOC5">
    <w:name w:val="toc 5"/>
    <w:basedOn w:val="Normal"/>
    <w:next w:val="Normal"/>
    <w:autoRedefine w:val="1"/>
    <w:uiPriority w:val="39"/>
    <w:rsid w:val="003B45E8"/>
    <w:pPr>
      <w:ind w:left="960"/>
    </w:pPr>
    <w:rPr>
      <w:rFonts w:ascii="Calibri" w:hAnsi="Calibri"/>
      <w:sz w:val="18"/>
      <w:szCs w:val="18"/>
    </w:rPr>
  </w:style>
  <w:style w:type="paragraph" w:styleId="TOC6">
    <w:name w:val="toc 6"/>
    <w:basedOn w:val="Normal"/>
    <w:next w:val="Normal"/>
    <w:autoRedefine w:val="1"/>
    <w:uiPriority w:val="39"/>
    <w:rsid w:val="003B45E8"/>
    <w:pPr>
      <w:ind w:left="1200"/>
    </w:pPr>
    <w:rPr>
      <w:rFonts w:ascii="Calibri" w:hAnsi="Calibri"/>
      <w:sz w:val="18"/>
      <w:szCs w:val="18"/>
    </w:rPr>
  </w:style>
  <w:style w:type="paragraph" w:styleId="TOC7">
    <w:name w:val="toc 7"/>
    <w:basedOn w:val="Normal"/>
    <w:next w:val="Normal"/>
    <w:autoRedefine w:val="1"/>
    <w:uiPriority w:val="39"/>
    <w:rsid w:val="003B45E8"/>
    <w:pPr>
      <w:ind w:left="1440"/>
    </w:pPr>
    <w:rPr>
      <w:rFonts w:ascii="Calibri" w:hAnsi="Calibri"/>
      <w:sz w:val="18"/>
      <w:szCs w:val="18"/>
    </w:rPr>
  </w:style>
  <w:style w:type="paragraph" w:styleId="TOC8">
    <w:name w:val="toc 8"/>
    <w:basedOn w:val="Normal"/>
    <w:next w:val="Normal"/>
    <w:autoRedefine w:val="1"/>
    <w:uiPriority w:val="39"/>
    <w:rsid w:val="003B45E8"/>
    <w:pPr>
      <w:ind w:left="1680"/>
    </w:pPr>
    <w:rPr>
      <w:rFonts w:ascii="Calibri" w:hAnsi="Calibri"/>
      <w:sz w:val="18"/>
      <w:szCs w:val="18"/>
    </w:rPr>
  </w:style>
  <w:style w:type="paragraph" w:styleId="TOC9">
    <w:name w:val="toc 9"/>
    <w:basedOn w:val="Normal"/>
    <w:next w:val="Normal"/>
    <w:autoRedefine w:val="1"/>
    <w:uiPriority w:val="39"/>
    <w:rsid w:val="003B45E8"/>
    <w:pPr>
      <w:ind w:left="1920"/>
    </w:pPr>
    <w:rPr>
      <w:rFonts w:ascii="Calibri" w:hAnsi="Calibri"/>
      <w:sz w:val="18"/>
      <w:szCs w:val="18"/>
    </w:rPr>
  </w:style>
  <w:style w:type="paragraph" w:styleId="SMUNORMALARIAL" w:customStyle="1">
    <w:name w:val="SMU NORMAL ARIAL"/>
    <w:basedOn w:val="Normal"/>
    <w:rsid w:val="00BF2A01"/>
    <w:rPr>
      <w:sz w:val="22"/>
      <w:szCs w:val="24"/>
      <w:lang w:eastAsia="en-GB"/>
    </w:rPr>
  </w:style>
  <w:style w:type="paragraph" w:styleId="SMUARIAL14BOLD" w:customStyle="1">
    <w:name w:val="SMU ARIAL 14 BOLD"/>
    <w:rsid w:val="00BF2A01"/>
    <w:pPr>
      <w:spacing w:before="240"/>
    </w:pPr>
    <w:rPr>
      <w:rFonts w:ascii="Arial" w:cs="Arial" w:hAnsi="Arial"/>
      <w:b w:val="1"/>
      <w:bCs w:val="1"/>
      <w:caps w:val="1"/>
      <w:kern w:val="32"/>
      <w:sz w:val="28"/>
      <w:szCs w:val="32"/>
    </w:rPr>
  </w:style>
  <w:style w:type="character" w:styleId="Heading3Char" w:customStyle="1">
    <w:name w:val="Heading 3 Char"/>
    <w:link w:val="Heading3"/>
    <w:semiHidden w:val="1"/>
    <w:rsid w:val="008B2529"/>
    <w:rPr>
      <w:rFonts w:ascii="Cambria" w:cs="Times New Roman" w:eastAsia="Times New Roman" w:hAnsi="Cambria"/>
      <w:b w:val="1"/>
      <w:bCs w:val="1"/>
      <w:color w:val="4f81bd"/>
      <w:sz w:val="24"/>
      <w:lang w:eastAsia="en-US"/>
    </w:rPr>
  </w:style>
  <w:style w:type="character" w:styleId="Strong">
    <w:name w:val="Strong"/>
    <w:uiPriority w:val="22"/>
    <w:qFormat w:val="1"/>
    <w:rsid w:val="008B2529"/>
    <w:rPr>
      <w:b w:val="1"/>
      <w:bCs w:val="1"/>
    </w:rPr>
  </w:style>
  <w:style w:type="character" w:styleId="TitleChar" w:customStyle="1">
    <w:name w:val="Title Char"/>
    <w:link w:val="Title"/>
    <w:uiPriority w:val="99"/>
    <w:rsid w:val="008B2529"/>
    <w:rPr>
      <w:b w:val="1"/>
      <w:bCs w:val="1"/>
      <w:sz w:val="24"/>
      <w:lang w:eastAsia="en-US" w:val="en-US"/>
    </w:rPr>
  </w:style>
  <w:style w:type="paragraph" w:styleId="BodyText1" w:customStyle="1">
    <w:name w:val="Body Text1"/>
    <w:basedOn w:val="Normal"/>
    <w:rsid w:val="000971B7"/>
    <w:pPr>
      <w:tabs>
        <w:tab w:val="left" w:pos="720"/>
        <w:tab w:val="left" w:pos="1440"/>
      </w:tabs>
    </w:pPr>
    <w:rPr>
      <w:rFonts w:ascii="CG Times (WN)" w:hAnsi="CG Times (WN)"/>
    </w:rPr>
  </w:style>
  <w:style w:type="character" w:styleId="Emphasis">
    <w:name w:val="Emphasis"/>
    <w:qFormat w:val="1"/>
    <w:rsid w:val="00212E76"/>
    <w:rPr>
      <w:i w:val="1"/>
      <w:iCs w:val="1"/>
    </w:rPr>
  </w:style>
  <w:style w:type="character" w:styleId="apple-style-span" w:customStyle="1">
    <w:name w:val="apple-style-span"/>
    <w:rsid w:val="00557E08"/>
  </w:style>
  <w:style w:type="paragraph" w:styleId="NormalWeb1" w:customStyle="1">
    <w:name w:val="Normal (Web)1"/>
    <w:basedOn w:val="Normal"/>
    <w:uiPriority w:val="99"/>
    <w:rsid w:val="00557E08"/>
    <w:rPr>
      <w:rFonts w:eastAsia="Calibri"/>
      <w:szCs w:val="24"/>
      <w:lang w:eastAsia="en-GB"/>
    </w:rPr>
  </w:style>
  <w:style w:type="character" w:styleId="nw1" w:customStyle="1">
    <w:name w:val="nw1"/>
    <w:uiPriority w:val="99"/>
    <w:rsid w:val="00557E08"/>
  </w:style>
  <w:style w:type="character" w:styleId="hps" w:customStyle="1">
    <w:name w:val="hps"/>
    <w:rsid w:val="00557E08"/>
  </w:style>
  <w:style w:type="character" w:styleId="FollowedHyperlink">
    <w:name w:val="FollowedHyperlink"/>
    <w:uiPriority w:val="99"/>
    <w:rsid w:val="00037D7A"/>
    <w:rPr>
      <w:color w:val="800080"/>
      <w:u w:val="single"/>
    </w:rPr>
  </w:style>
  <w:style w:type="paragraph" w:styleId="heading" w:customStyle="1">
    <w:name w:val="heading"/>
    <w:basedOn w:val="Normal"/>
    <w:link w:val="headingChar"/>
    <w:rsid w:val="006C5084"/>
    <w:pPr>
      <w:tabs>
        <w:tab w:val="left" w:pos="720"/>
        <w:tab w:val="left" w:pos="1440"/>
        <w:tab w:val="left" w:pos="2160"/>
        <w:tab w:val="left" w:pos="2880"/>
      </w:tabs>
      <w:overflowPunct w:val="0"/>
      <w:autoSpaceDE w:val="0"/>
      <w:autoSpaceDN w:val="0"/>
      <w:adjustRightInd w:val="0"/>
      <w:spacing w:after="120" w:before="240"/>
      <w:ind w:left="3600" w:hanging="3600"/>
      <w:textAlignment w:val="baseline"/>
    </w:pPr>
    <w:rPr>
      <w:b w:val="1"/>
      <w:lang w:eastAsia="en-GB"/>
    </w:rPr>
  </w:style>
  <w:style w:type="character" w:styleId="headingChar" w:customStyle="1">
    <w:name w:val="heading Char"/>
    <w:link w:val="heading"/>
    <w:rsid w:val="006C5084"/>
    <w:rPr>
      <w:b w:val="1"/>
      <w:sz w:val="24"/>
    </w:rPr>
  </w:style>
  <w:style w:type="character" w:styleId="Heading7Char" w:customStyle="1">
    <w:name w:val="Heading 7 Char"/>
    <w:aliases w:val="Sub heading Char"/>
    <w:link w:val="Heading7"/>
    <w:uiPriority w:val="99"/>
    <w:rsid w:val="00940A08"/>
    <w:rPr>
      <w:rFonts w:ascii="Arial" w:cs="Arial" w:hAnsi="Arial"/>
      <w:b w:val="1"/>
      <w:bCs w:val="1"/>
      <w:sz w:val="22"/>
      <w:szCs w:val="22"/>
    </w:rPr>
  </w:style>
  <w:style w:type="character" w:styleId="lookup-resultcontent" w:customStyle="1">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color="7ba0cd" w:space="0" w:sz="8" w:val="single"/>
        <w:left w:color="7ba0cd" w:space="0" w:sz="8" w:val="single"/>
        <w:bottom w:color="7ba0cd" w:space="0" w:sz="8" w:val="single"/>
        <w:right w:color="7ba0cd" w:space="0" w:sz="8" w:val="single"/>
        <w:insideH w:color="7ba0cd" w:space="0" w:sz="8" w:val="single"/>
        <w:insideV w:color="7ba0cd" w:space="0" w:sz="8" w:val="single"/>
      </w:tblBorders>
    </w:tblPr>
    <w:tcPr>
      <w:shd w:color="auto" w:fill="d3dfee" w:val="clear"/>
    </w:tcPr>
    <w:tblStylePr w:type="firstRow">
      <w:rPr>
        <w:b w:val="1"/>
        <w:bCs w:val="1"/>
      </w:rPr>
    </w:tblStylePr>
    <w:tblStylePr w:type="lastRow">
      <w:rPr>
        <w:b w:val="1"/>
        <w:bCs w:val="1"/>
      </w:rPr>
      <w:tblPr/>
      <w:tcPr>
        <w:tcBorders>
          <w:top w:color="7ba0cd" w:space="0" w:sz="18" w:val="single"/>
        </w:tcBorders>
      </w:tcPr>
    </w:tblStylePr>
    <w:tblStylePr w:type="firstCol">
      <w:rPr>
        <w:b w:val="1"/>
        <w:bCs w:val="1"/>
      </w:rPr>
    </w:tblStylePr>
    <w:tblStylePr w:type="lastCol">
      <w:rPr>
        <w:b w:val="1"/>
        <w:bCs w:val="1"/>
      </w:rPr>
    </w:tblStylePr>
    <w:tblStylePr w:type="band1Vert">
      <w:tblPr/>
      <w:tcPr>
        <w:shd w:color="auto" w:fill="a7bfde" w:val="clear"/>
      </w:tcPr>
    </w:tblStylePr>
    <w:tblStylePr w:type="band1Horz">
      <w:tblPr/>
      <w:tcPr>
        <w:shd w:color="auto" w:fill="a7bfde" w:val="clear"/>
      </w:tcPr>
    </w:tblStylePr>
  </w:style>
  <w:style w:type="paragraph" w:styleId="deannah1" w:customStyle="1">
    <w:name w:val="deannah1"/>
    <w:basedOn w:val="Normal"/>
    <w:uiPriority w:val="99"/>
    <w:rsid w:val="00336342"/>
    <w:pPr>
      <w:keepNext w:val="1"/>
      <w:spacing w:after="240"/>
    </w:pPr>
    <w:rPr>
      <w:b w:val="1"/>
      <w:bCs w:val="1"/>
      <w:szCs w:val="24"/>
    </w:rPr>
  </w:style>
  <w:style w:type="character" w:styleId="Hyperlink1" w:customStyle="1">
    <w:name w:val="Hyperlink1"/>
    <w:uiPriority w:val="99"/>
    <w:rsid w:val="00336342"/>
    <w:rPr>
      <w:color w:val="535353"/>
      <w:u w:val="single"/>
      <w:effect w:val="none"/>
    </w:rPr>
  </w:style>
  <w:style w:type="character" w:styleId="CommentReference">
    <w:name w:val="annotation reference"/>
    <w:uiPriority w:val="99"/>
    <w:unhideWhenUsed w:val="1"/>
    <w:rsid w:val="00336342"/>
    <w:rPr>
      <w:sz w:val="16"/>
      <w:szCs w:val="16"/>
    </w:rPr>
  </w:style>
  <w:style w:type="paragraph" w:styleId="CommentText">
    <w:name w:val="annotation text"/>
    <w:basedOn w:val="Normal"/>
    <w:link w:val="CommentTextChar"/>
    <w:uiPriority w:val="99"/>
    <w:unhideWhenUsed w:val="1"/>
    <w:rsid w:val="00336342"/>
    <w:rPr>
      <w:sz w:val="20"/>
    </w:rPr>
  </w:style>
  <w:style w:type="character" w:styleId="CommentTextChar" w:customStyle="1">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val="1"/>
    <w:rsid w:val="00336342"/>
    <w:rPr>
      <w:b w:val="1"/>
      <w:bCs w:val="1"/>
    </w:rPr>
  </w:style>
  <w:style w:type="character" w:styleId="CommentSubjectChar" w:customStyle="1">
    <w:name w:val="Comment Subject Char"/>
    <w:link w:val="CommentSubject"/>
    <w:uiPriority w:val="99"/>
    <w:rsid w:val="00336342"/>
    <w:rPr>
      <w:b w:val="1"/>
      <w:bCs w:val="1"/>
      <w:lang w:eastAsia="en-US"/>
    </w:rPr>
  </w:style>
  <w:style w:type="table" w:styleId="GridTable1Light-Accent21" w:customStyle="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0" w:type="nil"/>
      <w:tblBorders>
        <w:top w:color="f7caac" w:space="0" w:sz="4" w:val="single"/>
        <w:left w:color="f7caac" w:space="0" w:sz="4" w:val="single"/>
        <w:bottom w:color="f7caac" w:space="0" w:sz="4" w:val="single"/>
        <w:right w:color="f7caac" w:space="0" w:sz="4" w:val="single"/>
        <w:insideH w:color="f7caac" w:space="0" w:sz="4" w:val="single"/>
        <w:insideV w:color="f7caac" w:space="0" w:sz="4" w:val="single"/>
      </w:tblBorders>
    </w:tblPr>
    <w:tblStylePr w:type="firstRow">
      <w:rPr>
        <w:b w:val="1"/>
        <w:bCs w:val="1"/>
      </w:rPr>
      <w:tblPr/>
      <w:tcPr>
        <w:tcBorders>
          <w:bottom w:color="f4b083" w:space="0" w:sz="12" w:val="single"/>
        </w:tcBorders>
      </w:tcPr>
    </w:tblStylePr>
    <w:tblStylePr w:type="lastRow">
      <w:rPr>
        <w:b w:val="1"/>
        <w:bCs w:val="1"/>
      </w:rPr>
      <w:tblPr/>
      <w:tcPr>
        <w:tcBorders>
          <w:top w:color="f4b083" w:space="0" w:sz="2" w:val="double"/>
        </w:tcBorders>
      </w:tcPr>
    </w:tblStylePr>
    <w:tblStylePr w:type="firstCol">
      <w:rPr>
        <w:b w:val="1"/>
        <w:bCs w:val="1"/>
      </w:rPr>
    </w:tblStylePr>
    <w:tblStylePr w:type="lastCol">
      <w:rPr>
        <w:b w:val="1"/>
        <w:bCs w:val="1"/>
      </w:rPr>
    </w:tblStylePr>
  </w:style>
  <w:style w:type="table" w:styleId="GridTable1Light-Accent2">
    <w:name w:val="Grid Table 1 Light Accent 2"/>
    <w:basedOn w:val="TableNormal"/>
    <w:uiPriority w:val="46"/>
    <w:rsid w:val="00C5678B"/>
    <w:tblPr>
      <w:tblStyleRowBandSize w:val="1"/>
      <w:tblStyleColBandSize w:val="1"/>
      <w:tblBorders>
        <w:top w:color="f7caac" w:space="0" w:sz="4" w:val="single"/>
        <w:left w:color="f7caac" w:space="0" w:sz="4" w:val="single"/>
        <w:bottom w:color="f7caac" w:space="0" w:sz="4" w:val="single"/>
        <w:right w:color="f7caac" w:space="0" w:sz="4" w:val="single"/>
        <w:insideH w:color="f7caac" w:space="0" w:sz="4" w:val="single"/>
        <w:insideV w:color="f7caac" w:space="0" w:sz="4" w:val="single"/>
      </w:tblBorders>
    </w:tblPr>
    <w:tblStylePr w:type="firstRow">
      <w:rPr>
        <w:b w:val="1"/>
        <w:bCs w:val="1"/>
      </w:rPr>
      <w:tblPr/>
      <w:tcPr>
        <w:tcBorders>
          <w:bottom w:color="f4b083" w:space="0" w:sz="12" w:val="single"/>
        </w:tcBorders>
      </w:tcPr>
    </w:tblStylePr>
    <w:tblStylePr w:type="lastRow">
      <w:rPr>
        <w:b w:val="1"/>
        <w:bCs w:val="1"/>
      </w:rPr>
      <w:tblPr/>
      <w:tcPr>
        <w:tcBorders>
          <w:top w:color="f4b083" w:space="0" w:sz="2" w:val="double"/>
        </w:tcBorders>
      </w:tcPr>
    </w:tblStylePr>
    <w:tblStylePr w:type="firstCol">
      <w:rPr>
        <w:b w:val="1"/>
        <w:bCs w:val="1"/>
      </w:rPr>
    </w:tblStylePr>
    <w:tblStylePr w:type="lastCol">
      <w:rPr>
        <w:b w:val="1"/>
        <w:bCs w:val="1"/>
      </w:rPr>
    </w:tblStylePr>
  </w:style>
  <w:style w:type="table" w:styleId="TableGrid2">
    <w:name w:val="Table Grid 2"/>
    <w:basedOn w:val="TableNormal"/>
    <w:rsid w:val="00180E5F"/>
    <w:tblPr>
      <w:tblBorders>
        <w:insideH w:color="000000" w:space="0" w:sz="6" w:val="single"/>
        <w:insideV w:color="000000" w:space="0" w:sz="6" w:val="single"/>
      </w:tblBorders>
    </w:tblPr>
    <w:tcPr>
      <w:shd w:color="auto" w:fill="auto" w:val="clear"/>
    </w:tcPr>
    <w:tblStylePr w:type="firstRow">
      <w:rPr>
        <w:b w:val="1"/>
        <w:bCs w:val="1"/>
      </w:rPr>
      <w:tblPr/>
      <w:tcPr>
        <w:tcBorders>
          <w:tl2br w:color="auto" w:space="0" w:sz="0" w:val="none"/>
          <w:tr2bl w:color="auto" w:space="0" w:sz="0" w:val="none"/>
        </w:tcBorders>
      </w:tcPr>
    </w:tblStylePr>
    <w:tblStylePr w:type="lastRow">
      <w:rPr>
        <w:b w:val="1"/>
        <w:bCs w:val="1"/>
      </w:rPr>
      <w:tblPr/>
      <w:tcPr>
        <w:tcBorders>
          <w:top w:color="000000" w:space="0" w:sz="6" w:val="single"/>
          <w:tl2br w:color="auto" w:space="0" w:sz="0" w:val="none"/>
          <w:tr2bl w:color="auto" w:space="0" w:sz="0" w:val="none"/>
        </w:tcBorders>
      </w:tcPr>
    </w:tblStylePr>
    <w:tblStylePr w:type="firstCol">
      <w:rPr>
        <w:b w:val="1"/>
        <w:bCs w:val="1"/>
      </w:rPr>
      <w:tblPr/>
      <w:tcPr>
        <w:tcBorders>
          <w:tl2br w:color="auto" w:space="0" w:sz="0" w:val="none"/>
          <w:tr2bl w:color="auto" w:space="0" w:sz="0" w:val="none"/>
        </w:tcBorders>
      </w:tcPr>
    </w:tblStylePr>
    <w:tblStylePr w:type="lastCol">
      <w:rPr>
        <w:b w:val="1"/>
        <w:bCs w:val="1"/>
      </w:rPr>
      <w:tblPr/>
      <w:tcPr>
        <w:tcBorders>
          <w:tl2br w:color="auto" w:space="0" w:sz="0" w:val="none"/>
          <w:tr2bl w:color="auto" w:space="0" w:sz="0" w:val="none"/>
        </w:tcBorders>
      </w:tcPr>
    </w:tblStylePr>
  </w:style>
  <w:style w:type="table" w:styleId="GridTable5Dark-Accent4">
    <w:name w:val="Grid Table 5 Dark Accent 4"/>
    <w:basedOn w:val="TableNormal"/>
    <w:uiPriority w:val="50"/>
    <w:rsid w:val="00180E5F"/>
    <w:tblPr>
      <w:tblStyleRowBandSize w:val="1"/>
      <w:tblStyleColBandSize w:val="1"/>
      <w:tblBorders>
        <w:top w:color="ffffff" w:space="0" w:sz="4" w:val="single"/>
        <w:left w:color="ffffff" w:space="0" w:sz="4" w:val="single"/>
        <w:bottom w:color="ffffff" w:space="0" w:sz="4" w:val="single"/>
        <w:right w:color="ffffff" w:space="0" w:sz="4" w:val="single"/>
        <w:insideH w:color="ffffff" w:space="0" w:sz="4" w:val="single"/>
        <w:insideV w:color="ffffff" w:space="0" w:sz="4" w:val="single"/>
      </w:tblBorders>
    </w:tblPr>
    <w:tcPr>
      <w:shd w:color="auto" w:fill="fff2cc" w:val="clear"/>
    </w:tcPr>
    <w:tblStylePr w:type="firstRow">
      <w:rPr>
        <w:b w:val="1"/>
        <w:bCs w:val="1"/>
        <w:color w:val="ffffff"/>
      </w:rPr>
      <w:tblPr/>
      <w:tcPr>
        <w:tcBorders>
          <w:top w:color="ffffff" w:space="0" w:sz="4" w:val="single"/>
          <w:left w:color="ffffff" w:space="0" w:sz="4" w:val="single"/>
          <w:right w:color="ffffff" w:space="0" w:sz="4" w:val="single"/>
          <w:insideH w:space="0" w:sz="0" w:val="nil"/>
          <w:insideV w:space="0" w:sz="0" w:val="nil"/>
        </w:tcBorders>
        <w:shd w:color="auto" w:fill="ffc000" w:val="clear"/>
      </w:tcPr>
    </w:tblStylePr>
    <w:tblStylePr w:type="lastRow">
      <w:rPr>
        <w:b w:val="1"/>
        <w:bCs w:val="1"/>
        <w:color w:val="ffffff"/>
      </w:rPr>
      <w:tblPr/>
      <w:tcPr>
        <w:tcBorders>
          <w:left w:color="ffffff" w:space="0" w:sz="4" w:val="single"/>
          <w:bottom w:color="ffffff" w:space="0" w:sz="4" w:val="single"/>
          <w:right w:color="ffffff" w:space="0" w:sz="4" w:val="single"/>
          <w:insideH w:space="0" w:sz="0" w:val="nil"/>
          <w:insideV w:space="0" w:sz="0" w:val="nil"/>
        </w:tcBorders>
        <w:shd w:color="auto" w:fill="ffc000" w:val="clear"/>
      </w:tcPr>
    </w:tblStylePr>
    <w:tblStylePr w:type="firstCol">
      <w:rPr>
        <w:b w:val="1"/>
        <w:bCs w:val="1"/>
        <w:color w:val="ffffff"/>
      </w:rPr>
      <w:tblPr/>
      <w:tcPr>
        <w:tcBorders>
          <w:top w:color="ffffff" w:space="0" w:sz="4" w:val="single"/>
          <w:left w:color="ffffff" w:space="0" w:sz="4" w:val="single"/>
          <w:bottom w:color="ffffff" w:space="0" w:sz="4" w:val="single"/>
          <w:insideV w:space="0" w:sz="0" w:val="nil"/>
        </w:tcBorders>
        <w:shd w:color="auto" w:fill="ffc000" w:val="clear"/>
      </w:tcPr>
    </w:tblStylePr>
    <w:tblStylePr w:type="lastCol">
      <w:rPr>
        <w:b w:val="1"/>
        <w:bCs w:val="1"/>
        <w:color w:val="ffffff"/>
      </w:rPr>
      <w:tblPr/>
      <w:tcPr>
        <w:tcBorders>
          <w:top w:color="ffffff" w:space="0" w:sz="4" w:val="single"/>
          <w:bottom w:color="ffffff" w:space="0" w:sz="4" w:val="single"/>
          <w:right w:color="ffffff" w:space="0" w:sz="4" w:val="single"/>
          <w:insideV w:space="0" w:sz="0" w:val="nil"/>
        </w:tcBorders>
        <w:shd w:color="auto" w:fill="ffc000" w:val="clear"/>
      </w:tcPr>
    </w:tblStylePr>
    <w:tblStylePr w:type="band1Vert">
      <w:tblPr/>
      <w:tcPr>
        <w:shd w:color="auto" w:fill="ffe599" w:val="clear"/>
      </w:tcPr>
    </w:tblStylePr>
    <w:tblStylePr w:type="band1Horz">
      <w:tblPr/>
      <w:tcPr>
        <w:shd w:color="auto" w:fill="ffe599" w:val="clear"/>
      </w:tcPr>
    </w:tblStylePr>
  </w:style>
  <w:style w:type="table" w:styleId="MediumGrid3-Accent4">
    <w:name w:val="Medium Grid 3 Accent 4"/>
    <w:basedOn w:val="TableNormal"/>
    <w:uiPriority w:val="69"/>
    <w:rsid w:val="00180E5F"/>
    <w:tblPr>
      <w:tblStyleRowBandSize w:val="1"/>
      <w:tblStyleColBandSize w:val="1"/>
      <w:tblBorders>
        <w:top w:color="ffffff" w:space="0" w:sz="8" w:val="single"/>
        <w:left w:color="ffffff" w:space="0" w:sz="8" w:val="single"/>
        <w:bottom w:color="ffffff" w:space="0" w:sz="8" w:val="single"/>
        <w:right w:color="ffffff" w:space="0" w:sz="8" w:val="single"/>
        <w:insideH w:color="ffffff" w:space="0" w:sz="6" w:val="single"/>
        <w:insideV w:color="ffffff" w:space="0" w:sz="6" w:val="single"/>
      </w:tblBorders>
    </w:tblPr>
    <w:tcPr>
      <w:shd w:color="auto" w:fill="ffefc0" w:val="clear"/>
    </w:tcPr>
    <w:tblStylePr w:type="firstRow">
      <w:rPr>
        <w:b w:val="1"/>
        <w:bCs w:val="1"/>
        <w:i w:val="0"/>
        <w:iCs w:val="0"/>
        <w:color w:val="ffffff"/>
      </w:rPr>
      <w:tblPr/>
      <w:tcPr>
        <w:tcBorders>
          <w:top w:color="ffffff" w:space="0" w:sz="8" w:val="single"/>
          <w:left w:color="ffffff" w:space="0" w:sz="8" w:val="single"/>
          <w:bottom w:color="ffffff" w:space="0" w:sz="24" w:val="single"/>
          <w:right w:color="ffffff" w:space="0" w:sz="8" w:val="single"/>
          <w:insideH w:space="0" w:sz="0" w:val="nil"/>
          <w:insideV w:color="ffffff" w:space="0" w:sz="8" w:val="single"/>
        </w:tcBorders>
        <w:shd w:color="auto" w:fill="ffc000" w:val="clear"/>
      </w:tcPr>
    </w:tblStylePr>
    <w:tblStylePr w:type="lastRow">
      <w:rPr>
        <w:b w:val="1"/>
        <w:bCs w:val="1"/>
        <w:i w:val="0"/>
        <w:iCs w:val="0"/>
        <w:color w:val="ffffff"/>
      </w:rPr>
      <w:tblPr/>
      <w:tcPr>
        <w:tcBorders>
          <w:top w:color="ffffff" w:space="0" w:sz="24" w:val="single"/>
          <w:left w:color="ffffff" w:space="0" w:sz="8" w:val="single"/>
          <w:bottom w:color="ffffff" w:space="0" w:sz="8" w:val="single"/>
          <w:right w:color="ffffff" w:space="0" w:sz="8" w:val="single"/>
          <w:insideH w:space="0" w:sz="0" w:val="nil"/>
          <w:insideV w:color="ffffff" w:space="0" w:sz="8" w:val="single"/>
        </w:tcBorders>
        <w:shd w:color="auto" w:fill="ffc000" w:val="clear"/>
      </w:tcPr>
    </w:tblStylePr>
    <w:tblStylePr w:type="firstCol">
      <w:rPr>
        <w:b w:val="1"/>
        <w:bCs w:val="1"/>
        <w:i w:val="0"/>
        <w:iCs w:val="0"/>
        <w:color w:val="ffffff"/>
      </w:rPr>
      <w:tblPr/>
      <w:tcPr>
        <w:tcBorders>
          <w:left w:color="ffffff" w:space="0" w:sz="8" w:val="single"/>
          <w:right w:color="ffffff" w:space="0" w:sz="24" w:val="single"/>
          <w:insideH w:space="0" w:sz="0" w:val="nil"/>
          <w:insideV w:space="0" w:sz="0" w:val="nil"/>
        </w:tcBorders>
        <w:shd w:color="auto" w:fill="ffc000" w:val="clear"/>
      </w:tcPr>
    </w:tblStylePr>
    <w:tblStylePr w:type="lastCol">
      <w:rPr>
        <w:b w:val="1"/>
        <w:bCs w:val="1"/>
        <w:i w:val="0"/>
        <w:iCs w:val="0"/>
        <w:color w:val="ffffff"/>
      </w:rPr>
      <w:tblPr/>
      <w:tcPr>
        <w:tcBorders>
          <w:top w:space="0" w:sz="0" w:val="nil"/>
          <w:left w:color="ffffff" w:space="0" w:sz="24" w:val="single"/>
          <w:bottom w:space="0" w:sz="0" w:val="nil"/>
          <w:right w:space="0" w:sz="0" w:val="nil"/>
          <w:insideH w:space="0" w:sz="0" w:val="nil"/>
          <w:insideV w:space="0" w:sz="0" w:val="nil"/>
        </w:tcBorders>
        <w:shd w:color="auto" w:fill="ffc000" w:val="clear"/>
      </w:tcPr>
    </w:tblStylePr>
    <w:tblStylePr w:type="band1Vert">
      <w:tblPr/>
      <w:tcPr>
        <w:tcBorders>
          <w:top w:color="ffffff" w:space="0" w:sz="8" w:val="single"/>
          <w:left w:color="ffffff" w:space="0" w:sz="8" w:val="single"/>
          <w:bottom w:color="ffffff" w:space="0" w:sz="8" w:val="single"/>
          <w:right w:color="ffffff" w:space="0" w:sz="8" w:val="single"/>
          <w:insideH w:space="0" w:sz="0" w:val="nil"/>
          <w:insideV w:space="0" w:sz="0" w:val="nil"/>
        </w:tcBorders>
        <w:shd w:color="auto" w:fill="ffdf80" w:val="clear"/>
      </w:tcPr>
    </w:tblStylePr>
    <w:tblStylePr w:type="band1Horz">
      <w:tblPr/>
      <w:tcPr>
        <w:tcBorders>
          <w:top w:color="ffffff" w:space="0" w:sz="8" w:val="single"/>
          <w:left w:color="ffffff" w:space="0" w:sz="8" w:val="single"/>
          <w:bottom w:color="ffffff" w:space="0" w:sz="8" w:val="single"/>
          <w:right w:color="ffffff" w:space="0" w:sz="8" w:val="single"/>
          <w:insideH w:color="ffffff" w:space="0" w:sz="8" w:val="single"/>
          <w:insideV w:color="ffffff" w:space="0" w:sz="8" w:val="single"/>
        </w:tcBorders>
        <w:shd w:color="auto" w:fill="ffdf80" w:val="clear"/>
      </w:tcPr>
    </w:tblStylePr>
  </w:style>
  <w:style w:type="paragraph" w:styleId="fixed" w:customStyle="1">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val="1"/>
      <w:sz w:val="24"/>
    </w:rPr>
  </w:style>
  <w:style w:type="paragraph" w:styleId="bullet" w:customStyle="1">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styleId="fixedChar" w:customStyle="1">
    <w:name w:val="fixed Char"/>
    <w:link w:val="fixed"/>
    <w:rsid w:val="00180E5F"/>
    <w:rPr>
      <w:b w:val="1"/>
      <w:sz w:val="24"/>
    </w:rPr>
  </w:style>
  <w:style w:type="character" w:styleId="bulletChar" w:customStyle="1">
    <w:name w:val="bullet Char"/>
    <w:link w:val="bullet"/>
    <w:rsid w:val="00180E5F"/>
    <w:rPr>
      <w:sz w:val="24"/>
    </w:rPr>
  </w:style>
  <w:style w:type="character" w:styleId="ListParagraphChar" w:customStyle="1">
    <w:name w:val="List Paragraph Char"/>
    <w:link w:val="ListParagraph"/>
    <w:uiPriority w:val="34"/>
    <w:locked w:val="1"/>
    <w:rsid w:val="00180E5F"/>
    <w:rPr>
      <w:sz w:val="24"/>
      <w:lang w:eastAsia="en-US"/>
    </w:rPr>
  </w:style>
  <w:style w:type="paragraph" w:styleId="StyleCJ1" w:customStyle="1">
    <w:name w:val="StyleCJ1"/>
    <w:basedOn w:val="Heading1"/>
    <w:link w:val="StyleCJ1Char"/>
    <w:qFormat w:val="1"/>
    <w:rsid w:val="009903DA"/>
    <w:rPr>
      <w:rFonts w:ascii="Calibri" w:cs="Calibri" w:hAnsi="Calibri"/>
      <w:sz w:val="28"/>
      <w:szCs w:val="22"/>
    </w:rPr>
  </w:style>
  <w:style w:type="paragraph" w:styleId="Style1CJ2" w:customStyle="1">
    <w:name w:val="Style1CJ2"/>
    <w:basedOn w:val="Heading1"/>
    <w:link w:val="Style1CJ2Char"/>
    <w:qFormat w:val="1"/>
    <w:rsid w:val="009903DA"/>
    <w:rPr>
      <w:rFonts w:ascii="Calibri" w:cs="Calibri" w:hAnsi="Calibri"/>
      <w:sz w:val="22"/>
      <w:szCs w:val="22"/>
      <w:lang w:eastAsia="en-GB"/>
    </w:rPr>
  </w:style>
  <w:style w:type="character" w:styleId="StyleCJ1Char" w:customStyle="1">
    <w:name w:val="StyleCJ1 Char"/>
    <w:link w:val="StyleCJ1"/>
    <w:rsid w:val="009903DA"/>
    <w:rPr>
      <w:rFonts w:ascii="Calibri" w:cs="Calibri" w:eastAsia="Times New Roman" w:hAnsi="Calibri"/>
      <w:b w:val="1"/>
      <w:bCs w:val="1"/>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color="f4b083" w:space="0" w:sz="4" w:val="single"/>
        <w:left w:color="f4b083" w:space="0" w:sz="4" w:val="single"/>
        <w:bottom w:color="f4b083" w:space="0" w:sz="4" w:val="single"/>
        <w:right w:color="f4b083" w:space="0" w:sz="4" w:val="single"/>
        <w:insideH w:color="f4b083" w:space="0" w:sz="4" w:val="single"/>
        <w:insideV w:color="f4b083" w:space="0" w:sz="4" w:val="single"/>
      </w:tblBorders>
    </w:tblPr>
    <w:tblStylePr w:type="firstRow">
      <w:rPr>
        <w:b w:val="1"/>
        <w:bCs w:val="1"/>
        <w:color w:val="ffffff"/>
      </w:rPr>
      <w:tblPr/>
      <w:tcPr>
        <w:tcBorders>
          <w:top w:color="ed7d31" w:space="0" w:sz="4" w:val="single"/>
          <w:left w:color="ed7d31" w:space="0" w:sz="4" w:val="single"/>
          <w:bottom w:color="ed7d31" w:space="0" w:sz="4" w:val="single"/>
          <w:right w:color="ed7d31" w:space="0" w:sz="4" w:val="single"/>
          <w:insideH w:space="0" w:sz="0" w:val="nil"/>
          <w:insideV w:space="0" w:sz="0" w:val="nil"/>
        </w:tcBorders>
        <w:shd w:color="auto" w:fill="ed7d31" w:val="clear"/>
      </w:tcPr>
    </w:tblStylePr>
    <w:tblStylePr w:type="lastRow">
      <w:rPr>
        <w:b w:val="1"/>
        <w:bCs w:val="1"/>
      </w:rPr>
      <w:tblPr/>
      <w:tcPr>
        <w:tcBorders>
          <w:top w:color="ed7d31" w:space="0" w:sz="4" w:val="double"/>
        </w:tcBorders>
      </w:tcPr>
    </w:tblStylePr>
    <w:tblStylePr w:type="firstCol">
      <w:rPr>
        <w:b w:val="1"/>
        <w:bCs w:val="1"/>
      </w:rPr>
    </w:tblStylePr>
    <w:tblStylePr w:type="lastCol">
      <w:rPr>
        <w:b w:val="1"/>
        <w:bCs w:val="1"/>
      </w:rPr>
    </w:tblStylePr>
    <w:tblStylePr w:type="band1Vert">
      <w:tblPr/>
      <w:tcPr>
        <w:shd w:color="auto" w:fill="fbe4d5" w:val="clear"/>
      </w:tcPr>
    </w:tblStylePr>
    <w:tblStylePr w:type="band1Horz">
      <w:tblPr/>
      <w:tcPr>
        <w:shd w:color="auto" w:fill="fbe4d5" w:val="clear"/>
      </w:tcPr>
    </w:tblStylePr>
  </w:style>
  <w:style w:type="character" w:styleId="Style1CJ2Char" w:customStyle="1">
    <w:name w:val="Style1CJ2 Char"/>
    <w:link w:val="Style1CJ2"/>
    <w:rsid w:val="009903DA"/>
    <w:rPr>
      <w:rFonts w:ascii="Calibri" w:cs="Calibri" w:eastAsia="Times New Roman" w:hAnsi="Calibri"/>
      <w:b w:val="1"/>
      <w:bCs w:val="1"/>
      <w:kern w:val="32"/>
      <w:sz w:val="22"/>
      <w:szCs w:val="22"/>
      <w:lang w:eastAsia="en-US"/>
    </w:rPr>
  </w:style>
  <w:style w:type="character" w:styleId="UnresolvedMention">
    <w:name w:val="Unresolved Mention"/>
    <w:uiPriority w:val="99"/>
    <w:semiHidden w:val="1"/>
    <w:unhideWhenUsed w:val="1"/>
    <w:rsid w:val="0079068F"/>
    <w:rPr>
      <w:color w:val="605e5c"/>
      <w:shd w:color="auto" w:fill="e1dfdd" w:val="clear"/>
    </w:rPr>
  </w:style>
  <w:style w:type="paragraph" w:styleId="TOCHeading">
    <w:name w:val="TOC Heading"/>
    <w:basedOn w:val="Heading1"/>
    <w:next w:val="Normal"/>
    <w:uiPriority w:val="39"/>
    <w:unhideWhenUsed w:val="1"/>
    <w:qFormat w:val="1"/>
    <w:rsid w:val="00D977FF"/>
    <w:pPr>
      <w:keepLines w:val="1"/>
      <w:spacing w:after="0" w:line="259" w:lineRule="auto"/>
      <w:outlineLvl w:val="9"/>
    </w:pPr>
    <w:rPr>
      <w:rFonts w:ascii="Calibri Light" w:cs="Times New Roman" w:hAnsi="Calibri Light"/>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color="ffd966" w:space="0" w:sz="4" w:val="single"/>
        <w:left w:color="ffd966" w:space="0" w:sz="4" w:val="single"/>
        <w:bottom w:color="ffd966" w:space="0" w:sz="4" w:val="single"/>
        <w:right w:color="ffd966" w:space="0" w:sz="4" w:val="single"/>
        <w:insideH w:color="ffd966" w:space="0" w:sz="4" w:val="single"/>
        <w:insideV w:color="ffd966" w:space="0" w:sz="4" w:val="single"/>
      </w:tblBorders>
    </w:tblPr>
    <w:tblStylePr w:type="firstRow">
      <w:rPr>
        <w:b w:val="1"/>
        <w:bCs w:val="1"/>
      </w:rPr>
      <w:tblPr/>
      <w:tcPr>
        <w:tcBorders>
          <w:bottom w:color="ffd966" w:space="0" w:sz="12" w:val="single"/>
        </w:tcBorders>
      </w:tcPr>
    </w:tblStylePr>
    <w:tblStylePr w:type="lastRow">
      <w:rPr>
        <w:b w:val="1"/>
        <w:bCs w:val="1"/>
      </w:rPr>
      <w:tblPr/>
      <w:tcPr>
        <w:tcBorders>
          <w:top w:color="ffd966" w:space="0" w:sz="4" w:val="double"/>
        </w:tcBorders>
      </w:tcPr>
    </w:tblStylePr>
    <w:tblStylePr w:type="firstCol">
      <w:rPr>
        <w:b w:val="1"/>
        <w:bCs w:val="1"/>
      </w:rPr>
    </w:tblStylePr>
    <w:tblStylePr w:type="lastCol">
      <w:rPr>
        <w:b w:val="1"/>
        <w:bCs w:val="1"/>
      </w:rPr>
    </w:tblStylePr>
    <w:tblStylePr w:type="band1Vert">
      <w:tblPr/>
      <w:tcPr>
        <w:shd w:color="auto" w:fill="fff2cc" w:val="clear"/>
      </w:tcPr>
    </w:tblStylePr>
    <w:tblStylePr w:type="band1Horz">
      <w:tblPr/>
      <w:tcPr>
        <w:shd w:color="auto" w:fill="fff2cc" w:val="clear"/>
      </w:tcPr>
    </w:tblStylePr>
  </w:style>
  <w:style w:type="table" w:styleId="MediumGrid1-Accent4">
    <w:name w:val="Medium Grid 1 Accent 4"/>
    <w:basedOn w:val="TableNormal"/>
    <w:uiPriority w:val="67"/>
    <w:rsid w:val="00D977FF"/>
    <w:tblPr>
      <w:tblStyleRowBandSize w:val="1"/>
      <w:tblStyleColBandSize w:val="1"/>
      <w:tblBorders>
        <w:top w:color="ffcf40" w:space="0" w:sz="8" w:val="single"/>
        <w:left w:color="ffcf40" w:space="0" w:sz="8" w:val="single"/>
        <w:bottom w:color="ffcf40" w:space="0" w:sz="8" w:val="single"/>
        <w:right w:color="ffcf40" w:space="0" w:sz="8" w:val="single"/>
        <w:insideH w:color="ffcf40" w:space="0" w:sz="8" w:val="single"/>
        <w:insideV w:color="ffcf40" w:space="0" w:sz="8" w:val="single"/>
      </w:tblBorders>
    </w:tblPr>
    <w:tcPr>
      <w:shd w:color="auto" w:fill="ffefc0" w:val="clear"/>
    </w:tcPr>
    <w:tblStylePr w:type="firstRow">
      <w:rPr>
        <w:b w:val="1"/>
        <w:bCs w:val="1"/>
      </w:rPr>
    </w:tblStylePr>
    <w:tblStylePr w:type="lastRow">
      <w:rPr>
        <w:b w:val="1"/>
        <w:bCs w:val="1"/>
      </w:rPr>
      <w:tblPr/>
      <w:tcPr>
        <w:tcBorders>
          <w:top w:color="ffcf40" w:space="0" w:sz="18" w:val="single"/>
        </w:tcBorders>
      </w:tcPr>
    </w:tblStylePr>
    <w:tblStylePr w:type="firstCol">
      <w:rPr>
        <w:b w:val="1"/>
        <w:bCs w:val="1"/>
      </w:rPr>
    </w:tblStylePr>
    <w:tblStylePr w:type="lastCol">
      <w:rPr>
        <w:b w:val="1"/>
        <w:bCs w:val="1"/>
      </w:rPr>
    </w:tblStylePr>
    <w:tblStylePr w:type="band1Vert">
      <w:tblPr/>
      <w:tcPr>
        <w:shd w:color="auto" w:fill="ffdf80" w:val="clear"/>
      </w:tcPr>
    </w:tblStylePr>
    <w:tblStylePr w:type="band1Horz">
      <w:tblPr/>
      <w:tcPr>
        <w:shd w:color="auto" w:fill="ffdf80" w:val="clear"/>
      </w:tcPr>
    </w:tblStylePr>
  </w:style>
  <w:style w:type="table" w:styleId="GridTable5Dark-Accent5">
    <w:name w:val="Grid Table 5 Dark Accent 5"/>
    <w:basedOn w:val="TableNormal"/>
    <w:uiPriority w:val="50"/>
    <w:rsid w:val="00D82F4E"/>
    <w:tblPr>
      <w:tblStyleRowBandSize w:val="1"/>
      <w:tblStyleColBandSize w:val="1"/>
      <w:tblBorders>
        <w:top w:color="ffffff" w:space="0" w:sz="4" w:themeColor="background1" w:val="single"/>
        <w:left w:color="ffffff" w:space="0" w:sz="4" w:themeColor="background1" w:val="single"/>
        <w:bottom w:color="ffffff" w:space="0" w:sz="4" w:themeColor="background1" w:val="single"/>
        <w:right w:color="ffffff" w:space="0" w:sz="4" w:themeColor="background1" w:val="single"/>
        <w:insideH w:color="ffffff" w:space="0" w:sz="4" w:themeColor="background1" w:val="single"/>
        <w:insideV w:color="ffffff" w:space="0" w:sz="4" w:themeColor="background1" w:val="single"/>
      </w:tblBorders>
    </w:tblPr>
    <w:tcPr>
      <w:shd w:color="auto" w:fill="deeaf6" w:themeFill="accent5" w:themeFillTint="000033" w:val="clear"/>
    </w:tcPr>
    <w:tblStylePr w:type="firstRow">
      <w:rPr>
        <w:b w:val="1"/>
        <w:bCs w:val="1"/>
        <w:color w:val="ffffff" w:themeColor="background1"/>
      </w:rPr>
      <w:tblPr/>
      <w:tcPr>
        <w:tcBorders>
          <w:top w:color="ffffff" w:space="0" w:sz="4" w:themeColor="background1" w:val="single"/>
          <w:left w:color="ffffff" w:space="0" w:sz="4" w:themeColor="background1" w:val="single"/>
          <w:right w:color="ffffff" w:space="0" w:sz="4" w:themeColor="background1" w:val="single"/>
          <w:insideH w:space="0" w:sz="0" w:val="nil"/>
          <w:insideV w:space="0" w:sz="0" w:val="nil"/>
        </w:tcBorders>
        <w:shd w:color="auto" w:fill="5b9bd5" w:themeFill="accent5" w:val="clear"/>
      </w:tcPr>
    </w:tblStylePr>
    <w:tblStylePr w:type="lastRow">
      <w:rPr>
        <w:b w:val="1"/>
        <w:bCs w:val="1"/>
        <w:color w:val="ffffff" w:themeColor="background1"/>
      </w:rPr>
      <w:tblPr/>
      <w:tcPr>
        <w:tcBorders>
          <w:left w:color="ffffff" w:space="0" w:sz="4" w:themeColor="background1" w:val="single"/>
          <w:bottom w:color="ffffff" w:space="0" w:sz="4" w:themeColor="background1" w:val="single"/>
          <w:right w:color="ffffff" w:space="0" w:sz="4" w:themeColor="background1" w:val="single"/>
          <w:insideH w:space="0" w:sz="0" w:val="nil"/>
          <w:insideV w:space="0" w:sz="0" w:val="nil"/>
        </w:tcBorders>
        <w:shd w:color="auto" w:fill="5b9bd5" w:themeFill="accent5" w:val="clear"/>
      </w:tcPr>
    </w:tblStylePr>
    <w:tblStylePr w:type="firstCol">
      <w:rPr>
        <w:b w:val="1"/>
        <w:bCs w:val="1"/>
        <w:color w:val="ffffff" w:themeColor="background1"/>
      </w:rPr>
      <w:tblPr/>
      <w:tcPr>
        <w:tcBorders>
          <w:top w:color="ffffff" w:space="0" w:sz="4" w:themeColor="background1" w:val="single"/>
          <w:left w:color="ffffff" w:space="0" w:sz="4" w:themeColor="background1" w:val="single"/>
          <w:bottom w:color="ffffff" w:space="0" w:sz="4" w:themeColor="background1" w:val="single"/>
          <w:insideV w:space="0" w:sz="0" w:val="nil"/>
        </w:tcBorders>
        <w:shd w:color="auto" w:fill="5b9bd5" w:themeFill="accent5" w:val="clear"/>
      </w:tcPr>
    </w:tblStylePr>
    <w:tblStylePr w:type="lastCol">
      <w:rPr>
        <w:b w:val="1"/>
        <w:bCs w:val="1"/>
        <w:color w:val="ffffff" w:themeColor="background1"/>
      </w:rPr>
      <w:tblPr/>
      <w:tcPr>
        <w:tcBorders>
          <w:top w:color="ffffff" w:space="0" w:sz="4" w:themeColor="background1" w:val="single"/>
          <w:bottom w:color="ffffff" w:space="0" w:sz="4" w:themeColor="background1" w:val="single"/>
          <w:right w:color="ffffff" w:space="0" w:sz="4" w:themeColor="background1" w:val="single"/>
          <w:insideV w:space="0" w:sz="0" w:val="nil"/>
        </w:tcBorders>
        <w:shd w:color="auto" w:fill="5b9bd5" w:themeFill="accent5" w:val="clear"/>
      </w:tcPr>
    </w:tblStylePr>
    <w:tblStylePr w:type="band1Vert">
      <w:tblPr/>
      <w:tcPr>
        <w:shd w:color="auto" w:fill="bdd6ee" w:themeFill="accent5" w:themeFillTint="000066" w:val="clear"/>
      </w:tcPr>
    </w:tblStylePr>
    <w:tblStylePr w:type="band1Horz">
      <w:tblPr/>
      <w:tcPr>
        <w:shd w:color="auto" w:fill="bdd6ee" w:themeFill="accent5" w:themeFillTint="000066" w:val="clear"/>
      </w:tcPr>
    </w:tblStylePr>
  </w:style>
  <w:style w:type="paragraph" w:styleId="Subheadingcj" w:customStyle="1">
    <w:name w:val="Subheadingcj"/>
    <w:basedOn w:val="Normal"/>
    <w:link w:val="SubheadingcjChar"/>
    <w:qFormat w:val="1"/>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cstheme="minorHAnsi" w:hAnsiTheme="minorHAnsi"/>
    </w:rPr>
  </w:style>
  <w:style w:type="character" w:styleId="SubheadingcjChar" w:customStyle="1">
    <w:name w:val="Subheadingcj Char"/>
    <w:basedOn w:val="DefaultParagraphFont"/>
    <w:link w:val="Subheadingcj"/>
    <w:rsid w:val="00165440"/>
    <w:rPr>
      <w:rFonts w:asciiTheme="minorHAnsi" w:cstheme="minorHAnsi" w:hAnsiTheme="minorHAnsi"/>
      <w:sz w:val="24"/>
      <w:lang w:eastAsia="en-US"/>
    </w:rPr>
  </w:style>
  <w:style w:type="table" w:styleId="TableGrid39" w:customStyle="1">
    <w:name w:val="Table Grid39"/>
    <w:basedOn w:val="TableNormal"/>
    <w:next w:val="TableGrid"/>
    <w:uiPriority w:val="59"/>
    <w:rsid w:val="00F65000"/>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0.0" w:type="dxa"/>
        <w:bottom w:w="0.0" w:type="dxa"/>
        <w:right w:w="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gov.uk/government/statistics/proven-reoffending-statistics-january-to-march-2024/proven-reoffending-statistics-january-to-march-2024?utm_source=chatgpt.com" TargetMode="External"/><Relationship Id="rId10" Type="http://schemas.openxmlformats.org/officeDocument/2006/relationships/hyperlink" Target="https://www.magistrates-association.org.uk/blog/what-do-the-public-know-about-prisons/" TargetMode="External"/><Relationship Id="rId13" Type="http://schemas.openxmlformats.org/officeDocument/2006/relationships/hyperlink" Target="https://assets.publishing.service.gov.uk/media/68fa7260b3e33205c4e6f058/PRSQ_Bulletin_oct_to_dec_23.pdf?utm_source=chatgpt.com" TargetMode="External"/><Relationship Id="rId12" Type="http://schemas.openxmlformats.org/officeDocument/2006/relationships/hyperlink" Target="https://www.gov.uk/government/publications/unlock-opportunity-employer-information-pack-and-case-studies/employing-prisoners-and-ex-offenders#future-skills-programm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iriss.org.uk/resources/insights/how-why-people-stop-offending-discovering-desistance" TargetMode="External"/><Relationship Id="rId15" Type="http://schemas.openxmlformats.org/officeDocument/2006/relationships/hyperlink" Target="https://prisonreformtrust.org.uk/adviceguide/education-and-work-in-prison/?utm_source=chatgpt.com" TargetMode="External"/><Relationship Id="rId14" Type="http://schemas.openxmlformats.org/officeDocument/2006/relationships/hyperlink" Target="https://www.gov.uk/government/publications/new-guidance-on-the-rehabilitation-of-offenders-act-1974/guidance-on-the-rehabilitation-of-offenders-act-1974-and-the-exceptions-order-1975?utm_source=chatgpt.com" TargetMode="External"/><Relationship Id="rId17" Type="http://schemas.openxmlformats.org/officeDocument/2006/relationships/hyperlink" Target="https://prisonreformtrust.org.uk/report-underlines-urgent-need-to-reduce-demand-on-our-critically-overburdened-prisons/" TargetMode="External"/><Relationship Id="rId16" Type="http://schemas.openxmlformats.org/officeDocument/2006/relationships/hyperlink" Target="https://prisonreformtrust.org.uk/report-underlines-urgent-need-to-reduce-demand-on-our-critically-overburdened-prisons/" TargetMode="External"/><Relationship Id="rId5" Type="http://schemas.openxmlformats.org/officeDocument/2006/relationships/styles" Target="styles.xml"/><Relationship Id="rId6" Type="http://schemas.openxmlformats.org/officeDocument/2006/relationships/customXml" Target="../customXML/item1.xml"/><Relationship Id="rId18" Type="http://schemas.openxmlformats.org/officeDocument/2006/relationships/footer" Target="footer1.xml"/><Relationship Id="rId7" Type="http://schemas.openxmlformats.org/officeDocument/2006/relationships/image" Target="media/image1.png"/><Relationship Id="rId8" Type="http://schemas.openxmlformats.org/officeDocument/2006/relationships/hyperlink" Target="mailto:mike.durke@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Oofnq/PEYwgv4g4qYHqjAxshBLw==">CgMxLjAyDmguZnRzN2diNzdjaXA2OAByITFhQU1ESXFNeGsyUHd6bC14SVhJX3E1ZHVSWS1Xd2JIbw==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2021-10-08T16:31:00Z</dcterms:created>
  <dc:creator>bus-sh</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