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Основний текст A"/>
        <w:spacing w:line="360" w:lineRule="auto"/>
        <w:rPr>
          <w:rFonts w:ascii="Arial" w:hAnsi="Arial"/>
        </w:rPr>
      </w:pPr>
      <w:r>
        <w:rPr>
          <w:rFonts w:ascii="Arial" w:hAnsi="Arial"/>
        </w:rPr>
        <w:drawing xmlns:a="http://schemas.openxmlformats.org/drawingml/2006/main">
          <wp:inline distT="0" distB="0" distL="0" distR="0">
            <wp:extent cx="2619375" cy="1165894"/>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2619375" cy="1165894"/>
                    </a:xfrm>
                    <a:prstGeom prst="rect">
                      <a:avLst/>
                    </a:prstGeom>
                    <a:ln w="12700" cap="flat">
                      <a:noFill/>
                      <a:miter lim="400000"/>
                    </a:ln>
                    <a:effectLst/>
                  </pic:spPr>
                </pic:pic>
              </a:graphicData>
            </a:graphic>
          </wp:inline>
        </w:drawing>
      </w:r>
    </w:p>
    <w:p>
      <w:pPr>
        <w:pStyle w:val="Основний текст A"/>
        <w:spacing w:line="360" w:lineRule="auto"/>
        <w:rPr>
          <w:rFonts w:ascii="Arial" w:hAnsi="Arial"/>
        </w:rPr>
      </w:pPr>
    </w:p>
    <w:p>
      <w:pPr>
        <w:pStyle w:val="Основний текст A"/>
        <w:spacing w:line="360" w:lineRule="auto"/>
        <w:rPr>
          <w:rFonts w:ascii="Arial" w:hAnsi="Arial"/>
        </w:rPr>
      </w:pPr>
    </w:p>
    <w:p>
      <w:pPr>
        <w:pStyle w:val="Основний текст A"/>
        <w:spacing w:line="360" w:lineRule="auto"/>
        <w:rPr>
          <w:rFonts w:ascii="Arial" w:hAnsi="Arial"/>
        </w:rPr>
      </w:pPr>
    </w:p>
    <w:p>
      <w:pPr>
        <w:pStyle w:val="Основний текст A"/>
        <w:spacing w:line="360" w:lineRule="auto"/>
        <w:rPr>
          <w:rFonts w:ascii="Arial" w:hAnsi="Arial"/>
        </w:rPr>
      </w:pPr>
    </w:p>
    <w:p>
      <w:pPr>
        <w:pStyle w:val="Основний текст A"/>
        <w:spacing w:line="360" w:lineRule="auto"/>
        <w:rPr>
          <w:rFonts w:ascii="Arial" w:hAnsi="Arial"/>
        </w:rPr>
      </w:pPr>
    </w:p>
    <w:p>
      <w:pPr>
        <w:pStyle w:val="Основний текст A"/>
        <w:spacing w:line="360" w:lineRule="auto"/>
        <w:jc w:val="both"/>
        <w:rPr>
          <w:rFonts w:ascii="Arial" w:cs="Arial" w:hAnsi="Arial" w:eastAsia="Arial"/>
          <w:sz w:val="28"/>
          <w:szCs w:val="28"/>
        </w:rPr>
      </w:pPr>
      <w:r>
        <w:rPr>
          <w:rFonts w:ascii="Arial" w:hAnsi="Arial"/>
          <w:b w:val="1"/>
          <w:bCs w:val="1"/>
          <w:sz w:val="28"/>
          <w:szCs w:val="28"/>
          <w:rtl w:val="0"/>
          <w:lang w:val="de-DE"/>
        </w:rPr>
        <w:t>Name:</w:t>
      </w:r>
      <w:r>
        <w:rPr>
          <w:rFonts w:ascii="Arial" w:hAnsi="Arial"/>
          <w:sz w:val="28"/>
          <w:szCs w:val="28"/>
          <w:rtl w:val="0"/>
          <w:lang w:val="de-DE"/>
        </w:rPr>
        <w:t xml:space="preserve"> </w:t>
      </w:r>
      <w:bookmarkStart w:name="_Hlk119323191" w:id="0"/>
      <w:r>
        <w:rPr>
          <w:rFonts w:ascii="Arial" w:hAnsi="Arial"/>
          <w:rtl w:val="0"/>
        </w:rPr>
        <w:t xml:space="preserve"> </w:t>
      </w:r>
      <w:bookmarkEnd w:id="0"/>
      <w:r>
        <w:rPr>
          <w:rFonts w:ascii="Arial" w:hAnsi="Arial"/>
          <w:sz w:val="28"/>
          <w:szCs w:val="28"/>
          <w:rtl w:val="0"/>
          <w:lang w:val="en-US"/>
        </w:rPr>
        <w:t>Iryna Didushok</w:t>
      </w:r>
    </w:p>
    <w:p>
      <w:pPr>
        <w:pStyle w:val="Основний текст A"/>
        <w:spacing w:line="360" w:lineRule="auto"/>
        <w:jc w:val="both"/>
        <w:rPr>
          <w:rFonts w:ascii="Arial" w:cs="Arial" w:hAnsi="Arial" w:eastAsia="Arial"/>
          <w:sz w:val="28"/>
          <w:szCs w:val="28"/>
        </w:rPr>
      </w:pPr>
      <w:r>
        <w:rPr>
          <w:rFonts w:ascii="Arial" w:hAnsi="Arial"/>
          <w:b w:val="1"/>
          <w:bCs w:val="1"/>
          <w:sz w:val="28"/>
          <w:szCs w:val="28"/>
          <w:rtl w:val="0"/>
          <w:lang w:val="en-US"/>
        </w:rPr>
        <w:t>Student ID:</w:t>
      </w:r>
      <w:r>
        <w:rPr>
          <w:rFonts w:ascii="Arial" w:hAnsi="Arial"/>
          <w:sz w:val="28"/>
          <w:szCs w:val="28"/>
          <w:rtl w:val="0"/>
          <w:lang w:val="en-US"/>
        </w:rPr>
        <w:t xml:space="preserve"> 2436149</w:t>
      </w:r>
    </w:p>
    <w:p>
      <w:pPr>
        <w:pStyle w:val="Основний текст A"/>
        <w:spacing w:line="360" w:lineRule="auto"/>
        <w:jc w:val="both"/>
        <w:rPr>
          <w:rFonts w:ascii="Arial" w:cs="Arial" w:hAnsi="Arial" w:eastAsia="Arial"/>
          <w:sz w:val="28"/>
          <w:szCs w:val="28"/>
        </w:rPr>
      </w:pPr>
      <w:r>
        <w:rPr>
          <w:rFonts w:ascii="Arial" w:hAnsi="Arial"/>
          <w:b w:val="1"/>
          <w:bCs w:val="1"/>
          <w:sz w:val="28"/>
          <w:szCs w:val="28"/>
          <w:rtl w:val="0"/>
          <w:lang w:val="en-US"/>
        </w:rPr>
        <w:t>Module Code:</w:t>
      </w:r>
      <w:r>
        <w:rPr>
          <w:rFonts w:ascii="Arial" w:hAnsi="Arial"/>
          <w:sz w:val="28"/>
          <w:szCs w:val="28"/>
          <w:rtl w:val="0"/>
          <w:lang w:val="en-US"/>
        </w:rPr>
        <w:t xml:space="preserve"> LCHS4010</w:t>
      </w:r>
    </w:p>
    <w:p>
      <w:pPr>
        <w:pStyle w:val="Основний текст A"/>
        <w:spacing w:line="360" w:lineRule="auto"/>
        <w:jc w:val="both"/>
        <w:rPr>
          <w:rFonts w:ascii="Arial" w:cs="Arial" w:hAnsi="Arial" w:eastAsia="Arial"/>
          <w:sz w:val="28"/>
          <w:szCs w:val="28"/>
        </w:rPr>
      </w:pPr>
      <w:r>
        <w:rPr>
          <w:rFonts w:ascii="Arial" w:hAnsi="Arial"/>
          <w:b w:val="1"/>
          <w:bCs w:val="1"/>
          <w:sz w:val="28"/>
          <w:szCs w:val="28"/>
          <w:rtl w:val="0"/>
        </w:rPr>
        <w:t>Module:</w:t>
      </w:r>
      <w:r>
        <w:rPr>
          <w:rFonts w:ascii="Arial" w:hAnsi="Arial"/>
          <w:sz w:val="28"/>
          <w:szCs w:val="28"/>
          <w:rtl w:val="0"/>
        </w:rPr>
        <w:t xml:space="preserve"> </w:t>
      </w:r>
      <w:r>
        <w:rPr>
          <w:rFonts w:ascii="Arial" w:hAnsi="Arial"/>
          <w:sz w:val="28"/>
          <w:szCs w:val="28"/>
          <w:rtl w:val="0"/>
          <w:lang w:val="en-US"/>
        </w:rPr>
        <w:t xml:space="preserve">Psychology in Health and Social Care  </w:t>
      </w:r>
    </w:p>
    <w:p>
      <w:pPr>
        <w:pStyle w:val="Основний текст A"/>
        <w:spacing w:line="360" w:lineRule="auto"/>
        <w:jc w:val="both"/>
        <w:rPr>
          <w:rFonts w:ascii="Arial" w:cs="Arial" w:hAnsi="Arial" w:eastAsia="Arial"/>
          <w:sz w:val="24"/>
          <w:szCs w:val="24"/>
        </w:rPr>
      </w:pPr>
      <w:r>
        <w:rPr>
          <w:rFonts w:ascii="Arial" w:hAnsi="Arial"/>
          <w:b w:val="1"/>
          <w:bCs w:val="1"/>
          <w:sz w:val="28"/>
          <w:szCs w:val="28"/>
          <w:rtl w:val="0"/>
          <w:lang w:val="fr-FR"/>
        </w:rPr>
        <w:t>Lecturer:</w:t>
      </w:r>
      <w:r>
        <w:rPr>
          <w:rFonts w:ascii="Arial" w:hAnsi="Arial"/>
          <w:b w:val="1"/>
          <w:bCs w:val="1"/>
          <w:sz w:val="28"/>
          <w:szCs w:val="28"/>
          <w:rtl w:val="0"/>
          <w:lang w:val="en-US"/>
        </w:rPr>
        <w:t xml:space="preserve"> </w:t>
      </w:r>
      <w:r>
        <w:rPr>
          <w:rFonts w:ascii="Arial" w:hAnsi="Arial"/>
          <w:sz w:val="28"/>
          <w:szCs w:val="28"/>
          <w:rtl w:val="0"/>
          <w:lang w:val="en-US"/>
        </w:rPr>
        <w:t>Lou Wells</w:t>
      </w: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r>
        <w:rPr>
          <w:rFonts w:ascii="Arial" w:cs="Arial" w:hAnsi="Arial" w:eastAsia="Arial"/>
          <w:sz w:val="28"/>
          <w:szCs w:val="28"/>
          <w:rtl w:val="0"/>
          <w:lang w:val="en-US"/>
        </w:rPr>
        <w:tab/>
        <w:tab/>
        <w:tab/>
        <w:tab/>
        <w:t xml:space="preserve">  </w:t>
      </w: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Основний текст A"/>
        <w:spacing w:line="360" w:lineRule="auto"/>
        <w:jc w:val="both"/>
        <w:rPr>
          <w:rFonts w:ascii="Arial" w:cs="Arial" w:hAnsi="Arial" w:eastAsia="Arial"/>
          <w:sz w:val="28"/>
          <w:szCs w:val="28"/>
        </w:rPr>
      </w:pPr>
    </w:p>
    <w:p>
      <w:pPr>
        <w:pStyle w:val="TOC Heading"/>
        <w:spacing w:line="360" w:lineRule="auto"/>
        <w:rPr>
          <w:rFonts w:ascii="Arial" w:cs="Arial" w:hAnsi="Arial" w:eastAsia="Arial"/>
          <w:b w:val="1"/>
          <w:bCs w:val="1"/>
          <w:sz w:val="30"/>
          <w:szCs w:val="30"/>
        </w:rPr>
      </w:pPr>
      <w:r>
        <w:rPr>
          <w:rFonts w:ascii="Arial" w:hAnsi="Arial"/>
          <w:b w:val="1"/>
          <w:bCs w:val="1"/>
          <w:sz w:val="30"/>
          <w:szCs w:val="30"/>
          <w:rtl w:val="0"/>
          <w:lang w:val="en-US"/>
        </w:rPr>
        <w:t>Table of Contents</w:t>
      </w:r>
    </w:p>
    <w:p>
      <w:pPr>
        <w:pStyle w:val="Основний текст"/>
        <w:spacing w:line="360" w:lineRule="auto"/>
      </w:pPr>
      <w:r>
        <w:rPr>
          <w:rFonts w:ascii="Arial" w:cs="Arial" w:hAnsi="Arial" w:eastAsia="Arial"/>
          <w:b w:val="1"/>
          <w:bCs w:val="1"/>
          <w:sz w:val="30"/>
          <w:szCs w:val="30"/>
        </w:rPr>
        <w:fldChar w:fldCharType="begin" w:fldLock="0"/>
      </w:r>
      <w:r>
        <w:rPr>
          <w:rFonts w:ascii="Arial" w:cs="Arial" w:hAnsi="Arial" w:eastAsia="Arial"/>
          <w:b w:val="1"/>
          <w:bCs w:val="1"/>
          <w:sz w:val="30"/>
          <w:szCs w:val="30"/>
        </w:rPr>
        <w:instrText xml:space="preserve"> TOC \t "Рубрика, 1,Рубрика 2, 2"</w:instrText>
      </w:r>
      <w:r>
        <w:rPr>
          <w:rFonts w:ascii="Arial" w:cs="Arial" w:hAnsi="Arial" w:eastAsia="Arial"/>
          <w:b w:val="1"/>
          <w:bCs w:val="1"/>
          <w:sz w:val="30"/>
          <w:szCs w:val="30"/>
        </w:rPr>
        <w:fldChar w:fldCharType="separate" w:fldLock="0"/>
      </w:r>
    </w:p>
    <w:p>
      <w:pPr>
        <w:pStyle w:val="TOC 1"/>
        <w:numPr>
          <w:ilvl w:val="0"/>
          <w:numId w:val="1"/>
        </w:numPr>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2.  Part A: Annotated Bibliography</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hint="default"/>
          <w:rtl w:val="0"/>
        </w:rPr>
        <w:t>2.1. Maslow, A.H. (1943) ‘A theory of human motivation’, Psychological Review, 50(4), pp. 370–396.</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hint="default"/>
          <w:rtl w:val="0"/>
        </w:rPr>
        <w:t>2.2. Taormina, R.J. and Gao, J.H. (2013) ‘Maslow and the motivation hierarchy: Measuring satisfaction of the needs’, The American Journal of Psychology, 126(2), pp. 155–177.</w:t>
        <w:tab/>
      </w:r>
      <w:r>
        <w:rPr/>
        <w:fldChar w:fldCharType="begin" w:fldLock="0"/>
      </w:r>
      <w:r>
        <w:instrText xml:space="preserve"> PAGEREF _Toc3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2.3. Erikson, E.H. (1982) The Life Cycle Completed. New York: W.W. Norton &amp; Company.</w:t>
        <w:tab/>
      </w:r>
      <w:r>
        <w:rPr/>
        <w:fldChar w:fldCharType="begin" w:fldLock="0"/>
      </w:r>
      <w:r>
        <w:instrText xml:space="preserve"> PAGEREF _Toc4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hint="default"/>
          <w:rtl w:val="0"/>
        </w:rPr>
        <w:t>2.4. Westerhof, G.J. and Bohlmeijer, E.T. (2014) ‘Celebrating fifty years of research on the life review: The role of reminiscence in psychological wellbeing’, Aging &amp; Mental Health, 18(3), pp. 1–9.</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3. Part B: Short Report</w:t>
        <w:tab/>
      </w:r>
      <w:r>
        <w:rPr/>
        <w:fldChar w:fldCharType="begin" w:fldLock="0"/>
      </w:r>
      <w:r>
        <w:instrText xml:space="preserve"> PAGEREF _Toc6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4. Conclusion</w:t>
        <w:tab/>
      </w:r>
      <w:r>
        <w:rPr/>
        <w:fldChar w:fldCharType="begin" w:fldLock="0"/>
      </w:r>
      <w:r>
        <w:instrText xml:space="preserve"> PAGEREF _Toc7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5. References</w:t>
        <w:tab/>
      </w:r>
      <w:r>
        <w:rPr/>
        <w:fldChar w:fldCharType="begin" w:fldLock="0"/>
      </w:r>
      <w:r>
        <w:instrText xml:space="preserve"> PAGEREF _Toc8 \h </w:instrText>
      </w:r>
      <w:r>
        <w:rPr/>
        <w:fldChar w:fldCharType="separate" w:fldLock="0"/>
      </w:r>
      <w:r>
        <w:rPr>
          <w:rFonts w:cs="Arial Unicode MS" w:eastAsia="Arial Unicode MS"/>
          <w:rtl w:val="0"/>
        </w:rPr>
        <w:t>9</w:t>
      </w:r>
      <w:r>
        <w:rPr/>
        <w:fldChar w:fldCharType="end" w:fldLock="0"/>
      </w:r>
    </w:p>
    <w:p>
      <w:pPr>
        <w:spacing w:line="360" w:lineRule="auto"/>
        <w:rPr>
          <w:rFonts w:ascii="Arial" w:cs="Arial" w:hAnsi="Arial" w:eastAsia="Arial"/>
        </w:rPr>
      </w:pPr>
      <w:r>
        <w:rPr>
          <w:rFonts w:ascii="Arial" w:cs="Arial" w:hAnsi="Arial" w:eastAsia="Arial"/>
          <w:b w:val="1"/>
          <w:bCs w:val="1"/>
          <w:sz w:val="30"/>
          <w:szCs w:val="30"/>
        </w:rPr>
        <w:fldChar w:fldCharType="end" w:fldLock="0"/>
      </w: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jc w:val="both"/>
        <w:rPr>
          <w:rFonts w:ascii="Arial" w:cs="Arial" w:hAnsi="Arial" w:eastAsia="Arial"/>
          <w:b w:val="1"/>
          <w:bCs w:val="1"/>
          <w:sz w:val="28"/>
          <w:szCs w:val="28"/>
        </w:rPr>
      </w:pPr>
    </w:p>
    <w:p>
      <w:pPr>
        <w:pStyle w:val="Основний текст A"/>
        <w:spacing w:line="360" w:lineRule="auto"/>
        <w:rPr>
          <w:rFonts w:ascii="Arial" w:cs="Arial" w:hAnsi="Arial" w:eastAsia="Arial"/>
        </w:rPr>
      </w:pPr>
    </w:p>
    <w:p>
      <w:pPr>
        <w:pStyle w:val="Основний текст A"/>
        <w:spacing w:line="360" w:lineRule="auto"/>
        <w:rPr>
          <w:rFonts w:ascii="Arial" w:cs="Arial" w:hAnsi="Arial" w:eastAsia="Arial"/>
          <w:b w:val="1"/>
          <w:bCs w:val="1"/>
          <w:outline w:val="0"/>
          <w:color w:val="44546a"/>
          <w:sz w:val="21"/>
          <w:szCs w:val="21"/>
          <w:u w:color="44546a"/>
          <w:lang w:val="en-US"/>
          <w14:textFill>
            <w14:solidFill>
              <w14:srgbClr w14:val="44546A"/>
            </w14:solidFill>
          </w14:textFill>
        </w:rPr>
      </w:pPr>
    </w:p>
    <w:p>
      <w:pPr>
        <w:pStyle w:val="Основний текст A"/>
        <w:spacing w:line="360" w:lineRule="auto"/>
        <w:rPr>
          <w:rFonts w:ascii="Arial" w:cs="Arial" w:hAnsi="Arial" w:eastAsia="Arial"/>
        </w:rPr>
      </w:pPr>
    </w:p>
    <w:p>
      <w:pPr>
        <w:pStyle w:val="Основний текст A"/>
        <w:spacing w:line="360" w:lineRule="auto"/>
        <w:rPr>
          <w:rFonts w:ascii="Arial" w:cs="Arial" w:hAnsi="Arial" w:eastAsia="Arial"/>
        </w:rPr>
      </w:pPr>
    </w:p>
    <w:p>
      <w:pPr>
        <w:pStyle w:val="Основний текст A"/>
        <w:spacing w:line="360" w:lineRule="auto"/>
        <w:rPr>
          <w:rFonts w:ascii="Arial" w:cs="Arial" w:hAnsi="Arial" w:eastAsia="Arial"/>
        </w:rPr>
      </w:pPr>
    </w:p>
    <w:p>
      <w:pPr>
        <w:pStyle w:val="Основний текст A"/>
        <w:spacing w:line="360" w:lineRule="auto"/>
        <w:rPr>
          <w:rFonts w:ascii="Arial" w:cs="Arial" w:hAnsi="Arial" w:eastAsia="Arial"/>
        </w:rPr>
      </w:pPr>
    </w:p>
    <w:p>
      <w:pPr>
        <w:pStyle w:val="Основний текст A"/>
        <w:spacing w:line="360" w:lineRule="auto"/>
        <w:rPr>
          <w:rFonts w:ascii="Arial" w:cs="Arial" w:hAnsi="Arial" w:eastAsia="Arial"/>
          <w:b w:val="1"/>
          <w:bCs w:val="1"/>
          <w:outline w:val="0"/>
          <w:color w:val="44546a"/>
          <w:sz w:val="21"/>
          <w:szCs w:val="21"/>
          <w:u w:color="44546a"/>
          <w14:textFill>
            <w14:solidFill>
              <w14:srgbClr w14:val="44546A"/>
            </w14:solidFill>
          </w14:textFill>
        </w:rPr>
      </w:pPr>
    </w:p>
    <w:p>
      <w:pPr>
        <w:pStyle w:val="Рубрика"/>
        <w:spacing w:line="360" w:lineRule="auto"/>
        <w:rPr>
          <w:rFonts w:ascii="Arial" w:cs="Arial" w:hAnsi="Arial" w:eastAsia="Arial"/>
          <w:outline w:val="0"/>
          <w:color w:val="44546a"/>
          <w:sz w:val="21"/>
          <w:szCs w:val="21"/>
          <w:u w:color="44546a"/>
          <w14:textFill>
            <w14:solidFill>
              <w14:srgbClr w14:val="44546A"/>
            </w14:solidFill>
          </w14:textFill>
        </w:rPr>
      </w:pPr>
    </w:p>
    <w:p>
      <w:pPr>
        <w:pStyle w:val="Рубрика"/>
        <w:numPr>
          <w:ilvl w:val="0"/>
          <w:numId w:val="3"/>
        </w:numPr>
        <w:bidi w:val="0"/>
        <w:spacing w:line="360" w:lineRule="auto"/>
        <w:ind w:right="0"/>
        <w:jc w:val="left"/>
        <w:rPr>
          <w:rFonts w:ascii="Arial" w:cs="Arial" w:hAnsi="Arial" w:eastAsia="Arial"/>
          <w:rtl w:val="0"/>
        </w:rPr>
      </w:pPr>
      <w:bookmarkStart w:name="_Toc" w:id="1"/>
      <w:r>
        <w:rPr>
          <w:rFonts w:ascii="Arial" w:hAnsi="Arial"/>
          <w:rtl w:val="0"/>
          <w:lang w:val="en-US"/>
        </w:rPr>
        <w:t xml:space="preserve"> </w:t>
      </w:r>
      <w:r>
        <w:rPr>
          <w:rFonts w:ascii="Arial" w:hAnsi="Arial"/>
          <w:rtl w:val="0"/>
          <w:lang w:val="fr-FR"/>
        </w:rPr>
        <w:t>Introduction</w:t>
      </w:r>
      <w:bookmarkEnd w:id="1"/>
    </w:p>
    <w:p>
      <w:pPr>
        <w:pStyle w:val="Основний текст A"/>
        <w:spacing w:line="360" w:lineRule="auto"/>
        <w:rPr>
          <w:rFonts w:ascii="Arial" w:cs="Arial" w:hAnsi="Arial" w:eastAsia="Arial"/>
          <w:sz w:val="28"/>
          <w:szCs w:val="28"/>
        </w:rPr>
      </w:pPr>
    </w:p>
    <w:p>
      <w:pPr>
        <w:pStyle w:val="Типовий"/>
        <w:suppressAutoHyphens w:val="1"/>
        <w:spacing w:before="0" w:after="240" w:line="360" w:lineRule="auto"/>
        <w:rPr>
          <w:rFonts w:ascii="Arial" w:cs="Arial" w:hAnsi="Arial" w:eastAsia="Arial"/>
          <w:sz w:val="22"/>
          <w:szCs w:val="22"/>
        </w:rPr>
      </w:pPr>
      <w:r>
        <w:rPr>
          <w:rFonts w:ascii="Arial" w:hAnsi="Arial"/>
          <w:sz w:val="22"/>
          <w:szCs w:val="22"/>
          <w:rtl w:val="0"/>
          <w:lang w:val="en-US"/>
        </w:rPr>
        <w:t>Psychological theories help explain how people think, behave, and adapt in later life. In health and social care, they are used to understand the emotional and social needs of older adults, especially those living in residential care. Many residents face similar challenges: loss of independence, health problems, reduced social contact, and changes in identity. These factors directly affect psychological wellbeing. This assessment focuses on two theories: Maslow</w:t>
      </w:r>
      <w:r>
        <w:rPr>
          <w:rFonts w:ascii="Arial" w:hAnsi="Arial" w:hint="default"/>
          <w:sz w:val="22"/>
          <w:szCs w:val="22"/>
          <w:rtl w:val="0"/>
          <w:lang w:val="en-US"/>
        </w:rPr>
        <w:t>’</w:t>
      </w:r>
      <w:r>
        <w:rPr>
          <w:rFonts w:ascii="Arial" w:hAnsi="Arial"/>
          <w:sz w:val="22"/>
          <w:szCs w:val="22"/>
          <w:rtl w:val="0"/>
          <w:lang w:val="en-US"/>
        </w:rPr>
        <w:t>s hierarchy of needs and Erikson</w:t>
      </w:r>
      <w:r>
        <w:rPr>
          <w:rFonts w:ascii="Arial" w:hAnsi="Arial" w:hint="default"/>
          <w:sz w:val="22"/>
          <w:szCs w:val="22"/>
          <w:rtl w:val="0"/>
          <w:lang w:val="en-US"/>
        </w:rPr>
        <w:t>’</w:t>
      </w:r>
      <w:r>
        <w:rPr>
          <w:rFonts w:ascii="Arial" w:hAnsi="Arial"/>
          <w:sz w:val="22"/>
          <w:szCs w:val="22"/>
          <w:rtl w:val="0"/>
          <w:lang w:val="en-US"/>
        </w:rPr>
        <w:t>s psychosocial development theory. Maslow explains how different levels of needs influence wellbeing, from basic physical care to emotional fulfilment. Erikson focuses on the later stage of life, where individuals reflect on their experiences and evaluate the meaning of their life. Part A presents an annotated bibliography of four academic sources related to these theories, with summaries and critical comments on their relevance in care settings. Part B applies Erikson</w:t>
      </w:r>
      <w:r>
        <w:rPr>
          <w:rFonts w:ascii="Arial" w:hAnsi="Arial" w:hint="default"/>
          <w:sz w:val="22"/>
          <w:szCs w:val="22"/>
          <w:rtl w:val="0"/>
          <w:lang w:val="en-US"/>
        </w:rPr>
        <w:t>’</w:t>
      </w:r>
      <w:r>
        <w:rPr>
          <w:rFonts w:ascii="Arial" w:hAnsi="Arial"/>
          <w:sz w:val="22"/>
          <w:szCs w:val="22"/>
          <w:rtl w:val="0"/>
          <w:lang w:val="en-US"/>
        </w:rPr>
        <w:t>s theory in practice and shows how it can be used to support psychological wellbeing in older adults living in a care home, including a real-life scenario and discussion of challenges.</w:t>
      </w:r>
    </w:p>
    <w:p>
      <w:pPr>
        <w:pStyle w:val="Типовий"/>
        <w:suppressAutoHyphens w:val="1"/>
        <w:spacing w:before="0" w:after="240" w:line="360" w:lineRule="auto"/>
        <w:rPr>
          <w:rFonts w:ascii="Arial" w:cs="Arial" w:hAnsi="Arial" w:eastAsia="Arial"/>
          <w:sz w:val="22"/>
          <w:szCs w:val="22"/>
        </w:rPr>
      </w:pPr>
    </w:p>
    <w:p>
      <w:pPr>
        <w:pStyle w:val="Рубрика"/>
        <w:spacing w:line="360" w:lineRule="auto"/>
        <w:rPr>
          <w:rFonts w:ascii="Arial" w:cs="Arial" w:hAnsi="Arial" w:eastAsia="Arial"/>
        </w:rPr>
      </w:pPr>
    </w:p>
    <w:p>
      <w:pPr>
        <w:pStyle w:val="Рубрика"/>
        <w:spacing w:line="360" w:lineRule="auto"/>
        <w:rPr>
          <w:rFonts w:ascii="Arial" w:cs="Arial" w:hAnsi="Arial" w:eastAsia="Arial"/>
        </w:rPr>
      </w:pPr>
      <w:bookmarkStart w:name="_Toc1" w:id="2"/>
      <w:r>
        <w:rPr>
          <w:rFonts w:ascii="Arial" w:hAnsi="Arial"/>
          <w:rtl w:val="0"/>
        </w:rPr>
        <w:t xml:space="preserve">2. </w:t>
      </w:r>
      <w:r>
        <w:rPr>
          <w:rFonts w:ascii="Arial" w:hAnsi="Arial"/>
          <w:rtl w:val="0"/>
          <w:lang w:val="en-US"/>
        </w:rPr>
        <w:t xml:space="preserve"> </w:t>
      </w:r>
      <w:r>
        <w:rPr>
          <w:rFonts w:ascii="Arial" w:hAnsi="Arial"/>
          <w:rtl w:val="0"/>
          <w:lang w:val="pt-PT"/>
        </w:rPr>
        <w:t>Part A: Annotated Bibliography</w:t>
      </w:r>
      <w:bookmarkEnd w:id="2"/>
    </w:p>
    <w:p>
      <w:pPr>
        <w:pStyle w:val="Основний текст A"/>
        <w:spacing w:line="360" w:lineRule="auto"/>
        <w:rPr>
          <w:rFonts w:ascii="Arial" w:cs="Arial" w:hAnsi="Arial" w:eastAsia="Arial"/>
          <w:lang w:val="pt-PT"/>
        </w:rPr>
      </w:pPr>
    </w:p>
    <w:p>
      <w:pPr>
        <w:pStyle w:val="Рубрика 2"/>
        <w:rPr>
          <w:rFonts w:ascii="Arial" w:cs="Arial" w:hAnsi="Arial" w:eastAsia="Arial"/>
        </w:rPr>
      </w:pPr>
      <w:bookmarkStart w:name="_Toc2" w:id="3"/>
      <w:r>
        <w:rPr>
          <w:rFonts w:ascii="Arial" w:hAnsi="Arial"/>
          <w:rtl w:val="0"/>
          <w:lang w:val="en-US"/>
        </w:rPr>
        <w:t xml:space="preserve">2.1. Maslow, A.H. (1943) </w:t>
      </w:r>
      <w:r>
        <w:rPr>
          <w:rFonts w:ascii="Arial" w:hAnsi="Arial" w:hint="default"/>
          <w:rtl w:val="1"/>
        </w:rPr>
        <w:t>‘</w:t>
      </w:r>
      <w:r>
        <w:rPr>
          <w:rFonts w:ascii="Arial" w:hAnsi="Arial"/>
          <w:rtl w:val="0"/>
          <w:lang w:val="en-US"/>
        </w:rPr>
        <w:t>A theory of human motivation</w:t>
      </w:r>
      <w:r>
        <w:rPr>
          <w:rFonts w:ascii="Arial" w:hAnsi="Arial" w:hint="default"/>
          <w:rtl w:val="1"/>
        </w:rPr>
        <w:t>’</w:t>
      </w:r>
      <w:r>
        <w:rPr>
          <w:rFonts w:ascii="Arial" w:hAnsi="Arial"/>
          <w:rtl w:val="0"/>
        </w:rPr>
        <w:t xml:space="preserve">, </w:t>
      </w:r>
      <w:r>
        <w:rPr>
          <w:rFonts w:ascii="Arial" w:hAnsi="Arial"/>
          <w:i w:val="1"/>
          <w:iCs w:val="1"/>
          <w:rtl w:val="0"/>
          <w:lang w:val="en-US"/>
        </w:rPr>
        <w:t>Psychological Review</w:t>
      </w:r>
      <w:r>
        <w:rPr>
          <w:rFonts w:ascii="Arial" w:hAnsi="Arial"/>
          <w:rtl w:val="0"/>
        </w:rPr>
        <w:t>, 50(4), pp. 370</w:t>
      </w:r>
      <w:r>
        <w:rPr>
          <w:rFonts w:ascii="Arial" w:hAnsi="Arial" w:hint="default"/>
          <w:rtl w:val="0"/>
        </w:rPr>
        <w:t>–</w:t>
      </w:r>
      <w:r>
        <w:rPr>
          <w:rFonts w:ascii="Arial" w:hAnsi="Arial"/>
          <w:rtl w:val="0"/>
        </w:rPr>
        <w:t>396.</w:t>
      </w:r>
      <w:bookmarkEnd w:id="3"/>
    </w:p>
    <w:p>
      <w:pPr>
        <w:pStyle w:val="Основний текст A"/>
      </w:pPr>
    </w:p>
    <w:p>
      <w:pPr>
        <w:pStyle w:val="Типовий"/>
        <w:suppressAutoHyphens w:val="1"/>
        <w:spacing w:before="0" w:after="240" w:line="360" w:lineRule="auto"/>
        <w:jc w:val="left"/>
        <w:rPr>
          <w:rFonts w:ascii="Arial" w:cs="Arial" w:hAnsi="Arial" w:eastAsia="Arial"/>
          <w:sz w:val="22"/>
          <w:szCs w:val="22"/>
        </w:rPr>
      </w:pPr>
      <w:r>
        <w:rPr>
          <w:rFonts w:ascii="Arial" w:hAnsi="Arial"/>
          <w:b w:val="1"/>
          <w:bCs w:val="1"/>
          <w:sz w:val="22"/>
          <w:szCs w:val="22"/>
          <w:rtl w:val="0"/>
          <w:lang w:val="en-US"/>
        </w:rPr>
        <w:t>Summary:</w:t>
      </w:r>
      <w:r>
        <w:rPr>
          <w:rFonts w:ascii="Arial" w:cs="Arial" w:hAnsi="Arial" w:eastAsia="Arial"/>
          <w:sz w:val="22"/>
          <w:szCs w:val="22"/>
        </w:rPr>
        <w:br w:type="textWrapping"/>
      </w:r>
      <w:r>
        <w:rPr>
          <w:rFonts w:ascii="Arial" w:hAnsi="Arial"/>
          <w:sz w:val="22"/>
          <w:szCs w:val="22"/>
          <w:rtl w:val="0"/>
          <w:lang w:val="en-US"/>
        </w:rPr>
        <w:t>Maslow proposes that human motivation is based on a structured system of needs, starting from basic physiological requirements and moving towards safety, social connection, esteem, and self-actualisation (Maslow, 1943). According to this model, individuals tend to prioritise lower-level needs before focusing on more complex psychological development.</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In the context of older adults, the theory helps explain how unmet basic needs can negatively influence emotional and mental health. For instance, if a care home resident lacks a sense of safety, comfort, or belonging, this may result in anxiety, low mood, or social withdrawal. The model also draws attention to the importance of dignity and respect, which relate to esteem needs and are particularly significant in later life when independence may decrease.</w:t>
      </w:r>
    </w:p>
    <w:p>
      <w:pPr>
        <w:pStyle w:val="Типовий"/>
        <w:suppressAutoHyphens w:val="1"/>
        <w:spacing w:before="0" w:after="240" w:line="360" w:lineRule="auto"/>
        <w:jc w:val="left"/>
        <w:rPr>
          <w:rFonts w:ascii="Arial" w:cs="Arial" w:hAnsi="Arial" w:eastAsia="Arial"/>
          <w:sz w:val="22"/>
          <w:szCs w:val="22"/>
        </w:rPr>
      </w:pPr>
      <w:r>
        <w:rPr>
          <w:rFonts w:ascii="Arial" w:hAnsi="Arial"/>
          <w:b w:val="1"/>
          <w:bCs w:val="1"/>
          <w:sz w:val="22"/>
          <w:szCs w:val="22"/>
          <w:rtl w:val="0"/>
          <w:lang w:val="en-US"/>
        </w:rPr>
        <w:t>Critical comment:</w:t>
      </w:r>
      <w:r>
        <w:rPr>
          <w:rFonts w:ascii="Arial" w:cs="Arial" w:hAnsi="Arial" w:eastAsia="Arial"/>
          <w:sz w:val="22"/>
          <w:szCs w:val="22"/>
        </w:rPr>
        <w:br w:type="textWrapping"/>
      </w:r>
      <w:r>
        <w:rPr>
          <w:rFonts w:ascii="Arial" w:hAnsi="Arial"/>
          <w:sz w:val="22"/>
          <w:szCs w:val="22"/>
          <w:rtl w:val="0"/>
          <w:lang w:val="en-US"/>
        </w:rPr>
        <w:t>Maslow</w:t>
      </w:r>
      <w:r>
        <w:rPr>
          <w:rFonts w:ascii="Arial" w:hAnsi="Arial" w:hint="default"/>
          <w:sz w:val="22"/>
          <w:szCs w:val="22"/>
          <w:rtl w:val="0"/>
          <w:lang w:val="en-US"/>
        </w:rPr>
        <w:t>’</w:t>
      </w:r>
      <w:r>
        <w:rPr>
          <w:rFonts w:ascii="Arial" w:hAnsi="Arial"/>
          <w:sz w:val="22"/>
          <w:szCs w:val="22"/>
          <w:rtl w:val="0"/>
          <w:lang w:val="en-US"/>
        </w:rPr>
        <w:t>s framework is widely applied in health and social care because it offers a clear way to identify and organise individual needs. It supports care planning and helps professionals recognise areas where support is lacking. However, the model has limitations, as it presents needs in a fixed order. In real situations, older adults may still prioritise emotional relationships or a sense of purpose even when physical needs are not fully met. This highlights the importance of applying the theory flexibly and adapting care to each individual rather than following a strict hierarchy.</w:t>
      </w:r>
    </w:p>
    <w:p>
      <w:pPr>
        <w:pStyle w:val="Типовий"/>
        <w:suppressAutoHyphens w:val="1"/>
        <w:spacing w:before="0" w:line="360" w:lineRule="auto"/>
        <w:jc w:val="left"/>
        <w:rPr>
          <w:rFonts w:ascii="Arial" w:cs="Arial" w:hAnsi="Arial" w:eastAsia="Arial"/>
          <w:outline w:val="0"/>
          <w:color w:val="808080"/>
          <w:sz w:val="22"/>
          <w:szCs w:val="22"/>
          <w14:textFill>
            <w14:solidFill>
              <w14:srgbClr w14:val="808080"/>
            </w14:solidFill>
          </w14:textFill>
        </w:rPr>
      </w:pPr>
    </w:p>
    <w:p>
      <w:pPr>
        <w:pStyle w:val="Рубрика 2"/>
        <w:rPr>
          <w:rFonts w:ascii="Arial" w:cs="Arial" w:hAnsi="Arial" w:eastAsia="Arial"/>
        </w:rPr>
      </w:pPr>
      <w:bookmarkStart w:name="_Toc3" w:id="4"/>
      <w:r>
        <w:rPr>
          <w:rFonts w:ascii="Arial" w:hAnsi="Arial"/>
          <w:rtl w:val="0"/>
          <w:lang w:val="it-IT"/>
        </w:rPr>
        <w:t xml:space="preserve">2.2. Taormina, R.J. and Gao, J.H. (2013) </w:t>
      </w:r>
      <w:r>
        <w:rPr>
          <w:rFonts w:ascii="Arial" w:hAnsi="Arial" w:hint="default"/>
          <w:rtl w:val="1"/>
        </w:rPr>
        <w:t>‘</w:t>
      </w:r>
      <w:r>
        <w:rPr>
          <w:rFonts w:ascii="Arial" w:hAnsi="Arial"/>
          <w:rtl w:val="0"/>
          <w:lang w:val="en-US"/>
        </w:rPr>
        <w:t>Maslow and the motivation hierarchy: Measuring satisfaction of the needs</w:t>
      </w:r>
      <w:r>
        <w:rPr>
          <w:rFonts w:ascii="Arial" w:hAnsi="Arial" w:hint="default"/>
          <w:rtl w:val="1"/>
        </w:rPr>
        <w:t>’</w:t>
      </w:r>
      <w:r>
        <w:rPr>
          <w:rFonts w:ascii="Arial" w:hAnsi="Arial"/>
          <w:rtl w:val="0"/>
        </w:rPr>
        <w:t xml:space="preserve">, </w:t>
      </w:r>
      <w:r>
        <w:rPr>
          <w:rFonts w:ascii="Arial" w:hAnsi="Arial"/>
          <w:i w:val="1"/>
          <w:iCs w:val="1"/>
          <w:rtl w:val="0"/>
          <w:lang w:val="en-US"/>
        </w:rPr>
        <w:t>The American Journal of Psychology</w:t>
      </w:r>
      <w:r>
        <w:rPr>
          <w:rFonts w:ascii="Arial" w:hAnsi="Arial"/>
          <w:rtl w:val="0"/>
        </w:rPr>
        <w:t>, 126(2), pp. 155</w:t>
      </w:r>
      <w:r>
        <w:rPr>
          <w:rFonts w:ascii="Arial" w:hAnsi="Arial" w:hint="default"/>
          <w:rtl w:val="0"/>
        </w:rPr>
        <w:t>–</w:t>
      </w:r>
      <w:r>
        <w:rPr>
          <w:rFonts w:ascii="Arial" w:hAnsi="Arial"/>
          <w:rtl w:val="0"/>
        </w:rPr>
        <w:t>177.</w:t>
      </w:r>
      <w:bookmarkEnd w:id="4"/>
    </w:p>
    <w:p>
      <w:pPr>
        <w:pStyle w:val="Основний текст A"/>
      </w:pPr>
    </w:p>
    <w:p>
      <w:pPr>
        <w:pStyle w:val="Типовий"/>
        <w:suppressAutoHyphens w:val="1"/>
        <w:spacing w:before="0" w:after="240" w:line="360" w:lineRule="auto"/>
        <w:jc w:val="left"/>
        <w:rPr>
          <w:rFonts w:ascii="Arial" w:cs="Arial" w:hAnsi="Arial" w:eastAsia="Arial"/>
          <w:sz w:val="22"/>
          <w:szCs w:val="22"/>
        </w:rPr>
      </w:pPr>
      <w:r>
        <w:rPr>
          <w:rFonts w:ascii="Arial" w:hAnsi="Arial"/>
          <w:b w:val="1"/>
          <w:bCs w:val="1"/>
          <w:sz w:val="22"/>
          <w:szCs w:val="22"/>
          <w:rtl w:val="0"/>
          <w:lang w:val="en-US"/>
        </w:rPr>
        <w:t>Summary:</w:t>
      </w:r>
      <w:r>
        <w:rPr>
          <w:rFonts w:ascii="Arial" w:cs="Arial" w:hAnsi="Arial" w:eastAsia="Arial"/>
          <w:sz w:val="22"/>
          <w:szCs w:val="22"/>
        </w:rPr>
        <w:br w:type="textWrapping"/>
      </w:r>
      <w:r>
        <w:rPr>
          <w:rFonts w:ascii="Arial" w:hAnsi="Arial"/>
          <w:sz w:val="22"/>
          <w:szCs w:val="22"/>
          <w:rtl w:val="0"/>
          <w:lang w:val="en-US"/>
        </w:rPr>
        <w:t>Taormina and Gao re-examine Maslow</w:t>
      </w:r>
      <w:r>
        <w:rPr>
          <w:rFonts w:ascii="Arial" w:hAnsi="Arial" w:hint="default"/>
          <w:sz w:val="22"/>
          <w:szCs w:val="22"/>
          <w:rtl w:val="0"/>
          <w:lang w:val="en-US"/>
        </w:rPr>
        <w:t>’</w:t>
      </w:r>
      <w:r>
        <w:rPr>
          <w:rFonts w:ascii="Arial" w:hAnsi="Arial"/>
          <w:sz w:val="22"/>
          <w:szCs w:val="22"/>
          <w:rtl w:val="0"/>
          <w:lang w:val="en-US"/>
        </w:rPr>
        <w:t>s theory and explore how needs are experienced in real life. Their findings suggest that human needs do not always develop in a strict sequence and may overlap depending on individual circumstances (Taormina and Gao, 2013). Factors such as culture, personal values, and life stage influence which needs are prioritised.</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This perspective is particularly relevant for older adults. Even when physical health declines, emotional and social needs often remain central. For example, a resident may place greater importance on maintaining relationships, independence, or personal identity rather than focusing only on physical comfort. The study suggests that wellbeing is shaped by the interaction of multiple needs rather than a step-by-step progression.</w:t>
      </w:r>
    </w:p>
    <w:p>
      <w:pPr>
        <w:pStyle w:val="Типовий"/>
        <w:suppressAutoHyphens w:val="1"/>
        <w:spacing w:before="0" w:after="240" w:line="360" w:lineRule="auto"/>
        <w:jc w:val="left"/>
        <w:rPr>
          <w:rFonts w:ascii="Arial" w:cs="Arial" w:hAnsi="Arial" w:eastAsia="Arial"/>
          <w:sz w:val="22"/>
          <w:szCs w:val="22"/>
        </w:rPr>
      </w:pPr>
      <w:r>
        <w:rPr>
          <w:rFonts w:ascii="Arial" w:hAnsi="Arial"/>
          <w:b w:val="1"/>
          <w:bCs w:val="1"/>
          <w:sz w:val="22"/>
          <w:szCs w:val="22"/>
          <w:rtl w:val="0"/>
          <w:lang w:val="en-US"/>
        </w:rPr>
        <w:t>Critical comment:</w:t>
      </w:r>
      <w:r>
        <w:rPr>
          <w:rFonts w:ascii="Arial" w:cs="Arial" w:hAnsi="Arial" w:eastAsia="Arial"/>
          <w:sz w:val="22"/>
          <w:szCs w:val="22"/>
        </w:rPr>
        <w:br w:type="textWrapping"/>
      </w:r>
      <w:r>
        <w:rPr>
          <w:rFonts w:ascii="Arial" w:hAnsi="Arial"/>
          <w:sz w:val="22"/>
          <w:szCs w:val="22"/>
          <w:rtl w:val="0"/>
          <w:lang w:val="en-US"/>
        </w:rPr>
        <w:t>This research adds depth to Maslow</w:t>
      </w:r>
      <w:r>
        <w:rPr>
          <w:rFonts w:ascii="Arial" w:hAnsi="Arial" w:hint="default"/>
          <w:sz w:val="22"/>
          <w:szCs w:val="22"/>
          <w:rtl w:val="0"/>
          <w:lang w:val="en-US"/>
        </w:rPr>
        <w:t>’</w:t>
      </w:r>
      <w:r>
        <w:rPr>
          <w:rFonts w:ascii="Arial" w:hAnsi="Arial"/>
          <w:sz w:val="22"/>
          <w:szCs w:val="22"/>
          <w:rtl w:val="0"/>
          <w:lang w:val="en-US"/>
        </w:rPr>
        <w:t>s original theory by making it more adaptable to real-life situations. It supports a person-centred approach, where care is tailored to individual preferences rather than based on a general model. This is especially important in residential care, where each resident has unique experiences and expectations. However, applying this approach in practice can be difficult. Psychological needs are not always easy to identify, and care staff may lack the training required to assess them accurately. As a result, there is a risk that the theory may be applied in a simplified way without fully addressing individual needs.</w:t>
      </w:r>
    </w:p>
    <w:p>
      <w:pPr>
        <w:pStyle w:val="Типовий"/>
        <w:suppressAutoHyphens w:val="1"/>
        <w:spacing w:before="0" w:line="360" w:lineRule="auto"/>
        <w:jc w:val="left"/>
        <w:rPr>
          <w:rFonts w:ascii="Arial" w:cs="Arial" w:hAnsi="Arial" w:eastAsia="Arial"/>
          <w:outline w:val="0"/>
          <w:color w:val="808080"/>
          <w:sz w:val="22"/>
          <w:szCs w:val="22"/>
          <w14:textFill>
            <w14:solidFill>
              <w14:srgbClr w14:val="808080"/>
            </w14:solidFill>
          </w14:textFill>
        </w:rPr>
      </w:pPr>
    </w:p>
    <w:p>
      <w:pPr>
        <w:pStyle w:val="Рубрика 2"/>
        <w:rPr>
          <w:rFonts w:ascii="Arial" w:cs="Arial" w:hAnsi="Arial" w:eastAsia="Arial"/>
        </w:rPr>
      </w:pPr>
      <w:bookmarkStart w:name="_Toc4" w:id="5"/>
      <w:r>
        <w:rPr>
          <w:rFonts w:ascii="Arial" w:hAnsi="Arial"/>
          <w:rtl w:val="0"/>
        </w:rPr>
        <w:t xml:space="preserve">2.3. Erikson, E.H. (1982) </w:t>
      </w:r>
      <w:r>
        <w:rPr>
          <w:rFonts w:ascii="Arial" w:hAnsi="Arial"/>
          <w:i w:val="1"/>
          <w:iCs w:val="1"/>
          <w:rtl w:val="0"/>
          <w:lang w:val="en-US"/>
        </w:rPr>
        <w:t>The Life Cycle Completed</w:t>
      </w:r>
      <w:r>
        <w:rPr>
          <w:rFonts w:ascii="Arial" w:hAnsi="Arial"/>
          <w:rtl w:val="0"/>
          <w:lang w:val="en-US"/>
        </w:rPr>
        <w:t>. New York: W.W. Norton &amp; Company.</w:t>
      </w:r>
      <w:bookmarkEnd w:id="5"/>
    </w:p>
    <w:p>
      <w:pPr>
        <w:pStyle w:val="Основний текст A"/>
      </w:pPr>
    </w:p>
    <w:p>
      <w:pPr>
        <w:pStyle w:val="Типовий"/>
        <w:suppressAutoHyphens w:val="1"/>
        <w:spacing w:before="0" w:after="240" w:line="360" w:lineRule="auto"/>
        <w:jc w:val="left"/>
        <w:rPr>
          <w:rFonts w:ascii="Arial" w:cs="Arial" w:hAnsi="Arial" w:eastAsia="Arial"/>
          <w:sz w:val="22"/>
          <w:szCs w:val="22"/>
        </w:rPr>
      </w:pPr>
      <w:r>
        <w:rPr>
          <w:rFonts w:ascii="Arial" w:hAnsi="Arial"/>
          <w:b w:val="1"/>
          <w:bCs w:val="1"/>
          <w:sz w:val="22"/>
          <w:szCs w:val="22"/>
          <w:rtl w:val="0"/>
          <w:lang w:val="en-US"/>
        </w:rPr>
        <w:t>Summary:</w:t>
      </w:r>
      <w:r>
        <w:rPr>
          <w:rFonts w:ascii="Arial" w:cs="Arial" w:hAnsi="Arial" w:eastAsia="Arial"/>
          <w:sz w:val="22"/>
          <w:szCs w:val="22"/>
        </w:rPr>
        <w:br w:type="textWrapping"/>
      </w:r>
      <w:r>
        <w:rPr>
          <w:rFonts w:ascii="Arial" w:hAnsi="Arial"/>
          <w:sz w:val="22"/>
          <w:szCs w:val="22"/>
          <w:rtl w:val="0"/>
          <w:lang w:val="en-US"/>
        </w:rPr>
        <w:t xml:space="preserve">Erikson describes development as a lifelong process made up of psychosocial stages. In older adulthood, the central conflict is between </w:t>
      </w:r>
      <w:r>
        <w:rPr>
          <w:rFonts w:ascii="Arial" w:hAnsi="Arial"/>
          <w:i w:val="1"/>
          <w:iCs w:val="1"/>
          <w:sz w:val="22"/>
          <w:szCs w:val="22"/>
          <w:rtl w:val="0"/>
          <w:lang w:val="en-US"/>
        </w:rPr>
        <w:t>ego integrity and despair</w:t>
      </w:r>
      <w:r>
        <w:rPr>
          <w:rFonts w:ascii="Arial" w:hAnsi="Arial"/>
          <w:sz w:val="22"/>
          <w:szCs w:val="22"/>
          <w:rtl w:val="0"/>
          <w:lang w:val="en-US"/>
        </w:rPr>
        <w:t xml:space="preserve"> (Erikson, 1982). During this stage, individuals reflect on their past and assess whether their life has been meaningful.</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When people feel satisfied with their life experiences, they develop a sense of integrity, which is linked to acceptance and emotional stability. In contrast, focusing on regrets, missed opportunities, or unresolved issues may lead to despair, which can negatively affect mental health and overall wellbeing.</w:t>
      </w:r>
    </w:p>
    <w:p>
      <w:pPr>
        <w:pStyle w:val="Типовий"/>
        <w:suppressAutoHyphens w:val="1"/>
        <w:spacing w:before="0" w:after="240" w:line="360" w:lineRule="auto"/>
        <w:jc w:val="left"/>
        <w:rPr>
          <w:rFonts w:ascii="Arial" w:cs="Arial" w:hAnsi="Arial" w:eastAsia="Arial"/>
          <w:sz w:val="22"/>
          <w:szCs w:val="22"/>
        </w:rPr>
      </w:pPr>
      <w:r>
        <w:rPr>
          <w:rFonts w:ascii="Arial" w:hAnsi="Arial"/>
          <w:b w:val="1"/>
          <w:bCs w:val="1"/>
          <w:sz w:val="22"/>
          <w:szCs w:val="22"/>
          <w:rtl w:val="0"/>
          <w:lang w:val="en-US"/>
        </w:rPr>
        <w:t>Critical comment:</w:t>
      </w:r>
      <w:r>
        <w:rPr>
          <w:rFonts w:ascii="Arial" w:cs="Arial" w:hAnsi="Arial" w:eastAsia="Arial"/>
          <w:sz w:val="22"/>
          <w:szCs w:val="22"/>
        </w:rPr>
        <w:br w:type="textWrapping"/>
      </w:r>
      <w:r>
        <w:rPr>
          <w:rFonts w:ascii="Arial" w:hAnsi="Arial"/>
          <w:sz w:val="22"/>
          <w:szCs w:val="22"/>
          <w:rtl w:val="0"/>
          <w:lang w:val="en-US"/>
        </w:rPr>
        <w:t>This theory is particularly useful in health and social care because it helps explain why many older adults engage in reflection about their past. It provides insight into emotional responses such as regret, sadness, or withdrawal. The theory also emphasises the importance of communication and emotional support in care settings. However, one limitation is that it presents development as a series of stages, which may not fully reflect individual experiences. In reality, older adults may experience both satisfaction and regret at the same time. Therefore, care approaches should remain flexible and responsive to each person</w:t>
      </w:r>
      <w:r>
        <w:rPr>
          <w:rFonts w:ascii="Arial" w:hAnsi="Arial" w:hint="default"/>
          <w:sz w:val="22"/>
          <w:szCs w:val="22"/>
          <w:rtl w:val="0"/>
          <w:lang w:val="en-US"/>
        </w:rPr>
        <w:t>’</w:t>
      </w:r>
      <w:r>
        <w:rPr>
          <w:rFonts w:ascii="Arial" w:hAnsi="Arial"/>
          <w:sz w:val="22"/>
          <w:szCs w:val="22"/>
          <w:rtl w:val="0"/>
          <w:lang w:val="en-US"/>
        </w:rPr>
        <w:t>s emotional state.</w:t>
      </w:r>
    </w:p>
    <w:p>
      <w:pPr>
        <w:pStyle w:val="Типовий"/>
        <w:suppressAutoHyphens w:val="1"/>
        <w:spacing w:before="0" w:line="360" w:lineRule="auto"/>
        <w:jc w:val="left"/>
        <w:rPr>
          <w:rFonts w:ascii="Arial" w:cs="Arial" w:hAnsi="Arial" w:eastAsia="Arial"/>
          <w:outline w:val="0"/>
          <w:color w:val="808080"/>
          <w:sz w:val="22"/>
          <w:szCs w:val="22"/>
          <w14:textFill>
            <w14:solidFill>
              <w14:srgbClr w14:val="808080"/>
            </w14:solidFill>
          </w14:textFill>
        </w:rPr>
      </w:pPr>
    </w:p>
    <w:p>
      <w:pPr>
        <w:pStyle w:val="Рубрика 2"/>
        <w:rPr>
          <w:rFonts w:ascii="Arial" w:cs="Arial" w:hAnsi="Arial" w:eastAsia="Arial"/>
        </w:rPr>
      </w:pPr>
      <w:bookmarkStart w:name="_Toc5" w:id="6"/>
      <w:r>
        <w:rPr>
          <w:rFonts w:ascii="Arial" w:hAnsi="Arial"/>
          <w:rtl w:val="0"/>
          <w:lang w:val="nl-NL"/>
        </w:rPr>
        <w:t xml:space="preserve">2.4. Westerhof, G.J. and Bohlmeijer, E.T. (2014) </w:t>
      </w:r>
      <w:r>
        <w:rPr>
          <w:rFonts w:ascii="Arial" w:hAnsi="Arial" w:hint="default"/>
          <w:rtl w:val="1"/>
        </w:rPr>
        <w:t>‘</w:t>
      </w:r>
      <w:r>
        <w:rPr>
          <w:rFonts w:ascii="Arial" w:hAnsi="Arial"/>
          <w:rtl w:val="0"/>
          <w:lang w:val="en-US"/>
        </w:rPr>
        <w:t>Celebrating fifty years of research on the life review: The role of reminiscence in psychological wellbeing</w:t>
      </w:r>
      <w:r>
        <w:rPr>
          <w:rFonts w:ascii="Arial" w:hAnsi="Arial" w:hint="default"/>
          <w:rtl w:val="1"/>
        </w:rPr>
        <w:t>’</w:t>
      </w:r>
      <w:r>
        <w:rPr>
          <w:rFonts w:ascii="Arial" w:hAnsi="Arial"/>
          <w:rtl w:val="0"/>
        </w:rPr>
        <w:t xml:space="preserve">, </w:t>
      </w:r>
      <w:r>
        <w:rPr>
          <w:rFonts w:ascii="Arial" w:hAnsi="Arial"/>
          <w:i w:val="1"/>
          <w:iCs w:val="1"/>
          <w:rtl w:val="0"/>
          <w:lang w:val="en-US"/>
        </w:rPr>
        <w:t>Aging &amp; Mental Health</w:t>
      </w:r>
      <w:r>
        <w:rPr>
          <w:rFonts w:ascii="Arial" w:hAnsi="Arial"/>
          <w:rtl w:val="0"/>
        </w:rPr>
        <w:t>, 18(3), pp. 1</w:t>
      </w:r>
      <w:r>
        <w:rPr>
          <w:rFonts w:ascii="Arial" w:hAnsi="Arial" w:hint="default"/>
          <w:rtl w:val="0"/>
        </w:rPr>
        <w:t>–</w:t>
      </w:r>
      <w:r>
        <w:rPr>
          <w:rFonts w:ascii="Arial" w:hAnsi="Arial"/>
          <w:rtl w:val="0"/>
        </w:rPr>
        <w:t>9.</w:t>
      </w:r>
      <w:bookmarkEnd w:id="6"/>
    </w:p>
    <w:p>
      <w:pPr>
        <w:pStyle w:val="Основний текст A"/>
      </w:pPr>
    </w:p>
    <w:p>
      <w:pPr>
        <w:pStyle w:val="Типовий"/>
        <w:suppressAutoHyphens w:val="1"/>
        <w:spacing w:before="0" w:after="240" w:line="360" w:lineRule="auto"/>
        <w:jc w:val="left"/>
        <w:rPr>
          <w:rFonts w:ascii="Arial" w:cs="Arial" w:hAnsi="Arial" w:eastAsia="Arial"/>
          <w:sz w:val="22"/>
          <w:szCs w:val="22"/>
        </w:rPr>
      </w:pPr>
      <w:r>
        <w:rPr>
          <w:rFonts w:ascii="Arial" w:hAnsi="Arial"/>
          <w:b w:val="1"/>
          <w:bCs w:val="1"/>
          <w:sz w:val="22"/>
          <w:szCs w:val="22"/>
          <w:rtl w:val="0"/>
          <w:lang w:val="en-US"/>
        </w:rPr>
        <w:t>Summary:</w:t>
      </w:r>
      <w:r>
        <w:rPr>
          <w:rFonts w:ascii="Arial" w:cs="Arial" w:hAnsi="Arial" w:eastAsia="Arial"/>
          <w:sz w:val="22"/>
          <w:szCs w:val="22"/>
        </w:rPr>
        <w:br w:type="textWrapping"/>
      </w:r>
      <w:r>
        <w:rPr>
          <w:rFonts w:ascii="Arial" w:hAnsi="Arial"/>
          <w:sz w:val="22"/>
          <w:szCs w:val="22"/>
          <w:rtl w:val="0"/>
          <w:lang w:val="en-US"/>
        </w:rPr>
        <w:t>Westerhof and Bohlmeijer explore how life review and reminiscence contribute to psychological wellbeing in later life. Drawing on Erikson</w:t>
      </w:r>
      <w:r>
        <w:rPr>
          <w:rFonts w:ascii="Arial" w:hAnsi="Arial" w:hint="default"/>
          <w:sz w:val="22"/>
          <w:szCs w:val="22"/>
          <w:rtl w:val="0"/>
          <w:lang w:val="en-US"/>
        </w:rPr>
        <w:t>’</w:t>
      </w:r>
      <w:r>
        <w:rPr>
          <w:rFonts w:ascii="Arial" w:hAnsi="Arial"/>
          <w:sz w:val="22"/>
          <w:szCs w:val="22"/>
          <w:rtl w:val="0"/>
          <w:lang w:val="en-US"/>
        </w:rPr>
        <w:t>s theory, they show that reflecting on past experiences can help individuals better understand their life, reduce negative emotions, and improve mood (Westerhof and Bohlmeijer, 2014).</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The article describes practical approaches such as sharing memories, discussing significant life events, and using storytelling. These activities support older adults in reconnecting with their identity and recognising their personal achievements. As a result, individuals are more likely to develop a sense of meaning and emotional balance.</w:t>
      </w:r>
    </w:p>
    <w:p>
      <w:pPr>
        <w:pStyle w:val="Типовий"/>
        <w:suppressAutoHyphens w:val="1"/>
        <w:spacing w:before="0" w:after="240" w:line="360" w:lineRule="auto"/>
        <w:jc w:val="left"/>
        <w:rPr>
          <w:rFonts w:ascii="Arial" w:cs="Arial" w:hAnsi="Arial" w:eastAsia="Arial"/>
          <w:sz w:val="22"/>
          <w:szCs w:val="22"/>
        </w:rPr>
      </w:pPr>
      <w:r>
        <w:rPr>
          <w:rFonts w:ascii="Arial" w:hAnsi="Arial"/>
          <w:b w:val="1"/>
          <w:bCs w:val="1"/>
          <w:sz w:val="22"/>
          <w:szCs w:val="22"/>
          <w:rtl w:val="0"/>
          <w:lang w:val="en-US"/>
        </w:rPr>
        <w:t>Critical comment:</w:t>
      </w:r>
      <w:r>
        <w:rPr>
          <w:rFonts w:ascii="Arial" w:cs="Arial" w:hAnsi="Arial" w:eastAsia="Arial"/>
          <w:sz w:val="22"/>
          <w:szCs w:val="22"/>
        </w:rPr>
        <w:br w:type="textWrapping"/>
      </w:r>
      <w:r>
        <w:rPr>
          <w:rFonts w:ascii="Arial" w:hAnsi="Arial"/>
          <w:sz w:val="22"/>
          <w:szCs w:val="22"/>
          <w:rtl w:val="0"/>
          <w:lang w:val="en-US"/>
        </w:rPr>
        <w:t>This study is valuable for practice because it offers clear methods for applying Erikson</w:t>
      </w:r>
      <w:r>
        <w:rPr>
          <w:rFonts w:ascii="Arial" w:hAnsi="Arial" w:hint="default"/>
          <w:sz w:val="22"/>
          <w:szCs w:val="22"/>
          <w:rtl w:val="0"/>
          <w:lang w:val="en-US"/>
        </w:rPr>
        <w:t>’</w:t>
      </w:r>
      <w:r>
        <w:rPr>
          <w:rFonts w:ascii="Arial" w:hAnsi="Arial"/>
          <w:sz w:val="22"/>
          <w:szCs w:val="22"/>
          <w:rtl w:val="0"/>
          <w:lang w:val="en-US"/>
        </w:rPr>
        <w:t>s theory in care environments. It supports better communication and encourages meaningful interaction between staff and residents. However, reminiscence activities are not always positive. Some individuals may recall difficult or traumatic experiences, which can increase emotional distress. For this reason, staff need to use these approaches carefully and provide appropriate support. Training and awareness are essential to ensure that these interventions have a positive effect on wellbeing.</w:t>
      </w:r>
    </w:p>
    <w:p>
      <w:pPr>
        <w:pStyle w:val="Типовий"/>
        <w:suppressAutoHyphens w:val="1"/>
        <w:spacing w:before="0" w:after="240" w:line="360" w:lineRule="auto"/>
        <w:rPr>
          <w:rFonts w:ascii="Arial" w:cs="Arial" w:hAnsi="Arial" w:eastAsia="Arial"/>
          <w:sz w:val="22"/>
          <w:szCs w:val="22"/>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520"/>
        </w:tabs>
        <w:suppressAutoHyphens w:val="1"/>
        <w:spacing w:before="0" w:line="360" w:lineRule="auto"/>
        <w:rPr>
          <w:rFonts w:ascii="Arial" w:cs="Arial" w:hAnsi="Arial" w:eastAsia="Arial"/>
          <w:sz w:val="22"/>
          <w:szCs w:val="22"/>
        </w:rPr>
      </w:pPr>
    </w:p>
    <w:p>
      <w:pPr>
        <w:pStyle w:val="Рубрика"/>
        <w:spacing w:line="360" w:lineRule="auto"/>
        <w:rPr>
          <w:rFonts w:ascii="Arial" w:cs="Arial" w:hAnsi="Arial" w:eastAsia="Arial"/>
        </w:rPr>
      </w:pPr>
    </w:p>
    <w:p>
      <w:pPr>
        <w:pStyle w:val="Рубрика"/>
        <w:spacing w:line="360" w:lineRule="auto"/>
        <w:rPr>
          <w:rFonts w:ascii="Arial" w:cs="Arial" w:hAnsi="Arial" w:eastAsia="Arial"/>
        </w:rPr>
      </w:pPr>
      <w:bookmarkStart w:name="_Toc6" w:id="7"/>
      <w:r>
        <w:rPr>
          <w:rFonts w:ascii="Arial" w:hAnsi="Arial"/>
          <w:rtl w:val="0"/>
        </w:rPr>
        <w:t>3</w:t>
      </w:r>
      <w:r>
        <w:rPr>
          <w:rFonts w:ascii="Arial" w:hAnsi="Arial"/>
          <w:rtl w:val="0"/>
          <w:lang w:val="en-US"/>
        </w:rPr>
        <w:t>. Part B: Short Report</w:t>
      </w:r>
      <w:bookmarkEnd w:id="7"/>
    </w:p>
    <w:p>
      <w:pPr>
        <w:pStyle w:val="Основний текст A"/>
      </w:pPr>
    </w:p>
    <w:p>
      <w:pPr>
        <w:pStyle w:val="Типовий"/>
        <w:suppressAutoHyphens w:val="1"/>
        <w:spacing w:before="0" w:after="322" w:line="360" w:lineRule="auto"/>
        <w:jc w:val="left"/>
        <w:rPr>
          <w:rFonts w:ascii="Arial" w:cs="Arial" w:hAnsi="Arial" w:eastAsia="Arial"/>
          <w:b w:val="1"/>
          <w:bCs w:val="1"/>
        </w:rPr>
      </w:pPr>
      <w:r>
        <w:rPr>
          <w:rFonts w:ascii="Arial" w:hAnsi="Arial"/>
          <w:b w:val="1"/>
          <w:bCs w:val="1"/>
          <w:rtl w:val="0"/>
          <w:lang w:val="en-US"/>
        </w:rPr>
        <w:t>Application of Erikson</w:t>
      </w:r>
      <w:r>
        <w:rPr>
          <w:rFonts w:ascii="Arial" w:hAnsi="Arial" w:hint="default"/>
          <w:b w:val="1"/>
          <w:bCs w:val="1"/>
          <w:rtl w:val="0"/>
          <w:lang w:val="en-US"/>
        </w:rPr>
        <w:t>’</w:t>
      </w:r>
      <w:r>
        <w:rPr>
          <w:rFonts w:ascii="Arial" w:hAnsi="Arial"/>
          <w:b w:val="1"/>
          <w:bCs w:val="1"/>
          <w:rtl w:val="0"/>
          <w:lang w:val="en-US"/>
        </w:rPr>
        <w:t>s Theory in Care Homes</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 xml:space="preserve">Erikson describes later adulthood as a stage where individuals face the conflict between </w:t>
      </w:r>
      <w:r>
        <w:rPr>
          <w:rFonts w:ascii="Arial" w:hAnsi="Arial"/>
          <w:i w:val="1"/>
          <w:iCs w:val="1"/>
          <w:sz w:val="22"/>
          <w:szCs w:val="22"/>
          <w:rtl w:val="0"/>
          <w:lang w:val="en-US"/>
        </w:rPr>
        <w:t>ego integrity and despair</w:t>
      </w:r>
      <w:r>
        <w:rPr>
          <w:rFonts w:ascii="Arial" w:hAnsi="Arial"/>
          <w:sz w:val="22"/>
          <w:szCs w:val="22"/>
          <w:rtl w:val="0"/>
          <w:lang w:val="en-US"/>
        </w:rPr>
        <w:t>(Erikson, 1982). During this period, people look back at their life and try to understand whether it had purpose and value. This reflection plays a key role in emotional wellbeing, as it shapes how individuals feel about themselves and their past decisions.</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In residential care settings, this process can often be observed in everyday conversations. Many older adults speak about their past experiences, including family life, work, and personal achievements. Some individuals express satisfaction and acceptance, while others focus more on regrets or things they believe they could have done differently. When a person feels that their life was meaningful, they are more likely to experience emotional balance and acceptance. On the other hand, a negative view of the past may lead to feelings of sadness, anxiety, or hopelessness (Erikson, 1982).</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Because of this, care professionals have an important role in supporting residents through this stage. Erikson</w:t>
      </w:r>
      <w:r>
        <w:rPr>
          <w:rFonts w:ascii="Arial" w:hAnsi="Arial" w:hint="default"/>
          <w:sz w:val="22"/>
          <w:szCs w:val="22"/>
          <w:rtl w:val="0"/>
          <w:lang w:val="en-US"/>
        </w:rPr>
        <w:t>’</w:t>
      </w:r>
      <w:r>
        <w:rPr>
          <w:rFonts w:ascii="Arial" w:hAnsi="Arial"/>
          <w:sz w:val="22"/>
          <w:szCs w:val="22"/>
          <w:rtl w:val="0"/>
          <w:lang w:val="en-US"/>
        </w:rPr>
        <w:t xml:space="preserve">s theory can be used in practice by creating opportunities for safe and guided reflection. One effective method is organising </w:t>
      </w:r>
      <w:r>
        <w:rPr>
          <w:rFonts w:ascii="Arial" w:hAnsi="Arial"/>
          <w:b w:val="1"/>
          <w:bCs w:val="1"/>
          <w:sz w:val="22"/>
          <w:szCs w:val="22"/>
          <w:rtl w:val="0"/>
          <w:lang w:val="en-US"/>
        </w:rPr>
        <w:t>life review sessions</w:t>
      </w:r>
      <w:r>
        <w:rPr>
          <w:rFonts w:ascii="Arial" w:hAnsi="Arial"/>
          <w:sz w:val="22"/>
          <w:szCs w:val="22"/>
          <w:rtl w:val="0"/>
          <w:lang w:val="en-US"/>
        </w:rPr>
        <w:t>, where residents are encouraged to talk about different periods of their life. Staff can support this process by asking simple and clear questions about family, career, or important memories.</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 xml:space="preserve">Another practical approach is </w:t>
      </w:r>
      <w:r>
        <w:rPr>
          <w:rFonts w:ascii="Arial" w:hAnsi="Arial"/>
          <w:b w:val="1"/>
          <w:bCs w:val="1"/>
          <w:sz w:val="22"/>
          <w:szCs w:val="22"/>
          <w:rtl w:val="0"/>
          <w:lang w:val="en-US"/>
        </w:rPr>
        <w:t>reminiscence therapy</w:t>
      </w:r>
      <w:r>
        <w:rPr>
          <w:rFonts w:ascii="Arial" w:hAnsi="Arial"/>
          <w:sz w:val="22"/>
          <w:szCs w:val="22"/>
          <w:rtl w:val="0"/>
          <w:lang w:val="en-US"/>
        </w:rPr>
        <w:t xml:space="preserve">, which uses objects such as photographs, music, or personal items to trigger memories. These tools help residents reconnect with their past and often make it easier for them to share positive experiences. In addition, </w:t>
      </w:r>
      <w:r>
        <w:rPr>
          <w:rFonts w:ascii="Arial" w:hAnsi="Arial"/>
          <w:b w:val="1"/>
          <w:bCs w:val="1"/>
          <w:sz w:val="22"/>
          <w:szCs w:val="22"/>
          <w:rtl w:val="0"/>
          <w:lang w:val="en-US"/>
        </w:rPr>
        <w:t>storytelling activities</w:t>
      </w:r>
      <w:r>
        <w:rPr>
          <w:rFonts w:ascii="Arial" w:hAnsi="Arial"/>
          <w:sz w:val="22"/>
          <w:szCs w:val="22"/>
          <w:rtl w:val="0"/>
          <w:lang w:val="en-US"/>
        </w:rPr>
        <w:t xml:space="preserve"> allow individuals to express their identity and communicate their life experiences with others, which can improve both confidence and social interaction.</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These strategies support individuals in building a more organised and balanced understanding of their life story. As a result, they are more likely to recognise positive moments and achievements, which contributes to a sense of integrity (Westerhof and Bohlmeijer, 2014). At the same time, these activities improve communication between staff and residents and help reduce social isolation.</w:t>
      </w:r>
    </w:p>
    <w:p>
      <w:pPr>
        <w:pStyle w:val="Типовий"/>
        <w:suppressAutoHyphens w:val="1"/>
        <w:spacing w:before="0" w:line="360" w:lineRule="auto"/>
        <w:jc w:val="left"/>
        <w:rPr>
          <w:rFonts w:ascii="Arial" w:cs="Arial" w:hAnsi="Arial" w:eastAsia="Arial"/>
          <w:outline w:val="0"/>
          <w:color w:val="808080"/>
          <w:sz w:val="22"/>
          <w:szCs w:val="22"/>
          <w14:textFill>
            <w14:solidFill>
              <w14:srgbClr w14:val="808080"/>
            </w14:solidFill>
          </w14:textFill>
        </w:rPr>
      </w:pPr>
    </w:p>
    <w:p>
      <w:pPr>
        <w:pStyle w:val="Типовий"/>
        <w:suppressAutoHyphens w:val="1"/>
        <w:spacing w:before="0" w:after="299" w:line="360" w:lineRule="auto"/>
        <w:jc w:val="left"/>
        <w:rPr>
          <w:rFonts w:ascii="Arial" w:cs="Arial" w:hAnsi="Arial" w:eastAsia="Arial"/>
          <w:b w:val="1"/>
          <w:bCs w:val="1"/>
        </w:rPr>
      </w:pPr>
      <w:r>
        <w:rPr>
          <w:rFonts w:ascii="Arial" w:hAnsi="Arial"/>
          <w:b w:val="1"/>
          <w:bCs w:val="1"/>
          <w:rtl w:val="0"/>
          <w:lang w:val="en-US"/>
        </w:rPr>
        <w:t>Case Example</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An 82-year-old male resident in a care home became increasingly isolated and refused to take part in group activities. He frequently expressed negative thoughts about his life and stated that he had not achieved anything important. This behaviour suggested that he was experiencing feelings of despair, as described by Erikson (Erikson, 1982).</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To address this, care staff introduced regular reminiscence sessions as part of his support plan. During these sessions, they asked about his previous job, family life, and significant life events. They also used music and photographs from his earlier years to support memory recall.</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At the beginning, the resident showed little interest, but gradually he became more engaged in the process. He started sharing stories about raising his children and his professional life. Staff responded by acknowledging these experiences and reinforcing their importance.</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After several weeks, his emotional state improved. He became more communicative and started participating in group discussions. He also showed more interest in everyday activities within the care home. This case demonstrates how applying Erikson</w:t>
      </w:r>
      <w:r>
        <w:rPr>
          <w:rFonts w:ascii="Arial" w:hAnsi="Arial" w:hint="default"/>
          <w:sz w:val="22"/>
          <w:szCs w:val="22"/>
          <w:rtl w:val="0"/>
          <w:lang w:val="en-US"/>
        </w:rPr>
        <w:t>’</w:t>
      </w:r>
      <w:r>
        <w:rPr>
          <w:rFonts w:ascii="Arial" w:hAnsi="Arial"/>
          <w:sz w:val="22"/>
          <w:szCs w:val="22"/>
          <w:rtl w:val="0"/>
          <w:lang w:val="en-US"/>
        </w:rPr>
        <w:t>s theory in a structured way can lead to positive changes in emotional wellbeing and behaviour.</w:t>
      </w:r>
    </w:p>
    <w:p>
      <w:pPr>
        <w:pStyle w:val="Типовий"/>
        <w:suppressAutoHyphens w:val="1"/>
        <w:spacing w:before="0" w:line="360" w:lineRule="auto"/>
        <w:jc w:val="left"/>
        <w:rPr>
          <w:rFonts w:ascii="Arial" w:cs="Arial" w:hAnsi="Arial" w:eastAsia="Arial"/>
          <w:outline w:val="0"/>
          <w:color w:val="808080"/>
          <w:sz w:val="22"/>
          <w:szCs w:val="22"/>
          <w14:textFill>
            <w14:solidFill>
              <w14:srgbClr w14:val="808080"/>
            </w14:solidFill>
          </w14:textFill>
        </w:rPr>
      </w:pPr>
    </w:p>
    <w:p>
      <w:pPr>
        <w:pStyle w:val="Типовий"/>
        <w:suppressAutoHyphens w:val="1"/>
        <w:spacing w:before="0" w:after="299" w:line="360" w:lineRule="auto"/>
        <w:jc w:val="left"/>
        <w:rPr>
          <w:rFonts w:ascii="Arial" w:cs="Arial" w:hAnsi="Arial" w:eastAsia="Arial"/>
          <w:b w:val="1"/>
          <w:bCs w:val="1"/>
        </w:rPr>
      </w:pPr>
      <w:r>
        <w:rPr>
          <w:rFonts w:ascii="Arial" w:hAnsi="Arial"/>
          <w:b w:val="1"/>
          <w:bCs w:val="1"/>
          <w:rtl w:val="0"/>
          <w:lang w:val="en-US"/>
        </w:rPr>
        <w:t>Challenge</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A common difficulty when using this approach is that some residents may focus mainly on negative or painful memories. This can be especially challenging for individuals who have experienced loss, trauma, or long-term dissatisfaction. In such situations, encouraging reflection without proper support may increase distress instead of improving wellbeing (Westerhof and Bohlmeijer, 2014).</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Another important issue is cognitive decline, including dementia. Memory problems and communication difficulties can limit a resident</w:t>
      </w:r>
      <w:r>
        <w:rPr>
          <w:rFonts w:ascii="Arial" w:hAnsi="Arial" w:hint="default"/>
          <w:sz w:val="22"/>
          <w:szCs w:val="22"/>
          <w:rtl w:val="0"/>
          <w:lang w:val="en-US"/>
        </w:rPr>
        <w:t>’</w:t>
      </w:r>
      <w:r>
        <w:rPr>
          <w:rFonts w:ascii="Arial" w:hAnsi="Arial"/>
          <w:sz w:val="22"/>
          <w:szCs w:val="22"/>
          <w:rtl w:val="0"/>
          <w:lang w:val="en-US"/>
        </w:rPr>
        <w:t>s ability to engage in life review activities. They may struggle to recall events clearly or may become confused during conversations.</w:t>
      </w:r>
    </w:p>
    <w:p>
      <w:pPr>
        <w:pStyle w:val="Типовий"/>
        <w:suppressAutoHyphens w:val="1"/>
        <w:spacing w:before="0" w:line="360" w:lineRule="auto"/>
        <w:jc w:val="left"/>
        <w:rPr>
          <w:rFonts w:ascii="Arial" w:cs="Arial" w:hAnsi="Arial" w:eastAsia="Arial"/>
          <w:outline w:val="0"/>
          <w:color w:val="808080"/>
          <w:sz w:val="22"/>
          <w:szCs w:val="22"/>
          <w14:textFill>
            <w14:solidFill>
              <w14:srgbClr w14:val="808080"/>
            </w14:solidFill>
          </w14:textFill>
        </w:rPr>
      </w:pPr>
    </w:p>
    <w:p>
      <w:pPr>
        <w:pStyle w:val="Типовий"/>
        <w:suppressAutoHyphens w:val="1"/>
        <w:spacing w:before="0" w:after="299" w:line="360" w:lineRule="auto"/>
        <w:jc w:val="left"/>
        <w:rPr>
          <w:rFonts w:ascii="Arial" w:cs="Arial" w:hAnsi="Arial" w:eastAsia="Arial"/>
          <w:b w:val="1"/>
          <w:bCs w:val="1"/>
        </w:rPr>
      </w:pPr>
      <w:r>
        <w:rPr>
          <w:rFonts w:ascii="Arial" w:hAnsi="Arial"/>
          <w:b w:val="1"/>
          <w:bCs w:val="1"/>
          <w:rtl w:val="0"/>
          <w:lang w:val="en-US"/>
        </w:rPr>
        <w:t>Strategy to Overcome the Challenge</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To deal with these challenges, care staff should use a supportive and flexible approach. Conversations should be guided carefully towards meaningful and positive experiences, while still respecting the individual</w:t>
      </w:r>
      <w:r>
        <w:rPr>
          <w:rFonts w:ascii="Arial" w:hAnsi="Arial" w:hint="default"/>
          <w:sz w:val="22"/>
          <w:szCs w:val="22"/>
          <w:rtl w:val="0"/>
          <w:lang w:val="en-US"/>
        </w:rPr>
        <w:t>’</w:t>
      </w:r>
      <w:r>
        <w:rPr>
          <w:rFonts w:ascii="Arial" w:hAnsi="Arial"/>
          <w:sz w:val="22"/>
          <w:szCs w:val="22"/>
          <w:rtl w:val="0"/>
          <w:lang w:val="en-US"/>
        </w:rPr>
        <w:t>s emotions. It is important not to pressure residents into discussing topics that make them uncomfortable.</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Providing emotional support is essential. This can include active listening, maintaining a calm tone of voice, and offering reassurance when needed. For residents with cognitive difficulties, communication should be simplified by using short sentences, clear questions, and allowing enough time for responses.</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The physical environment also plays a role. A quiet and familiar setting can help residents feel more relaxed and improve their ability to recall memories. In addition, staff training is necessary to ensure that these techniques are applied correctly and consistently.</w:t>
      </w:r>
    </w:p>
    <w:p>
      <w:pPr>
        <w:pStyle w:val="Типовий"/>
        <w:suppressAutoHyphens w:val="1"/>
        <w:spacing w:before="0" w:after="240" w:line="360" w:lineRule="auto"/>
        <w:jc w:val="left"/>
        <w:rPr>
          <w:rFonts w:ascii="Arial" w:cs="Arial" w:hAnsi="Arial" w:eastAsia="Arial"/>
          <w:sz w:val="22"/>
          <w:szCs w:val="22"/>
        </w:rPr>
      </w:pPr>
      <w:r>
        <w:rPr>
          <w:rFonts w:ascii="Arial" w:hAnsi="Arial"/>
          <w:sz w:val="22"/>
          <w:szCs w:val="22"/>
          <w:rtl w:val="0"/>
          <w:lang w:val="en-US"/>
        </w:rPr>
        <w:t>When these strategies are used effectively, residents are more likely to feel safe and supported during the reflection process. This increases the chances of achieving a positive outcome and improving overall psychological wellbeing.</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520"/>
        </w:tabs>
        <w:suppressAutoHyphens w:val="1"/>
        <w:spacing w:before="0" w:line="360" w:lineRule="auto"/>
        <w:rPr>
          <w:rFonts w:ascii="Arial" w:cs="Arial" w:hAnsi="Arial" w:eastAsia="Arial"/>
          <w:sz w:val="22"/>
          <w:szCs w:val="22"/>
          <w:u w:color="44546a"/>
        </w:rPr>
      </w:pPr>
    </w:p>
    <w:p>
      <w:pPr>
        <w:pStyle w:val="Основний текст A"/>
        <w:spacing w:after="0" w:line="360" w:lineRule="auto"/>
        <w:jc w:val="both"/>
        <w:rPr>
          <w:rFonts w:ascii="Arial" w:cs="Arial" w:hAnsi="Arial" w:eastAsia="Arial"/>
          <w:outline w:val="0"/>
          <w:color w:val="ff0000"/>
          <w:sz w:val="21"/>
          <w:szCs w:val="21"/>
          <w:u w:color="44546a"/>
          <w14:textFill>
            <w14:solidFill>
              <w14:srgbClr w14:val="FF0000"/>
            </w14:solidFill>
          </w14:textFill>
        </w:rPr>
      </w:pP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520"/>
        </w:tabs>
        <w:suppressAutoHyphens w:val="1"/>
        <w:spacing w:before="0" w:after="40" w:line="360" w:lineRule="auto"/>
        <w:rPr>
          <w:rFonts w:ascii="Arial" w:cs="Arial" w:hAnsi="Arial" w:eastAsia="Arial"/>
          <w:sz w:val="22"/>
          <w:szCs w:val="22"/>
          <w:u w:color="44546a"/>
        </w:rPr>
      </w:pPr>
    </w:p>
    <w:p>
      <w:pPr>
        <w:pStyle w:val="Рубрика"/>
        <w:spacing w:line="360" w:lineRule="auto"/>
        <w:rPr>
          <w:rFonts w:ascii="Arial" w:cs="Arial" w:hAnsi="Arial" w:eastAsia="Arial"/>
          <w:u w:color="44546a"/>
        </w:rPr>
      </w:pPr>
      <w:bookmarkStart w:name="_Toc7" w:id="8"/>
      <w:r>
        <w:rPr>
          <w:rFonts w:ascii="Arial" w:hAnsi="Arial"/>
          <w:u w:color="44546a"/>
          <w:rtl w:val="0"/>
        </w:rPr>
        <w:t xml:space="preserve">4. </w:t>
      </w:r>
      <w:r>
        <w:rPr>
          <w:rFonts w:ascii="Arial" w:hAnsi="Arial"/>
          <w:u w:color="44546a"/>
          <w:rtl w:val="0"/>
          <w:lang w:val="en-US"/>
        </w:rPr>
        <w:t>C</w:t>
      </w:r>
      <w:r>
        <w:rPr>
          <w:rFonts w:ascii="Arial" w:hAnsi="Arial"/>
          <w:u w:color="44546a"/>
          <w:rtl w:val="0"/>
          <w:lang w:val="en-US"/>
        </w:rPr>
        <w:t>o</w:t>
      </w:r>
      <w:r>
        <w:rPr>
          <w:rFonts w:ascii="Arial" w:hAnsi="Arial"/>
          <w:u w:color="44546a"/>
          <w:rtl w:val="0"/>
          <w:lang w:val="en-US"/>
        </w:rPr>
        <w:t xml:space="preserve">nclusion </w:t>
      </w:r>
      <w:bookmarkEnd w:id="8"/>
    </w:p>
    <w:p>
      <w:pPr>
        <w:pStyle w:val="Основний текст A"/>
        <w:spacing w:line="360" w:lineRule="auto"/>
        <w:rPr>
          <w:rFonts w:ascii="Arial" w:cs="Arial" w:hAnsi="Arial" w:eastAsia="Arial"/>
          <w:u w:color="44546a"/>
        </w:rPr>
      </w:pPr>
    </w:p>
    <w:p>
      <w:pPr>
        <w:pStyle w:val="Типовий"/>
        <w:suppressAutoHyphens w:val="1"/>
        <w:spacing w:before="0" w:after="240" w:line="360" w:lineRule="auto"/>
        <w:rPr>
          <w:rFonts w:ascii="Arial" w:cs="Arial" w:hAnsi="Arial" w:eastAsia="Arial"/>
          <w:sz w:val="22"/>
          <w:szCs w:val="22"/>
          <w:u w:color="44546a"/>
        </w:rPr>
      </w:pPr>
      <w:r>
        <w:rPr>
          <w:rFonts w:ascii="Arial" w:hAnsi="Arial"/>
          <w:sz w:val="22"/>
          <w:szCs w:val="22"/>
          <w:u w:color="44546a"/>
          <w:rtl w:val="0"/>
          <w:lang w:val="en-US"/>
        </w:rPr>
        <w:t>Maslow and Erikson offer two different but complementary ways to understand ageing. Maslow focuses on current needs and shows that wellbeing depends on meeting both physical and psychological requirements. Erikson explains how older adults process their life experience and how this affects emotional stability. In residential care, both perspectives are useful. Meeting basic needs such as safety, comfort, and social connection creates a foundation for wellbeing. At the same time, supporting life reflection helps residents find meaning and reduce feelings of regret or isolation.</w:t>
      </w:r>
    </w:p>
    <w:p>
      <w:pPr>
        <w:pStyle w:val="Типовий"/>
        <w:suppressAutoHyphens w:val="1"/>
        <w:spacing w:before="0" w:after="240" w:line="360" w:lineRule="auto"/>
        <w:rPr>
          <w:rFonts w:ascii="Arial" w:cs="Arial" w:hAnsi="Arial" w:eastAsia="Arial"/>
          <w:sz w:val="22"/>
          <w:szCs w:val="22"/>
          <w:u w:color="44546a"/>
        </w:rPr>
      </w:pPr>
      <w:r>
        <w:rPr>
          <w:rFonts w:ascii="Arial" w:hAnsi="Arial"/>
          <w:sz w:val="22"/>
          <w:szCs w:val="22"/>
          <w:u w:color="44546a"/>
          <w:rtl w:val="0"/>
          <w:lang w:val="en-US"/>
        </w:rPr>
        <w:t>The application of Erikson</w:t>
      </w:r>
      <w:r>
        <w:rPr>
          <w:rFonts w:ascii="Arial" w:hAnsi="Arial" w:hint="default"/>
          <w:sz w:val="22"/>
          <w:szCs w:val="22"/>
          <w:u w:color="44546a"/>
          <w:rtl w:val="0"/>
          <w:lang w:val="en-US"/>
        </w:rPr>
        <w:t>’</w:t>
      </w:r>
      <w:r>
        <w:rPr>
          <w:rFonts w:ascii="Arial" w:hAnsi="Arial"/>
          <w:sz w:val="22"/>
          <w:szCs w:val="22"/>
          <w:u w:color="44546a"/>
          <w:rtl w:val="0"/>
          <w:lang w:val="en-US"/>
        </w:rPr>
        <w:t>s theory through reminiscence and life review shows clear benefits for mood and engagement. However, these approaches require careful communication, especially when residents have negative memories or cognitive decline. Staff need training and sensitivity to apply these methods effectively. Overall, psychological theories improve the quality of care by shifting focus from routine tasks to individual experience. This leads to more personalised support and better outcomes for older adults.</w:t>
      </w:r>
    </w:p>
    <w:p>
      <w:pPr>
        <w:pStyle w:val="Типовий"/>
        <w:suppressAutoHyphens w:val="1"/>
        <w:spacing w:before="0" w:after="240" w:line="360" w:lineRule="auto"/>
        <w:rPr>
          <w:rFonts w:ascii="Arial" w:cs="Arial" w:hAnsi="Arial" w:eastAsia="Arial"/>
          <w:u w:color="44546a"/>
        </w:rPr>
      </w:pPr>
    </w:p>
    <w:p>
      <w:pPr>
        <w:pStyle w:val="Рубрика 2"/>
        <w:spacing w:line="360" w:lineRule="auto"/>
        <w:rPr>
          <w:rFonts w:ascii="Arial" w:cs="Arial" w:hAnsi="Arial" w:eastAsia="Arial"/>
          <w:u w:color="44546a"/>
          <w:lang w:val="en-US"/>
        </w:rPr>
      </w:pPr>
    </w:p>
    <w:p>
      <w:pPr>
        <w:pStyle w:val="Рубрика"/>
        <w:spacing w:line="360" w:lineRule="auto"/>
        <w:rPr>
          <w:rFonts w:ascii="Arial" w:cs="Arial" w:hAnsi="Arial" w:eastAsia="Arial"/>
          <w:u w:color="44546a"/>
        </w:rPr>
      </w:pPr>
      <w:bookmarkStart w:name="_Toc8" w:id="9"/>
      <w:r>
        <w:rPr>
          <w:rFonts w:ascii="Arial" w:hAnsi="Arial"/>
          <w:u w:color="44546a"/>
          <w:rtl w:val="0"/>
        </w:rPr>
        <w:t xml:space="preserve">5. </w:t>
      </w:r>
      <w:r>
        <w:rPr>
          <w:rFonts w:ascii="Arial" w:hAnsi="Arial"/>
          <w:u w:color="44546a"/>
          <w:rtl w:val="0"/>
          <w:lang w:val="en-US"/>
        </w:rPr>
        <w:t xml:space="preserve">References </w:t>
      </w:r>
      <w:bookmarkEnd w:id="9"/>
    </w:p>
    <w:p>
      <w:pPr>
        <w:pStyle w:val="Рубрика 2"/>
        <w:spacing w:line="360" w:lineRule="auto"/>
        <w:rPr>
          <w:rFonts w:ascii="Arial" w:cs="Arial" w:hAnsi="Arial" w:eastAsia="Arial"/>
          <w:outline w:val="0"/>
          <w:color w:val="44546a"/>
          <w:sz w:val="21"/>
          <w:szCs w:val="21"/>
          <w:u w:color="44546a"/>
          <w:lang w:val="en-US"/>
          <w14:textFill>
            <w14:solidFill>
              <w14:srgbClr w14:val="44546A"/>
            </w14:solidFill>
          </w14:textFill>
        </w:rPr>
      </w:pPr>
    </w:p>
    <w:p>
      <w:pPr>
        <w:pStyle w:val="Типовий"/>
        <w:suppressAutoHyphens w:val="1"/>
        <w:spacing w:before="0" w:after="240" w:line="240" w:lineRule="auto"/>
        <w:jc w:val="left"/>
        <w:rPr>
          <w:rFonts w:ascii="Arial" w:cs="Arial" w:hAnsi="Arial" w:eastAsia="Arial"/>
          <w:sz w:val="22"/>
          <w:szCs w:val="22"/>
        </w:rPr>
      </w:pPr>
      <w:r>
        <w:rPr>
          <w:rFonts w:ascii="Arial" w:hAnsi="Arial"/>
          <w:sz w:val="22"/>
          <w:szCs w:val="22"/>
          <w:rtl w:val="0"/>
          <w:lang w:val="en-US"/>
        </w:rPr>
        <w:t xml:space="preserve">Erikson, E.H. (1982) </w:t>
      </w:r>
      <w:r>
        <w:rPr>
          <w:rFonts w:ascii="Arial" w:hAnsi="Arial"/>
          <w:i w:val="1"/>
          <w:iCs w:val="1"/>
          <w:sz w:val="22"/>
          <w:szCs w:val="22"/>
          <w:rtl w:val="0"/>
          <w:lang w:val="en-US"/>
        </w:rPr>
        <w:t>The Life Cycle Completed</w:t>
      </w:r>
      <w:r>
        <w:rPr>
          <w:rFonts w:ascii="Arial" w:hAnsi="Arial"/>
          <w:sz w:val="22"/>
          <w:szCs w:val="22"/>
          <w:rtl w:val="0"/>
          <w:lang w:val="en-US"/>
        </w:rPr>
        <w:t>. New York: W.W. Norton &amp; Company.</w:t>
      </w:r>
    </w:p>
    <w:p>
      <w:pPr>
        <w:pStyle w:val="Типовий"/>
        <w:suppressAutoHyphens w:val="1"/>
        <w:spacing w:before="0" w:after="240" w:line="240" w:lineRule="auto"/>
        <w:jc w:val="left"/>
        <w:rPr>
          <w:rFonts w:ascii="Arial" w:cs="Arial" w:hAnsi="Arial" w:eastAsia="Arial"/>
          <w:sz w:val="22"/>
          <w:szCs w:val="22"/>
        </w:rPr>
      </w:pPr>
      <w:r>
        <w:rPr>
          <w:rFonts w:ascii="Arial" w:hAnsi="Arial"/>
          <w:sz w:val="22"/>
          <w:szCs w:val="22"/>
          <w:rtl w:val="0"/>
          <w:lang w:val="en-US"/>
        </w:rPr>
        <w:t xml:space="preserve">Maslow, A.H. (1943) </w:t>
      </w:r>
      <w:r>
        <w:rPr>
          <w:rFonts w:ascii="Arial" w:hAnsi="Arial" w:hint="default"/>
          <w:sz w:val="22"/>
          <w:szCs w:val="22"/>
          <w:rtl w:val="0"/>
          <w:lang w:val="en-US"/>
        </w:rPr>
        <w:t>‘</w:t>
      </w:r>
      <w:r>
        <w:rPr>
          <w:rFonts w:ascii="Arial" w:hAnsi="Arial"/>
          <w:sz w:val="22"/>
          <w:szCs w:val="22"/>
          <w:rtl w:val="0"/>
          <w:lang w:val="en-US"/>
        </w:rPr>
        <w:t>A theory of human motivation</w:t>
      </w:r>
      <w:r>
        <w:rPr>
          <w:rFonts w:ascii="Arial" w:hAnsi="Arial" w:hint="default"/>
          <w:sz w:val="22"/>
          <w:szCs w:val="22"/>
          <w:rtl w:val="0"/>
          <w:lang w:val="en-US"/>
        </w:rPr>
        <w:t>’</w:t>
      </w:r>
      <w:r>
        <w:rPr>
          <w:rFonts w:ascii="Arial" w:hAnsi="Arial"/>
          <w:sz w:val="22"/>
          <w:szCs w:val="22"/>
          <w:rtl w:val="0"/>
          <w:lang w:val="en-US"/>
        </w:rPr>
        <w:t xml:space="preserve">, </w:t>
      </w:r>
      <w:r>
        <w:rPr>
          <w:rFonts w:ascii="Arial" w:hAnsi="Arial"/>
          <w:i w:val="1"/>
          <w:iCs w:val="1"/>
          <w:sz w:val="22"/>
          <w:szCs w:val="22"/>
          <w:rtl w:val="0"/>
          <w:lang w:val="en-US"/>
        </w:rPr>
        <w:t>Psychological Review</w:t>
      </w:r>
      <w:r>
        <w:rPr>
          <w:rFonts w:ascii="Arial" w:hAnsi="Arial"/>
          <w:sz w:val="22"/>
          <w:szCs w:val="22"/>
          <w:rtl w:val="0"/>
          <w:lang w:val="en-US"/>
        </w:rPr>
        <w:t>, 50(4), pp. 370</w:t>
      </w:r>
      <w:r>
        <w:rPr>
          <w:rFonts w:ascii="Arial" w:hAnsi="Arial" w:hint="default"/>
          <w:sz w:val="22"/>
          <w:szCs w:val="22"/>
          <w:rtl w:val="0"/>
          <w:lang w:val="en-US"/>
        </w:rPr>
        <w:t>–</w:t>
      </w:r>
      <w:r>
        <w:rPr>
          <w:rFonts w:ascii="Arial" w:hAnsi="Arial"/>
          <w:sz w:val="22"/>
          <w:szCs w:val="22"/>
          <w:rtl w:val="0"/>
          <w:lang w:val="en-US"/>
        </w:rPr>
        <w:t>396.</w:t>
      </w:r>
    </w:p>
    <w:p>
      <w:pPr>
        <w:pStyle w:val="Типовий"/>
        <w:suppressAutoHyphens w:val="1"/>
        <w:spacing w:before="0" w:after="240" w:line="240" w:lineRule="auto"/>
        <w:jc w:val="left"/>
        <w:rPr>
          <w:rFonts w:ascii="Arial" w:cs="Arial" w:hAnsi="Arial" w:eastAsia="Arial"/>
          <w:sz w:val="22"/>
          <w:szCs w:val="22"/>
        </w:rPr>
      </w:pPr>
      <w:r>
        <w:rPr>
          <w:rFonts w:ascii="Arial" w:hAnsi="Arial"/>
          <w:sz w:val="22"/>
          <w:szCs w:val="22"/>
          <w:rtl w:val="0"/>
          <w:lang w:val="en-US"/>
        </w:rPr>
        <w:t xml:space="preserve">Skills for Health (2021) </w:t>
      </w:r>
      <w:r>
        <w:rPr>
          <w:rFonts w:ascii="Arial" w:hAnsi="Arial"/>
          <w:i w:val="1"/>
          <w:iCs w:val="1"/>
          <w:sz w:val="22"/>
          <w:szCs w:val="22"/>
          <w:rtl w:val="0"/>
          <w:lang w:val="en-US"/>
        </w:rPr>
        <w:t>Core Skills Framework</w:t>
      </w:r>
      <w:r>
        <w:rPr>
          <w:rFonts w:ascii="Arial" w:hAnsi="Arial"/>
          <w:sz w:val="22"/>
          <w:szCs w:val="22"/>
          <w:rtl w:val="0"/>
          <w:lang w:val="en-US"/>
        </w:rPr>
        <w:t xml:space="preserve">. Available at: </w:t>
      </w: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"https://www.skillsforhealth.org.uk/"</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en-US"/>
        </w:rPr>
        <w:t>https://www.skillsforhealth.org.uk</w:t>
      </w:r>
      <w:r>
        <w:rPr>
          <w:rFonts w:ascii="Arial" w:cs="Arial" w:hAnsi="Arial" w:eastAsia="Arial"/>
          <w:sz w:val="22"/>
          <w:szCs w:val="22"/>
        </w:rPr>
        <w:fldChar w:fldCharType="end" w:fldLock="0"/>
      </w:r>
      <w:r>
        <w:rPr>
          <w:rFonts w:ascii="Arial" w:hAnsi="Arial"/>
          <w:sz w:val="22"/>
          <w:szCs w:val="22"/>
          <w:rtl w:val="0"/>
          <w:lang w:val="en-US"/>
        </w:rPr>
        <w:t xml:space="preserve"> (Accessed: 14 April 2026).</w:t>
      </w:r>
    </w:p>
    <w:p>
      <w:pPr>
        <w:pStyle w:val="Типовий"/>
        <w:suppressAutoHyphens w:val="1"/>
        <w:spacing w:before="0" w:after="240" w:line="240" w:lineRule="auto"/>
        <w:jc w:val="left"/>
        <w:rPr>
          <w:rFonts w:ascii="Arial" w:cs="Arial" w:hAnsi="Arial" w:eastAsia="Arial"/>
          <w:sz w:val="22"/>
          <w:szCs w:val="22"/>
        </w:rPr>
      </w:pPr>
      <w:r>
        <w:rPr>
          <w:rFonts w:ascii="Arial" w:hAnsi="Arial"/>
          <w:sz w:val="22"/>
          <w:szCs w:val="22"/>
          <w:rtl w:val="0"/>
          <w:lang w:val="en-US"/>
        </w:rPr>
        <w:t xml:space="preserve">Taormina, R.J. and Gao, J.H. (2013) </w:t>
      </w:r>
      <w:r>
        <w:rPr>
          <w:rFonts w:ascii="Arial" w:hAnsi="Arial" w:hint="default"/>
          <w:sz w:val="22"/>
          <w:szCs w:val="22"/>
          <w:rtl w:val="0"/>
          <w:lang w:val="en-US"/>
        </w:rPr>
        <w:t>‘</w:t>
      </w:r>
      <w:r>
        <w:rPr>
          <w:rFonts w:ascii="Arial" w:hAnsi="Arial"/>
          <w:sz w:val="22"/>
          <w:szCs w:val="22"/>
          <w:rtl w:val="0"/>
          <w:lang w:val="en-US"/>
        </w:rPr>
        <w:t>Maslow and the motivation hierarchy: Measuring satisfaction of the needs</w:t>
      </w:r>
      <w:r>
        <w:rPr>
          <w:rFonts w:ascii="Arial" w:hAnsi="Arial" w:hint="default"/>
          <w:sz w:val="22"/>
          <w:szCs w:val="22"/>
          <w:rtl w:val="0"/>
          <w:lang w:val="en-US"/>
        </w:rPr>
        <w:t>’</w:t>
      </w:r>
      <w:r>
        <w:rPr>
          <w:rFonts w:ascii="Arial" w:hAnsi="Arial"/>
          <w:sz w:val="22"/>
          <w:szCs w:val="22"/>
          <w:rtl w:val="0"/>
          <w:lang w:val="en-US"/>
        </w:rPr>
        <w:t xml:space="preserve">, </w:t>
      </w:r>
      <w:r>
        <w:rPr>
          <w:rStyle w:val="Немає"/>
          <w:rFonts w:ascii="Arial" w:hAnsi="Arial"/>
          <w:i w:val="1"/>
          <w:iCs w:val="1"/>
          <w:sz w:val="22"/>
          <w:szCs w:val="22"/>
          <w:rtl w:val="0"/>
          <w:lang w:val="en-US"/>
        </w:rPr>
        <w:t>The American Journal of Psychology</w:t>
      </w:r>
      <w:r>
        <w:rPr>
          <w:rFonts w:ascii="Arial" w:hAnsi="Arial"/>
          <w:sz w:val="22"/>
          <w:szCs w:val="22"/>
          <w:rtl w:val="0"/>
          <w:lang w:val="en-US"/>
        </w:rPr>
        <w:t>, 126(2), pp. 155</w:t>
      </w:r>
      <w:r>
        <w:rPr>
          <w:rFonts w:ascii="Arial" w:hAnsi="Arial" w:hint="default"/>
          <w:sz w:val="22"/>
          <w:szCs w:val="22"/>
          <w:rtl w:val="0"/>
          <w:lang w:val="en-US"/>
        </w:rPr>
        <w:t>–</w:t>
      </w:r>
      <w:r>
        <w:rPr>
          <w:rFonts w:ascii="Arial" w:hAnsi="Arial"/>
          <w:sz w:val="22"/>
          <w:szCs w:val="22"/>
          <w:rtl w:val="0"/>
          <w:lang w:val="en-US"/>
        </w:rPr>
        <w:t>177.</w:t>
      </w:r>
    </w:p>
    <w:p>
      <w:pPr>
        <w:pStyle w:val="Типовий"/>
        <w:suppressAutoHyphens w:val="1"/>
        <w:spacing w:before="0" w:after="240" w:line="240" w:lineRule="auto"/>
        <w:jc w:val="left"/>
        <w:rPr>
          <w:rFonts w:ascii="Arial" w:cs="Arial" w:hAnsi="Arial" w:eastAsia="Arial"/>
          <w:sz w:val="22"/>
          <w:szCs w:val="22"/>
        </w:rPr>
      </w:pPr>
      <w:r>
        <w:rPr>
          <w:rFonts w:ascii="Arial" w:hAnsi="Arial"/>
          <w:sz w:val="22"/>
          <w:szCs w:val="22"/>
          <w:rtl w:val="0"/>
          <w:lang w:val="en-US"/>
        </w:rPr>
        <w:t xml:space="preserve">Westerhof, G.J. and Bohlmeijer, E.T. (2014) </w:t>
      </w:r>
      <w:r>
        <w:rPr>
          <w:rFonts w:ascii="Arial" w:hAnsi="Arial" w:hint="default"/>
          <w:sz w:val="22"/>
          <w:szCs w:val="22"/>
          <w:rtl w:val="0"/>
          <w:lang w:val="en-US"/>
        </w:rPr>
        <w:t>‘</w:t>
      </w:r>
      <w:r>
        <w:rPr>
          <w:rFonts w:ascii="Arial" w:hAnsi="Arial"/>
          <w:sz w:val="22"/>
          <w:szCs w:val="22"/>
          <w:rtl w:val="0"/>
          <w:lang w:val="en-US"/>
        </w:rPr>
        <w:t>Celebrating fifty years of research on the life review: The role of reminiscence in psychological wellbeing</w:t>
      </w:r>
      <w:r>
        <w:rPr>
          <w:rFonts w:ascii="Arial" w:hAnsi="Arial" w:hint="default"/>
          <w:sz w:val="22"/>
          <w:szCs w:val="22"/>
          <w:rtl w:val="0"/>
          <w:lang w:val="en-US"/>
        </w:rPr>
        <w:t>’</w:t>
      </w:r>
      <w:r>
        <w:rPr>
          <w:rFonts w:ascii="Arial" w:hAnsi="Arial"/>
          <w:sz w:val="22"/>
          <w:szCs w:val="22"/>
          <w:rtl w:val="0"/>
          <w:lang w:val="en-US"/>
        </w:rPr>
        <w:t xml:space="preserve">, </w:t>
      </w:r>
      <w:r>
        <w:rPr>
          <w:rStyle w:val="Немає"/>
          <w:rFonts w:ascii="Arial" w:hAnsi="Arial"/>
          <w:i w:val="1"/>
          <w:iCs w:val="1"/>
          <w:sz w:val="22"/>
          <w:szCs w:val="22"/>
          <w:rtl w:val="0"/>
          <w:lang w:val="en-US"/>
        </w:rPr>
        <w:t>Aging &amp; Mental Health</w:t>
      </w:r>
      <w:r>
        <w:rPr>
          <w:rFonts w:ascii="Arial" w:hAnsi="Arial"/>
          <w:sz w:val="22"/>
          <w:szCs w:val="22"/>
          <w:rtl w:val="0"/>
          <w:lang w:val="en-US"/>
        </w:rPr>
        <w:t>, 18(3), pp. 1</w:t>
      </w:r>
      <w:r>
        <w:rPr>
          <w:rFonts w:ascii="Arial" w:hAnsi="Arial" w:hint="default"/>
          <w:sz w:val="22"/>
          <w:szCs w:val="22"/>
          <w:rtl w:val="0"/>
          <w:lang w:val="en-US"/>
        </w:rPr>
        <w:t>–</w:t>
      </w:r>
      <w:r>
        <w:rPr>
          <w:rFonts w:ascii="Arial" w:hAnsi="Arial"/>
          <w:sz w:val="22"/>
          <w:szCs w:val="22"/>
          <w:rtl w:val="0"/>
          <w:lang w:val="en-US"/>
        </w:rPr>
        <w:t>9.</w:t>
      </w:r>
    </w:p>
    <w:p>
      <w:pPr>
        <w:pStyle w:val="Типовий"/>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520"/>
        </w:tabs>
        <w:suppressAutoHyphens w:val="1"/>
        <w:spacing w:before="0" w:line="240" w:lineRule="auto"/>
      </w:pPr>
      <w:r>
        <w:rPr>
          <w:rStyle w:val="Немає"/>
          <w:rFonts w:ascii="Arial Unicode MS" w:hAnsi="Arial Unicode MS"/>
          <w:sz w:val="26"/>
          <w:szCs w:val="26"/>
          <w:rtl w:val="0"/>
          <w:lang w:val="en-US"/>
        </w:rPr>
        <w:t xml:space="preserve"> </w:t>
      </w:r>
      <w:r>
        <w:rPr>
          <w:rStyle w:val="Немає"/>
          <w:rFonts w:ascii="Arial Unicode MS" w:cs="Arial Unicode MS" w:hAnsi="Arial Unicode MS" w:eastAsia="Arial Unicode MS"/>
          <w:b w:val="0"/>
          <w:bCs w:val="0"/>
          <w:i w:val="0"/>
          <w:iCs w:val="0"/>
          <w:sz w:val="26"/>
          <w:szCs w:val="26"/>
        </w:rPr>
        <w:br w:type="page"/>
      </w:r>
    </w:p>
    <w:sectPr>
      <w:headerReference w:type="default" r:id="rId5"/>
      <w:footerReference w:type="default" r:id="rId6"/>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и"/>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Колонтитули"/>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274" w:hanging="274"/>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74" w:hanging="274"/>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74" w:hanging="274"/>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74" w:hanging="274"/>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74" w:hanging="274"/>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74" w:hanging="274"/>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74" w:hanging="274"/>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74" w:hanging="274"/>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74" w:hanging="274"/>
      </w:pPr>
      <w:rPr>
        <w:rFonts w:hAnsi="Arial Unicode MS"/>
        <w:b w:val="1"/>
        <w:bCs w:val="1"/>
        <w:i w:val="1"/>
        <w:iCs w:val="1"/>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Номери"/>
  </w:abstractNum>
  <w:abstractNum w:abstractNumId="2">
    <w:multiLevelType w:val="hybridMultilevel"/>
    <w:styleLink w:val="Номери"/>
    <w:lvl w:ilvl="0">
      <w:start w:val="1"/>
      <w:numFmt w:val="decimal"/>
      <w:suff w:val="tab"/>
      <w:lvlText w:val="%1."/>
      <w:lvlJc w:val="left"/>
      <w:pPr>
        <w:ind w:left="3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1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9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5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1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9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737" w:hanging="337"/>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українська" w:val="‘“(〔[{〈《「『【⦅〘〖«〝︵︷︹︻︽︿﹁﹃﹇﹙﹛﹝｢"/>
  <w:noLineBreaksBefore w:lang="українська"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Колонтитули">
    <w:name w:val="Колонтитули"/>
    <w:next w:val="Колонтитули"/>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Основний текст A">
    <w:name w:val="Основний текст A"/>
    <w:next w:val="Основний текст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0"/>
      <w:szCs w:val="20"/>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TOC Heading">
    <w:name w:val="TOC Heading"/>
    <w:next w:val="Основний текст A"/>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2f5496"/>
      <w:spacing w:val="0"/>
      <w:kern w:val="0"/>
      <w:position w:val="0"/>
      <w:sz w:val="28"/>
      <w:szCs w:val="28"/>
      <w:u w:val="none" w:color="2f5496"/>
      <w:shd w:val="nil" w:color="auto" w:fill="auto"/>
      <w:vertAlign w:val="baseline"/>
      <w:lang w:val="en-US"/>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120" w:after="0" w:line="259" w:lineRule="auto"/>
      <w:ind w:left="0" w:right="0" w:firstLine="0"/>
      <w:jc w:val="left"/>
      <w:outlineLvl w:val="9"/>
    </w:pPr>
    <w:rPr>
      <w:rFonts w:ascii="Arial" w:cs="Arial" w:hAnsi="Arial" w:eastAsia="Arial"/>
      <w:b w:val="1"/>
      <w:bCs w:val="1"/>
      <w:i w:val="1"/>
      <w:iCs w:val="1"/>
      <w:caps w:val="0"/>
      <w:smallCaps w:val="0"/>
      <w:strike w:val="0"/>
      <w:dstrike w:val="0"/>
      <w:outline w:val="0"/>
      <w:color w:val="000000"/>
      <w:spacing w:val="0"/>
      <w:kern w:val="2"/>
      <w:position w:val="0"/>
      <w:sz w:val="26"/>
      <w:szCs w:val="26"/>
      <w:u w:val="none" w:color="000000"/>
      <w:shd w:val="nil" w:color="auto" w:fill="auto"/>
      <w:vertAlign w:val="baseline"/>
      <w:lang w:val="en-US"/>
      <w14:textFill>
        <w14:solidFill>
          <w14:srgbClr w14:val="000000"/>
        </w14:solidFill>
      </w14:textFill>
    </w:rPr>
  </w:style>
  <w:style w:type="paragraph" w:styleId="Рубрика">
    <w:name w:val="Рубрика"/>
    <w:next w:val="Основний текст A"/>
    <w:pPr>
      <w:keepNext w:val="1"/>
      <w:keepLines w:val="1"/>
      <w:pageBreakBefore w:val="0"/>
      <w:widowControl w:val="1"/>
      <w:shd w:val="clear" w:color="auto" w:fill="auto"/>
      <w:suppressAutoHyphens w:val="0"/>
      <w:bidi w:val="0"/>
      <w:spacing w:before="240" w:after="0" w:line="259" w:lineRule="auto"/>
      <w:ind w:left="0" w:right="0" w:firstLine="0"/>
      <w:jc w:val="left"/>
      <w:outlineLvl w:val="0"/>
    </w:pPr>
    <w:rPr>
      <w:rFonts w:ascii="Times New Roman" w:cs="Times New Roman" w:hAnsi="Times New Roman" w:eastAsia="Times New Roman"/>
      <w:b w:val="1"/>
      <w:bCs w:val="1"/>
      <w:i w:val="0"/>
      <w:iCs w:val="0"/>
      <w:caps w:val="0"/>
      <w:smallCaps w:val="0"/>
      <w:strike w:val="0"/>
      <w:dstrike w:val="0"/>
      <w:outline w:val="0"/>
      <w:color w:val="2f5496"/>
      <w:spacing w:val="0"/>
      <w:kern w:val="2"/>
      <w:position w:val="0"/>
      <w:sz w:val="32"/>
      <w:szCs w:val="32"/>
      <w:u w:val="none" w:color="2f5496"/>
      <w:shd w:val="nil" w:color="auto" w:fill="auto"/>
      <w:vertAlign w:val="baseline"/>
      <w14:textOutline w14:w="12700" w14:cap="flat">
        <w14:noFill/>
        <w14:miter w14:lim="400000"/>
      </w14:textOutline>
      <w14:textFill>
        <w14:solidFill>
          <w14:srgbClr w14:val="2F5496"/>
        </w14:solidFill>
      </w14:textFill>
    </w:rPr>
  </w:style>
  <w:style w:type="paragraph" w:styleId="TOC 2">
    <w:name w:val="TOC 2"/>
    <w:next w:val="TOC 2"/>
    <w:pPr>
      <w:keepNext w:val="0"/>
      <w:keepLines w:val="0"/>
      <w:pageBreakBefore w:val="0"/>
      <w:widowControl w:val="1"/>
      <w:shd w:val="clear" w:color="auto" w:fill="auto"/>
      <w:tabs>
        <w:tab w:val="left" w:pos="880"/>
        <w:tab w:val="right" w:pos="9000" w:leader="dot"/>
      </w:tabs>
      <w:suppressAutoHyphens w:val="0"/>
      <w:bidi w:val="0"/>
      <w:spacing w:before="120" w:after="0" w:line="259"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en-US"/>
      <w14:textFill>
        <w14:solidFill>
          <w14:srgbClr w14:val="000000"/>
        </w14:solidFill>
      </w14:textFill>
    </w:rPr>
  </w:style>
  <w:style w:type="paragraph" w:styleId="Рубрика 2">
    <w:name w:val="Рубрика 2"/>
    <w:next w:val="Основний текст A"/>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Times New Roman" w:cs="Times New Roman" w:hAnsi="Times New Roman" w:eastAsia="Times New Roman"/>
      <w:b w:val="0"/>
      <w:bCs w:val="0"/>
      <w:i w:val="0"/>
      <w:iCs w:val="0"/>
      <w:caps w:val="0"/>
      <w:smallCaps w:val="0"/>
      <w:strike w:val="0"/>
      <w:dstrike w:val="0"/>
      <w:outline w:val="0"/>
      <w:color w:val="2f5496"/>
      <w:spacing w:val="0"/>
      <w:kern w:val="2"/>
      <w:position w:val="0"/>
      <w:sz w:val="28"/>
      <w:szCs w:val="28"/>
      <w:u w:val="none" w:color="2f5496"/>
      <w:shd w:val="nil" w:color="auto" w:fill="auto"/>
      <w:vertAlign w:val="baseline"/>
      <w14:textOutline w14:w="12700" w14:cap="flat">
        <w14:noFill/>
        <w14:miter w14:lim="400000"/>
      </w14:textOutline>
      <w14:textFill>
        <w14:solidFill>
          <w14:srgbClr w14:val="2F5496"/>
        </w14:solidFill>
      </w14:textFill>
    </w:rPr>
  </w:style>
  <w:style w:type="paragraph" w:styleId="Основний текст">
    <w:name w:val="Основний текст"/>
    <w:next w:val="Основний текст"/>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numbering" w:styleId="Номери">
    <w:name w:val="Номери"/>
    <w:pPr>
      <w:numPr>
        <w:numId w:val="2"/>
      </w:numPr>
    </w:pPr>
  </w:style>
  <w:style w:type="character" w:styleId="Немає A">
    <w:name w:val="Немає A"/>
  </w:style>
  <w:style w:type="paragraph" w:styleId="Типовий">
    <w:name w:val="Типовий"/>
    <w:next w:val="Типовий"/>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character" w:styleId="Немає">
    <w:name w:val="Немає"/>
  </w:style>
  <w:style w:type="character" w:styleId="Hyperlink.0">
    <w:name w:val="Hyperlink.0"/>
    <w:basedOn w:val="Немає"/>
    <w:next w:val="Hyperlink.0"/>
    <w:rPr>
      <w:outline w:val="0"/>
      <w:color w:val="0000ee"/>
      <w:u w:val="single"/>
      <w14:textFill>
        <w14:solidFill>
          <w14:srgbClr w14:val="0000EE"/>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