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FF2CB" w14:textId="77777777" w:rsidR="005A7502" w:rsidRDefault="005A7502">
      <w:pPr>
        <w:pStyle w:val="Heading1"/>
      </w:pPr>
      <w:bookmarkStart w:id="0" w:name="_gkds2cnyfk08" w:colFirst="0" w:colLast="0"/>
      <w:bookmarkEnd w:id="0"/>
    </w:p>
    <w:p w14:paraId="3E7E37B5" w14:textId="77777777" w:rsidR="00FA3D8F" w:rsidRDefault="00FA3D8F" w:rsidP="00FA3D8F">
      <w:pPr>
        <w:pStyle w:val="Heading1"/>
        <w:jc w:val="center"/>
        <w:rPr>
          <w:sz w:val="28"/>
          <w:szCs w:val="28"/>
        </w:rPr>
      </w:pPr>
      <w:bookmarkStart w:id="1" w:name="_kjumz3jm9se1" w:colFirst="0" w:colLast="0"/>
      <w:bookmarkEnd w:id="1"/>
    </w:p>
    <w:p w14:paraId="2FA3E4C8" w14:textId="77777777" w:rsidR="00FA3D8F" w:rsidRDefault="00FA3D8F" w:rsidP="00FA3D8F">
      <w:pPr>
        <w:pStyle w:val="Heading1"/>
        <w:jc w:val="center"/>
        <w:rPr>
          <w:sz w:val="28"/>
          <w:szCs w:val="28"/>
        </w:rPr>
      </w:pPr>
    </w:p>
    <w:p w14:paraId="7A5E948F" w14:textId="77777777" w:rsidR="000E6C16" w:rsidRDefault="000E6C16" w:rsidP="00FA3D8F">
      <w:pPr>
        <w:pStyle w:val="Heading1"/>
        <w:jc w:val="center"/>
        <w:rPr>
          <w:sz w:val="28"/>
          <w:szCs w:val="28"/>
        </w:rPr>
      </w:pPr>
    </w:p>
    <w:p w14:paraId="659CFD6E" w14:textId="77777777" w:rsidR="000E6C16" w:rsidRDefault="000E6C16" w:rsidP="00FA3D8F">
      <w:pPr>
        <w:pStyle w:val="Heading1"/>
        <w:jc w:val="center"/>
        <w:rPr>
          <w:sz w:val="28"/>
          <w:szCs w:val="28"/>
        </w:rPr>
      </w:pPr>
    </w:p>
    <w:p w14:paraId="60906F5F" w14:textId="19762CAF" w:rsidR="00FA3D8F" w:rsidRPr="008D096B" w:rsidRDefault="00FA3D8F" w:rsidP="00FA3D8F">
      <w:pPr>
        <w:pStyle w:val="Heading1"/>
        <w:jc w:val="center"/>
        <w:rPr>
          <w:sz w:val="28"/>
          <w:szCs w:val="28"/>
        </w:rPr>
      </w:pPr>
      <w:r w:rsidRPr="008D096B">
        <w:rPr>
          <w:sz w:val="28"/>
          <w:szCs w:val="28"/>
        </w:rPr>
        <w:t xml:space="preserve">STUDENT NAME: RAMI SHRUSTI JENISH </w:t>
      </w:r>
    </w:p>
    <w:p w14:paraId="200D8839" w14:textId="77777777" w:rsidR="00FA3D8F" w:rsidRPr="008D096B" w:rsidRDefault="00FA3D8F" w:rsidP="00FA3D8F">
      <w:pPr>
        <w:pStyle w:val="Heading1"/>
        <w:jc w:val="center"/>
        <w:rPr>
          <w:sz w:val="28"/>
          <w:szCs w:val="28"/>
        </w:rPr>
      </w:pPr>
      <w:r w:rsidRPr="008D096B">
        <w:rPr>
          <w:sz w:val="28"/>
          <w:szCs w:val="28"/>
        </w:rPr>
        <w:t>STUDENT ID: 2246676</w:t>
      </w:r>
    </w:p>
    <w:p w14:paraId="13CB3A4F" w14:textId="61CF88A7" w:rsidR="005A7502" w:rsidRDefault="00FA3D8F">
      <w:pPr>
        <w:pStyle w:val="Title"/>
        <w:jc w:val="center"/>
      </w:pPr>
      <w:bookmarkStart w:id="2" w:name="_yrrpmdq8vhrf" w:colFirst="0" w:colLast="0"/>
      <w:bookmarkStart w:id="3" w:name="_fmlsiqli8qj" w:colFirst="0" w:colLast="0"/>
      <w:bookmarkStart w:id="4" w:name="_m1bofv8xnggt" w:colFirst="0" w:colLast="0"/>
      <w:bookmarkEnd w:id="2"/>
      <w:bookmarkEnd w:id="3"/>
      <w:bookmarkEnd w:id="4"/>
      <w:r>
        <w:t xml:space="preserve">MODULE: </w:t>
      </w:r>
      <w:r w:rsidR="00000000">
        <w:t>Strategic Management</w:t>
      </w:r>
    </w:p>
    <w:p w14:paraId="76889847" w14:textId="203CF06F" w:rsidR="005A7502" w:rsidRDefault="00FA3D8F">
      <w:pPr>
        <w:pStyle w:val="Title"/>
        <w:jc w:val="center"/>
      </w:pPr>
      <w:bookmarkStart w:id="5" w:name="_6zvie2cc978k" w:colFirst="0" w:colLast="0"/>
      <w:bookmarkEnd w:id="5"/>
      <w:r>
        <w:t xml:space="preserve">MODULE CODE: </w:t>
      </w:r>
      <w:r w:rsidR="00000000">
        <w:t>LCMB7003</w:t>
      </w:r>
    </w:p>
    <w:p w14:paraId="7146C2BE" w14:textId="77777777" w:rsidR="005A7502" w:rsidRDefault="00000000">
      <w:pPr>
        <w:spacing w:line="360" w:lineRule="auto"/>
        <w:jc w:val="both"/>
        <w:rPr>
          <w:rFonts w:ascii="Times New Roman" w:eastAsia="Times New Roman" w:hAnsi="Times New Roman" w:cs="Times New Roman"/>
          <w:b/>
          <w:sz w:val="24"/>
          <w:szCs w:val="24"/>
        </w:rPr>
      </w:pPr>
      <w:r>
        <w:br w:type="page"/>
      </w:r>
    </w:p>
    <w:p w14:paraId="42A9E30B" w14:textId="05203F53" w:rsidR="005A7502" w:rsidRPr="00FA3D8F" w:rsidRDefault="00FA3D8F" w:rsidP="00FA3D8F">
      <w:pPr>
        <w:spacing w:line="360" w:lineRule="auto"/>
        <w:jc w:val="center"/>
        <w:rPr>
          <w:rFonts w:ascii="Times New Roman" w:eastAsia="Times New Roman" w:hAnsi="Times New Roman" w:cs="Times New Roman"/>
          <w:b/>
          <w:sz w:val="28"/>
          <w:szCs w:val="28"/>
        </w:rPr>
      </w:pPr>
      <w:r w:rsidRPr="00FA3D8F">
        <w:rPr>
          <w:rFonts w:ascii="Times New Roman" w:eastAsia="Times New Roman" w:hAnsi="Times New Roman" w:cs="Times New Roman"/>
          <w:b/>
          <w:sz w:val="28"/>
          <w:szCs w:val="28"/>
        </w:rPr>
        <w:lastRenderedPageBreak/>
        <w:t>TABLE OF CONTENTS</w:t>
      </w:r>
    </w:p>
    <w:sdt>
      <w:sdtPr>
        <w:id w:val="-106810719"/>
        <w:docPartObj>
          <w:docPartGallery w:val="Table of Contents"/>
          <w:docPartUnique/>
        </w:docPartObj>
      </w:sdtPr>
      <w:sdtContent>
        <w:p w14:paraId="0A77E5C1" w14:textId="49FAE0F0" w:rsidR="005A7502" w:rsidRDefault="00000000">
          <w:pPr>
            <w:widowControl w:val="0"/>
            <w:tabs>
              <w:tab w:val="right" w:pos="12000"/>
            </w:tabs>
            <w:spacing w:before="60" w:after="0" w:line="240" w:lineRule="auto"/>
            <w:rPr>
              <w:rFonts w:ascii="Arial" w:eastAsia="Arial" w:hAnsi="Arial" w:cs="Arial"/>
              <w:b/>
              <w:color w:val="000000"/>
            </w:rPr>
          </w:pPr>
          <w:r>
            <w:fldChar w:fldCharType="begin"/>
          </w:r>
          <w:r>
            <w:instrText xml:space="preserve"> TOC \h \u \z \t "Heading 1,1,Heading 2,2,Heading 3,3,Heading 4,4,Heading 5,5,Heading 6,6,"</w:instrText>
          </w:r>
          <w:r>
            <w:fldChar w:fldCharType="separate"/>
          </w:r>
        </w:p>
        <w:p w14:paraId="34B5DEE7" w14:textId="77777777" w:rsidR="005A7502" w:rsidRDefault="00000000">
          <w:pPr>
            <w:widowControl w:val="0"/>
            <w:tabs>
              <w:tab w:val="right" w:pos="12000"/>
            </w:tabs>
            <w:spacing w:before="60" w:after="0" w:line="240" w:lineRule="auto"/>
            <w:rPr>
              <w:rFonts w:ascii="Arial" w:eastAsia="Arial" w:hAnsi="Arial" w:cs="Arial"/>
              <w:b/>
              <w:color w:val="000000"/>
            </w:rPr>
          </w:pPr>
          <w:hyperlink w:anchor="_u5jp628a451">
            <w:r>
              <w:rPr>
                <w:rFonts w:ascii="Times New Roman" w:eastAsia="Times New Roman" w:hAnsi="Times New Roman" w:cs="Times New Roman"/>
                <w:b/>
                <w:color w:val="000000"/>
                <w:sz w:val="24"/>
                <w:szCs w:val="24"/>
              </w:rPr>
              <w:t>Introduction</w:t>
            </w:r>
            <w:r>
              <w:rPr>
                <w:rFonts w:ascii="Times New Roman" w:eastAsia="Times New Roman" w:hAnsi="Times New Roman" w:cs="Times New Roman"/>
                <w:b/>
                <w:color w:val="000000"/>
                <w:sz w:val="24"/>
                <w:szCs w:val="24"/>
              </w:rPr>
              <w:tab/>
              <w:t>2</w:t>
            </w:r>
          </w:hyperlink>
        </w:p>
        <w:p w14:paraId="403509D4" w14:textId="77777777" w:rsidR="005A7502" w:rsidRDefault="00000000">
          <w:pPr>
            <w:widowControl w:val="0"/>
            <w:tabs>
              <w:tab w:val="right" w:pos="12000"/>
            </w:tabs>
            <w:spacing w:before="60" w:after="0" w:line="240" w:lineRule="auto"/>
            <w:rPr>
              <w:rFonts w:ascii="Arial" w:eastAsia="Arial" w:hAnsi="Arial" w:cs="Arial"/>
              <w:b/>
              <w:color w:val="000000"/>
            </w:rPr>
          </w:pPr>
          <w:hyperlink w:anchor="_54lym68h8uw3">
            <w:r>
              <w:rPr>
                <w:rFonts w:ascii="Times New Roman" w:eastAsia="Times New Roman" w:hAnsi="Times New Roman" w:cs="Times New Roman"/>
                <w:b/>
                <w:color w:val="000000"/>
                <w:sz w:val="24"/>
                <w:szCs w:val="24"/>
              </w:rPr>
              <w:t>Section-1 Vision, Mission and Objectives</w:t>
            </w:r>
            <w:r>
              <w:rPr>
                <w:rFonts w:ascii="Times New Roman" w:eastAsia="Times New Roman" w:hAnsi="Times New Roman" w:cs="Times New Roman"/>
                <w:b/>
                <w:color w:val="000000"/>
                <w:sz w:val="24"/>
                <w:szCs w:val="24"/>
              </w:rPr>
              <w:tab/>
              <w:t>3</w:t>
            </w:r>
          </w:hyperlink>
        </w:p>
        <w:p w14:paraId="4DC6CF8C"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9mgir7weqff2">
            <w:r>
              <w:rPr>
                <w:rFonts w:ascii="Times New Roman" w:eastAsia="Times New Roman" w:hAnsi="Times New Roman" w:cs="Times New Roman"/>
                <w:color w:val="000000"/>
                <w:sz w:val="24"/>
                <w:szCs w:val="24"/>
              </w:rPr>
              <w:t>Vision Statement Development</w:t>
            </w:r>
            <w:r>
              <w:rPr>
                <w:rFonts w:ascii="Times New Roman" w:eastAsia="Times New Roman" w:hAnsi="Times New Roman" w:cs="Times New Roman"/>
                <w:color w:val="000000"/>
                <w:sz w:val="24"/>
                <w:szCs w:val="24"/>
              </w:rPr>
              <w:tab/>
              <w:t>3</w:t>
            </w:r>
          </w:hyperlink>
        </w:p>
        <w:p w14:paraId="5F151D47"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7cn0xhpzh409">
            <w:r>
              <w:rPr>
                <w:rFonts w:ascii="Times New Roman" w:eastAsia="Times New Roman" w:hAnsi="Times New Roman" w:cs="Times New Roman"/>
                <w:color w:val="000000"/>
                <w:sz w:val="24"/>
                <w:szCs w:val="24"/>
              </w:rPr>
              <w:t>Mission Statement Formulation</w:t>
            </w:r>
            <w:r>
              <w:rPr>
                <w:rFonts w:ascii="Times New Roman" w:eastAsia="Times New Roman" w:hAnsi="Times New Roman" w:cs="Times New Roman"/>
                <w:color w:val="000000"/>
                <w:sz w:val="24"/>
                <w:szCs w:val="24"/>
              </w:rPr>
              <w:tab/>
              <w:t>4</w:t>
            </w:r>
          </w:hyperlink>
        </w:p>
        <w:p w14:paraId="48110A74"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hy6nlhw1zcrl">
            <w:r>
              <w:rPr>
                <w:rFonts w:ascii="Times New Roman" w:eastAsia="Times New Roman" w:hAnsi="Times New Roman" w:cs="Times New Roman"/>
                <w:color w:val="000000"/>
                <w:sz w:val="24"/>
                <w:szCs w:val="24"/>
              </w:rPr>
              <w:t>Setting Strategic Objectives</w:t>
            </w:r>
            <w:r>
              <w:rPr>
                <w:rFonts w:ascii="Times New Roman" w:eastAsia="Times New Roman" w:hAnsi="Times New Roman" w:cs="Times New Roman"/>
                <w:color w:val="000000"/>
                <w:sz w:val="24"/>
                <w:szCs w:val="24"/>
              </w:rPr>
              <w:tab/>
              <w:t>4</w:t>
            </w:r>
          </w:hyperlink>
        </w:p>
        <w:p w14:paraId="50CADFED"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46so6jqriony">
            <w:r>
              <w:rPr>
                <w:rFonts w:ascii="Times New Roman" w:eastAsia="Times New Roman" w:hAnsi="Times New Roman" w:cs="Times New Roman"/>
                <w:color w:val="000000"/>
                <w:sz w:val="24"/>
                <w:szCs w:val="24"/>
              </w:rPr>
              <w:t>External Audit: PESTLE Analysis for 'Delicious'</w:t>
            </w:r>
            <w:r>
              <w:rPr>
                <w:rFonts w:ascii="Times New Roman" w:eastAsia="Times New Roman" w:hAnsi="Times New Roman" w:cs="Times New Roman"/>
                <w:color w:val="000000"/>
                <w:sz w:val="24"/>
                <w:szCs w:val="24"/>
              </w:rPr>
              <w:tab/>
              <w:t>7</w:t>
            </w:r>
          </w:hyperlink>
        </w:p>
        <w:p w14:paraId="11FD747F" w14:textId="77777777" w:rsidR="005A7502" w:rsidRDefault="00000000">
          <w:pPr>
            <w:widowControl w:val="0"/>
            <w:tabs>
              <w:tab w:val="right" w:pos="12000"/>
            </w:tabs>
            <w:spacing w:before="60" w:after="0" w:line="240" w:lineRule="auto"/>
            <w:rPr>
              <w:rFonts w:ascii="Arial" w:eastAsia="Arial" w:hAnsi="Arial" w:cs="Arial"/>
              <w:b/>
              <w:color w:val="000000"/>
            </w:rPr>
          </w:pPr>
          <w:hyperlink w:anchor="_f0xl99dzfc0w">
            <w:r>
              <w:rPr>
                <w:rFonts w:ascii="Times New Roman" w:eastAsia="Times New Roman" w:hAnsi="Times New Roman" w:cs="Times New Roman"/>
                <w:b/>
                <w:color w:val="000000"/>
                <w:sz w:val="24"/>
                <w:szCs w:val="24"/>
              </w:rPr>
              <w:t>Section-3- Evaluation Strategy Options</w:t>
            </w:r>
            <w:r>
              <w:rPr>
                <w:rFonts w:ascii="Times New Roman" w:eastAsia="Times New Roman" w:hAnsi="Times New Roman" w:cs="Times New Roman"/>
                <w:b/>
                <w:color w:val="000000"/>
                <w:sz w:val="24"/>
                <w:szCs w:val="24"/>
              </w:rPr>
              <w:tab/>
              <w:t>11</w:t>
            </w:r>
          </w:hyperlink>
        </w:p>
        <w:p w14:paraId="436AE71B"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rm3nc7a13xhe">
            <w:r>
              <w:rPr>
                <w:rFonts w:ascii="Times New Roman" w:eastAsia="Times New Roman" w:hAnsi="Times New Roman" w:cs="Times New Roman"/>
                <w:color w:val="000000"/>
                <w:sz w:val="24"/>
                <w:szCs w:val="24"/>
              </w:rPr>
              <w:t>Identification of Strategic Options for 'Delicious'</w:t>
            </w:r>
            <w:r>
              <w:rPr>
                <w:rFonts w:ascii="Times New Roman" w:eastAsia="Times New Roman" w:hAnsi="Times New Roman" w:cs="Times New Roman"/>
                <w:color w:val="000000"/>
                <w:sz w:val="24"/>
                <w:szCs w:val="24"/>
              </w:rPr>
              <w:tab/>
              <w:t>11</w:t>
            </w:r>
          </w:hyperlink>
        </w:p>
        <w:p w14:paraId="7730CEC5"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y4rkclh2smlh">
            <w:r>
              <w:rPr>
                <w:rFonts w:ascii="Times New Roman" w:eastAsia="Times New Roman" w:hAnsi="Times New Roman" w:cs="Times New Roman"/>
                <w:color w:val="000000"/>
                <w:sz w:val="24"/>
                <w:szCs w:val="24"/>
              </w:rPr>
              <w:t>Evaluation Criteria: Suitability, Feasibility, Acceptability</w:t>
            </w:r>
            <w:r>
              <w:rPr>
                <w:rFonts w:ascii="Times New Roman" w:eastAsia="Times New Roman" w:hAnsi="Times New Roman" w:cs="Times New Roman"/>
                <w:color w:val="000000"/>
                <w:sz w:val="24"/>
                <w:szCs w:val="24"/>
              </w:rPr>
              <w:tab/>
              <w:t>13</w:t>
            </w:r>
          </w:hyperlink>
        </w:p>
        <w:p w14:paraId="26796536"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bivyjjeb3hvr">
            <w:r>
              <w:rPr>
                <w:rFonts w:ascii="Times New Roman" w:eastAsia="Times New Roman" w:hAnsi="Times New Roman" w:cs="Times New Roman"/>
                <w:color w:val="000000"/>
                <w:sz w:val="24"/>
                <w:szCs w:val="24"/>
              </w:rPr>
              <w:t>Selection of Optimal Strategy for 'Delicious'</w:t>
            </w:r>
            <w:r>
              <w:rPr>
                <w:rFonts w:ascii="Times New Roman" w:eastAsia="Times New Roman" w:hAnsi="Times New Roman" w:cs="Times New Roman"/>
                <w:color w:val="000000"/>
                <w:sz w:val="24"/>
                <w:szCs w:val="24"/>
              </w:rPr>
              <w:tab/>
              <w:t>14</w:t>
            </w:r>
          </w:hyperlink>
        </w:p>
        <w:p w14:paraId="1A2C9605" w14:textId="77777777" w:rsidR="005A7502" w:rsidRDefault="00000000">
          <w:pPr>
            <w:widowControl w:val="0"/>
            <w:tabs>
              <w:tab w:val="right" w:pos="12000"/>
            </w:tabs>
            <w:spacing w:before="60" w:after="0" w:line="240" w:lineRule="auto"/>
            <w:rPr>
              <w:rFonts w:ascii="Arial" w:eastAsia="Arial" w:hAnsi="Arial" w:cs="Arial"/>
              <w:b/>
              <w:color w:val="000000"/>
            </w:rPr>
          </w:pPr>
          <w:hyperlink w:anchor="_d36xahe5uygw">
            <w:r>
              <w:rPr>
                <w:rFonts w:ascii="Times New Roman" w:eastAsia="Times New Roman" w:hAnsi="Times New Roman" w:cs="Times New Roman"/>
                <w:b/>
                <w:color w:val="000000"/>
                <w:sz w:val="24"/>
                <w:szCs w:val="24"/>
              </w:rPr>
              <w:t>Section-4 Strategy Implementation</w:t>
            </w:r>
            <w:r>
              <w:rPr>
                <w:rFonts w:ascii="Times New Roman" w:eastAsia="Times New Roman" w:hAnsi="Times New Roman" w:cs="Times New Roman"/>
                <w:b/>
                <w:color w:val="000000"/>
                <w:sz w:val="24"/>
                <w:szCs w:val="24"/>
              </w:rPr>
              <w:tab/>
              <w:t>15</w:t>
            </w:r>
          </w:hyperlink>
        </w:p>
        <w:p w14:paraId="3B8409A5"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i4dxtmrzey4">
            <w:r>
              <w:rPr>
                <w:rFonts w:ascii="Times New Roman" w:eastAsia="Times New Roman" w:hAnsi="Times New Roman" w:cs="Times New Roman"/>
                <w:color w:val="000000"/>
                <w:sz w:val="24"/>
                <w:szCs w:val="24"/>
              </w:rPr>
              <w:t>Implementation of Plan for 'Delicious'</w:t>
            </w:r>
            <w:r>
              <w:rPr>
                <w:rFonts w:ascii="Times New Roman" w:eastAsia="Times New Roman" w:hAnsi="Times New Roman" w:cs="Times New Roman"/>
                <w:color w:val="000000"/>
                <w:sz w:val="24"/>
                <w:szCs w:val="24"/>
              </w:rPr>
              <w:tab/>
              <w:t>15</w:t>
            </w:r>
          </w:hyperlink>
        </w:p>
        <w:p w14:paraId="5372D1E3"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r50b6vz1aahr">
            <w:r>
              <w:rPr>
                <w:rFonts w:ascii="Times New Roman" w:eastAsia="Times New Roman" w:hAnsi="Times New Roman" w:cs="Times New Roman"/>
                <w:color w:val="000000"/>
                <w:sz w:val="24"/>
                <w:szCs w:val="24"/>
              </w:rPr>
              <w:t>Change Management Considerations</w:t>
            </w:r>
            <w:r>
              <w:rPr>
                <w:rFonts w:ascii="Times New Roman" w:eastAsia="Times New Roman" w:hAnsi="Times New Roman" w:cs="Times New Roman"/>
                <w:color w:val="000000"/>
                <w:sz w:val="24"/>
                <w:szCs w:val="24"/>
              </w:rPr>
              <w:tab/>
              <w:t>19</w:t>
            </w:r>
          </w:hyperlink>
        </w:p>
        <w:p w14:paraId="76EACE39" w14:textId="77777777" w:rsidR="005A7502" w:rsidRDefault="00000000">
          <w:pPr>
            <w:widowControl w:val="0"/>
            <w:tabs>
              <w:tab w:val="right" w:pos="12000"/>
            </w:tabs>
            <w:spacing w:before="60" w:after="0" w:line="240" w:lineRule="auto"/>
            <w:rPr>
              <w:rFonts w:ascii="Arial" w:eastAsia="Arial" w:hAnsi="Arial" w:cs="Arial"/>
              <w:b/>
              <w:color w:val="000000"/>
            </w:rPr>
          </w:pPr>
          <w:hyperlink w:anchor="_xu7ujkc9j4qk">
            <w:r>
              <w:rPr>
                <w:rFonts w:ascii="Times New Roman" w:eastAsia="Times New Roman" w:hAnsi="Times New Roman" w:cs="Times New Roman"/>
                <w:b/>
                <w:color w:val="000000"/>
                <w:sz w:val="24"/>
                <w:szCs w:val="24"/>
              </w:rPr>
              <w:t>Section-5 Strategy Monitoring Tools</w:t>
            </w:r>
            <w:r>
              <w:rPr>
                <w:rFonts w:ascii="Times New Roman" w:eastAsia="Times New Roman" w:hAnsi="Times New Roman" w:cs="Times New Roman"/>
                <w:b/>
                <w:color w:val="000000"/>
                <w:sz w:val="24"/>
                <w:szCs w:val="24"/>
              </w:rPr>
              <w:tab/>
              <w:t>22</w:t>
            </w:r>
          </w:hyperlink>
        </w:p>
        <w:p w14:paraId="28F65BF7"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460awx8na9ew">
            <w:r>
              <w:rPr>
                <w:rFonts w:ascii="Times New Roman" w:eastAsia="Times New Roman" w:hAnsi="Times New Roman" w:cs="Times New Roman"/>
                <w:color w:val="000000"/>
                <w:sz w:val="24"/>
                <w:szCs w:val="24"/>
              </w:rPr>
              <w:t>Key Performance Indicators (KPIs)</w:t>
            </w:r>
            <w:r>
              <w:rPr>
                <w:rFonts w:ascii="Times New Roman" w:eastAsia="Times New Roman" w:hAnsi="Times New Roman" w:cs="Times New Roman"/>
                <w:color w:val="000000"/>
                <w:sz w:val="24"/>
                <w:szCs w:val="24"/>
              </w:rPr>
              <w:tab/>
              <w:t>22</w:t>
            </w:r>
          </w:hyperlink>
        </w:p>
        <w:p w14:paraId="0E32E4EE"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4og6nocxfn4m">
            <w:r>
              <w:rPr>
                <w:rFonts w:ascii="Times New Roman" w:eastAsia="Times New Roman" w:hAnsi="Times New Roman" w:cs="Times New Roman"/>
                <w:color w:val="000000"/>
                <w:sz w:val="24"/>
                <w:szCs w:val="24"/>
              </w:rPr>
              <w:t>Balanced Scorecard</w:t>
            </w:r>
            <w:r>
              <w:rPr>
                <w:rFonts w:ascii="Times New Roman" w:eastAsia="Times New Roman" w:hAnsi="Times New Roman" w:cs="Times New Roman"/>
                <w:color w:val="000000"/>
                <w:sz w:val="24"/>
                <w:szCs w:val="24"/>
              </w:rPr>
              <w:tab/>
              <w:t>24</w:t>
            </w:r>
          </w:hyperlink>
        </w:p>
        <w:p w14:paraId="51853BE7" w14:textId="77777777" w:rsidR="005A7502" w:rsidRDefault="00000000">
          <w:pPr>
            <w:widowControl w:val="0"/>
            <w:tabs>
              <w:tab w:val="right" w:pos="12000"/>
            </w:tabs>
            <w:spacing w:before="60" w:after="0" w:line="240" w:lineRule="auto"/>
            <w:ind w:left="360"/>
            <w:rPr>
              <w:rFonts w:ascii="Arial" w:eastAsia="Arial" w:hAnsi="Arial" w:cs="Arial"/>
              <w:color w:val="000000"/>
            </w:rPr>
          </w:pPr>
          <w:hyperlink w:anchor="_ck8rhcfv890x">
            <w:r>
              <w:rPr>
                <w:rFonts w:ascii="Times New Roman" w:eastAsia="Times New Roman" w:hAnsi="Times New Roman" w:cs="Times New Roman"/>
                <w:color w:val="000000"/>
                <w:sz w:val="24"/>
                <w:szCs w:val="24"/>
              </w:rPr>
              <w:t>Benchmarking</w:t>
            </w:r>
            <w:r>
              <w:rPr>
                <w:rFonts w:ascii="Times New Roman" w:eastAsia="Times New Roman" w:hAnsi="Times New Roman" w:cs="Times New Roman"/>
                <w:color w:val="000000"/>
                <w:sz w:val="24"/>
                <w:szCs w:val="24"/>
              </w:rPr>
              <w:tab/>
              <w:t>25</w:t>
            </w:r>
          </w:hyperlink>
        </w:p>
        <w:p w14:paraId="7F57E4A8" w14:textId="77777777" w:rsidR="005A7502" w:rsidRDefault="00000000">
          <w:pPr>
            <w:widowControl w:val="0"/>
            <w:tabs>
              <w:tab w:val="right" w:pos="12000"/>
            </w:tabs>
            <w:spacing w:before="60" w:after="0" w:line="240" w:lineRule="auto"/>
            <w:rPr>
              <w:rFonts w:ascii="Arial" w:eastAsia="Arial" w:hAnsi="Arial" w:cs="Arial"/>
              <w:b/>
              <w:color w:val="000000"/>
            </w:rPr>
          </w:pPr>
          <w:hyperlink w:anchor="_rop6r5n2kw0l">
            <w:r>
              <w:rPr>
                <w:rFonts w:ascii="Times New Roman" w:eastAsia="Times New Roman" w:hAnsi="Times New Roman" w:cs="Times New Roman"/>
                <w:b/>
                <w:color w:val="000000"/>
                <w:sz w:val="24"/>
                <w:szCs w:val="24"/>
              </w:rPr>
              <w:t>Conclusion</w:t>
            </w:r>
            <w:r>
              <w:rPr>
                <w:rFonts w:ascii="Times New Roman" w:eastAsia="Times New Roman" w:hAnsi="Times New Roman" w:cs="Times New Roman"/>
                <w:b/>
                <w:color w:val="000000"/>
                <w:sz w:val="24"/>
                <w:szCs w:val="24"/>
              </w:rPr>
              <w:tab/>
              <w:t>26</w:t>
            </w:r>
          </w:hyperlink>
        </w:p>
        <w:p w14:paraId="69EBF5C4" w14:textId="77777777" w:rsidR="005A7502" w:rsidRDefault="00000000">
          <w:pPr>
            <w:widowControl w:val="0"/>
            <w:tabs>
              <w:tab w:val="right" w:pos="12000"/>
            </w:tabs>
            <w:spacing w:before="60" w:after="0" w:line="240" w:lineRule="auto"/>
            <w:rPr>
              <w:rFonts w:ascii="Arial" w:eastAsia="Arial" w:hAnsi="Arial" w:cs="Arial"/>
              <w:b/>
              <w:color w:val="000000"/>
            </w:rPr>
          </w:pPr>
          <w:hyperlink w:anchor="_gjdgxs">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t>28</w:t>
            </w:r>
          </w:hyperlink>
          <w:r>
            <w:fldChar w:fldCharType="end"/>
          </w:r>
        </w:p>
      </w:sdtContent>
    </w:sdt>
    <w:p w14:paraId="1C406068" w14:textId="77777777" w:rsidR="005A7502" w:rsidRDefault="00000000">
      <w:pPr>
        <w:pStyle w:val="Heading1"/>
      </w:pPr>
      <w:bookmarkStart w:id="6" w:name="_n7wwqp2l6hc7" w:colFirst="0" w:colLast="0"/>
      <w:bookmarkEnd w:id="6"/>
      <w:r>
        <w:br w:type="page"/>
      </w:r>
    </w:p>
    <w:p w14:paraId="6CBF4773" w14:textId="77777777" w:rsidR="005A7502" w:rsidRDefault="00000000">
      <w:pPr>
        <w:pStyle w:val="Heading1"/>
      </w:pPr>
      <w:bookmarkStart w:id="7" w:name="_u5jp628a451" w:colFirst="0" w:colLast="0"/>
      <w:bookmarkEnd w:id="7"/>
      <w:r>
        <w:lastRenderedPageBreak/>
        <w:t>Introduction</w:t>
      </w:r>
    </w:p>
    <w:p w14:paraId="0125068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management is defined as management that takes a long-term view of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goals and how to best use its resources to achieve those goals. Setting goals, investigating the environment, examining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internal processes, evaluating the plan, and monitoring its implementation are all steps in strategic management. There are numerous theories about strategic management accessible. There are two major schools of thought in strategic management: the prescriptive school, which lays out recommendations for how strategies should be established, and the descriptive school, which focuses on how plans should be implemented (Ansoff et al. 2018). Both schools highlight the necessity of thoroughly assessing possibilities and issues. They argue, however, on whether strategies should be interpreted as comprehensive concepts with analytical definitions or as executable plans. The ability of a firm to achieve its goals is strongly tied to its internal structure, personnel expertise and experience, and the culture in which it operates. Aguiar et al. (2019) warn that businesses risk failing if they do not adapt to changing conditions. Managers may struggle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efficacy of strategy creation and execution due to the time commitment.</w:t>
      </w:r>
    </w:p>
    <w:p w14:paraId="04785DB6" w14:textId="77777777" w:rsidR="005A7502" w:rsidRDefault="005A7502">
      <w:pPr>
        <w:spacing w:line="360" w:lineRule="auto"/>
        <w:jc w:val="both"/>
        <w:rPr>
          <w:rFonts w:ascii="Times New Roman" w:eastAsia="Times New Roman" w:hAnsi="Times New Roman" w:cs="Times New Roman"/>
          <w:sz w:val="24"/>
          <w:szCs w:val="24"/>
        </w:rPr>
      </w:pPr>
    </w:p>
    <w:p w14:paraId="18AFBB7B"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101DE69" wp14:editId="5FBE147F">
            <wp:extent cx="4324350" cy="22671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324350" cy="2267191"/>
                    </a:xfrm>
                    <a:prstGeom prst="rect">
                      <a:avLst/>
                    </a:prstGeom>
                  </pic:spPr>
                </pic:pic>
              </a:graphicData>
            </a:graphic>
          </wp:inline>
        </w:drawing>
      </w:r>
    </w:p>
    <w:p w14:paraId="28B80AAD"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most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lower-level managers and individuals are tasked with coming up with initial strategies, while the ultimate decision-makers are in the upper-level management. Many more people than just the CEO may be involved in developing and implementing a company's strategy (Henry, 2021). When trying to learn from the mistakes of other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corporate executives </w:t>
      </w:r>
      <w:r>
        <w:rPr>
          <w:rFonts w:ascii="Times New Roman" w:eastAsia="Times New Roman" w:hAnsi="Times New Roman" w:cs="Times New Roman"/>
          <w:sz w:val="24"/>
          <w:szCs w:val="24"/>
        </w:rPr>
        <w:lastRenderedPageBreak/>
        <w:t xml:space="preserve">frequently refer to studies that such companies have conducted. One must use their knowledge to foresee potential changes and manage their employees'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well if they want to keep making money. Plan oversight is not possible without first conducting thorough analyses of both broad and narrow goals.</w:t>
      </w:r>
    </w:p>
    <w:p w14:paraId="377E50C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keeping with the company's initial objective of </w:t>
      </w:r>
      <w:proofErr w:type="spellStart"/>
      <w:r>
        <w:rPr>
          <w:rFonts w:ascii="Times New Roman" w:eastAsia="Times New Roman" w:hAnsi="Times New Roman" w:cs="Times New Roman"/>
          <w:sz w:val="24"/>
          <w:szCs w:val="24"/>
        </w:rPr>
        <w:t>revolutionising</w:t>
      </w:r>
      <w:proofErr w:type="spellEnd"/>
      <w:r>
        <w:rPr>
          <w:rFonts w:ascii="Times New Roman" w:eastAsia="Times New Roman" w:hAnsi="Times New Roman" w:cs="Times New Roman"/>
          <w:sz w:val="24"/>
          <w:szCs w:val="24"/>
        </w:rPr>
        <w:t xml:space="preserve"> fast food, "Delicious" has become quite popular in the city's restaurant business due to its wide variety of healthy and high-quality meal options. The company's dedication to providing exceptional service and delicious food has led to its incredible growth and devoted customer base (</w:t>
      </w:r>
      <w:proofErr w:type="spellStart"/>
      <w:r>
        <w:rPr>
          <w:rFonts w:ascii="Times New Roman" w:eastAsia="Times New Roman" w:hAnsi="Times New Roman" w:cs="Times New Roman"/>
          <w:sz w:val="24"/>
          <w:szCs w:val="24"/>
        </w:rPr>
        <w:t>Annosi</w:t>
      </w:r>
      <w:proofErr w:type="spellEnd"/>
      <w:r>
        <w:rPr>
          <w:rFonts w:ascii="Times New Roman" w:eastAsia="Times New Roman" w:hAnsi="Times New Roman" w:cs="Times New Roman"/>
          <w:sz w:val="24"/>
          <w:szCs w:val="24"/>
        </w:rPr>
        <w:t xml:space="preserve"> et al., 2021). Planning for the future growth and prosperity of the restaurant is the driving force behind this undertaking. In the cutthroat British food industry, Delicious is aiming for the stars. To get there, we need to align our fundamental principles with our operational capabilities, all the while keeping an eye on the market for opportunities and threats.</w:t>
      </w:r>
    </w:p>
    <w:p w14:paraId="03ED4AEB" w14:textId="77777777" w:rsidR="005A7502" w:rsidRDefault="00000000">
      <w:pPr>
        <w:pStyle w:val="Heading1"/>
      </w:pPr>
      <w:bookmarkStart w:id="8" w:name="_54lym68h8uw3" w:colFirst="0" w:colLast="0"/>
      <w:bookmarkEnd w:id="8"/>
      <w:r>
        <w:t>Section-1 Vision, Mission and Objectives</w:t>
      </w:r>
    </w:p>
    <w:p w14:paraId="415FD96F" w14:textId="77777777" w:rsidR="005A7502" w:rsidRDefault="00000000">
      <w:pPr>
        <w:pStyle w:val="Heading2"/>
      </w:pPr>
      <w:bookmarkStart w:id="9" w:name="_9mgir7weqff2" w:colFirst="0" w:colLast="0"/>
      <w:bookmarkEnd w:id="9"/>
      <w:r>
        <w:t xml:space="preserve">Vision Statement Development </w:t>
      </w:r>
    </w:p>
    <w:p w14:paraId="15255CC8"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"Delicious" has established goals to surpass its current status as a dining establishment in the coming years. Over an extended period, its objective is to assimilate into the local community by ensuring a warm welcome, fostering lasting memories, and showcasing the most exemplary elements of the local culture (Hunger, 2020). (Barney and Hesterly, 2019) In addition to increasing their market share and financial stability, their objective is to improve society through increased community involvement, the generation of positive social outcomes, and the expansion of their sphere of influence.</w:t>
      </w:r>
    </w:p>
    <w:p w14:paraId="556515E2"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to bring about a paradigm shift in the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industry by upholding unparalleled benchmarks in social accountability, ecological sustainability, and patron care. By doing so, an already established and reputable status in the annals of cuisine will be fortified even more.</w:t>
      </w:r>
    </w:p>
    <w:p w14:paraId="220565E8" w14:textId="77777777" w:rsidR="005A7502" w:rsidRDefault="00000000">
      <w:pPr>
        <w:pStyle w:val="Heading2"/>
      </w:pPr>
      <w:bookmarkStart w:id="10" w:name="_7cn0xhpzh409" w:colFirst="0" w:colLast="0"/>
      <w:bookmarkEnd w:id="10"/>
      <w:r>
        <w:lastRenderedPageBreak/>
        <w:t xml:space="preserve">Mission Statement Formulation </w:t>
      </w:r>
    </w:p>
    <w:p w14:paraId="442330D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creating a mission statement for "Delicious," it is imperative to specify the main functions of the firm, its main objective, and the tactical approach that will be employed to accomplish these aims. The mission statement of a restaurant conveys the fundamental principles, operational outlook, and strategic plan of the establishment. Regardless of guests' dietary requirements or personal preferences, the restaurant aims to provide delicious meals (Breier et al., 2021). The mission of Delicious is to simplify the process of quickly and easily preparing wholesome and fulfilling meals. The company intends to deliver an unmatched combination of culinary expertise and user-friendliness in order to accomplish this goal.</w:t>
      </w:r>
    </w:p>
    <w:p w14:paraId="1515DE2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main objective is to provide customers with the best fast food possible by placing a strong emphasis on effectiveness, individuality, quality, and community participation. </w:t>
      </w:r>
    </w:p>
    <w:p w14:paraId="02F97364" w14:textId="77777777" w:rsidR="005A7502" w:rsidRDefault="00000000">
      <w:pPr>
        <w:pStyle w:val="Heading2"/>
      </w:pPr>
      <w:bookmarkStart w:id="11" w:name="_hy6nlhw1zcrl" w:colFirst="0" w:colLast="0"/>
      <w:bookmarkEnd w:id="11"/>
      <w:r>
        <w:t>Setting Strategic Objectives</w:t>
      </w:r>
    </w:p>
    <w:p w14:paraId="36CC6D4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Delicious wants to grow its market share in the UK over the next five years. Dash delivers fast food. To reach this goal, the menu will need to include more healthy and environmentally friendly choices, as well as more customers who are loyal to the brand. All of these things will help reach this goal more easily (Campo et al. 2020). The group does more than just promote health and awareness of the environment; it also changes what it offers to meet the changing needs of its customers. The group wants to boost business performance by cutting down on waste and service delivery time (Hill, 2022).</w:t>
      </w:r>
    </w:p>
    <w:p w14:paraId="5B897EEF"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252860" wp14:editId="1E8AB55B">
            <wp:extent cx="4762500" cy="23812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762500" cy="2381250"/>
                    </a:xfrm>
                    <a:prstGeom prst="rect">
                      <a:avLst/>
                    </a:prstGeom>
                  </pic:spPr>
                </pic:pic>
              </a:graphicData>
            </a:graphic>
          </wp:inline>
        </w:drawing>
      </w:r>
    </w:p>
    <w:p w14:paraId="44D77981"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 (SMART Objectives)</w:t>
      </w:r>
    </w:p>
    <w:p w14:paraId="195D2C2C"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p>
    <w:p w14:paraId="2674537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must undertake additional measures to achieve this objective, such as adopting more environmentally friendly policies,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its supply chain, and providing comprehensive training to all employees (Teece, 2019). Delicious aims to achieve market dominance by effective company operations and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the trade-off between cost efficiency and exceptional customer service. According to Chou et al. (2020), the ultimate objective is to encourage individuals to assume greater accountability for their actions and actively participate in their communities. Engaging in philanthropic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undertaking community-based initiatives, and implementing environmentally sustainable practices in the workplace can facilitate the achievement of the company's objectives while enhancing the well-being of individuals.</w:t>
      </w:r>
    </w:p>
    <w:p w14:paraId="57B236D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goals of "Delicious" are consistent with the restaurant's ambitions to grow, improve, simplify, and help society.</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13"/>
        <w:gridCol w:w="3398"/>
        <w:gridCol w:w="2429"/>
        <w:gridCol w:w="1110"/>
      </w:tblGrid>
      <w:tr w:rsidR="00AF10DB" w14:paraId="7C86DB59" w14:textId="77777777">
        <w:tc>
          <w:tcPr>
            <w:tcW w:w="2413" w:type="dxa"/>
            <w:shd w:val="clear" w:color="auto" w:fill="3D85C6"/>
          </w:tcPr>
          <w:p w14:paraId="6AEEF50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3398" w:type="dxa"/>
            <w:shd w:val="clear" w:color="auto" w:fill="3D85C6"/>
          </w:tcPr>
          <w:p w14:paraId="6C3AF158"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429" w:type="dxa"/>
            <w:shd w:val="clear" w:color="auto" w:fill="3D85C6"/>
          </w:tcPr>
          <w:p w14:paraId="2C49BB13"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w:t>
            </w:r>
          </w:p>
        </w:tc>
        <w:tc>
          <w:tcPr>
            <w:tcW w:w="1110" w:type="dxa"/>
            <w:shd w:val="clear" w:color="auto" w:fill="3D85C6"/>
          </w:tcPr>
          <w:p w14:paraId="239A965B"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r>
      <w:tr w:rsidR="00AF10DB" w14:paraId="28076C87" w14:textId="77777777">
        <w:tc>
          <w:tcPr>
            <w:tcW w:w="2413" w:type="dxa"/>
            <w:shd w:val="clear" w:color="auto" w:fill="D5A6BD"/>
          </w:tcPr>
          <w:p w14:paraId="5C99F1AC"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Increase Market Share</w:t>
            </w:r>
          </w:p>
        </w:tc>
        <w:tc>
          <w:tcPr>
            <w:tcW w:w="3398" w:type="dxa"/>
            <w:shd w:val="clear" w:color="auto" w:fill="F6B26B"/>
          </w:tcPr>
          <w:p w14:paraId="18D9359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using innovative marketing strategies and providing e</w:t>
            </w:r>
            <w:r w:rsidR="00162BCD">
              <w:rPr>
                <w:rFonts w:ascii="Times New Roman" w:eastAsia="Times New Roman" w:hAnsi="Times New Roman" w:cs="Times New Roman"/>
                <w:sz w:val="24"/>
                <w:szCs w:val="24"/>
              </w:rPr>
              <w:t>xceptional customer service, one</w:t>
            </w:r>
            <w:r>
              <w:rPr>
                <w:rFonts w:ascii="Times New Roman" w:eastAsia="Times New Roman" w:hAnsi="Times New Roman" w:cs="Times New Roman"/>
                <w:sz w:val="24"/>
                <w:szCs w:val="24"/>
              </w:rPr>
              <w:t xml:space="preserve"> may raise brand recognition and customer loyalty.</w:t>
            </w:r>
          </w:p>
        </w:tc>
        <w:tc>
          <w:tcPr>
            <w:tcW w:w="2429" w:type="dxa"/>
            <w:shd w:val="clear" w:color="auto" w:fill="F4CCCC"/>
          </w:tcPr>
          <w:p w14:paraId="5FE8CC9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 a predetermined percentage target for growing market share.</w:t>
            </w:r>
          </w:p>
        </w:tc>
        <w:tc>
          <w:tcPr>
            <w:tcW w:w="1110" w:type="dxa"/>
            <w:shd w:val="clear" w:color="auto" w:fill="FFD966"/>
          </w:tcPr>
          <w:p w14:paraId="00FDEA05"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years</w:t>
            </w:r>
          </w:p>
        </w:tc>
      </w:tr>
      <w:tr w:rsidR="00AF10DB" w14:paraId="16C2ED91" w14:textId="77777777">
        <w:tc>
          <w:tcPr>
            <w:tcW w:w="2413" w:type="dxa"/>
            <w:shd w:val="clear" w:color="auto" w:fill="D5A6BD"/>
          </w:tcPr>
          <w:p w14:paraId="3FDB3F0D"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Menu Diversification</w:t>
            </w:r>
          </w:p>
        </w:tc>
        <w:tc>
          <w:tcPr>
            <w:tcW w:w="3398" w:type="dxa"/>
            <w:shd w:val="clear" w:color="auto" w:fill="F6B26B"/>
          </w:tcPr>
          <w:p w14:paraId="590EAA0E"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keep up with customers' ever-shifting preferences, stock up on healthy, eco-friendly food options.</w:t>
            </w:r>
          </w:p>
        </w:tc>
        <w:tc>
          <w:tcPr>
            <w:tcW w:w="2429" w:type="dxa"/>
            <w:shd w:val="clear" w:color="auto" w:fill="F4CCCC"/>
          </w:tcPr>
          <w:p w14:paraId="229EB27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Annually incorporate a fixed number of new menu items.</w:t>
            </w:r>
          </w:p>
        </w:tc>
        <w:tc>
          <w:tcPr>
            <w:tcW w:w="1110" w:type="dxa"/>
            <w:shd w:val="clear" w:color="auto" w:fill="FFD966"/>
          </w:tcPr>
          <w:p w14:paraId="3D30DE0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Annually</w:t>
            </w:r>
          </w:p>
        </w:tc>
      </w:tr>
      <w:tr w:rsidR="00AF10DB" w14:paraId="6944DD62" w14:textId="77777777">
        <w:tc>
          <w:tcPr>
            <w:tcW w:w="2413" w:type="dxa"/>
            <w:shd w:val="clear" w:color="auto" w:fill="D5A6BD"/>
          </w:tcPr>
          <w:p w14:paraId="4F20958A"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 Operational Efficiency</w:t>
            </w:r>
          </w:p>
        </w:tc>
        <w:tc>
          <w:tcPr>
            <w:tcW w:w="3398" w:type="dxa"/>
            <w:shd w:val="clear" w:color="auto" w:fill="F6B26B"/>
          </w:tcPr>
          <w:p w14:paraId="30159C0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supply chain management and staff training can help us become more </w:t>
            </w:r>
            <w:r>
              <w:rPr>
                <w:rFonts w:ascii="Times New Roman" w:eastAsia="Times New Roman" w:hAnsi="Times New Roman" w:cs="Times New Roman"/>
                <w:sz w:val="24"/>
                <w:szCs w:val="24"/>
              </w:rPr>
              <w:lastRenderedPageBreak/>
              <w:t>efficient and cut down on wasteful material production.</w:t>
            </w:r>
          </w:p>
        </w:tc>
        <w:tc>
          <w:tcPr>
            <w:tcW w:w="2429" w:type="dxa"/>
            <w:shd w:val="clear" w:color="auto" w:fill="F4CCCC"/>
          </w:tcPr>
          <w:p w14:paraId="480EE08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Decrease waste and service time by a predetermined percentage.</w:t>
            </w:r>
          </w:p>
        </w:tc>
        <w:tc>
          <w:tcPr>
            <w:tcW w:w="1110" w:type="dxa"/>
            <w:shd w:val="clear" w:color="auto" w:fill="FFD966"/>
          </w:tcPr>
          <w:p w14:paraId="7DC77E4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years</w:t>
            </w:r>
          </w:p>
        </w:tc>
      </w:tr>
      <w:tr w:rsidR="00AF10DB" w14:paraId="67A98D4F" w14:textId="77777777">
        <w:tc>
          <w:tcPr>
            <w:tcW w:w="2413" w:type="dxa"/>
            <w:shd w:val="clear" w:color="auto" w:fill="D5A6BD"/>
          </w:tcPr>
          <w:p w14:paraId="11EDE63A"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Foster Community Engagement and Social Responsibility</w:t>
            </w:r>
          </w:p>
        </w:tc>
        <w:tc>
          <w:tcPr>
            <w:tcW w:w="3398" w:type="dxa"/>
            <w:shd w:val="clear" w:color="auto" w:fill="F6B26B"/>
          </w:tcPr>
          <w:p w14:paraId="6EA5E89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 enduring routines, engage in community service, and transact with charities.</w:t>
            </w:r>
          </w:p>
        </w:tc>
        <w:tc>
          <w:tcPr>
            <w:tcW w:w="2429" w:type="dxa"/>
            <w:shd w:val="clear" w:color="auto" w:fill="F4CCCC"/>
          </w:tcPr>
          <w:p w14:paraId="6DD867BB"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Display a wide range of sustainable and community-based projects.</w:t>
            </w:r>
          </w:p>
        </w:tc>
        <w:tc>
          <w:tcPr>
            <w:tcW w:w="1110" w:type="dxa"/>
            <w:shd w:val="clear" w:color="auto" w:fill="FFD966"/>
          </w:tcPr>
          <w:p w14:paraId="2210556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r>
    </w:tbl>
    <w:p w14:paraId="6E9F0CAD" w14:textId="77777777" w:rsidR="005A7502" w:rsidRDefault="005A7502">
      <w:pPr>
        <w:spacing w:line="360" w:lineRule="auto"/>
        <w:jc w:val="both"/>
        <w:rPr>
          <w:rFonts w:ascii="Times New Roman" w:eastAsia="Times New Roman" w:hAnsi="Times New Roman" w:cs="Times New Roman"/>
          <w:sz w:val="24"/>
          <w:szCs w:val="24"/>
        </w:rPr>
      </w:pPr>
    </w:p>
    <w:p w14:paraId="66B64826"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(Created by Learner)</w:t>
      </w:r>
    </w:p>
    <w:p w14:paraId="79FACB05"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Section-2 Environmental Audit</w:t>
      </w:r>
    </w:p>
    <w:p w14:paraId="254B6A44"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(Strengths, Weaknesses)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F10DB" w14:paraId="43FBAA50" w14:textId="77777777">
        <w:tc>
          <w:tcPr>
            <w:tcW w:w="4680" w:type="dxa"/>
            <w:shd w:val="clear" w:color="auto" w:fill="E06666"/>
            <w:tcMar>
              <w:top w:w="100" w:type="dxa"/>
              <w:left w:w="100" w:type="dxa"/>
              <w:bottom w:w="100" w:type="dxa"/>
              <w:right w:w="100" w:type="dxa"/>
            </w:tcMar>
          </w:tcPr>
          <w:p w14:paraId="59387876"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4680" w:type="dxa"/>
            <w:shd w:val="clear" w:color="auto" w:fill="E06666"/>
            <w:tcMar>
              <w:top w:w="100" w:type="dxa"/>
              <w:left w:w="100" w:type="dxa"/>
              <w:bottom w:w="100" w:type="dxa"/>
              <w:right w:w="100" w:type="dxa"/>
            </w:tcMar>
          </w:tcPr>
          <w:p w14:paraId="667224D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AF10DB" w14:paraId="71046327" w14:textId="77777777">
        <w:tc>
          <w:tcPr>
            <w:tcW w:w="4680" w:type="dxa"/>
            <w:shd w:val="clear" w:color="auto" w:fill="F4CCCC"/>
            <w:tcMar>
              <w:top w:w="100" w:type="dxa"/>
              <w:left w:w="100" w:type="dxa"/>
              <w:bottom w:w="100" w:type="dxa"/>
              <w:right w:w="100" w:type="dxa"/>
            </w:tcMar>
          </w:tcPr>
          <w:p w14:paraId="28C19BFA" w14:textId="77777777" w:rsidR="005A7502" w:rsidRDefault="00000000">
            <w:pPr>
              <w:widowControl w:val="0"/>
              <w:numPr>
                <w:ilvl w:val="0"/>
                <w:numId w:val="3"/>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"Delicious" sells a diverse assortment of products that are both distinctive and of great quality.</w:t>
            </w:r>
          </w:p>
          <w:p w14:paraId="2689824A" w14:textId="77777777" w:rsidR="005A7502" w:rsidRDefault="00000000">
            <w:pPr>
              <w:widowControl w:val="0"/>
              <w:numPr>
                <w:ilvl w:val="0"/>
                <w:numId w:val="3"/>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restaurant has become a </w:t>
            </w:r>
            <w:proofErr w:type="spellStart"/>
            <w:r>
              <w:rPr>
                <w:rFonts w:ascii="Times New Roman" w:eastAsia="Times New Roman" w:hAnsi="Times New Roman" w:cs="Times New Roman"/>
                <w:sz w:val="24"/>
                <w:szCs w:val="24"/>
              </w:rPr>
              <w:t>favourite</w:t>
            </w:r>
            <w:proofErr w:type="spellEnd"/>
            <w:r>
              <w:rPr>
                <w:rFonts w:ascii="Times New Roman" w:eastAsia="Times New Roman" w:hAnsi="Times New Roman" w:cs="Times New Roman"/>
                <w:sz w:val="24"/>
                <w:szCs w:val="24"/>
              </w:rPr>
              <w:t xml:space="preserve"> among locals because of its innovative menu and impeccable service.</w:t>
            </w:r>
          </w:p>
          <w:p w14:paraId="04581AC4" w14:textId="77777777" w:rsidR="005A7502" w:rsidRDefault="00000000">
            <w:pPr>
              <w:widowControl w:val="0"/>
              <w:numPr>
                <w:ilvl w:val="0"/>
                <w:numId w:val="3"/>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are devoted to "Delicious" because of the high quality of service and products they give (Cox, 2021).</w:t>
            </w:r>
          </w:p>
          <w:p w14:paraId="4307886D" w14:textId="77777777" w:rsidR="005A7502" w:rsidRDefault="00000000">
            <w:pPr>
              <w:widowControl w:val="0"/>
              <w:numPr>
                <w:ilvl w:val="0"/>
                <w:numId w:val="3"/>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restaurant has a sizable customer base because of the high volume of people that frequent its obscure location.</w:t>
            </w:r>
          </w:p>
        </w:tc>
        <w:tc>
          <w:tcPr>
            <w:tcW w:w="4680" w:type="dxa"/>
            <w:shd w:val="clear" w:color="auto" w:fill="F4CCCC"/>
            <w:tcMar>
              <w:top w:w="100" w:type="dxa"/>
              <w:left w:w="100" w:type="dxa"/>
              <w:bottom w:w="100" w:type="dxa"/>
              <w:right w:w="100" w:type="dxa"/>
            </w:tcMar>
          </w:tcPr>
          <w:p w14:paraId="1309926B" w14:textId="77777777" w:rsidR="005A7502" w:rsidRDefault="00000000">
            <w:pPr>
              <w:widowControl w:val="0"/>
              <w:numPr>
                <w:ilvl w:val="0"/>
                <w:numId w:val="6"/>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its London-only distribution, 'Delicious' has a reduced market penetration in comparison to well-established companies. Why? Because a location exists where the product can be obtained.</w:t>
            </w:r>
          </w:p>
          <w:p w14:paraId="7142DE06" w14:textId="77777777" w:rsidR="005A7502" w:rsidRDefault="00000000">
            <w:pPr>
              <w:widowControl w:val="0"/>
              <w:numPr>
                <w:ilvl w:val="0"/>
                <w:numId w:val="6"/>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Rapid expansion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might encounter obstacles due to its magnitude. In this situation, its financial and human resources are especially vital.</w:t>
            </w:r>
          </w:p>
          <w:p w14:paraId="2D4C6D23" w14:textId="77777777" w:rsidR="005A7502" w:rsidRDefault="00000000">
            <w:pPr>
              <w:widowControl w:val="0"/>
              <w:numPr>
                <w:ilvl w:val="0"/>
                <w:numId w:val="6"/>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Gluten-free and vegan alternatives are unavailable, despite the increasing demand. </w:t>
            </w:r>
            <w:proofErr w:type="spellStart"/>
            <w:r>
              <w:rPr>
                <w:rFonts w:ascii="Times New Roman" w:eastAsia="Times New Roman" w:hAnsi="Times New Roman" w:cs="Times New Roman"/>
                <w:sz w:val="24"/>
                <w:szCs w:val="24"/>
              </w:rPr>
              <w:t>Steiss</w:t>
            </w:r>
            <w:proofErr w:type="spellEnd"/>
            <w:r>
              <w:rPr>
                <w:rFonts w:ascii="Times New Roman" w:eastAsia="Times New Roman" w:hAnsi="Times New Roman" w:cs="Times New Roman"/>
                <w:sz w:val="24"/>
                <w:szCs w:val="24"/>
              </w:rPr>
              <w:t xml:space="preserve"> (2019) argues that an increased number of options would be more desirable.</w:t>
            </w:r>
          </w:p>
          <w:p w14:paraId="6803B35A" w14:textId="77777777" w:rsidR="005A7502" w:rsidRDefault="00000000" w:rsidP="00162BCD">
            <w:pPr>
              <w:widowControl w:val="0"/>
              <w:numPr>
                <w:ilvl w:val="0"/>
                <w:numId w:val="6"/>
              </w:num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this time, the quantity of advertising is </w:t>
            </w:r>
            <w:r>
              <w:rPr>
                <w:rFonts w:ascii="Times New Roman" w:eastAsia="Times New Roman" w:hAnsi="Times New Roman" w:cs="Times New Roman"/>
                <w:sz w:val="24"/>
                <w:szCs w:val="24"/>
              </w:rPr>
              <w:lastRenderedPageBreak/>
              <w:t xml:space="preserve">inadequate to contend with larger and more widely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fast food corporations (Baker et al. 2020). </w:t>
            </w:r>
          </w:p>
        </w:tc>
      </w:tr>
    </w:tbl>
    <w:p w14:paraId="505CB8BE" w14:textId="77777777" w:rsidR="005A7502" w:rsidRDefault="005A7502">
      <w:pPr>
        <w:spacing w:line="360" w:lineRule="auto"/>
        <w:jc w:val="both"/>
        <w:rPr>
          <w:rFonts w:ascii="Times New Roman" w:eastAsia="Times New Roman" w:hAnsi="Times New Roman" w:cs="Times New Roman"/>
          <w:b/>
          <w:sz w:val="24"/>
          <w:szCs w:val="24"/>
        </w:rPr>
      </w:pPr>
    </w:p>
    <w:p w14:paraId="10282851"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(Created by Learner)</w:t>
      </w:r>
    </w:p>
    <w:p w14:paraId="6F9F765A" w14:textId="77777777" w:rsidR="005A7502" w:rsidRDefault="00000000">
      <w:pPr>
        <w:pStyle w:val="Heading2"/>
      </w:pPr>
      <w:bookmarkStart w:id="12" w:name="_46so6jqriony" w:colFirst="0" w:colLast="0"/>
      <w:bookmarkEnd w:id="12"/>
      <w:r>
        <w:t>External Audit: PESTLE Analysis for 'Delicious'</w:t>
      </w:r>
    </w:p>
    <w:p w14:paraId="538C4D1C"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4877131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infrastructure of a nation may undergo substantial changes if the government steps in. Environmental regulations,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shortages, trade barriers, tariffs, and tax policies are just a few of the many factors that might exacerbate this problem. Charity groups should reconsider their strategies in the event that the government announces its decision to withhold products or services (Ferlie and Ongaro, 2022). Delicious Cuisine is significantly affected by this factor.</w:t>
      </w:r>
    </w:p>
    <w:p w14:paraId="1B247D73"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61ED76AC"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was placed ninth globally in terms of its GDP, which amounted to $2.979 trillion in 2020. Nevertheless, the outbreak has led to a substantial decline in both rankings and sales. The inflation rate decreased from 1.79 percent in 2019 to 0.77 per cent in 2020 as a result of government subsidies and assistance. Foreign investors frequently opt to establish their businesses in the UK due to the nation's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economic conditions, varied customer base, and steadfast dedication to Western cultural principles. The administration's proposal to reduce the corporate tax rate to 17% was not put into effect, as stated by Isabelle et al. (2020).</w:t>
      </w:r>
    </w:p>
    <w:p w14:paraId="6DEE92C7"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A5C2CAA" wp14:editId="4D2A4FF9">
            <wp:extent cx="3619500" cy="324506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3619500" cy="3245069"/>
                    </a:xfrm>
                    <a:prstGeom prst="rect">
                      <a:avLst/>
                    </a:prstGeom>
                  </pic:spPr>
                </pic:pic>
              </a:graphicData>
            </a:graphic>
          </wp:inline>
        </w:drawing>
      </w:r>
    </w:p>
    <w:p w14:paraId="7481C484"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(PESTEL Analysis)</w:t>
      </w:r>
    </w:p>
    <w:p w14:paraId="315CEF45"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proofErr w:type="spellStart"/>
      <w:r>
        <w:rPr>
          <w:rFonts w:ascii="Times New Roman" w:eastAsia="Times New Roman" w:hAnsi="Times New Roman" w:cs="Times New Roman"/>
          <w:b/>
          <w:sz w:val="24"/>
          <w:szCs w:val="24"/>
        </w:rPr>
        <w:t>Annosi</w:t>
      </w:r>
      <w:proofErr w:type="spellEnd"/>
      <w:r>
        <w:rPr>
          <w:rFonts w:ascii="Times New Roman" w:eastAsia="Times New Roman" w:hAnsi="Times New Roman" w:cs="Times New Roman"/>
          <w:b/>
          <w:sz w:val="24"/>
          <w:szCs w:val="24"/>
        </w:rPr>
        <w:t xml:space="preserve"> et al. 2021)</w:t>
      </w:r>
    </w:p>
    <w:p w14:paraId="5553F285"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14:paraId="108BCAF6"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an estimated 74 million inhabitants by 2039, the UK is ripe with opportunity for the property, insurance, and healthcare industries. Businesses can expand their market share and tap into new untapped markets by catering to a diverse range of customers with a cosmopolitan population. The United Kingdom's 99% literacy rate is a contributing factor to its prosperous and affluent status (Bogers et al., 2019). For "Delicious" to remain current with the evolving preferences of its clientele, "Fuertes et al., 2020" propose the incorporation of a greater variety of nutritious and sustainably sourced products onto its menu.</w:t>
      </w:r>
    </w:p>
    <w:p w14:paraId="5DF5EF65"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3EEDE01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exponential growth of technical innovation has resulted in a multitude of repercussions, some of which are advantageous while others are negative. The adoption of online ordering, digital payment systems, and mobile applications is increasing to improve the entire consumer experience (Johnson et al. 2020). Isabelle et al. (2020) </w:t>
      </w:r>
      <w:proofErr w:type="gramStart"/>
      <w:r>
        <w:rPr>
          <w:rFonts w:ascii="Times New Roman" w:eastAsia="Times New Roman" w:hAnsi="Times New Roman" w:cs="Times New Roman"/>
          <w:sz w:val="24"/>
          <w:szCs w:val="24"/>
        </w:rPr>
        <w:t>propose</w:t>
      </w:r>
      <w:proofErr w:type="gramEnd"/>
      <w:r>
        <w:rPr>
          <w:rFonts w:ascii="Times New Roman" w:eastAsia="Times New Roman" w:hAnsi="Times New Roman" w:cs="Times New Roman"/>
          <w:sz w:val="24"/>
          <w:szCs w:val="24"/>
        </w:rPr>
        <w:t xml:space="preserve"> that the integration of these technologies into </w:t>
      </w:r>
      <w:r>
        <w:rPr>
          <w:rFonts w:ascii="Times New Roman" w:eastAsia="Times New Roman" w:hAnsi="Times New Roman" w:cs="Times New Roman"/>
          <w:sz w:val="24"/>
          <w:szCs w:val="24"/>
        </w:rPr>
        <w:lastRenderedPageBreak/>
        <w:t>"Delicious" could improve the effectiveness of consumer communication and service provision. Nevertheless, keeping up with technological advancements may necessitate financial investments and the implementation of adjustments.</w:t>
      </w:r>
    </w:p>
    <w:p w14:paraId="46BAA97F"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14:paraId="0205507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participate in commercial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in the United Kingdom, it is necessary to comply with a multitude of laws and regulations. The Employment Act of 1996 covers a range of topics including minimum wage, retirement, sick pay, holiday pay, and other related matters. Conversely, the Equality Act of 2010 clearly forbids all types of discrimination (Aaker and Moorman, 2023). Therefore, it is likely that the aforementioned element will have a negligible effect on Delicious.</w:t>
      </w:r>
    </w:p>
    <w:p w14:paraId="20EDC612"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14:paraId="5CD4614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demonstrated a steadfast dedication to environmental protection in the face of rapid economic and technological development. Research by Boon et al. (2018) indicates that people are being inspired to act responsibly after receiving education on environmental issues. The tourism industry in the UK must use eco-friendly procedures because it brings in 127 billion pounds a year. Consequently, it has a completely insignificant effect on the business.</w:t>
      </w:r>
    </w:p>
    <w:p w14:paraId="5AA4CF3C"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Forces Analysis for 'Delicious'</w:t>
      </w:r>
    </w:p>
    <w:p w14:paraId="7FAF26F5"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out how "Delicious" fits into Porter's Five Forces Analysis is an important part of understanding how competition works in the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business. This method makes it easier to figure out how profitable something is and where it stands in the market.</w:t>
      </w:r>
    </w:p>
    <w:p w14:paraId="7D767000"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Threat of New Entrants-</w:t>
      </w:r>
    </w:p>
    <w:p w14:paraId="43B39886"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market the way it is, breaking into the fast food and restaurant industries could be difficult. A large financial outlay is necessary to contend with massive corporate behemoths. According to </w:t>
      </w:r>
      <w:proofErr w:type="spellStart"/>
      <w:r>
        <w:rPr>
          <w:rFonts w:ascii="Times New Roman" w:eastAsia="Times New Roman" w:hAnsi="Times New Roman" w:cs="Times New Roman"/>
          <w:sz w:val="24"/>
          <w:szCs w:val="24"/>
        </w:rPr>
        <w:t>Izzaty</w:t>
      </w:r>
      <w:proofErr w:type="spellEnd"/>
      <w:r>
        <w:rPr>
          <w:rFonts w:ascii="Times New Roman" w:eastAsia="Times New Roman" w:hAnsi="Times New Roman" w:cs="Times New Roman"/>
          <w:sz w:val="24"/>
          <w:szCs w:val="24"/>
        </w:rPr>
        <w:t xml:space="preserve"> and Aslami's 2021 paper, this isn't required to open a modest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joint. If new competitors join the market, "Delicious" might have access to a wider variety of products, some of which could be cheaper or taste better than what's already available. New businesses have many challenges when they attempt to penetrate well-established markets. These include </w:t>
      </w:r>
      <w:r>
        <w:rPr>
          <w:rFonts w:ascii="Times New Roman" w:eastAsia="Times New Roman" w:hAnsi="Times New Roman" w:cs="Times New Roman"/>
          <w:sz w:val="24"/>
          <w:szCs w:val="24"/>
        </w:rPr>
        <w:lastRenderedPageBreak/>
        <w:t xml:space="preserve">customers' trust, better service standards, the buying power of larger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and desirable locations (Gryphon, 2022).</w:t>
      </w:r>
    </w:p>
    <w:p w14:paraId="5BEF3581"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Bargaining Power of Suppliers</w:t>
      </w:r>
    </w:p>
    <w:p w14:paraId="02E4742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lot of providers affect the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business. Delicious has a lot of negotiating power because it only uses high-quality ingredients. This gives companies that sell unique or expensive goods a lot of power. There are, thankfully, other options for commonly used parts that help to lessen this effect (Ketchen Jr. and Craighead, 2020). To make sure the supply chain works well and save money, it is suggested to do thorough local sourcing reviews and engage in supplier relationship management.</w:t>
      </w:r>
    </w:p>
    <w:p w14:paraId="1147B66F" w14:textId="77777777" w:rsidR="005A7502" w:rsidRDefault="005A7502">
      <w:pPr>
        <w:spacing w:line="360" w:lineRule="auto"/>
        <w:jc w:val="both"/>
        <w:rPr>
          <w:rFonts w:ascii="Times New Roman" w:eastAsia="Times New Roman" w:hAnsi="Times New Roman" w:cs="Times New Roman"/>
          <w:sz w:val="24"/>
          <w:szCs w:val="24"/>
        </w:rPr>
      </w:pPr>
    </w:p>
    <w:p w14:paraId="072E8CC2"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4AD19B" wp14:editId="30581275">
            <wp:extent cx="4414838" cy="353045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4414838" cy="3530455"/>
                    </a:xfrm>
                    <a:prstGeom prst="rect">
                      <a:avLst/>
                    </a:prstGeom>
                    <a:ln w="25400">
                      <a:solidFill>
                        <a:srgbClr val="000000"/>
                      </a:solidFill>
                      <a:prstDash val="dot"/>
                    </a:ln>
                  </pic:spPr>
                </pic:pic>
              </a:graphicData>
            </a:graphic>
          </wp:inline>
        </w:drawing>
      </w:r>
    </w:p>
    <w:p w14:paraId="1FDA9D16"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3</w:t>
      </w:r>
    </w:p>
    <w:p w14:paraId="20C907B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(Ketchen Jr. and Craighead, 2020)</w:t>
      </w:r>
    </w:p>
    <w:p w14:paraId="5B39F68F"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Bargaining Power of Buyers-</w:t>
      </w:r>
    </w:p>
    <w:p w14:paraId="59B4A82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People have a lot of power in the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market because they can choose from so many places and it doesn't cost much to do so. These people will keep going back to the "Delicious" place if it has the best price, service, and food for them. To lessen their effect, businesses must adapt to changing customer tastes and make their general experience better (Greer, 2021).</w:t>
      </w:r>
    </w:p>
    <w:p w14:paraId="02A503EC"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Threat of Substitute Products or Services-</w:t>
      </w:r>
    </w:p>
    <w:p w14:paraId="0F9416FB"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restaurant has to deal with competition from many places, such as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chains, meal kit delivery services, casual restaurants, home cooks, and more (Kakani et al. 2020). It can lessen the effect of substitutes by being different from others in the market by providing unique </w:t>
      </w:r>
      <w:proofErr w:type="spellStart"/>
      <w:r>
        <w:rPr>
          <w:rFonts w:ascii="Times New Roman" w:eastAsia="Times New Roman" w:hAnsi="Times New Roman" w:cs="Times New Roman"/>
          <w:sz w:val="24"/>
          <w:szCs w:val="24"/>
        </w:rPr>
        <w:t>flavours</w:t>
      </w:r>
      <w:proofErr w:type="spellEnd"/>
      <w:r>
        <w:rPr>
          <w:rFonts w:ascii="Times New Roman" w:eastAsia="Times New Roman" w:hAnsi="Times New Roman" w:cs="Times New Roman"/>
          <w:sz w:val="24"/>
          <w:szCs w:val="24"/>
        </w:rPr>
        <w:t>, vegan and gluten-free choices, and excellent customer service.</w:t>
      </w:r>
    </w:p>
    <w:p w14:paraId="3F424F09"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Rivalry among Existing Competitors-</w:t>
      </w:r>
    </w:p>
    <w:p w14:paraId="6DDEF16C"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for fast cuisine is extremely competitive. There is variation in the brands, prices, levels of service, and cuisines offered by each business. Regarding how the word "delicious" is implemented on menus, both chain and independent dining establishments enjoy considerable latitude. Hence, within this highly competitive sector, "Delicious" must differentiate itself through the provision of high-quality gastronomy, inventive advertising approaches, and distinctive selling propositions (</w:t>
      </w:r>
      <w:proofErr w:type="spellStart"/>
      <w:r>
        <w:rPr>
          <w:rFonts w:ascii="Times New Roman" w:eastAsia="Times New Roman" w:hAnsi="Times New Roman" w:cs="Times New Roman"/>
          <w:sz w:val="24"/>
          <w:szCs w:val="24"/>
        </w:rPr>
        <w:t>Kurhayadi</w:t>
      </w:r>
      <w:proofErr w:type="spellEnd"/>
      <w:r>
        <w:rPr>
          <w:rFonts w:ascii="Times New Roman" w:eastAsia="Times New Roman" w:hAnsi="Times New Roman" w:cs="Times New Roman"/>
          <w:sz w:val="24"/>
          <w:szCs w:val="24"/>
        </w:rPr>
        <w:t xml:space="preserve"> et al. 2022). Finally, the nature of the competition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illustration of well-known figures is provided by Porter's Five Forces Analysis. It is widely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that the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industry is in a constant state of change. Enterprises encounter significant challenges stemming from influential clientele, emerging market entrants, and alternative prospects (Schermerhorn Jr. and Bachrach, 2023). </w:t>
      </w:r>
    </w:p>
    <w:p w14:paraId="1CE09E51" w14:textId="77777777" w:rsidR="005A7502" w:rsidRDefault="00000000">
      <w:pPr>
        <w:pStyle w:val="Heading1"/>
      </w:pPr>
      <w:bookmarkStart w:id="13" w:name="_f0xl99dzfc0w" w:colFirst="0" w:colLast="0"/>
      <w:bookmarkEnd w:id="13"/>
      <w:r>
        <w:t>Section-3- Evaluation Strategy Options</w:t>
      </w:r>
    </w:p>
    <w:p w14:paraId="70265A6C" w14:textId="77777777" w:rsidR="005A7502" w:rsidRDefault="00000000">
      <w:pPr>
        <w:pStyle w:val="Heading2"/>
      </w:pPr>
      <w:bookmarkStart w:id="14" w:name="_rm3nc7a13xhe" w:colFirst="0" w:colLast="0"/>
      <w:bookmarkEnd w:id="14"/>
      <w:r>
        <w:t>Identification of Strategic Options for 'Delicious'</w:t>
      </w:r>
    </w:p>
    <w:p w14:paraId="0A67C8A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must conduct a comprehensive evaluation of its strategic initiatives to fortify its market position and sustain its achievements. Strategic objectives, according to </w:t>
      </w:r>
      <w:proofErr w:type="spellStart"/>
      <w:r>
        <w:rPr>
          <w:rFonts w:ascii="Times New Roman" w:eastAsia="Times New Roman" w:hAnsi="Times New Roman" w:cs="Times New Roman"/>
          <w:sz w:val="24"/>
          <w:szCs w:val="24"/>
        </w:rPr>
        <w:t>Afuah</w:t>
      </w:r>
      <w:proofErr w:type="spellEnd"/>
      <w:r>
        <w:rPr>
          <w:rFonts w:ascii="Times New Roman" w:eastAsia="Times New Roman" w:hAnsi="Times New Roman" w:cs="Times New Roman"/>
          <w:sz w:val="24"/>
          <w:szCs w:val="24"/>
        </w:rPr>
        <w:t xml:space="preserve"> (2020), should include expanding the market, developing novel products, and venturing into uncharted territories. The merits of one option over another are contingent upon their respective rankings.</w:t>
      </w:r>
    </w:p>
    <w:p w14:paraId="4A88E22A"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Penetration-</w:t>
      </w:r>
    </w:p>
    <w:p w14:paraId="00595402"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Delicious has proven it can expand into new markets by growing its market share. A smart strategy to accomplish this goal is to increase customer visits (Stewart and Brown, 2019). They also have the option of being persuaded to voluntarily withdraw from the tournament. Plus, it has the effect of making even the most apathetic Internet users into hopeless romantics. According to Keller et al. (2022), time-sensitive rewards and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are effective ways to increase customer involvement. Happy, loyal customers are more likely to be the result of quick service and improved eating experiences. If "Delicious" wants to expand its current market to include more customers, it may consider opening earlier in the day or modifying its menu.</w:t>
      </w:r>
    </w:p>
    <w:p w14:paraId="7DF86FAB"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Development</w:t>
      </w:r>
    </w:p>
    <w:p w14:paraId="3EE0F400"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attract a larger audience, "Delicious" must enhance its distinctiveness. Given the high population density in cities and other densely populated areas, a potential solution is to establish additional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establishments around the United Kingdom. Collaborating with other enterprises to provide food and staff lunches is a strategy to enter new markets (Kumar and Reinartz, 2018). Conducting market research is crucial in order to identify the needs and desires of potential clients, hence facilitating the growth of these markets.</w:t>
      </w:r>
    </w:p>
    <w:p w14:paraId="56FD760C"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Product Development-</w:t>
      </w:r>
    </w:p>
    <w:p w14:paraId="54A6803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development is mostly about making the "Delicious" menu better or adding new things to it. To meet the needs of customers who want more healthy food options, this approach is imperative. </w:t>
      </w:r>
      <w:proofErr w:type="spellStart"/>
      <w:r>
        <w:rPr>
          <w:rFonts w:ascii="Times New Roman" w:eastAsia="Times New Roman" w:hAnsi="Times New Roman" w:cs="Times New Roman"/>
          <w:sz w:val="24"/>
          <w:szCs w:val="24"/>
        </w:rPr>
        <w:t>Kurhayadi</w:t>
      </w:r>
      <w:proofErr w:type="spellEnd"/>
      <w:r>
        <w:rPr>
          <w:rFonts w:ascii="Times New Roman" w:eastAsia="Times New Roman" w:hAnsi="Times New Roman" w:cs="Times New Roman"/>
          <w:sz w:val="24"/>
          <w:szCs w:val="24"/>
        </w:rPr>
        <w:t xml:space="preserve"> et al. (2022) say that "Delicious" can stay ahead of the competition by listening to what customers want, coming up with new recipes, and taking advantage of changes in the food industry, such as the rise of plant-based diets. People who care about the environment should only buy from businesses that share their values. </w:t>
      </w:r>
    </w:p>
    <w:p w14:paraId="1292110E"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 course, both methods have their flaws. Using a market position that already exists is the smartest thing to do, but it needs good management and advertising. While venturing into unknown territories takes a lot of work and time, the benefit</w:t>
      </w:r>
      <w:r w:rsidR="00162BCD">
        <w:rPr>
          <w:rFonts w:ascii="Times New Roman" w:eastAsia="Times New Roman" w:hAnsi="Times New Roman" w:cs="Times New Roman"/>
          <w:sz w:val="24"/>
          <w:szCs w:val="24"/>
        </w:rPr>
        <w:t xml:space="preserve">s are huge chances to grow the </w:t>
      </w:r>
      <w:r>
        <w:rPr>
          <w:rFonts w:ascii="Times New Roman" w:eastAsia="Times New Roman" w:hAnsi="Times New Roman" w:cs="Times New Roman"/>
          <w:sz w:val="24"/>
          <w:szCs w:val="24"/>
        </w:rPr>
        <w:t>business (Masini and Frankl, 2020). "Delicious" might try out new ideas on the market to see how people react and stay ahead of the competition.</w:t>
      </w:r>
    </w:p>
    <w:p w14:paraId="08A513B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is a lot of room for "Delicious" to grow and be successful right now. Before coming up with a plan to enter new markets, make old ones better, or release a completely new product, one should look at their current resources, the external market environment, and consumer trends. All three tactics must be used to dominate the market and ensure long-term success.</w:t>
      </w:r>
    </w:p>
    <w:p w14:paraId="3FF20DDA" w14:textId="77777777" w:rsidR="005A7502" w:rsidRDefault="00000000">
      <w:pPr>
        <w:pStyle w:val="Heading2"/>
      </w:pPr>
      <w:bookmarkStart w:id="15" w:name="_y4rkclh2smlh" w:colFirst="0" w:colLast="0"/>
      <w:bookmarkEnd w:id="15"/>
      <w:r>
        <w:t>Evaluation Criteria: Suitability, Feasibility, Acceptability</w:t>
      </w:r>
    </w:p>
    <w:p w14:paraId="440A2AC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engaging in product development, expansion, or exploration of new markets, "Delicious" must ascertain the viability of these undertakings and the level of support they will receive. Concerns regarding anticipated outcomes, resource allocation, and goal attainment are alleviated by the evaluation's conclusions.</w:t>
      </w:r>
    </w:p>
    <w:p w14:paraId="5517F22D"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Suitability</w:t>
      </w:r>
    </w:p>
    <w:p w14:paraId="12B2990B"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 plan is revealing the enhancement in the competence at the time of handling different problems which are seen at the time of external and internal evaluations, that time it has the big potentiality of getting accepted. The improvements and deliciousness at “Delicious” must be more focused except for revealing its drawbacks. As per the statement of </w:t>
      </w:r>
      <w:proofErr w:type="spellStart"/>
      <w:r>
        <w:rPr>
          <w:rFonts w:ascii="Times New Roman" w:eastAsia="Times New Roman" w:hAnsi="Times New Roman" w:cs="Times New Roman"/>
          <w:sz w:val="24"/>
          <w:szCs w:val="24"/>
        </w:rPr>
        <w:t>Madahana</w:t>
      </w:r>
      <w:proofErr w:type="spellEnd"/>
      <w:r>
        <w:rPr>
          <w:rFonts w:ascii="Times New Roman" w:eastAsia="Times New Roman" w:hAnsi="Times New Roman" w:cs="Times New Roman"/>
          <w:sz w:val="24"/>
          <w:szCs w:val="24"/>
        </w:rPr>
        <w:t xml:space="preserve"> et al. (2019) similar things as extrinsic factors are described here.</w:t>
      </w:r>
    </w:p>
    <w:p w14:paraId="68A5F5AA"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Feasibility</w:t>
      </w:r>
    </w:p>
    <w:p w14:paraId="41CE5D3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vital factor is considering the track record of the groups assisting through the viability of the project. It is required to be sure that “Delicious” has all the components as capital, people and functional knowledge because all those are mandatory to implement the plan (</w:t>
      </w:r>
      <w:proofErr w:type="spellStart"/>
      <w:r>
        <w:rPr>
          <w:rFonts w:ascii="Times New Roman" w:eastAsia="Times New Roman" w:hAnsi="Times New Roman" w:cs="Times New Roman"/>
          <w:sz w:val="24"/>
          <w:szCs w:val="24"/>
        </w:rPr>
        <w:t>Kurhayadi</w:t>
      </w:r>
      <w:proofErr w:type="spellEnd"/>
      <w:r>
        <w:rPr>
          <w:rFonts w:ascii="Times New Roman" w:eastAsia="Times New Roman" w:hAnsi="Times New Roman" w:cs="Times New Roman"/>
          <w:sz w:val="24"/>
          <w:szCs w:val="24"/>
        </w:rPr>
        <w:t xml:space="preserve"> et al., 2022)</w:t>
      </w:r>
    </w:p>
    <w:p w14:paraId="24DAD462"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Acceptability-</w:t>
      </w:r>
    </w:p>
    <w:p w14:paraId="7A127F6D"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publication of 2020 by </w:t>
      </w:r>
      <w:proofErr w:type="spellStart"/>
      <w:r>
        <w:rPr>
          <w:rFonts w:ascii="Times New Roman" w:eastAsia="Times New Roman" w:hAnsi="Times New Roman" w:cs="Times New Roman"/>
          <w:sz w:val="24"/>
          <w:szCs w:val="24"/>
        </w:rPr>
        <w:t>Nosratabadi</w:t>
      </w:r>
      <w:proofErr w:type="spellEnd"/>
      <w:r>
        <w:rPr>
          <w:rFonts w:ascii="Times New Roman" w:eastAsia="Times New Roman" w:hAnsi="Times New Roman" w:cs="Times New Roman"/>
          <w:sz w:val="24"/>
          <w:szCs w:val="24"/>
        </w:rPr>
        <w:t xml:space="preserve"> et al. Customers, investors, employees, and the general public are just a few of the many parties whose requirements must be satisfied for a plan to be approved.</w:t>
      </w:r>
    </w:p>
    <w:p w14:paraId="32AF71E8" w14:textId="77777777" w:rsidR="005A7502" w:rsidRDefault="00000000">
      <w:pPr>
        <w:pStyle w:val="Heading2"/>
      </w:pPr>
      <w:bookmarkStart w:id="16" w:name="_bivyjjeb3hvr" w:colFirst="0" w:colLast="0"/>
      <w:bookmarkEnd w:id="16"/>
      <w:r>
        <w:lastRenderedPageBreak/>
        <w:t>Selection of Optimal Strategy for 'Delicious'</w:t>
      </w:r>
    </w:p>
    <w:p w14:paraId="0FB1AE1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Masini and Frankl (2020) found that combining product development and market penetration solved the "Delicious" problem well. Their investigation argued that to secure a future of success, the corporation has designed an integrated strategy that </w:t>
      </w:r>
      <w:proofErr w:type="spellStart"/>
      <w:r>
        <w:rPr>
          <w:rFonts w:ascii="Times New Roman" w:eastAsia="Times New Roman" w:hAnsi="Times New Roman" w:cs="Times New Roman"/>
          <w:sz w:val="24"/>
          <w:szCs w:val="24"/>
        </w:rPr>
        <w:t>maximises</w:t>
      </w:r>
      <w:proofErr w:type="spellEnd"/>
      <w:r>
        <w:rPr>
          <w:rFonts w:ascii="Times New Roman" w:eastAsia="Times New Roman" w:hAnsi="Times New Roman" w:cs="Times New Roman"/>
          <w:sz w:val="24"/>
          <w:szCs w:val="24"/>
        </w:rPr>
        <w:t xml:space="preserve"> its resources.</w:t>
      </w:r>
    </w:p>
    <w:p w14:paraId="2E7190C3"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Rationale for Market Penetration-</w:t>
      </w:r>
    </w:p>
    <w:p w14:paraId="55CB56D7" w14:textId="77777777" w:rsidR="005A750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A major aspect of the strategy is market penetration. </w:t>
      </w:r>
      <w:proofErr w:type="spellStart"/>
      <w:r>
        <w:rPr>
          <w:rFonts w:ascii="Times New Roman" w:eastAsia="Times New Roman" w:hAnsi="Times New Roman" w:cs="Times New Roman"/>
          <w:sz w:val="24"/>
          <w:szCs w:val="24"/>
        </w:rPr>
        <w:t>Delicious's</w:t>
      </w:r>
      <w:proofErr w:type="spellEnd"/>
      <w:r>
        <w:rPr>
          <w:rFonts w:ascii="Times New Roman" w:eastAsia="Times New Roman" w:hAnsi="Times New Roman" w:cs="Times New Roman"/>
          <w:sz w:val="24"/>
          <w:szCs w:val="24"/>
        </w:rPr>
        <w:t xml:space="preserve"> present operations fit this low-risk strategy. Marketers can create industry-specific campaigns by leveraging brand reputations and consumer bases. This gives them an edge. This category includes marketing, client retention, and service quality improvements (Madeira et al., 2021). These are only a few of the items. Delicious may leverage its operational expertise and local market knowledge since the idea has a better probability of success. Delicious may leverage the aforementioned advantages instantly.</w:t>
      </w:r>
    </w:p>
    <w:p w14:paraId="74CF5350"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Rationale for Product Development-</w:t>
      </w:r>
    </w:p>
    <w:p w14:paraId="50BC22C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uses environmentally friendly methods and follows the latest culinary trends, making it more appealing. In 2020, Masini and Frankl found that this is especially true for people who value their well-being and the environment. This approach will help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provide a variety of nutritious meals while remaining socially responsible. This is conceivable since the company will follow this strategy.</w:t>
      </w:r>
    </w:p>
    <w:p w14:paraId="5C8E990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comprehensive approach will allow 'Delicious' to continuously develop its products, maintaining its popularity and market dominance. This plan is achievable given the company's position in the marketplace, assets, and operational capacity. It is acceptable, removes risk, assures a good return on investment, and unites many stakeholders' competing interests (</w:t>
      </w:r>
      <w:proofErr w:type="spellStart"/>
      <w:r>
        <w:rPr>
          <w:rFonts w:ascii="Times New Roman" w:eastAsia="Times New Roman" w:hAnsi="Times New Roman" w:cs="Times New Roman"/>
          <w:sz w:val="24"/>
          <w:szCs w:val="24"/>
        </w:rPr>
        <w:t>Qutteina</w:t>
      </w:r>
      <w:proofErr w:type="spellEnd"/>
      <w:r>
        <w:rPr>
          <w:rFonts w:ascii="Times New Roman" w:eastAsia="Times New Roman" w:hAnsi="Times New Roman" w:cs="Times New Roman"/>
          <w:sz w:val="24"/>
          <w:szCs w:val="24"/>
        </w:rPr>
        <w:t xml:space="preserve"> et al., 2019).</w:t>
      </w:r>
    </w:p>
    <w:p w14:paraId="6591D452"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Execution Plan-</w:t>
      </w:r>
    </w:p>
    <w:p w14:paraId="268B36C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properly follow this strategy, one must always be focused. To increase market penetration, many methods can be used. Targeted marketing, customer service improvements, and store renovations or expansions are examples. Pruse et al. (2021) suggest assigning a group to create </w:t>
      </w:r>
      <w:r>
        <w:rPr>
          <w:rFonts w:ascii="Times New Roman" w:eastAsia="Times New Roman" w:hAnsi="Times New Roman" w:cs="Times New Roman"/>
          <w:sz w:val="24"/>
          <w:szCs w:val="24"/>
        </w:rPr>
        <w:lastRenderedPageBreak/>
        <w:t xml:space="preserve">new menu items that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diversity, sustainability, and quality. The results of the study inform this recommendation (</w:t>
      </w:r>
      <w:proofErr w:type="spellStart"/>
      <w:r>
        <w:rPr>
          <w:rFonts w:ascii="Times New Roman" w:eastAsia="Times New Roman" w:hAnsi="Times New Roman" w:cs="Times New Roman"/>
          <w:sz w:val="24"/>
          <w:szCs w:val="24"/>
        </w:rPr>
        <w:t>Verevka</w:t>
      </w:r>
      <w:proofErr w:type="spellEnd"/>
      <w:r>
        <w:rPr>
          <w:rFonts w:ascii="Times New Roman" w:eastAsia="Times New Roman" w:hAnsi="Times New Roman" w:cs="Times New Roman"/>
          <w:sz w:val="24"/>
          <w:szCs w:val="24"/>
        </w:rPr>
        <w:t xml:space="preserve">, 2019). </w:t>
      </w:r>
    </w:p>
    <w:p w14:paraId="45C0C309" w14:textId="77777777" w:rsidR="005A7502" w:rsidRDefault="005A7502">
      <w:pPr>
        <w:spacing w:line="360" w:lineRule="auto"/>
        <w:jc w:val="both"/>
        <w:rPr>
          <w:rFonts w:ascii="Times New Roman" w:eastAsia="Times New Roman" w:hAnsi="Times New Roman" w:cs="Times New Roman"/>
          <w:sz w:val="24"/>
          <w:szCs w:val="24"/>
          <w:highlight w:val="yellow"/>
        </w:rPr>
      </w:pPr>
    </w:p>
    <w:p w14:paraId="0F071534" w14:textId="77777777" w:rsidR="005A7502" w:rsidRDefault="00000000">
      <w:pPr>
        <w:pStyle w:val="Heading1"/>
      </w:pPr>
      <w:bookmarkStart w:id="17" w:name="_d36xahe5uygw" w:colFirst="0" w:colLast="0"/>
      <w:bookmarkEnd w:id="17"/>
      <w:r>
        <w:t xml:space="preserve">Section-4 Strategy Implementation </w:t>
      </w:r>
    </w:p>
    <w:p w14:paraId="1DC512B5" w14:textId="77777777" w:rsidR="005A7502" w:rsidRDefault="00000000">
      <w:pPr>
        <w:pStyle w:val="Heading2"/>
      </w:pPr>
      <w:bookmarkStart w:id="18" w:name="_i4dxtmrzey4" w:colFirst="0" w:colLast="0"/>
      <w:bookmarkEnd w:id="18"/>
      <w:r>
        <w:t>Implementation of Plan for 'Delicious'</w:t>
      </w:r>
    </w:p>
    <w:p w14:paraId="2C6B60AE"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accomplish the selected strategy of market penetration and product development for 'Delicious,' Sadeghi et al. 2023 recommend thorough preparation, defined timeframes, resource management, and assignment assignments. Tasks must also be assigned. This technique can turn strategic goals into quantitative and achievable tasks. This method also ensures assignment monitoring and fulfilment.</w:t>
      </w:r>
    </w:p>
    <w:p w14:paraId="2E68AC28" w14:textId="77777777" w:rsidR="005A7502" w:rsidRDefault="005A7502">
      <w:pPr>
        <w:spacing w:line="360" w:lineRule="auto"/>
        <w:jc w:val="both"/>
        <w:rPr>
          <w:rFonts w:ascii="Times New Roman" w:eastAsia="Times New Roman" w:hAnsi="Times New Roman" w:cs="Times New Roman"/>
          <w:sz w:val="24"/>
          <w:szCs w:val="24"/>
          <w:highlight w:val="yellow"/>
        </w:rPr>
      </w:pPr>
    </w:p>
    <w:p w14:paraId="00A1562C"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p>
    <w:p w14:paraId="48738F14" w14:textId="77777777" w:rsidR="005A750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Timeline:</w:t>
      </w:r>
    </w:p>
    <w:p w14:paraId="1444DBD8"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4 to 7 months, there is a need to increase the marking facility of the </w:t>
      </w:r>
      <w:proofErr w:type="spellStart"/>
      <w:r>
        <w:rPr>
          <w:rFonts w:ascii="Times New Roman" w:eastAsia="Times New Roman" w:hAnsi="Times New Roman" w:cs="Times New Roman"/>
          <w:sz w:val="24"/>
          <w:szCs w:val="24"/>
        </w:rPr>
        <w:t>start up</w:t>
      </w:r>
      <w:proofErr w:type="spellEnd"/>
      <w:r>
        <w:rPr>
          <w:rFonts w:ascii="Times New Roman" w:eastAsia="Times New Roman" w:hAnsi="Times New Roman" w:cs="Times New Roman"/>
          <w:sz w:val="24"/>
          <w:szCs w:val="24"/>
        </w:rPr>
        <w:t xml:space="preserve"> through several mediums such as advertisement, social media and many more.</w:t>
      </w:r>
    </w:p>
    <w:p w14:paraId="30B2A9CA"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 customer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needs to be implemented per six to ten months.</w:t>
      </w:r>
    </w:p>
    <w:p w14:paraId="51286653" w14:textId="77777777" w:rsidR="005A7502" w:rsidRDefault="005A7502">
      <w:pPr>
        <w:spacing w:line="360" w:lineRule="auto"/>
        <w:jc w:val="both"/>
        <w:rPr>
          <w:rFonts w:ascii="Times New Roman" w:eastAsia="Times New Roman" w:hAnsi="Times New Roman" w:cs="Times New Roman"/>
          <w:sz w:val="24"/>
          <w:szCs w:val="24"/>
        </w:rPr>
      </w:pPr>
    </w:p>
    <w:p w14:paraId="15EA63FC" w14:textId="77777777" w:rsidR="005A750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Resources:</w:t>
      </w:r>
    </w:p>
    <w:p w14:paraId="5C0A6840"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Allocate the budget for marketing and promotional activities.</w:t>
      </w:r>
    </w:p>
    <w:p w14:paraId="164E57D0"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use the editing staff for the campaign and offline advertisements.</w:t>
      </w:r>
    </w:p>
    <w:p w14:paraId="568B8401" w14:textId="77777777" w:rsidR="005A7502"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Responsibilities:</w:t>
      </w:r>
    </w:p>
    <w:p w14:paraId="4153F21B"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advertising department is in charge of formulating and managing the campaign.</w:t>
      </w:r>
    </w:p>
    <w:p w14:paraId="4C7BC42F" w14:textId="77777777" w:rsidR="005A7502" w:rsidRDefault="00000000">
      <w:pPr>
        <w:numPr>
          <w:ilvl w:val="1"/>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regional executives of retail outlets will execute customer service and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upgrades (Wood et al. 2021).</w:t>
      </w:r>
    </w:p>
    <w:p w14:paraId="432218C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w:t>
      </w:r>
    </w:p>
    <w:p w14:paraId="0E1CDAF1" w14:textId="77777777" w:rsidR="005A750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Timeline:</w:t>
      </w:r>
    </w:p>
    <w:p w14:paraId="04080AD3"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to 3 Months: Conduct market research to identify popular and emerging food trends.</w:t>
      </w:r>
    </w:p>
    <w:p w14:paraId="4393E7C4"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to 6 Months: Develop new menu items and test them in select locations.</w:t>
      </w:r>
    </w:p>
    <w:p w14:paraId="1C2F1D00"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to 12 Months: Full rollout of successful new menu items across all locations.</w:t>
      </w:r>
    </w:p>
    <w:p w14:paraId="567857D3" w14:textId="77777777" w:rsidR="005A750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Resources:</w:t>
      </w:r>
    </w:p>
    <w:p w14:paraId="61CE16C9"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Allocate cash for staff training, procurement of ingredients, and research and development (R&amp;D) aimed at innovating new menu offerings.</w:t>
      </w:r>
    </w:p>
    <w:p w14:paraId="3A4D14C1"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existing kitchen facilities for the development and testing of new dishes.</w:t>
      </w:r>
    </w:p>
    <w:p w14:paraId="3A2213FE" w14:textId="77777777" w:rsidR="005A750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Responsibilities:</w:t>
      </w:r>
    </w:p>
    <w:p w14:paraId="4865D5FC"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Culinary team to lead the development of new menu items.</w:t>
      </w:r>
    </w:p>
    <w:p w14:paraId="05CEEECE"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team to conduct market analysis and gather customer feedback.</w:t>
      </w:r>
    </w:p>
    <w:p w14:paraId="6EAC0889" w14:textId="77777777" w:rsidR="005A7502" w:rsidRDefault="00000000">
      <w:pPr>
        <w:numPr>
          <w:ilvl w:val="1"/>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staff to ensure all kitchen and service staff are well-equipped to handle new offerings.</w:t>
      </w:r>
    </w:p>
    <w:p w14:paraId="58D05658" w14:textId="77777777" w:rsidR="005A7502" w:rsidRDefault="005A7502">
      <w:pPr>
        <w:spacing w:line="360" w:lineRule="auto"/>
        <w:jc w:val="both"/>
        <w:rPr>
          <w:rFonts w:ascii="Times New Roman" w:eastAsia="Times New Roman" w:hAnsi="Times New Roman" w:cs="Times New Roman"/>
          <w:sz w:val="24"/>
          <w:szCs w:val="24"/>
        </w:rPr>
      </w:pPr>
    </w:p>
    <w:p w14:paraId="4B8D616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3DC8E2C1" wp14:editId="5EAFCE31">
            <wp:extent cx="3786188" cy="351472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tretch>
                      <a:fillRect/>
                    </a:stretch>
                  </pic:blipFill>
                  <pic:spPr>
                    <a:xfrm>
                      <a:off x="0" y="0"/>
                      <a:ext cx="3786188" cy="3514725"/>
                    </a:xfrm>
                    <a:prstGeom prst="rect">
                      <a:avLst/>
                    </a:prstGeom>
                  </pic:spPr>
                </pic:pic>
              </a:graphicData>
            </a:graphic>
          </wp:inline>
        </w:drawing>
      </w:r>
    </w:p>
    <w:p w14:paraId="09DFB5A5"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Fig-4 Strategy Implementation</w:t>
      </w:r>
    </w:p>
    <w:p w14:paraId="66483802"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p>
    <w:p w14:paraId="7B997FFC" w14:textId="77777777" w:rsidR="005A7502" w:rsidRDefault="005A7502">
      <w:pPr>
        <w:spacing w:line="360" w:lineRule="auto"/>
        <w:jc w:val="both"/>
        <w:rPr>
          <w:rFonts w:ascii="Times New Roman" w:eastAsia="Times New Roman" w:hAnsi="Times New Roman" w:cs="Times New Roman"/>
          <w:sz w:val="24"/>
          <w:szCs w:val="24"/>
        </w:rPr>
      </w:pPr>
    </w:p>
    <w:p w14:paraId="4ACFEFE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Monitoring and Adjustments:</w:t>
      </w:r>
    </w:p>
    <w:p w14:paraId="2632D5B9" w14:textId="77777777" w:rsidR="005A750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Regularly review the progress of marketing campaigns and loyalty program uptake.</w:t>
      </w:r>
    </w:p>
    <w:p w14:paraId="073DD029" w14:textId="77777777" w:rsidR="005A750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 customer feedback and sales data for new menu items, making adjustments as needed.</w:t>
      </w:r>
    </w:p>
    <w:p w14:paraId="69675FFA" w14:textId="77777777" w:rsidR="005A750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 quarterly reviews to assess the impact of the strategies on overall business performance (</w:t>
      </w:r>
      <w:r>
        <w:rPr>
          <w:rFonts w:ascii="Times New Roman" w:eastAsia="Times New Roman" w:hAnsi="Times New Roman" w:cs="Times New Roman"/>
          <w:color w:val="222222"/>
          <w:sz w:val="24"/>
          <w:szCs w:val="24"/>
          <w:highlight w:val="white"/>
        </w:rPr>
        <w:t>Clegg et al.2019</w:t>
      </w:r>
      <w:r>
        <w:rPr>
          <w:rFonts w:ascii="Times New Roman" w:eastAsia="Times New Roman" w:hAnsi="Times New Roman" w:cs="Times New Roman"/>
          <w:sz w:val="24"/>
          <w:szCs w:val="24"/>
        </w:rPr>
        <w:t>).</w:t>
      </w:r>
    </w:p>
    <w:p w14:paraId="3DD9E4AB"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and Staff Engagement:</w:t>
      </w:r>
    </w:p>
    <w:p w14:paraId="6B264EB5" w14:textId="77777777" w:rsidR="005A750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Communicate the strategic plan and its importance to all staff members to ensure alignment and commitment.</w:t>
      </w:r>
    </w:p>
    <w:p w14:paraId="37A666BF" w14:textId="77777777" w:rsidR="005A7502"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Involve staff in the implementation process, soliciting their ideas and feedback, which can lead to more effective execution and higher staff morale (Wellner and </w:t>
      </w:r>
      <w:proofErr w:type="spellStart"/>
      <w:r>
        <w:rPr>
          <w:rFonts w:ascii="Times New Roman" w:eastAsia="Times New Roman" w:hAnsi="Times New Roman" w:cs="Times New Roman"/>
          <w:sz w:val="24"/>
          <w:szCs w:val="24"/>
        </w:rPr>
        <w:t>Lakotta</w:t>
      </w:r>
      <w:proofErr w:type="spellEnd"/>
      <w:r>
        <w:rPr>
          <w:rFonts w:ascii="Times New Roman" w:eastAsia="Times New Roman" w:hAnsi="Times New Roman" w:cs="Times New Roman"/>
          <w:sz w:val="24"/>
          <w:szCs w:val="24"/>
        </w:rPr>
        <w:t>, 2020).</w:t>
      </w:r>
    </w:p>
    <w:p w14:paraId="05C083E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summarise</w:t>
      </w:r>
      <w:proofErr w:type="spellEnd"/>
      <w:r>
        <w:rPr>
          <w:rFonts w:ascii="Times New Roman" w:eastAsia="Times New Roman" w:hAnsi="Times New Roman" w:cs="Times New Roman"/>
          <w:sz w:val="24"/>
          <w:szCs w:val="24"/>
        </w:rPr>
        <w:t>, for Delicious' hybrid system to function, a precise plan that includes all the jobs, when they are due, and who is responsible for them is required. With this strategy, "Delicious" achieves both its short-term and long-term aims of growth and market supremacy.</w:t>
      </w:r>
    </w:p>
    <w:tbl>
      <w:tblPr>
        <w:tblStyle w:val="a1"/>
        <w:tblW w:w="969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833"/>
        <w:gridCol w:w="2347"/>
        <w:gridCol w:w="1515"/>
        <w:gridCol w:w="1751"/>
        <w:gridCol w:w="2244"/>
      </w:tblGrid>
      <w:tr w:rsidR="00AF10DB" w14:paraId="7B1335FB" w14:textId="77777777">
        <w:trPr>
          <w:tblHeader/>
        </w:trPr>
        <w:tc>
          <w:tcPr>
            <w:tcW w:w="1833" w:type="dxa"/>
            <w:tcBorders>
              <w:top w:val="single" w:sz="12" w:space="0" w:color="0B5394"/>
              <w:left w:val="single" w:sz="12" w:space="0" w:color="0B5394"/>
              <w:bottom w:val="single" w:sz="12" w:space="0" w:color="E6B8AF"/>
              <w:right w:val="single" w:sz="12" w:space="0" w:color="0B5394"/>
            </w:tcBorders>
            <w:shd w:val="clear" w:color="auto" w:fill="B6D7A8"/>
            <w:vAlign w:val="bottom"/>
          </w:tcPr>
          <w:p w14:paraId="4592136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Component</w:t>
            </w:r>
          </w:p>
        </w:tc>
        <w:tc>
          <w:tcPr>
            <w:tcW w:w="2347" w:type="dxa"/>
            <w:tcBorders>
              <w:top w:val="single" w:sz="12" w:space="0" w:color="0B5394"/>
              <w:left w:val="single" w:sz="12" w:space="0" w:color="0B5394"/>
              <w:bottom w:val="single" w:sz="12" w:space="0" w:color="E6B8AF"/>
              <w:right w:val="single" w:sz="12" w:space="0" w:color="0B5394"/>
            </w:tcBorders>
            <w:shd w:val="clear" w:color="auto" w:fill="B6D7A8"/>
            <w:vAlign w:val="bottom"/>
          </w:tcPr>
          <w:p w14:paraId="1000583A"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Item</w:t>
            </w:r>
          </w:p>
        </w:tc>
        <w:tc>
          <w:tcPr>
            <w:tcW w:w="1515" w:type="dxa"/>
            <w:tcBorders>
              <w:top w:val="single" w:sz="12" w:space="0" w:color="0B5394"/>
              <w:left w:val="single" w:sz="12" w:space="0" w:color="0B5394"/>
              <w:bottom w:val="single" w:sz="12" w:space="0" w:color="E6B8AF"/>
              <w:right w:val="single" w:sz="12" w:space="0" w:color="0B5394"/>
            </w:tcBorders>
            <w:shd w:val="clear" w:color="auto" w:fill="B6D7A8"/>
            <w:vAlign w:val="bottom"/>
          </w:tcPr>
          <w:p w14:paraId="784566C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c>
          <w:tcPr>
            <w:tcW w:w="1751" w:type="dxa"/>
            <w:tcBorders>
              <w:top w:val="single" w:sz="12" w:space="0" w:color="0B5394"/>
              <w:left w:val="single" w:sz="12" w:space="0" w:color="0B5394"/>
              <w:bottom w:val="single" w:sz="12" w:space="0" w:color="E6B8AF"/>
              <w:right w:val="single" w:sz="12" w:space="0" w:color="0B5394"/>
            </w:tcBorders>
            <w:shd w:val="clear" w:color="auto" w:fill="B6D7A8"/>
            <w:vAlign w:val="bottom"/>
          </w:tcPr>
          <w:p w14:paraId="198606D1"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2244" w:type="dxa"/>
            <w:tcBorders>
              <w:top w:val="single" w:sz="12" w:space="0" w:color="0B5394"/>
              <w:left w:val="single" w:sz="12" w:space="0" w:color="0B5394"/>
              <w:bottom w:val="single" w:sz="12" w:space="0" w:color="E6B8AF"/>
              <w:right w:val="single" w:sz="12" w:space="0" w:color="0B5394"/>
            </w:tcBorders>
            <w:shd w:val="clear" w:color="auto" w:fill="B6D7A8"/>
            <w:vAlign w:val="bottom"/>
          </w:tcPr>
          <w:p w14:paraId="45C03DE4"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Responsibilities</w:t>
            </w:r>
          </w:p>
        </w:tc>
      </w:tr>
      <w:tr w:rsidR="00AF10DB" w14:paraId="7E02D473" w14:textId="77777777">
        <w:tc>
          <w:tcPr>
            <w:tcW w:w="1833" w:type="dxa"/>
            <w:tcBorders>
              <w:top w:val="single" w:sz="12" w:space="0" w:color="E6B8AF"/>
              <w:left w:val="single" w:sz="12" w:space="0" w:color="E6B8AF"/>
              <w:bottom w:val="single" w:sz="12" w:space="0" w:color="E6B8AF"/>
              <w:right w:val="single" w:sz="12" w:space="0" w:color="E6B8AF"/>
            </w:tcBorders>
            <w:shd w:val="clear" w:color="auto" w:fill="6AA84F"/>
            <w:vAlign w:val="bottom"/>
          </w:tcPr>
          <w:p w14:paraId="2B0ADC70"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p>
        </w:tc>
        <w:tc>
          <w:tcPr>
            <w:tcW w:w="2347" w:type="dxa"/>
            <w:tcBorders>
              <w:top w:val="single" w:sz="12" w:space="0" w:color="E6B8AF"/>
              <w:left w:val="single" w:sz="12" w:space="0" w:color="E6B8AF"/>
              <w:bottom w:val="single" w:sz="12" w:space="0" w:color="E6B8AF"/>
              <w:right w:val="single" w:sz="12" w:space="0" w:color="E6B8AF"/>
            </w:tcBorders>
            <w:shd w:val="clear" w:color="auto" w:fill="6D9EEB"/>
            <w:vAlign w:val="bottom"/>
          </w:tcPr>
          <w:p w14:paraId="5AB7911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Launch marketing campaigns</w:t>
            </w:r>
          </w:p>
          <w:p w14:paraId="4F455E51"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Introduce customer loyalty program</w:t>
            </w:r>
          </w:p>
        </w:tc>
        <w:tc>
          <w:tcPr>
            <w:tcW w:w="1515" w:type="dxa"/>
            <w:tcBorders>
              <w:top w:val="single" w:sz="12" w:space="0" w:color="E6B8AF"/>
              <w:left w:val="single" w:sz="12" w:space="0" w:color="E6B8AF"/>
              <w:bottom w:val="single" w:sz="12" w:space="0" w:color="E6B8AF"/>
              <w:right w:val="single" w:sz="12" w:space="0" w:color="E6B8AF"/>
            </w:tcBorders>
            <w:shd w:val="clear" w:color="auto" w:fill="A4C2F4"/>
            <w:vAlign w:val="bottom"/>
          </w:tcPr>
          <w:p w14:paraId="33403027"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Immediate to 6 Months</w:t>
            </w:r>
          </w:p>
          <w:p w14:paraId="40842322"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 to 12 Months</w:t>
            </w:r>
          </w:p>
        </w:tc>
        <w:tc>
          <w:tcPr>
            <w:tcW w:w="1751" w:type="dxa"/>
            <w:tcBorders>
              <w:top w:val="single" w:sz="12" w:space="0" w:color="E6B8AF"/>
              <w:left w:val="single" w:sz="12" w:space="0" w:color="E6B8AF"/>
              <w:bottom w:val="single" w:sz="12" w:space="0" w:color="E6B8AF"/>
              <w:right w:val="single" w:sz="12" w:space="0" w:color="E6B8AF"/>
            </w:tcBorders>
            <w:shd w:val="clear" w:color="auto" w:fill="6FA8DC"/>
            <w:vAlign w:val="bottom"/>
          </w:tcPr>
          <w:p w14:paraId="28449676"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Marketing budget</w:t>
            </w:r>
          </w:p>
          <w:p w14:paraId="6A4CEECD"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Existing staff for campaign execution</w:t>
            </w:r>
          </w:p>
        </w:tc>
        <w:tc>
          <w:tcPr>
            <w:tcW w:w="2244" w:type="dxa"/>
            <w:tcBorders>
              <w:top w:val="single" w:sz="12" w:space="0" w:color="E6B8AF"/>
              <w:left w:val="single" w:sz="12" w:space="0" w:color="E6B8AF"/>
              <w:bottom w:val="single" w:sz="12" w:space="0" w:color="E6B8AF"/>
              <w:right w:val="single" w:sz="12" w:space="0" w:color="E6B8AF"/>
            </w:tcBorders>
            <w:shd w:val="clear" w:color="auto" w:fill="EAD1DC"/>
            <w:vAlign w:val="bottom"/>
          </w:tcPr>
          <w:p w14:paraId="247228A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Marketing team for campaign management</w:t>
            </w:r>
          </w:p>
          <w:p w14:paraId="4A8F7EDE"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Store managers for loyalty program oversight</w:t>
            </w:r>
          </w:p>
        </w:tc>
      </w:tr>
      <w:tr w:rsidR="00AF10DB" w14:paraId="78FA800C" w14:textId="77777777">
        <w:tc>
          <w:tcPr>
            <w:tcW w:w="1833" w:type="dxa"/>
            <w:tcBorders>
              <w:top w:val="single" w:sz="12" w:space="0" w:color="E6B8AF"/>
              <w:left w:val="single" w:sz="12" w:space="0" w:color="E6B8AF"/>
              <w:bottom w:val="single" w:sz="12" w:space="0" w:color="E6B8AF"/>
              <w:right w:val="single" w:sz="12" w:space="0" w:color="E6B8AF"/>
            </w:tcBorders>
            <w:shd w:val="clear" w:color="auto" w:fill="6AA84F"/>
            <w:vAlign w:val="bottom"/>
          </w:tcPr>
          <w:p w14:paraId="4D9D3CC2"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w:t>
            </w:r>
          </w:p>
        </w:tc>
        <w:tc>
          <w:tcPr>
            <w:tcW w:w="2347" w:type="dxa"/>
            <w:tcBorders>
              <w:top w:val="single" w:sz="12" w:space="0" w:color="E6B8AF"/>
              <w:left w:val="single" w:sz="12" w:space="0" w:color="E6B8AF"/>
              <w:bottom w:val="single" w:sz="12" w:space="0" w:color="E6B8AF"/>
              <w:right w:val="single" w:sz="12" w:space="0" w:color="E6B8AF"/>
            </w:tcBorders>
            <w:shd w:val="clear" w:color="auto" w:fill="6D9EEB"/>
            <w:vAlign w:val="bottom"/>
          </w:tcPr>
          <w:p w14:paraId="2430B76B"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Conduct market research</w:t>
            </w:r>
          </w:p>
          <w:p w14:paraId="7BF94EA5"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 and test new menu items</w:t>
            </w:r>
          </w:p>
          <w:p w14:paraId="264B1AC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Full rollout of new menu items</w:t>
            </w:r>
          </w:p>
        </w:tc>
        <w:tc>
          <w:tcPr>
            <w:tcW w:w="1515" w:type="dxa"/>
            <w:tcBorders>
              <w:top w:val="single" w:sz="12" w:space="0" w:color="E6B8AF"/>
              <w:left w:val="single" w:sz="12" w:space="0" w:color="E6B8AF"/>
              <w:bottom w:val="single" w:sz="12" w:space="0" w:color="E6B8AF"/>
              <w:right w:val="single" w:sz="12" w:space="0" w:color="E6B8AF"/>
            </w:tcBorders>
            <w:shd w:val="clear" w:color="auto" w:fill="A4C2F4"/>
            <w:vAlign w:val="bottom"/>
          </w:tcPr>
          <w:p w14:paraId="2A4F5AD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 to 3 Months</w:t>
            </w:r>
          </w:p>
          <w:p w14:paraId="415C2745"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 to 6 Months</w:t>
            </w:r>
          </w:p>
          <w:p w14:paraId="075B5B0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6 to 12 Months</w:t>
            </w:r>
          </w:p>
        </w:tc>
        <w:tc>
          <w:tcPr>
            <w:tcW w:w="1751" w:type="dxa"/>
            <w:tcBorders>
              <w:top w:val="single" w:sz="12" w:space="0" w:color="E6B8AF"/>
              <w:left w:val="single" w:sz="12" w:space="0" w:color="E6B8AF"/>
              <w:bottom w:val="single" w:sz="12" w:space="0" w:color="E6B8AF"/>
              <w:right w:val="single" w:sz="12" w:space="0" w:color="E6B8AF"/>
            </w:tcBorders>
            <w:shd w:val="clear" w:color="auto" w:fill="6FA8DC"/>
            <w:vAlign w:val="bottom"/>
          </w:tcPr>
          <w:p w14:paraId="56BF2681"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Research and development budget</w:t>
            </w:r>
          </w:p>
          <w:p w14:paraId="7E350757"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Existing kitchen facilities</w:t>
            </w:r>
          </w:p>
        </w:tc>
        <w:tc>
          <w:tcPr>
            <w:tcW w:w="2244" w:type="dxa"/>
            <w:tcBorders>
              <w:top w:val="single" w:sz="12" w:space="0" w:color="E6B8AF"/>
              <w:left w:val="single" w:sz="12" w:space="0" w:color="E6B8AF"/>
              <w:bottom w:val="single" w:sz="12" w:space="0" w:color="E6B8AF"/>
              <w:right w:val="single" w:sz="12" w:space="0" w:color="E6B8AF"/>
            </w:tcBorders>
            <w:shd w:val="clear" w:color="auto" w:fill="EAD1DC"/>
            <w:vAlign w:val="bottom"/>
          </w:tcPr>
          <w:p w14:paraId="536784B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Culinary team for menu development</w:t>
            </w:r>
          </w:p>
          <w:p w14:paraId="455A96AD"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team for market analysis</w:t>
            </w:r>
          </w:p>
          <w:p w14:paraId="3F5347E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Training staff for staff preparation</w:t>
            </w:r>
          </w:p>
        </w:tc>
      </w:tr>
      <w:tr w:rsidR="00AF10DB" w14:paraId="0E1D7A4B" w14:textId="77777777">
        <w:tc>
          <w:tcPr>
            <w:tcW w:w="1833" w:type="dxa"/>
            <w:tcBorders>
              <w:top w:val="single" w:sz="12" w:space="0" w:color="E6B8AF"/>
              <w:left w:val="single" w:sz="12" w:space="0" w:color="E6B8AF"/>
              <w:bottom w:val="single" w:sz="12" w:space="0" w:color="E6B8AF"/>
              <w:right w:val="single" w:sz="12" w:space="0" w:color="E6B8AF"/>
            </w:tcBorders>
            <w:shd w:val="clear" w:color="auto" w:fill="6AA84F"/>
            <w:vAlign w:val="bottom"/>
          </w:tcPr>
          <w:p w14:paraId="3D0F345C"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Monitoring and Adjustments</w:t>
            </w:r>
          </w:p>
        </w:tc>
        <w:tc>
          <w:tcPr>
            <w:tcW w:w="2347" w:type="dxa"/>
            <w:tcBorders>
              <w:top w:val="single" w:sz="12" w:space="0" w:color="E6B8AF"/>
              <w:left w:val="single" w:sz="12" w:space="0" w:color="E6B8AF"/>
              <w:bottom w:val="single" w:sz="12" w:space="0" w:color="E6B8AF"/>
              <w:right w:val="single" w:sz="12" w:space="0" w:color="E6B8AF"/>
            </w:tcBorders>
            <w:shd w:val="clear" w:color="auto" w:fill="6D9EEB"/>
            <w:vAlign w:val="bottom"/>
          </w:tcPr>
          <w:p w14:paraId="0B588BC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Review marketing and loyalty program effectiveness</w:t>
            </w:r>
          </w:p>
          <w:p w14:paraId="5EF65F40"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 feedback and sales of new menu items</w:t>
            </w:r>
          </w:p>
          <w:p w14:paraId="2CB108EC"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Conduct quarterly performance reviews</w:t>
            </w:r>
          </w:p>
        </w:tc>
        <w:tc>
          <w:tcPr>
            <w:tcW w:w="1515" w:type="dxa"/>
            <w:tcBorders>
              <w:top w:val="single" w:sz="12" w:space="0" w:color="E6B8AF"/>
              <w:left w:val="single" w:sz="12" w:space="0" w:color="E6B8AF"/>
              <w:bottom w:val="single" w:sz="12" w:space="0" w:color="E6B8AF"/>
              <w:right w:val="single" w:sz="12" w:space="0" w:color="E6B8AF"/>
            </w:tcBorders>
            <w:shd w:val="clear" w:color="auto" w:fill="A4C2F4"/>
            <w:vAlign w:val="bottom"/>
          </w:tcPr>
          <w:p w14:paraId="1EB00414"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Ongoing, with quarterly reviews</w:t>
            </w:r>
          </w:p>
        </w:tc>
        <w:tc>
          <w:tcPr>
            <w:tcW w:w="1751" w:type="dxa"/>
            <w:tcBorders>
              <w:top w:val="single" w:sz="12" w:space="0" w:color="E6B8AF"/>
              <w:left w:val="single" w:sz="12" w:space="0" w:color="E6B8AF"/>
              <w:bottom w:val="single" w:sz="12" w:space="0" w:color="E6B8AF"/>
              <w:right w:val="single" w:sz="12" w:space="0" w:color="E6B8AF"/>
            </w:tcBorders>
            <w:shd w:val="clear" w:color="auto" w:fill="6FA8DC"/>
            <w:vAlign w:val="bottom"/>
          </w:tcPr>
          <w:p w14:paraId="61992B8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Management oversight</w:t>
            </w:r>
          </w:p>
          <w:p w14:paraId="4C28106B"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Sales data and feedback systems</w:t>
            </w:r>
          </w:p>
        </w:tc>
        <w:tc>
          <w:tcPr>
            <w:tcW w:w="2244" w:type="dxa"/>
            <w:tcBorders>
              <w:top w:val="single" w:sz="12" w:space="0" w:color="E6B8AF"/>
              <w:left w:val="single" w:sz="12" w:space="0" w:color="E6B8AF"/>
              <w:bottom w:val="single" w:sz="12" w:space="0" w:color="E6B8AF"/>
              <w:right w:val="single" w:sz="12" w:space="0" w:color="E6B8AF"/>
            </w:tcBorders>
            <w:shd w:val="clear" w:color="auto" w:fill="EAD1DC"/>
            <w:vAlign w:val="bottom"/>
          </w:tcPr>
          <w:p w14:paraId="380AB70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Senior management for review and adjustments</w:t>
            </w:r>
          </w:p>
        </w:tc>
      </w:tr>
      <w:tr w:rsidR="00AF10DB" w14:paraId="63E0C928" w14:textId="77777777">
        <w:tc>
          <w:tcPr>
            <w:tcW w:w="1833" w:type="dxa"/>
            <w:tcBorders>
              <w:top w:val="single" w:sz="12" w:space="0" w:color="E6B8AF"/>
              <w:left w:val="single" w:sz="12" w:space="0" w:color="E6B8AF"/>
              <w:bottom w:val="single" w:sz="12" w:space="0" w:color="E6B8AF"/>
              <w:right w:val="single" w:sz="12" w:space="0" w:color="E6B8AF"/>
            </w:tcBorders>
            <w:shd w:val="clear" w:color="auto" w:fill="6AA84F"/>
            <w:vAlign w:val="bottom"/>
          </w:tcPr>
          <w:p w14:paraId="1BE9396F" w14:textId="77777777" w:rsidR="005A7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and Staff Engagement</w:t>
            </w:r>
          </w:p>
        </w:tc>
        <w:tc>
          <w:tcPr>
            <w:tcW w:w="2347" w:type="dxa"/>
            <w:tcBorders>
              <w:top w:val="single" w:sz="12" w:space="0" w:color="E6B8AF"/>
              <w:left w:val="single" w:sz="12" w:space="0" w:color="E6B8AF"/>
              <w:bottom w:val="single" w:sz="12" w:space="0" w:color="E6B8AF"/>
              <w:right w:val="single" w:sz="12" w:space="0" w:color="E6B8AF"/>
            </w:tcBorders>
            <w:shd w:val="clear" w:color="auto" w:fill="6D9EEB"/>
            <w:vAlign w:val="bottom"/>
          </w:tcPr>
          <w:p w14:paraId="5D4D14EA"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Communicate strategic plan to staff</w:t>
            </w:r>
          </w:p>
          <w:p w14:paraId="71283AAF"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Involve staff in the implementation process</w:t>
            </w:r>
          </w:p>
        </w:tc>
        <w:tc>
          <w:tcPr>
            <w:tcW w:w="1515" w:type="dxa"/>
            <w:tcBorders>
              <w:top w:val="single" w:sz="12" w:space="0" w:color="E6B8AF"/>
              <w:left w:val="single" w:sz="12" w:space="0" w:color="E6B8AF"/>
              <w:bottom w:val="single" w:sz="12" w:space="0" w:color="E6B8AF"/>
              <w:right w:val="single" w:sz="12" w:space="0" w:color="E6B8AF"/>
            </w:tcBorders>
            <w:shd w:val="clear" w:color="auto" w:fill="A4C2F4"/>
            <w:vAlign w:val="bottom"/>
          </w:tcPr>
          <w:p w14:paraId="2F603812"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Ongoing</w:t>
            </w:r>
          </w:p>
        </w:tc>
        <w:tc>
          <w:tcPr>
            <w:tcW w:w="1751" w:type="dxa"/>
            <w:tcBorders>
              <w:top w:val="single" w:sz="12" w:space="0" w:color="E6B8AF"/>
              <w:left w:val="single" w:sz="12" w:space="0" w:color="E6B8AF"/>
              <w:bottom w:val="single" w:sz="12" w:space="0" w:color="E6B8AF"/>
              <w:right w:val="single" w:sz="12" w:space="0" w:color="E6B8AF"/>
            </w:tcBorders>
            <w:shd w:val="clear" w:color="auto" w:fill="6FA8DC"/>
            <w:vAlign w:val="bottom"/>
          </w:tcPr>
          <w:p w14:paraId="1953E4FB"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communication channels</w:t>
            </w:r>
          </w:p>
        </w:tc>
        <w:tc>
          <w:tcPr>
            <w:tcW w:w="2244" w:type="dxa"/>
            <w:tcBorders>
              <w:top w:val="single" w:sz="12" w:space="0" w:color="E6B8AF"/>
              <w:left w:val="single" w:sz="12" w:space="0" w:color="E6B8AF"/>
              <w:bottom w:val="single" w:sz="12" w:space="0" w:color="E6B8AF"/>
              <w:right w:val="single" w:sz="12" w:space="0" w:color="E6B8AF"/>
            </w:tcBorders>
            <w:shd w:val="clear" w:color="auto" w:fill="EAD1DC"/>
            <w:vAlign w:val="bottom"/>
          </w:tcPr>
          <w:p w14:paraId="42842DE0"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All levels of management for effective communication</w:t>
            </w:r>
          </w:p>
        </w:tc>
      </w:tr>
    </w:tbl>
    <w:p w14:paraId="4191FB1E" w14:textId="77777777" w:rsidR="005A7502" w:rsidRDefault="005A7502">
      <w:pPr>
        <w:spacing w:line="360" w:lineRule="auto"/>
        <w:jc w:val="both"/>
        <w:rPr>
          <w:rFonts w:ascii="Times New Roman" w:eastAsia="Times New Roman" w:hAnsi="Times New Roman" w:cs="Times New Roman"/>
          <w:sz w:val="24"/>
          <w:szCs w:val="24"/>
        </w:rPr>
      </w:pPr>
    </w:p>
    <w:p w14:paraId="185B83D8"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(Created by Learner)</w:t>
      </w:r>
    </w:p>
    <w:p w14:paraId="09DDB610" w14:textId="77777777" w:rsidR="005A7502" w:rsidRDefault="00000000">
      <w:pPr>
        <w:pStyle w:val="Heading2"/>
      </w:pPr>
      <w:bookmarkStart w:id="19" w:name="_r50b6vz1aahr" w:colFirst="0" w:colLast="0"/>
      <w:bookmarkEnd w:id="19"/>
      <w:r>
        <w:t xml:space="preserve">Change Management Considerations </w:t>
      </w:r>
    </w:p>
    <w:p w14:paraId="199E26F5"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robust change management approach is required for "Delicious" to implement strategic changes. The goal of change management, as stated by Madeira et al. (2021), is to guide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through transitions in a way that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disruption to daily operations while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benefit. The ability to adapt quickly is crucial for "Delicious" to create new goods and break into new markets.</w:t>
      </w:r>
    </w:p>
    <w:p w14:paraId="63493FB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and Inclusivity-</w:t>
      </w:r>
    </w:p>
    <w:p w14:paraId="0C1F6BD0"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change management requires transparent and candid communication. Eq</w:t>
      </w:r>
      <w:r w:rsidR="00162BCD">
        <w:rPr>
          <w:rFonts w:ascii="Times New Roman" w:eastAsia="Times New Roman" w:hAnsi="Times New Roman" w:cs="Times New Roman"/>
          <w:sz w:val="24"/>
          <w:szCs w:val="24"/>
        </w:rPr>
        <w:t xml:space="preserve">uipped with this knowledge, it </w:t>
      </w:r>
      <w:r>
        <w:rPr>
          <w:rFonts w:ascii="Times New Roman" w:eastAsia="Times New Roman" w:hAnsi="Times New Roman" w:cs="Times New Roman"/>
          <w:sz w:val="24"/>
          <w:szCs w:val="24"/>
        </w:rPr>
        <w:t>ought to be capable of substantiating the decision, elucidating its rationale, and delineating its ramifications for the team. When employees do not feel valued or like they are a part of the team, their productivity will suffer. Public forums that provide incentives for participation, meetings that are efficiently facilitated, and timely reporting are effective strategies for fostering transparency and cooperation in the year 2020 (Kakani et al., 2020).</w:t>
      </w:r>
    </w:p>
    <w:p w14:paraId="2C77D3D8"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Support-</w:t>
      </w:r>
    </w:p>
    <w:p w14:paraId="0C06D1AD"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Particularly when new systems or processes are implemented, appropriate training and assistance must be provided when circumstances alter. The proficiency level of "</w:t>
      </w:r>
      <w:proofErr w:type="spellStart"/>
      <w:r>
        <w:rPr>
          <w:rFonts w:ascii="Times New Roman" w:eastAsia="Times New Roman" w:hAnsi="Times New Roman" w:cs="Times New Roman"/>
          <w:sz w:val="24"/>
          <w:szCs w:val="24"/>
        </w:rPr>
        <w:t>Delicious"'s</w:t>
      </w:r>
      <w:proofErr w:type="spellEnd"/>
      <w:r>
        <w:rPr>
          <w:rFonts w:ascii="Times New Roman" w:eastAsia="Times New Roman" w:hAnsi="Times New Roman" w:cs="Times New Roman"/>
          <w:sz w:val="24"/>
          <w:szCs w:val="24"/>
        </w:rPr>
        <w:t xml:space="preserve"> staff is contingent upon the financial resources allocated to training. Implementing novel methodologies and tools, devising innovative recipes, and engaging in more frequent conversations with clients are all effective strategies for enhancing one's customer service aptitude.</w:t>
      </w:r>
    </w:p>
    <w:p w14:paraId="7CA682E8"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Managing Resistance-</w:t>
      </w:r>
    </w:p>
    <w:p w14:paraId="1AF8ECCE" w14:textId="77777777" w:rsidR="005A750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Some people will obviously be opposed to change. Any flaws in "Delicious" must be fixed before it is released. It is necessary to consider what others may have to say about it. Cox (2021) suggests holding one-on-one sessions with each employee to inspire confidence in them about the positive effects of the change on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their employment.</w:t>
      </w:r>
    </w:p>
    <w:p w14:paraId="5AA14B50"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Phased Implementation-</w:t>
      </w:r>
    </w:p>
    <w:p w14:paraId="78D329E7"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members will have an easier time adjusting if the change is implemented gradually. Alterations depending on input could be implemented using an incremental approach. Modifications are carried out in manageable portions with few issues using this approach.</w:t>
      </w:r>
    </w:p>
    <w:p w14:paraId="57FB8E0F"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Monitoring and Feedback</w:t>
      </w:r>
    </w:p>
    <w:p w14:paraId="6885BB20"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Always prioritise the gathering of input and the oversight of the change process. Issues can be quickly discovered and necessary changes can be easily executed using this strategy. It would be helpful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and reward progress done throughout this shift.</w:t>
      </w:r>
    </w:p>
    <w:p w14:paraId="6D68A71E"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demonstrates a solid awareness of the following methods to enable successful change implementation: creating and maintaining transparent channels of communication, garnering support, offering adequate training, streamlining transitions, and advancing with care. </w:t>
      </w:r>
    </w:p>
    <w:p w14:paraId="62E02AB3"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 Management </w:t>
      </w:r>
    </w:p>
    <w:p w14:paraId="4CD2F828"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the "Delicious" strategy depends on having a solid backup plan ready to go. They should be the ones who notice these problems, decide what to do about it, and see it through to completion (Isabelle et al., 2020). Identifying and mitigating risks is crucial for fostering innovation and discovering undiscovered markets.</w:t>
      </w:r>
    </w:p>
    <w:p w14:paraId="5486FC48"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Market Risks</w:t>
      </w:r>
    </w:p>
    <w:p w14:paraId="5989499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enterprises such as "Delicious" grow in size, they become increasingly susceptible to the impact of shifts in client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economic conditions. Attaining the objective is achievable by maintaining a receptive mindset and engaging in consistent market research. In order to avoid excessive reliance on a single demographic or fad, food enterprises were compelled to diversify their range of products and target a wider audience (Campo et al., 2020).</w:t>
      </w:r>
    </w:p>
    <w:p w14:paraId="02DA2F15"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Operational Risks</w:t>
      </w:r>
    </w:p>
    <w:p w14:paraId="074CF5B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 operational risks that might cause significant harm to the company are problems with the supply chain and technology. To lessen the impact of any supply chain interruptions, "Delicious" needs to plan ahead by establishing relationships with other suppliers. Equipment that relies on technology can keep running smoothly with regular preventative maintenance and software updates.</w:t>
      </w:r>
    </w:p>
    <w:p w14:paraId="2E7A88EE"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Risks-</w:t>
      </w:r>
    </w:p>
    <w:p w14:paraId="2DE3E61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lottery money to fund new projects and development is fraught with uncertainty. Budgeting and forecasting are cornerstones of responsible financial preparation. Alternative funding sources could be considered by "Delicious" if it wants to diversify its income sources.</w:t>
      </w:r>
    </w:p>
    <w:p w14:paraId="1AFE2668"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Compliance Risks-</w:t>
      </w:r>
    </w:p>
    <w:p w14:paraId="23142828"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Ignoring health and safety regulations puts individuals at risk of legal repercussions and social disgrace. Following the law to the letter and keeping up with legal developments are of the utmost importance (Isabelle et al. 2020).</w:t>
      </w:r>
    </w:p>
    <w:p w14:paraId="5755437C"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 Resource Risks</w:t>
      </w:r>
    </w:p>
    <w:p w14:paraId="7D0AD00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risk to operational efficiency due to the high staff turnover rate and insufficient training. These dangers can be mitigated through training and retention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for employees.</w:t>
      </w:r>
    </w:p>
    <w:p w14:paraId="22DBE5A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Reputational Risks-</w:t>
      </w:r>
    </w:p>
    <w:p w14:paraId="6905FF39" w14:textId="77777777" w:rsidR="005A750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lastRenderedPageBreak/>
        <w:t>If critics and audiences give "Delicious" low grades, the company's reputation may suffer. Public relations initiatives, excellent quality standards, and exceptional customer service can all help to protect a company's reputation.</w:t>
      </w:r>
    </w:p>
    <w:p w14:paraId="261D1975"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things considered, the "Delicious" project team does its best to anticipate and mitigate any threats. The restaurant needs to think long and hard about the potential consequences, have a backup plan ready, use a range of strategies, and follow all quality and safety regulations to continue in this cutthroat industry.</w:t>
      </w:r>
    </w:p>
    <w:p w14:paraId="4566589F" w14:textId="77777777" w:rsidR="005A7502" w:rsidRDefault="00000000">
      <w:pPr>
        <w:pStyle w:val="Heading1"/>
      </w:pPr>
      <w:bookmarkStart w:id="20" w:name="_xu7ujkc9j4qk" w:colFirst="0" w:colLast="0"/>
      <w:bookmarkEnd w:id="20"/>
      <w:r>
        <w:t>Section-5 Strategy Monitoring Tools</w:t>
      </w:r>
    </w:p>
    <w:p w14:paraId="0262B1AB" w14:textId="77777777" w:rsidR="005A7502" w:rsidRDefault="00000000">
      <w:pPr>
        <w:pStyle w:val="Heading2"/>
      </w:pPr>
      <w:bookmarkStart w:id="21" w:name="_460awx8na9ew" w:colFirst="0" w:colLast="0"/>
      <w:bookmarkEnd w:id="21"/>
      <w:r>
        <w:t>Key Performance Indicators (KPIs)</w:t>
      </w:r>
    </w:p>
    <w:p w14:paraId="1F46A1CC"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Key performance indicators (KPIs) help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keep track of their work towards long-term goals. Before going into new areas or making new products, "Delicious" should set key performance indicators (KPIs) to track its progress and make s</w:t>
      </w:r>
      <w:r w:rsidR="00162BCD">
        <w:rPr>
          <w:rFonts w:ascii="Times New Roman" w:eastAsia="Times New Roman" w:hAnsi="Times New Roman" w:cs="Times New Roman"/>
          <w:sz w:val="24"/>
          <w:szCs w:val="24"/>
        </w:rPr>
        <w:t>mart choices (Wood et al. 2021)</w:t>
      </w:r>
      <w:r>
        <w:rPr>
          <w:rFonts w:ascii="Times New Roman" w:eastAsia="Times New Roman" w:hAnsi="Times New Roman" w:cs="Times New Roman"/>
          <w:sz w:val="24"/>
          <w:szCs w:val="24"/>
        </w:rPr>
        <w:t>. SMART targets are goals that are specific, measurable, attainable, important, and have a due date.</w:t>
      </w:r>
    </w:p>
    <w:p w14:paraId="73B9DD2F"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Sales Growth-</w:t>
      </w:r>
    </w:p>
    <w:p w14:paraId="3C674F42"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shows how the market responds to new menu items. The steadily rising sales numbers point to the flourishing industry prospects and the fruitful implementation of a carefully planned strategy.</w:t>
      </w:r>
    </w:p>
    <w:p w14:paraId="6258622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 Customer Satisfaction Scores</w:t>
      </w:r>
      <w:r>
        <w:rPr>
          <w:rFonts w:ascii="Times New Roman" w:eastAsia="Times New Roman" w:hAnsi="Times New Roman" w:cs="Times New Roman"/>
          <w:sz w:val="24"/>
          <w:szCs w:val="24"/>
        </w:rPr>
        <w:t>-</w:t>
      </w:r>
    </w:p>
    <w:p w14:paraId="73B96CF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"Delicious" assesses the level of client satisfaction by employing questionnaires and other feedback tools. Consumer satisfaction, which is influenced by their satisfaction with the items and service they receive, is positively associated with brand loyalty and repeat purchases.</w:t>
      </w:r>
    </w:p>
    <w:p w14:paraId="2B955B6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Market Share-</w:t>
      </w:r>
    </w:p>
    <w:p w14:paraId="1BE0500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is analogous to other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establishments in this regard. Typically, robust market penetration and widespread brand recognition serve as reliable indicators of an expanding market share.</w:t>
      </w:r>
    </w:p>
    <w:p w14:paraId="076A7BE1"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Employee Turnover Rate-</w:t>
      </w:r>
    </w:p>
    <w:p w14:paraId="1B1F12B9"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Everyone is committed to doing everything it takes to reach the main objective of making sure that clients and employees are happy with the services. Various methods exist for evaluating the effectiveness and efficiency of a company's management and leadership (Baker et al. 2020). Analysis of employee turnover is one method. Both operational efficiency and consumer happiness are impacted by this quality.</w:t>
      </w:r>
    </w:p>
    <w:p w14:paraId="121E0E9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Inventory Turnover-</w:t>
      </w:r>
    </w:p>
    <w:p w14:paraId="26225FFE"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important measure of business performance is the inventory turnover rate. Good supply chain management results in a fast-moving menu and rapid inventory turnover. Supply chain management is demonstrated by both measures.</w:t>
      </w:r>
    </w:p>
    <w:p w14:paraId="0FC9626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New Customer Involvement-</w:t>
      </w:r>
    </w:p>
    <w:p w14:paraId="3BD0B5B4"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marketing activity's acquisition of new customers might be used to evaluate it.</w:t>
      </w:r>
    </w:p>
    <w:p w14:paraId="50D77B47"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Social Media interactions-</w:t>
      </w:r>
    </w:p>
    <w:p w14:paraId="75A1382B"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Analytics have been a larger element of how successful social media platforms are in recent years. This is a common occurrence on many websites. According to </w:t>
      </w:r>
      <w:proofErr w:type="spellStart"/>
      <w:r>
        <w:rPr>
          <w:rFonts w:ascii="Times New Roman" w:eastAsia="Times New Roman" w:hAnsi="Times New Roman" w:cs="Times New Roman"/>
          <w:sz w:val="24"/>
          <w:szCs w:val="24"/>
        </w:rPr>
        <w:t>Plause</w:t>
      </w:r>
      <w:proofErr w:type="spellEnd"/>
      <w:r>
        <w:rPr>
          <w:rFonts w:ascii="Times New Roman" w:eastAsia="Times New Roman" w:hAnsi="Times New Roman" w:cs="Times New Roman"/>
          <w:sz w:val="24"/>
          <w:szCs w:val="24"/>
        </w:rPr>
        <w:t xml:space="preserve"> et al. (2021), the number of people who follow, like, and share a brand's material demonstrates the brand's popularity and consumer engagement. Because the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individuals that connect with a brand's content on social media is directly related to the brand's popularity.</w:t>
      </w:r>
    </w:p>
    <w:p w14:paraId="44F4C09B"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 Compliance and Safety Standards Adherence-</w:t>
      </w:r>
    </w:p>
    <w:p w14:paraId="7C8DE53A"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follow health and safety rules, inspections must be done on a regular basis. This important performance indicator helps keep the trustworthiness and integrity of the business.</w:t>
      </w:r>
    </w:p>
    <w:p w14:paraId="6A9FE9FD" w14:textId="77777777" w:rsidR="005A750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9. Food Development Success Rate-</w:t>
      </w:r>
    </w:p>
    <w:p w14:paraId="13E07BEF"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new food items can be found using this creative method. Sales and polls are used to find out if customers are happy with the menu items.</w:t>
      </w:r>
    </w:p>
    <w:p w14:paraId="25FF3E51"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critical KPIs, "Delicious" provides a comprehensive analysis of the company's development in every area. Regular examination of critical success metrics is imperative for "Delicious" to ascertain its progress towards long-term objectives (</w:t>
      </w:r>
      <w:proofErr w:type="spellStart"/>
      <w:r>
        <w:rPr>
          <w:rFonts w:ascii="Times New Roman" w:eastAsia="Times New Roman" w:hAnsi="Times New Roman" w:cs="Times New Roman"/>
          <w:sz w:val="24"/>
          <w:szCs w:val="24"/>
        </w:rPr>
        <w:t>Annosi</w:t>
      </w:r>
      <w:proofErr w:type="spellEnd"/>
      <w:r>
        <w:rPr>
          <w:rFonts w:ascii="Times New Roman" w:eastAsia="Times New Roman" w:hAnsi="Times New Roman" w:cs="Times New Roman"/>
          <w:sz w:val="24"/>
          <w:szCs w:val="24"/>
        </w:rPr>
        <w:t xml:space="preserve"> et al., 2021). Guests are able to </w:t>
      </w:r>
      <w:r>
        <w:rPr>
          <w:rFonts w:ascii="Times New Roman" w:eastAsia="Times New Roman" w:hAnsi="Times New Roman" w:cs="Times New Roman"/>
          <w:sz w:val="24"/>
          <w:szCs w:val="24"/>
        </w:rPr>
        <w:lastRenderedPageBreak/>
        <w:t xml:space="preserve">evaluate the success of their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and offer suggestions for improvement following the event.</w:t>
      </w:r>
    </w:p>
    <w:p w14:paraId="4C066FA2" w14:textId="77777777" w:rsidR="005A7502" w:rsidRDefault="00000000">
      <w:pPr>
        <w:pStyle w:val="Heading2"/>
      </w:pPr>
      <w:bookmarkStart w:id="22" w:name="_4og6nocxfn4m" w:colFirst="0" w:colLast="0"/>
      <w:bookmarkEnd w:id="22"/>
      <w:r>
        <w:t>Balanced Scorecard</w:t>
      </w:r>
    </w:p>
    <w:tbl>
      <w:tblPr>
        <w:tblStyle w:val="a2"/>
        <w:tblW w:w="10080" w:type="dxa"/>
        <w:tblInd w:w="-18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380"/>
        <w:gridCol w:w="1395"/>
        <w:gridCol w:w="2175"/>
        <w:gridCol w:w="2700"/>
        <w:gridCol w:w="2430"/>
      </w:tblGrid>
      <w:tr w:rsidR="00AF10DB" w14:paraId="4E34716B" w14:textId="77777777">
        <w:trPr>
          <w:tblHeader/>
        </w:trPr>
        <w:tc>
          <w:tcPr>
            <w:tcW w:w="1380" w:type="dxa"/>
            <w:tcBorders>
              <w:top w:val="single" w:sz="8" w:space="0" w:color="CC4125"/>
              <w:left w:val="single" w:sz="8" w:space="0" w:color="CC4125"/>
              <w:bottom w:val="single" w:sz="8" w:space="0" w:color="CC4125"/>
              <w:right w:val="single" w:sz="8" w:space="0" w:color="CC4125"/>
            </w:tcBorders>
            <w:shd w:val="clear" w:color="auto" w:fill="E6B8AF"/>
            <w:vAlign w:val="bottom"/>
          </w:tcPr>
          <w:p w14:paraId="2DF57B43"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Perspective</w:t>
            </w:r>
          </w:p>
        </w:tc>
        <w:tc>
          <w:tcPr>
            <w:tcW w:w="1395" w:type="dxa"/>
            <w:tcBorders>
              <w:top w:val="single" w:sz="8" w:space="0" w:color="CC4125"/>
              <w:left w:val="single" w:sz="8" w:space="0" w:color="CC4125"/>
              <w:bottom w:val="single" w:sz="8" w:space="0" w:color="CC4125"/>
              <w:right w:val="single" w:sz="8" w:space="0" w:color="CC4125"/>
            </w:tcBorders>
            <w:shd w:val="clear" w:color="auto" w:fill="E6B8AF"/>
            <w:vAlign w:val="bottom"/>
          </w:tcPr>
          <w:p w14:paraId="3D8671E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w:t>
            </w:r>
          </w:p>
        </w:tc>
        <w:tc>
          <w:tcPr>
            <w:tcW w:w="2175" w:type="dxa"/>
            <w:tcBorders>
              <w:top w:val="single" w:sz="8" w:space="0" w:color="CC4125"/>
              <w:left w:val="single" w:sz="8" w:space="0" w:color="CC4125"/>
              <w:bottom w:val="single" w:sz="8" w:space="0" w:color="CC4125"/>
              <w:right w:val="single" w:sz="8" w:space="0" w:color="CC4125"/>
            </w:tcBorders>
            <w:shd w:val="clear" w:color="auto" w:fill="E6B8AF"/>
            <w:vAlign w:val="bottom"/>
          </w:tcPr>
          <w:p w14:paraId="69CCD6CD"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KPIs</w:t>
            </w:r>
          </w:p>
        </w:tc>
        <w:tc>
          <w:tcPr>
            <w:tcW w:w="2700" w:type="dxa"/>
            <w:tcBorders>
              <w:top w:val="single" w:sz="8" w:space="0" w:color="CC4125"/>
              <w:left w:val="single" w:sz="8" w:space="0" w:color="CC4125"/>
              <w:bottom w:val="single" w:sz="8" w:space="0" w:color="CC4125"/>
              <w:right w:val="single" w:sz="8" w:space="0" w:color="CC4125"/>
            </w:tcBorders>
            <w:shd w:val="clear" w:color="auto" w:fill="E6B8AF"/>
            <w:vAlign w:val="bottom"/>
          </w:tcPr>
          <w:p w14:paraId="72596A89"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w:t>
            </w:r>
          </w:p>
        </w:tc>
        <w:tc>
          <w:tcPr>
            <w:tcW w:w="2430" w:type="dxa"/>
            <w:tcBorders>
              <w:top w:val="single" w:sz="8" w:space="0" w:color="CC4125"/>
              <w:left w:val="single" w:sz="8" w:space="0" w:color="CC4125"/>
              <w:bottom w:val="single" w:sz="8" w:space="0" w:color="CC4125"/>
              <w:right w:val="single" w:sz="8" w:space="0" w:color="CC4125"/>
            </w:tcBorders>
            <w:shd w:val="clear" w:color="auto" w:fill="E6B8AF"/>
            <w:vAlign w:val="bottom"/>
          </w:tcPr>
          <w:p w14:paraId="6B58F178"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Initiative</w:t>
            </w:r>
          </w:p>
        </w:tc>
      </w:tr>
      <w:tr w:rsidR="00AF10DB" w14:paraId="4D4488B9" w14:textId="77777777">
        <w:tc>
          <w:tcPr>
            <w:tcW w:w="1380" w:type="dxa"/>
            <w:tcBorders>
              <w:top w:val="single" w:sz="8" w:space="0" w:color="CC4125"/>
              <w:left w:val="single" w:sz="8" w:space="0" w:color="CC4125"/>
              <w:bottom w:val="single" w:sz="8" w:space="0" w:color="CC4125"/>
              <w:right w:val="single" w:sz="8" w:space="0" w:color="CC4125"/>
            </w:tcBorders>
            <w:shd w:val="clear" w:color="auto" w:fill="F6B26B"/>
            <w:vAlign w:val="bottom"/>
          </w:tcPr>
          <w:p w14:paraId="4CEFF435" w14:textId="77777777" w:rsidR="005A7502" w:rsidRDefault="00000000">
            <w:pPr>
              <w:spacing w:line="360" w:lineRule="auto"/>
              <w:ind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Financial</w:t>
            </w:r>
          </w:p>
        </w:tc>
        <w:tc>
          <w:tcPr>
            <w:tcW w:w="139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2C786308"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Increase profitability</w:t>
            </w:r>
          </w:p>
        </w:tc>
        <w:tc>
          <w:tcPr>
            <w:tcW w:w="217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217BF237"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Revenue growth</w:t>
            </w:r>
          </w:p>
          <w:p w14:paraId="2B07E653"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Profit margins</w:t>
            </w:r>
          </w:p>
        </w:tc>
        <w:tc>
          <w:tcPr>
            <w:tcW w:w="2700" w:type="dxa"/>
            <w:tcBorders>
              <w:top w:val="single" w:sz="8" w:space="0" w:color="CC4125"/>
              <w:left w:val="single" w:sz="8" w:space="0" w:color="CC4125"/>
              <w:bottom w:val="single" w:sz="8" w:space="0" w:color="CC4125"/>
              <w:right w:val="single" w:sz="8" w:space="0" w:color="CC4125"/>
            </w:tcBorders>
            <w:shd w:val="clear" w:color="auto" w:fill="93C47D"/>
            <w:vAlign w:val="bottom"/>
          </w:tcPr>
          <w:p w14:paraId="691BB66C"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Specific % increase annually</w:t>
            </w:r>
          </w:p>
        </w:tc>
        <w:tc>
          <w:tcPr>
            <w:tcW w:w="2430" w:type="dxa"/>
            <w:tcBorders>
              <w:top w:val="single" w:sz="8" w:space="0" w:color="CC4125"/>
              <w:left w:val="single" w:sz="8" w:space="0" w:color="CC4125"/>
              <w:bottom w:val="single" w:sz="8" w:space="0" w:color="CC4125"/>
              <w:right w:val="single" w:sz="8" w:space="0" w:color="CC4125"/>
            </w:tcBorders>
            <w:shd w:val="clear" w:color="auto" w:fill="CC4125"/>
            <w:vAlign w:val="bottom"/>
          </w:tcPr>
          <w:p w14:paraId="673236E2"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Expand menu options</w:t>
            </w:r>
          </w:p>
          <w:p w14:paraId="0C705A4A"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cost efficiency</w:t>
            </w:r>
          </w:p>
        </w:tc>
      </w:tr>
      <w:tr w:rsidR="00AF10DB" w14:paraId="4804780A" w14:textId="77777777">
        <w:tc>
          <w:tcPr>
            <w:tcW w:w="1380" w:type="dxa"/>
            <w:tcBorders>
              <w:top w:val="single" w:sz="8" w:space="0" w:color="CC4125"/>
              <w:left w:val="single" w:sz="8" w:space="0" w:color="CC4125"/>
              <w:bottom w:val="single" w:sz="8" w:space="0" w:color="CC4125"/>
              <w:right w:val="single" w:sz="8" w:space="0" w:color="CC4125"/>
            </w:tcBorders>
            <w:shd w:val="clear" w:color="auto" w:fill="F6B26B"/>
            <w:vAlign w:val="bottom"/>
          </w:tcPr>
          <w:p w14:paraId="593DF1C1"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Client</w:t>
            </w:r>
          </w:p>
        </w:tc>
        <w:tc>
          <w:tcPr>
            <w:tcW w:w="139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38705D12"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client satisfaction</w:t>
            </w:r>
          </w:p>
        </w:tc>
        <w:tc>
          <w:tcPr>
            <w:tcW w:w="217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49AF3ADA"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Polls on customer satisfaction.</w:t>
            </w:r>
          </w:p>
          <w:p w14:paraId="6271A9B1"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Client retention.</w:t>
            </w:r>
          </w:p>
        </w:tc>
        <w:tc>
          <w:tcPr>
            <w:tcW w:w="2700" w:type="dxa"/>
            <w:tcBorders>
              <w:top w:val="single" w:sz="8" w:space="0" w:color="CC4125"/>
              <w:left w:val="single" w:sz="8" w:space="0" w:color="CC4125"/>
              <w:bottom w:val="single" w:sz="8" w:space="0" w:color="CC4125"/>
              <w:right w:val="single" w:sz="8" w:space="0" w:color="CC4125"/>
            </w:tcBorders>
            <w:shd w:val="clear" w:color="auto" w:fill="93C47D"/>
            <w:vAlign w:val="bottom"/>
          </w:tcPr>
          <w:p w14:paraId="3D87C5BD"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Achieve satisfaction score.</w:t>
            </w:r>
          </w:p>
          <w:p w14:paraId="1CB9C6B8"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Repeat trips should go up.</w:t>
            </w:r>
          </w:p>
        </w:tc>
        <w:tc>
          <w:tcPr>
            <w:tcW w:w="2430" w:type="dxa"/>
            <w:tcBorders>
              <w:top w:val="single" w:sz="8" w:space="0" w:color="CC4125"/>
              <w:left w:val="single" w:sz="8" w:space="0" w:color="CC4125"/>
              <w:bottom w:val="single" w:sz="8" w:space="0" w:color="CC4125"/>
              <w:right w:val="single" w:sz="8" w:space="0" w:color="CC4125"/>
            </w:tcBorders>
            <w:shd w:val="clear" w:color="auto" w:fill="CC4125"/>
            <w:vAlign w:val="bottom"/>
          </w:tcPr>
          <w:p w14:paraId="1E093944"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Set up customer feedback</w:t>
            </w:r>
          </w:p>
          <w:p w14:paraId="62E6B6EC"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Customer-service training for staff</w:t>
            </w:r>
          </w:p>
        </w:tc>
      </w:tr>
      <w:tr w:rsidR="00AF10DB" w14:paraId="5501F5D4" w14:textId="77777777">
        <w:tc>
          <w:tcPr>
            <w:tcW w:w="1380" w:type="dxa"/>
            <w:tcBorders>
              <w:top w:val="single" w:sz="8" w:space="0" w:color="CC4125"/>
              <w:left w:val="single" w:sz="8" w:space="0" w:color="CC4125"/>
              <w:bottom w:val="single" w:sz="8" w:space="0" w:color="CC4125"/>
              <w:right w:val="single" w:sz="8" w:space="0" w:color="CC4125"/>
            </w:tcBorders>
            <w:shd w:val="clear" w:color="auto" w:fill="F6B26B"/>
            <w:vAlign w:val="bottom"/>
          </w:tcPr>
          <w:p w14:paraId="6E7DFE95"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Processes</w:t>
            </w:r>
          </w:p>
        </w:tc>
        <w:tc>
          <w:tcPr>
            <w:tcW w:w="139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729C89FE"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 operating efficiency</w:t>
            </w:r>
          </w:p>
        </w:tc>
        <w:tc>
          <w:tcPr>
            <w:tcW w:w="217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7A66DCD1"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Inventory turnover</w:t>
            </w:r>
          </w:p>
          <w:p w14:paraId="57322E64"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Delivery time</w:t>
            </w:r>
          </w:p>
          <w:p w14:paraId="3B2AA4E5" w14:textId="77777777" w:rsidR="005A7502" w:rsidRDefault="005A7502">
            <w:pPr>
              <w:spacing w:line="360" w:lineRule="auto"/>
              <w:ind w:left="90" w:right="105"/>
              <w:jc w:val="center"/>
              <w:rPr>
                <w:rFonts w:ascii="Times New Roman" w:eastAsia="Times New Roman" w:hAnsi="Times New Roman" w:cs="Times New Roman"/>
                <w:b/>
                <w:sz w:val="24"/>
                <w:szCs w:val="24"/>
              </w:rPr>
            </w:pPr>
          </w:p>
        </w:tc>
        <w:tc>
          <w:tcPr>
            <w:tcW w:w="2700" w:type="dxa"/>
            <w:tcBorders>
              <w:top w:val="single" w:sz="8" w:space="0" w:color="CC4125"/>
              <w:left w:val="single" w:sz="8" w:space="0" w:color="CC4125"/>
              <w:bottom w:val="single" w:sz="8" w:space="0" w:color="CC4125"/>
              <w:right w:val="single" w:sz="8" w:space="0" w:color="CC4125"/>
            </w:tcBorders>
            <w:shd w:val="clear" w:color="auto" w:fill="93C47D"/>
            <w:vAlign w:val="bottom"/>
          </w:tcPr>
          <w:p w14:paraId="6E04B49D"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Particular turnover</w:t>
            </w:r>
          </w:p>
          <w:p w14:paraId="4591D98E"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Order time reduction percentage</w:t>
            </w:r>
          </w:p>
        </w:tc>
        <w:tc>
          <w:tcPr>
            <w:tcW w:w="2430" w:type="dxa"/>
            <w:tcBorders>
              <w:top w:val="single" w:sz="8" w:space="0" w:color="CC4125"/>
              <w:left w:val="single" w:sz="8" w:space="0" w:color="CC4125"/>
              <w:bottom w:val="single" w:sz="8" w:space="0" w:color="CC4125"/>
              <w:right w:val="single" w:sz="8" w:space="0" w:color="CC4125"/>
            </w:tcBorders>
            <w:shd w:val="clear" w:color="auto" w:fill="CC4125"/>
            <w:vAlign w:val="bottom"/>
          </w:tcPr>
          <w:p w14:paraId="0753F36E"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Make the supply chain simpler.</w:t>
            </w:r>
          </w:p>
          <w:p w14:paraId="3AAE8A71"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Upgrade kitchen tech.</w:t>
            </w:r>
          </w:p>
        </w:tc>
      </w:tr>
      <w:tr w:rsidR="00AF10DB" w14:paraId="75FFF307" w14:textId="77777777">
        <w:tc>
          <w:tcPr>
            <w:tcW w:w="1380" w:type="dxa"/>
            <w:tcBorders>
              <w:top w:val="single" w:sz="8" w:space="0" w:color="CC4125"/>
              <w:left w:val="single" w:sz="8" w:space="0" w:color="CC4125"/>
              <w:bottom w:val="single" w:sz="8" w:space="0" w:color="CC4125"/>
              <w:right w:val="single" w:sz="8" w:space="0" w:color="CC4125"/>
            </w:tcBorders>
            <w:shd w:val="clear" w:color="auto" w:fill="F6B26B"/>
            <w:vAlign w:val="bottom"/>
          </w:tcPr>
          <w:p w14:paraId="4740AB9E"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Growth and Learning</w:t>
            </w:r>
          </w:p>
        </w:tc>
        <w:tc>
          <w:tcPr>
            <w:tcW w:w="139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1704B1EE"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staff skills and corporate atmosphere</w:t>
            </w:r>
          </w:p>
        </w:tc>
        <w:tc>
          <w:tcPr>
            <w:tcW w:w="2175" w:type="dxa"/>
            <w:tcBorders>
              <w:top w:val="single" w:sz="8" w:space="0" w:color="CC4125"/>
              <w:left w:val="single" w:sz="8" w:space="0" w:color="CC4125"/>
              <w:bottom w:val="single" w:sz="8" w:space="0" w:color="CC4125"/>
              <w:right w:val="single" w:sz="8" w:space="0" w:color="CC4125"/>
            </w:tcBorders>
            <w:shd w:val="clear" w:color="auto" w:fill="B4A7D6"/>
            <w:vAlign w:val="bottom"/>
          </w:tcPr>
          <w:p w14:paraId="2A2AAFA9"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hours and employee satisfaction scores.</w:t>
            </w:r>
          </w:p>
          <w:p w14:paraId="42A1A2B6" w14:textId="77777777" w:rsidR="005A7502" w:rsidRDefault="005A7502">
            <w:pPr>
              <w:spacing w:line="360" w:lineRule="auto"/>
              <w:ind w:left="90" w:right="105"/>
              <w:jc w:val="center"/>
              <w:rPr>
                <w:rFonts w:ascii="Times New Roman" w:eastAsia="Times New Roman" w:hAnsi="Times New Roman" w:cs="Times New Roman"/>
                <w:b/>
                <w:sz w:val="24"/>
                <w:szCs w:val="24"/>
              </w:rPr>
            </w:pPr>
          </w:p>
        </w:tc>
        <w:tc>
          <w:tcPr>
            <w:tcW w:w="2700" w:type="dxa"/>
            <w:tcBorders>
              <w:top w:val="single" w:sz="8" w:space="0" w:color="CC4125"/>
              <w:left w:val="single" w:sz="8" w:space="0" w:color="CC4125"/>
              <w:bottom w:val="single" w:sz="8" w:space="0" w:color="CC4125"/>
              <w:right w:val="single" w:sz="8" w:space="0" w:color="CC4125"/>
            </w:tcBorders>
            <w:shd w:val="clear" w:color="auto" w:fill="93C47D"/>
            <w:vAlign w:val="bottom"/>
          </w:tcPr>
          <w:p w14:paraId="4DEC026C"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Specific annual training hours</w:t>
            </w:r>
          </w:p>
          <w:p w14:paraId="7225CF0F"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Fulfil satisfaction target</w:t>
            </w:r>
          </w:p>
          <w:p w14:paraId="2F856CE2" w14:textId="77777777" w:rsidR="005A7502" w:rsidRDefault="005A7502">
            <w:pPr>
              <w:spacing w:line="360" w:lineRule="auto"/>
              <w:ind w:left="90" w:right="105"/>
              <w:jc w:val="center"/>
              <w:rPr>
                <w:rFonts w:ascii="Times New Roman" w:eastAsia="Times New Roman" w:hAnsi="Times New Roman" w:cs="Times New Roman"/>
                <w:b/>
                <w:sz w:val="24"/>
                <w:szCs w:val="24"/>
              </w:rPr>
            </w:pPr>
          </w:p>
        </w:tc>
        <w:tc>
          <w:tcPr>
            <w:tcW w:w="2430" w:type="dxa"/>
            <w:tcBorders>
              <w:top w:val="single" w:sz="8" w:space="0" w:color="CC4125"/>
              <w:left w:val="single" w:sz="8" w:space="0" w:color="CC4125"/>
              <w:bottom w:val="single" w:sz="8" w:space="0" w:color="CC4125"/>
              <w:right w:val="single" w:sz="8" w:space="0" w:color="CC4125"/>
            </w:tcBorders>
            <w:shd w:val="clear" w:color="auto" w:fill="CC4125"/>
            <w:vAlign w:val="bottom"/>
          </w:tcPr>
          <w:p w14:paraId="2CAEEC73"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Provide regular training.</w:t>
            </w:r>
          </w:p>
          <w:p w14:paraId="4DB1C328" w14:textId="77777777" w:rsidR="005A7502" w:rsidRDefault="00000000">
            <w:pPr>
              <w:spacing w:line="360" w:lineRule="auto"/>
              <w:ind w:left="90" w:right="105"/>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Encourage a positive workplace</w:t>
            </w:r>
          </w:p>
          <w:p w14:paraId="3798A508" w14:textId="77777777" w:rsidR="005A7502" w:rsidRDefault="005A7502">
            <w:pPr>
              <w:spacing w:line="360" w:lineRule="auto"/>
              <w:ind w:right="105"/>
              <w:jc w:val="center"/>
              <w:rPr>
                <w:rFonts w:ascii="Times New Roman" w:eastAsia="Times New Roman" w:hAnsi="Times New Roman" w:cs="Times New Roman"/>
                <w:b/>
                <w:sz w:val="24"/>
                <w:szCs w:val="24"/>
              </w:rPr>
            </w:pPr>
          </w:p>
        </w:tc>
      </w:tr>
    </w:tbl>
    <w:p w14:paraId="771B4C8D" w14:textId="77777777" w:rsidR="005A7502" w:rsidRDefault="005A7502">
      <w:pPr>
        <w:spacing w:line="360" w:lineRule="auto"/>
        <w:jc w:val="both"/>
        <w:rPr>
          <w:rFonts w:ascii="Times New Roman" w:eastAsia="Times New Roman" w:hAnsi="Times New Roman" w:cs="Times New Roman"/>
          <w:b/>
          <w:sz w:val="24"/>
          <w:szCs w:val="24"/>
        </w:rPr>
      </w:pPr>
    </w:p>
    <w:p w14:paraId="6D54A48C" w14:textId="77777777" w:rsidR="005A7502" w:rsidRDefault="00000000">
      <w:pPr>
        <w:pStyle w:val="Heading2"/>
      </w:pPr>
      <w:bookmarkStart w:id="23" w:name="_ck8rhcfv890x" w:colFirst="0" w:colLast="0"/>
      <w:bookmarkEnd w:id="23"/>
      <w:r>
        <w:lastRenderedPageBreak/>
        <w:t>Benchmarking</w:t>
      </w:r>
    </w:p>
    <w:tbl>
      <w:tblPr>
        <w:tblStyle w:val="a3"/>
        <w:tblW w:w="9675" w:type="dxa"/>
        <w:tblInd w:w="-30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1950"/>
        <w:gridCol w:w="1500"/>
        <w:gridCol w:w="1170"/>
        <w:gridCol w:w="2640"/>
        <w:gridCol w:w="2415"/>
      </w:tblGrid>
      <w:tr w:rsidR="00AF10DB" w14:paraId="28C0FEE3" w14:textId="77777777">
        <w:trPr>
          <w:tblHeader/>
        </w:trPr>
        <w:tc>
          <w:tcPr>
            <w:tcW w:w="1950" w:type="dxa"/>
            <w:tcBorders>
              <w:top w:val="single" w:sz="8" w:space="0" w:color="134F5C"/>
              <w:left w:val="single" w:sz="8" w:space="0" w:color="134F5C"/>
              <w:bottom w:val="dotted" w:sz="12" w:space="0" w:color="351C75"/>
              <w:right w:val="single" w:sz="8" w:space="0" w:color="134F5C"/>
            </w:tcBorders>
            <w:shd w:val="clear" w:color="auto" w:fill="F4CCCC"/>
            <w:vAlign w:val="bottom"/>
          </w:tcPr>
          <w:p w14:paraId="63397B47"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Benchmarking Criteria</w:t>
            </w:r>
          </w:p>
        </w:tc>
        <w:tc>
          <w:tcPr>
            <w:tcW w:w="1500" w:type="dxa"/>
            <w:tcBorders>
              <w:top w:val="single" w:sz="8" w:space="0" w:color="134F5C"/>
              <w:left w:val="single" w:sz="8" w:space="0" w:color="134F5C"/>
              <w:bottom w:val="dotted" w:sz="12" w:space="0" w:color="351C75"/>
              <w:right w:val="single" w:sz="8" w:space="0" w:color="134F5C"/>
            </w:tcBorders>
            <w:shd w:val="clear" w:color="auto" w:fill="F4CCCC"/>
            <w:vAlign w:val="bottom"/>
          </w:tcPr>
          <w:p w14:paraId="2F3B4CB4"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'Delicious' Current Performance</w:t>
            </w:r>
          </w:p>
        </w:tc>
        <w:tc>
          <w:tcPr>
            <w:tcW w:w="1170" w:type="dxa"/>
            <w:tcBorders>
              <w:top w:val="single" w:sz="8" w:space="0" w:color="134F5C"/>
              <w:left w:val="single" w:sz="8" w:space="0" w:color="134F5C"/>
              <w:bottom w:val="dotted" w:sz="12" w:space="0" w:color="351C75"/>
              <w:right w:val="single" w:sz="8" w:space="0" w:color="134F5C"/>
            </w:tcBorders>
            <w:shd w:val="clear" w:color="auto" w:fill="F4CCCC"/>
            <w:vAlign w:val="bottom"/>
          </w:tcPr>
          <w:p w14:paraId="10FA5D2D"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Industry Standard</w:t>
            </w:r>
          </w:p>
        </w:tc>
        <w:tc>
          <w:tcPr>
            <w:tcW w:w="2640" w:type="dxa"/>
            <w:tcBorders>
              <w:top w:val="single" w:sz="8" w:space="0" w:color="134F5C"/>
              <w:left w:val="single" w:sz="8" w:space="0" w:color="134F5C"/>
              <w:bottom w:val="dotted" w:sz="12" w:space="0" w:color="351C75"/>
              <w:right w:val="single" w:sz="8" w:space="0" w:color="134F5C"/>
            </w:tcBorders>
            <w:shd w:val="clear" w:color="auto" w:fill="F4CCCC"/>
            <w:vAlign w:val="bottom"/>
          </w:tcPr>
          <w:p w14:paraId="6FD53B45"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Gap Analysis</w:t>
            </w:r>
          </w:p>
        </w:tc>
        <w:tc>
          <w:tcPr>
            <w:tcW w:w="2415" w:type="dxa"/>
            <w:tcBorders>
              <w:top w:val="single" w:sz="8" w:space="0" w:color="134F5C"/>
              <w:left w:val="single" w:sz="8" w:space="0" w:color="134F5C"/>
              <w:bottom w:val="dotted" w:sz="12" w:space="0" w:color="351C75"/>
              <w:right w:val="single" w:sz="8" w:space="0" w:color="134F5C"/>
            </w:tcBorders>
            <w:shd w:val="clear" w:color="auto" w:fill="F4CCCC"/>
            <w:vAlign w:val="bottom"/>
          </w:tcPr>
          <w:p w14:paraId="624FC18C"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Improvement Plan</w:t>
            </w:r>
          </w:p>
        </w:tc>
      </w:tr>
      <w:tr w:rsidR="00AF10DB" w14:paraId="2BF79E33" w14:textId="77777777">
        <w:tc>
          <w:tcPr>
            <w:tcW w:w="1950" w:type="dxa"/>
            <w:tcBorders>
              <w:top w:val="dotted" w:sz="12" w:space="0" w:color="351C75"/>
              <w:left w:val="dotted" w:sz="12" w:space="0" w:color="351C75"/>
              <w:bottom w:val="dotted" w:sz="12" w:space="0" w:color="351C75"/>
              <w:right w:val="dotted" w:sz="12" w:space="0" w:color="351C75"/>
            </w:tcBorders>
            <w:vAlign w:val="bottom"/>
          </w:tcPr>
          <w:p w14:paraId="0EFF1AF1"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Growth in </w:t>
            </w:r>
            <w:r>
              <w:rPr>
                <w:rFonts w:ascii="Times New Roman" w:eastAsia="Times New Roman" w:hAnsi="Times New Roman" w:cs="Times New Roman"/>
                <w:b/>
                <w:sz w:val="24"/>
                <w:szCs w:val="24"/>
              </w:rPr>
              <w:t xml:space="preserve">Sales </w:t>
            </w:r>
          </w:p>
        </w:tc>
        <w:tc>
          <w:tcPr>
            <w:tcW w:w="1500" w:type="dxa"/>
            <w:tcBorders>
              <w:top w:val="dotted" w:sz="12" w:space="0" w:color="351C75"/>
              <w:left w:val="dotted" w:sz="12" w:space="0" w:color="351C75"/>
              <w:bottom w:val="dotted" w:sz="12" w:space="0" w:color="351C75"/>
              <w:right w:val="dotted" w:sz="12" w:space="0" w:color="351C75"/>
            </w:tcBorders>
            <w:vAlign w:val="bottom"/>
          </w:tcPr>
          <w:p w14:paraId="6BB9462C"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4.5</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sz w:val="24"/>
                <w:szCs w:val="24"/>
              </w:rPr>
              <w:t>annual growth</w:t>
            </w:r>
          </w:p>
        </w:tc>
        <w:tc>
          <w:tcPr>
            <w:tcW w:w="1170" w:type="dxa"/>
            <w:tcBorders>
              <w:top w:val="dotted" w:sz="12" w:space="0" w:color="351C75"/>
              <w:left w:val="dotted" w:sz="12" w:space="0" w:color="351C75"/>
              <w:bottom w:val="dotted" w:sz="12" w:space="0" w:color="351C75"/>
              <w:right w:val="dotted" w:sz="12" w:space="0" w:color="351C75"/>
            </w:tcBorders>
            <w:vAlign w:val="bottom"/>
          </w:tcPr>
          <w:p w14:paraId="3DC5EFC9"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Average industrial growth is 39.3</w:t>
            </w:r>
            <w:r>
              <w:rPr>
                <w:rFonts w:ascii="Times New Roman" w:eastAsia="Times New Roman" w:hAnsi="Times New Roman" w:cs="Times New Roman"/>
                <w:b/>
                <w:color w:val="000000"/>
                <w:sz w:val="24"/>
                <w:szCs w:val="24"/>
              </w:rPr>
              <w:t xml:space="preserve">% </w:t>
            </w:r>
          </w:p>
        </w:tc>
        <w:tc>
          <w:tcPr>
            <w:tcW w:w="2640" w:type="dxa"/>
            <w:tcBorders>
              <w:top w:val="dotted" w:sz="12" w:space="0" w:color="351C75"/>
              <w:left w:val="dotted" w:sz="12" w:space="0" w:color="351C75"/>
              <w:bottom w:val="dotted" w:sz="12" w:space="0" w:color="351C75"/>
              <w:right w:val="dotted" w:sz="12" w:space="0" w:color="351C75"/>
            </w:tcBorders>
            <w:vAlign w:val="bottom"/>
          </w:tcPr>
          <w:p w14:paraId="6D8CB7C6"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 underperforming areas, compare industry growth drivers</w:t>
            </w:r>
          </w:p>
          <w:p w14:paraId="4A732B41" w14:textId="77777777" w:rsidR="005A7502" w:rsidRDefault="005A7502">
            <w:pPr>
              <w:spacing w:after="0" w:line="360" w:lineRule="auto"/>
              <w:jc w:val="center"/>
              <w:rPr>
                <w:rFonts w:ascii="Times New Roman" w:eastAsia="Times New Roman" w:hAnsi="Times New Roman" w:cs="Times New Roman"/>
                <w:b/>
                <w:sz w:val="24"/>
                <w:szCs w:val="24"/>
              </w:rPr>
            </w:pPr>
          </w:p>
        </w:tc>
        <w:tc>
          <w:tcPr>
            <w:tcW w:w="2415" w:type="dxa"/>
            <w:tcBorders>
              <w:top w:val="dotted" w:sz="12" w:space="0" w:color="351C75"/>
              <w:left w:val="dotted" w:sz="12" w:space="0" w:color="351C75"/>
              <w:bottom w:val="dotted" w:sz="12" w:space="0" w:color="351C75"/>
              <w:right w:val="dotted" w:sz="12" w:space="0" w:color="351C75"/>
            </w:tcBorders>
            <w:vAlign w:val="bottom"/>
          </w:tcPr>
          <w:p w14:paraId="3F4F2E10"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Launch tailored marketing efforts, discover new markets</w:t>
            </w:r>
          </w:p>
          <w:p w14:paraId="5BA6E04C" w14:textId="77777777" w:rsidR="005A7502" w:rsidRDefault="005A7502">
            <w:pPr>
              <w:spacing w:after="0" w:line="360" w:lineRule="auto"/>
              <w:jc w:val="center"/>
              <w:rPr>
                <w:rFonts w:ascii="Times New Roman" w:eastAsia="Times New Roman" w:hAnsi="Times New Roman" w:cs="Times New Roman"/>
                <w:b/>
                <w:sz w:val="24"/>
                <w:szCs w:val="24"/>
              </w:rPr>
            </w:pPr>
          </w:p>
        </w:tc>
      </w:tr>
      <w:tr w:rsidR="00AF10DB" w14:paraId="22861BEF" w14:textId="77777777">
        <w:tc>
          <w:tcPr>
            <w:tcW w:w="1950" w:type="dxa"/>
            <w:tcBorders>
              <w:top w:val="dotted" w:sz="12" w:space="0" w:color="351C75"/>
              <w:left w:val="dotted" w:sz="12" w:space="0" w:color="351C75"/>
              <w:bottom w:val="dotted" w:sz="12" w:space="0" w:color="351C75"/>
              <w:right w:val="dotted" w:sz="12" w:space="0" w:color="351C75"/>
            </w:tcBorders>
            <w:vAlign w:val="bottom"/>
          </w:tcPr>
          <w:p w14:paraId="557CD528"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Customer </w:t>
            </w:r>
            <w:r>
              <w:rPr>
                <w:rFonts w:ascii="Times New Roman" w:eastAsia="Times New Roman" w:hAnsi="Times New Roman" w:cs="Times New Roman"/>
                <w:b/>
                <w:sz w:val="24"/>
                <w:szCs w:val="24"/>
              </w:rPr>
              <w:t>Feedback</w:t>
            </w:r>
          </w:p>
        </w:tc>
        <w:tc>
          <w:tcPr>
            <w:tcW w:w="1500" w:type="dxa"/>
            <w:tcBorders>
              <w:top w:val="dotted" w:sz="12" w:space="0" w:color="351C75"/>
              <w:left w:val="dotted" w:sz="12" w:space="0" w:color="351C75"/>
              <w:bottom w:val="dotted" w:sz="12" w:space="0" w:color="351C75"/>
              <w:right w:val="dotted" w:sz="12" w:space="0" w:color="351C75"/>
            </w:tcBorders>
            <w:vAlign w:val="bottom"/>
          </w:tcPr>
          <w:p w14:paraId="310A3613"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The satisfaction rate is 60</w:t>
            </w:r>
            <w:r>
              <w:rPr>
                <w:rFonts w:ascii="Times New Roman" w:eastAsia="Times New Roman" w:hAnsi="Times New Roman" w:cs="Times New Roman"/>
                <w:b/>
                <w:color w:val="000000"/>
                <w:sz w:val="24"/>
                <w:szCs w:val="24"/>
              </w:rPr>
              <w:t xml:space="preserve">% </w:t>
            </w:r>
          </w:p>
        </w:tc>
        <w:tc>
          <w:tcPr>
            <w:tcW w:w="1170" w:type="dxa"/>
            <w:tcBorders>
              <w:top w:val="dotted" w:sz="12" w:space="0" w:color="351C75"/>
              <w:left w:val="dotted" w:sz="12" w:space="0" w:color="351C75"/>
              <w:bottom w:val="dotted" w:sz="12" w:space="0" w:color="351C75"/>
              <w:right w:val="dotted" w:sz="12" w:space="0" w:color="351C75"/>
            </w:tcBorders>
            <w:vAlign w:val="bottom"/>
          </w:tcPr>
          <w:p w14:paraId="6FC948DF"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70% I</w:t>
            </w:r>
            <w:r>
              <w:rPr>
                <w:rFonts w:ascii="Times New Roman" w:eastAsia="Times New Roman" w:hAnsi="Times New Roman" w:cs="Times New Roman"/>
                <w:b/>
                <w:color w:val="000000"/>
                <w:sz w:val="24"/>
                <w:szCs w:val="24"/>
              </w:rPr>
              <w:t xml:space="preserve">ndustry </w:t>
            </w:r>
            <w:r>
              <w:rPr>
                <w:rFonts w:ascii="Times New Roman" w:eastAsia="Times New Roman" w:hAnsi="Times New Roman" w:cs="Times New Roman"/>
                <w:b/>
                <w:sz w:val="24"/>
                <w:szCs w:val="24"/>
              </w:rPr>
              <w:t>A</w:t>
            </w:r>
            <w:r>
              <w:rPr>
                <w:rFonts w:ascii="Times New Roman" w:eastAsia="Times New Roman" w:hAnsi="Times New Roman" w:cs="Times New Roman"/>
                <w:b/>
                <w:color w:val="000000"/>
                <w:sz w:val="24"/>
                <w:szCs w:val="24"/>
              </w:rPr>
              <w:t xml:space="preserve">verage </w:t>
            </w:r>
          </w:p>
        </w:tc>
        <w:tc>
          <w:tcPr>
            <w:tcW w:w="2640" w:type="dxa"/>
            <w:tcBorders>
              <w:top w:val="dotted" w:sz="12" w:space="0" w:color="351C75"/>
              <w:left w:val="dotted" w:sz="12" w:space="0" w:color="351C75"/>
              <w:bottom w:val="dotted" w:sz="12" w:space="0" w:color="351C75"/>
              <w:right w:val="dotted" w:sz="12" w:space="0" w:color="351C75"/>
            </w:tcBorders>
            <w:vAlign w:val="bottom"/>
          </w:tcPr>
          <w:p w14:paraId="17FD8847"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sz w:val="24"/>
                <w:szCs w:val="24"/>
              </w:rPr>
              <w:t>Learn what causes the gap. Examine alternative strategies</w:t>
            </w:r>
          </w:p>
          <w:p w14:paraId="7461C99B" w14:textId="77777777" w:rsidR="005A7502" w:rsidRDefault="005A7502">
            <w:pPr>
              <w:spacing w:after="0" w:line="360" w:lineRule="auto"/>
              <w:jc w:val="center"/>
              <w:rPr>
                <w:rFonts w:ascii="Times New Roman" w:eastAsia="Times New Roman" w:hAnsi="Times New Roman" w:cs="Times New Roman"/>
                <w:b/>
                <w:sz w:val="24"/>
                <w:szCs w:val="24"/>
              </w:rPr>
            </w:pPr>
          </w:p>
        </w:tc>
        <w:tc>
          <w:tcPr>
            <w:tcW w:w="2415" w:type="dxa"/>
            <w:tcBorders>
              <w:top w:val="dotted" w:sz="12" w:space="0" w:color="351C75"/>
              <w:left w:val="dotted" w:sz="12" w:space="0" w:color="351C75"/>
              <w:bottom w:val="dotted" w:sz="12" w:space="0" w:color="351C75"/>
              <w:right w:val="dotted" w:sz="12" w:space="0" w:color="351C75"/>
            </w:tcBorders>
            <w:vAlign w:val="bottom"/>
          </w:tcPr>
          <w:p w14:paraId="668039E4"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sz w:val="24"/>
                <w:szCs w:val="24"/>
              </w:rPr>
              <w:t>Train customer service better. Update menu regularly with feedback.</w:t>
            </w:r>
          </w:p>
          <w:p w14:paraId="6039BFF6" w14:textId="77777777" w:rsidR="005A7502" w:rsidRDefault="005A7502">
            <w:pPr>
              <w:spacing w:after="0" w:line="360" w:lineRule="auto"/>
              <w:jc w:val="center"/>
              <w:rPr>
                <w:rFonts w:ascii="Times New Roman" w:eastAsia="Times New Roman" w:hAnsi="Times New Roman" w:cs="Times New Roman"/>
                <w:b/>
                <w:sz w:val="24"/>
                <w:szCs w:val="24"/>
              </w:rPr>
            </w:pPr>
          </w:p>
        </w:tc>
      </w:tr>
      <w:tr w:rsidR="00AF10DB" w14:paraId="3F553A65" w14:textId="77777777">
        <w:tc>
          <w:tcPr>
            <w:tcW w:w="1950" w:type="dxa"/>
            <w:tcBorders>
              <w:top w:val="dotted" w:sz="12" w:space="0" w:color="351C75"/>
              <w:left w:val="dotted" w:sz="12" w:space="0" w:color="351C75"/>
              <w:bottom w:val="dotted" w:sz="12" w:space="0" w:color="351C75"/>
              <w:right w:val="dotted" w:sz="12" w:space="0" w:color="351C75"/>
            </w:tcBorders>
            <w:vAlign w:val="bottom"/>
          </w:tcPr>
          <w:p w14:paraId="0DEA51F4"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Operational </w:t>
            </w:r>
            <w:r>
              <w:rPr>
                <w:rFonts w:ascii="Times New Roman" w:eastAsia="Times New Roman" w:hAnsi="Times New Roman" w:cs="Times New Roman"/>
                <w:b/>
                <w:sz w:val="24"/>
                <w:szCs w:val="24"/>
              </w:rPr>
              <w:t>process</w:t>
            </w:r>
          </w:p>
        </w:tc>
        <w:tc>
          <w:tcPr>
            <w:tcW w:w="1500" w:type="dxa"/>
            <w:tcBorders>
              <w:top w:val="dotted" w:sz="12" w:space="0" w:color="351C75"/>
              <w:left w:val="dotted" w:sz="12" w:space="0" w:color="351C75"/>
              <w:bottom w:val="dotted" w:sz="12" w:space="0" w:color="351C75"/>
              <w:right w:val="dotted" w:sz="12" w:space="0" w:color="351C75"/>
            </w:tcBorders>
            <w:vAlign w:val="bottom"/>
          </w:tcPr>
          <w:p w14:paraId="7156C4F8"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P</w:t>
            </w:r>
            <w:r>
              <w:rPr>
                <w:rFonts w:ascii="Times New Roman" w:eastAsia="Times New Roman" w:hAnsi="Times New Roman" w:cs="Times New Roman"/>
                <w:b/>
                <w:color w:val="000000"/>
                <w:sz w:val="24"/>
                <w:szCs w:val="24"/>
              </w:rPr>
              <w:t>er hour 5 order</w:t>
            </w:r>
          </w:p>
        </w:tc>
        <w:tc>
          <w:tcPr>
            <w:tcW w:w="1170" w:type="dxa"/>
            <w:tcBorders>
              <w:top w:val="dotted" w:sz="12" w:space="0" w:color="351C75"/>
              <w:left w:val="dotted" w:sz="12" w:space="0" w:color="351C75"/>
              <w:bottom w:val="dotted" w:sz="12" w:space="0" w:color="351C75"/>
              <w:right w:val="dotted" w:sz="12" w:space="0" w:color="351C75"/>
            </w:tcBorders>
            <w:vAlign w:val="bottom"/>
          </w:tcPr>
          <w:p w14:paraId="28CF5B4D"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Nine orders per hour industry average</w:t>
            </w:r>
          </w:p>
          <w:p w14:paraId="35EE6088" w14:textId="77777777" w:rsidR="005A7502" w:rsidRDefault="005A7502">
            <w:pPr>
              <w:spacing w:after="0" w:line="360" w:lineRule="auto"/>
              <w:jc w:val="center"/>
              <w:rPr>
                <w:rFonts w:ascii="Times New Roman" w:eastAsia="Times New Roman" w:hAnsi="Times New Roman" w:cs="Times New Roman"/>
                <w:b/>
                <w:sz w:val="24"/>
                <w:szCs w:val="24"/>
              </w:rPr>
            </w:pPr>
          </w:p>
        </w:tc>
        <w:tc>
          <w:tcPr>
            <w:tcW w:w="2640" w:type="dxa"/>
            <w:tcBorders>
              <w:top w:val="dotted" w:sz="12" w:space="0" w:color="351C75"/>
              <w:left w:val="dotted" w:sz="12" w:space="0" w:color="351C75"/>
              <w:bottom w:val="dotted" w:sz="12" w:space="0" w:color="351C75"/>
              <w:right w:val="dotted" w:sz="12" w:space="0" w:color="351C75"/>
            </w:tcBorders>
            <w:vAlign w:val="bottom"/>
          </w:tcPr>
          <w:p w14:paraId="14FA06CB"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 operational bottlenecks. Study competitors' best practices</w:t>
            </w:r>
          </w:p>
          <w:p w14:paraId="56E354DD" w14:textId="77777777" w:rsidR="005A7502" w:rsidRDefault="005A7502">
            <w:pPr>
              <w:spacing w:after="0" w:line="360" w:lineRule="auto"/>
              <w:jc w:val="center"/>
              <w:rPr>
                <w:rFonts w:ascii="Times New Roman" w:eastAsia="Times New Roman" w:hAnsi="Times New Roman" w:cs="Times New Roman"/>
                <w:b/>
                <w:sz w:val="24"/>
                <w:szCs w:val="24"/>
              </w:rPr>
            </w:pPr>
          </w:p>
        </w:tc>
        <w:tc>
          <w:tcPr>
            <w:tcW w:w="2415" w:type="dxa"/>
            <w:tcBorders>
              <w:top w:val="dotted" w:sz="12" w:space="0" w:color="351C75"/>
              <w:left w:val="dotted" w:sz="12" w:space="0" w:color="351C75"/>
              <w:bottom w:val="dotted" w:sz="12" w:space="0" w:color="351C75"/>
              <w:right w:val="dotted" w:sz="12" w:space="0" w:color="351C75"/>
            </w:tcBorders>
            <w:vAlign w:val="bottom"/>
          </w:tcPr>
          <w:p w14:paraId="6A3B882F"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processes. Buy speedier cooking equipment.</w:t>
            </w:r>
          </w:p>
          <w:p w14:paraId="08E4747B" w14:textId="77777777" w:rsidR="005A7502" w:rsidRDefault="005A7502">
            <w:pPr>
              <w:spacing w:after="0" w:line="360" w:lineRule="auto"/>
              <w:jc w:val="center"/>
              <w:rPr>
                <w:rFonts w:ascii="Times New Roman" w:eastAsia="Times New Roman" w:hAnsi="Times New Roman" w:cs="Times New Roman"/>
                <w:b/>
                <w:sz w:val="24"/>
                <w:szCs w:val="24"/>
              </w:rPr>
            </w:pPr>
          </w:p>
        </w:tc>
      </w:tr>
      <w:tr w:rsidR="00AF10DB" w14:paraId="56055C9F" w14:textId="77777777">
        <w:tc>
          <w:tcPr>
            <w:tcW w:w="1950" w:type="dxa"/>
            <w:tcBorders>
              <w:top w:val="dotted" w:sz="12" w:space="0" w:color="351C75"/>
              <w:left w:val="dotted" w:sz="12" w:space="0" w:color="351C75"/>
              <w:bottom w:val="dotted" w:sz="12" w:space="0" w:color="351C75"/>
              <w:right w:val="dotted" w:sz="12" w:space="0" w:color="351C75"/>
            </w:tcBorders>
            <w:vAlign w:val="bottom"/>
          </w:tcPr>
          <w:p w14:paraId="43AE18DF"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Employee Turnover</w:t>
            </w:r>
          </w:p>
        </w:tc>
        <w:tc>
          <w:tcPr>
            <w:tcW w:w="1500" w:type="dxa"/>
            <w:tcBorders>
              <w:top w:val="dotted" w:sz="12" w:space="0" w:color="351C75"/>
              <w:left w:val="dotted" w:sz="12" w:space="0" w:color="351C75"/>
              <w:bottom w:val="dotted" w:sz="12" w:space="0" w:color="351C75"/>
              <w:right w:val="dotted" w:sz="12" w:space="0" w:color="351C75"/>
            </w:tcBorders>
            <w:vAlign w:val="bottom"/>
          </w:tcPr>
          <w:p w14:paraId="08FCF73C"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A</w:t>
            </w:r>
            <w:r>
              <w:rPr>
                <w:rFonts w:ascii="Times New Roman" w:eastAsia="Times New Roman" w:hAnsi="Times New Roman" w:cs="Times New Roman"/>
                <w:b/>
                <w:color w:val="000000"/>
                <w:sz w:val="24"/>
                <w:szCs w:val="24"/>
              </w:rPr>
              <w:t xml:space="preserve">nnual turnover </w:t>
            </w:r>
            <w:r>
              <w:rPr>
                <w:rFonts w:ascii="Times New Roman" w:eastAsia="Times New Roman" w:hAnsi="Times New Roman" w:cs="Times New Roman"/>
                <w:b/>
                <w:sz w:val="24"/>
                <w:szCs w:val="24"/>
              </w:rPr>
              <w:t xml:space="preserve">10% </w:t>
            </w:r>
          </w:p>
        </w:tc>
        <w:tc>
          <w:tcPr>
            <w:tcW w:w="1170" w:type="dxa"/>
            <w:tcBorders>
              <w:top w:val="dotted" w:sz="12" w:space="0" w:color="351C75"/>
              <w:left w:val="dotted" w:sz="12" w:space="0" w:color="351C75"/>
              <w:bottom w:val="dotted" w:sz="12" w:space="0" w:color="351C75"/>
              <w:right w:val="dotted" w:sz="12" w:space="0" w:color="351C75"/>
            </w:tcBorders>
            <w:vAlign w:val="bottom"/>
          </w:tcPr>
          <w:p w14:paraId="6BA57290" w14:textId="77777777" w:rsidR="005A7502" w:rsidRDefault="00000000">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 xml:space="preserve">20% </w:t>
            </w:r>
            <w:r>
              <w:rPr>
                <w:rFonts w:ascii="Times New Roman" w:eastAsia="Times New Roman" w:hAnsi="Times New Roman" w:cs="Times New Roman"/>
                <w:b/>
                <w:color w:val="000000"/>
                <w:sz w:val="24"/>
                <w:szCs w:val="24"/>
              </w:rPr>
              <w:t xml:space="preserve">Industry average </w:t>
            </w:r>
          </w:p>
        </w:tc>
        <w:tc>
          <w:tcPr>
            <w:tcW w:w="2640" w:type="dxa"/>
            <w:tcBorders>
              <w:top w:val="dotted" w:sz="12" w:space="0" w:color="351C75"/>
              <w:left w:val="dotted" w:sz="12" w:space="0" w:color="351C75"/>
              <w:bottom w:val="dotted" w:sz="12" w:space="0" w:color="351C75"/>
              <w:right w:val="dotted" w:sz="12" w:space="0" w:color="351C75"/>
            </w:tcBorders>
            <w:vAlign w:val="bottom"/>
          </w:tcPr>
          <w:p w14:paraId="4529003D"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Examine greater turnover causes. Comparison to industry standards</w:t>
            </w:r>
          </w:p>
          <w:p w14:paraId="50FAFCCD" w14:textId="77777777" w:rsidR="005A7502" w:rsidRDefault="005A7502">
            <w:pPr>
              <w:spacing w:after="0" w:line="360" w:lineRule="auto"/>
              <w:jc w:val="center"/>
              <w:rPr>
                <w:rFonts w:ascii="Times New Roman" w:eastAsia="Times New Roman" w:hAnsi="Times New Roman" w:cs="Times New Roman"/>
                <w:b/>
                <w:sz w:val="24"/>
                <w:szCs w:val="24"/>
              </w:rPr>
            </w:pPr>
          </w:p>
        </w:tc>
        <w:tc>
          <w:tcPr>
            <w:tcW w:w="2415" w:type="dxa"/>
            <w:tcBorders>
              <w:top w:val="dotted" w:sz="12" w:space="0" w:color="351C75"/>
              <w:left w:val="dotted" w:sz="12" w:space="0" w:color="351C75"/>
              <w:bottom w:val="dotted" w:sz="12" w:space="0" w:color="351C75"/>
              <w:right w:val="dotted" w:sz="12" w:space="0" w:color="351C75"/>
            </w:tcBorders>
            <w:vAlign w:val="bottom"/>
          </w:tcPr>
          <w:p w14:paraId="47C119BE" w14:textId="77777777" w:rsidR="005A7502" w:rsidRDefault="00000000">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 employee engagement. Give competitive advantages and growth prospects.</w:t>
            </w:r>
          </w:p>
        </w:tc>
      </w:tr>
    </w:tbl>
    <w:p w14:paraId="26BF2E5C" w14:textId="77777777" w:rsidR="005A7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(Created by Learner)</w:t>
      </w:r>
    </w:p>
    <w:p w14:paraId="0F6236CC" w14:textId="77777777" w:rsidR="005A7502" w:rsidRDefault="005A7502">
      <w:pPr>
        <w:pStyle w:val="Heading1"/>
      </w:pPr>
      <w:bookmarkStart w:id="24" w:name="_hhtrr9n8xoah" w:colFirst="0" w:colLast="0"/>
      <w:bookmarkEnd w:id="24"/>
    </w:p>
    <w:p w14:paraId="45DCEC80" w14:textId="77777777" w:rsidR="005A7502" w:rsidRDefault="00000000">
      <w:pPr>
        <w:pStyle w:val="Heading1"/>
      </w:pPr>
      <w:bookmarkStart w:id="25" w:name="_rop6r5n2kw0l" w:colFirst="0" w:colLast="0"/>
      <w:bookmarkEnd w:id="25"/>
      <w:r>
        <w:t>Conclusion</w:t>
      </w:r>
    </w:p>
    <w:p w14:paraId="4769D3C6"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restaurant in London, "Delicious," has finally shared its plan for staying successful. By combining theoretical frameworks with real-world examples, new and useful methods have been created.</w:t>
      </w:r>
    </w:p>
    <w:p w14:paraId="41EE34A3"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"Delicious" kept its status as a great restaurant while adding more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options. To cut costs and speed up processes, many tools can be used, such as SWOT and PESTLE analysis, internal</w:t>
      </w:r>
      <w:r w:rsidR="00162BCD">
        <w:rPr>
          <w:rFonts w:ascii="Times New Roman" w:eastAsia="Times New Roman" w:hAnsi="Times New Roman" w:cs="Times New Roman"/>
          <w:sz w:val="24"/>
          <w:szCs w:val="24"/>
        </w:rPr>
        <w:t xml:space="preserve"> and external checks, and more</w:t>
      </w:r>
      <w:r>
        <w:rPr>
          <w:rFonts w:ascii="Times New Roman" w:eastAsia="Times New Roman" w:hAnsi="Times New Roman" w:cs="Times New Roman"/>
          <w:sz w:val="24"/>
          <w:szCs w:val="24"/>
        </w:rPr>
        <w:t>. Before choosing a plan for product development and launch, it was important to think about what was right, what was possible, and what was acceptable. Now that it's over with, maybe everyone can make a smart choice. This method tries to come up with new ideas by using what the market already has to offer. To make sure these project</w:t>
      </w:r>
      <w:r w:rsidR="00162BCD">
        <w:rPr>
          <w:rFonts w:ascii="Times New Roman" w:eastAsia="Times New Roman" w:hAnsi="Times New Roman" w:cs="Times New Roman"/>
          <w:sz w:val="24"/>
          <w:szCs w:val="24"/>
        </w:rPr>
        <w:t>s succeed, it</w:t>
      </w:r>
      <w:r>
        <w:rPr>
          <w:rFonts w:ascii="Times New Roman" w:eastAsia="Times New Roman" w:hAnsi="Times New Roman" w:cs="Times New Roman"/>
          <w:sz w:val="24"/>
          <w:szCs w:val="24"/>
        </w:rPr>
        <w:t xml:space="preserve"> should make a detaile</w:t>
      </w:r>
      <w:r w:rsidR="00162BCD">
        <w:rPr>
          <w:rFonts w:ascii="Times New Roman" w:eastAsia="Times New Roman" w:hAnsi="Times New Roman" w:cs="Times New Roman"/>
          <w:sz w:val="24"/>
          <w:szCs w:val="24"/>
        </w:rPr>
        <w:t>d plan that includes all of the</w:t>
      </w:r>
      <w:r>
        <w:rPr>
          <w:rFonts w:ascii="Times New Roman" w:eastAsia="Times New Roman" w:hAnsi="Times New Roman" w:cs="Times New Roman"/>
          <w:sz w:val="24"/>
          <w:szCs w:val="24"/>
        </w:rPr>
        <w:t xml:space="preserve"> tasks, due dates, and available resources. This is a good alternative if we want to get these things done. By using risk management and change management methods, "Delicious" shows that it is ready to deal with any problem that may come up during the transition.</w:t>
      </w:r>
    </w:p>
    <w:p w14:paraId="6A6625A8" w14:textId="77777777" w:rsidR="005A750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it moves very slowly, "Delicious" is full of fire and drive. This gets the business ready for future growth and makes the product better at the same time. Using this approach, "Delicious" can get more customers, grow its </w:t>
      </w:r>
      <w:proofErr w:type="gramStart"/>
      <w:r>
        <w:rPr>
          <w:rFonts w:ascii="Times New Roman" w:eastAsia="Times New Roman" w:hAnsi="Times New Roman" w:cs="Times New Roman"/>
          <w:sz w:val="24"/>
          <w:szCs w:val="24"/>
        </w:rPr>
        <w:t>fast food</w:t>
      </w:r>
      <w:proofErr w:type="gramEnd"/>
      <w:r>
        <w:rPr>
          <w:rFonts w:ascii="Times New Roman" w:eastAsia="Times New Roman" w:hAnsi="Times New Roman" w:cs="Times New Roman"/>
          <w:sz w:val="24"/>
          <w:szCs w:val="24"/>
        </w:rPr>
        <w:t xml:space="preserve"> empire, and keep being the market leader. Customer service and being eco-friendly will be very important to the company's growth and change in the future.</w:t>
      </w:r>
    </w:p>
    <w:p w14:paraId="6BBF9311" w14:textId="77777777" w:rsidR="005A7502" w:rsidRDefault="005A7502">
      <w:pPr>
        <w:spacing w:line="360" w:lineRule="auto"/>
        <w:jc w:val="both"/>
        <w:rPr>
          <w:rFonts w:ascii="Times New Roman" w:eastAsia="Times New Roman" w:hAnsi="Times New Roman" w:cs="Times New Roman"/>
          <w:sz w:val="24"/>
          <w:szCs w:val="24"/>
        </w:rPr>
      </w:pPr>
    </w:p>
    <w:p w14:paraId="2F79E8BD" w14:textId="77777777" w:rsidR="005A7502" w:rsidRDefault="005A7502">
      <w:pPr>
        <w:spacing w:line="360" w:lineRule="auto"/>
        <w:jc w:val="both"/>
        <w:rPr>
          <w:rFonts w:ascii="Times New Roman" w:eastAsia="Times New Roman" w:hAnsi="Times New Roman" w:cs="Times New Roman"/>
          <w:sz w:val="24"/>
          <w:szCs w:val="24"/>
        </w:rPr>
      </w:pPr>
    </w:p>
    <w:p w14:paraId="72E27459" w14:textId="77777777" w:rsidR="005A7502" w:rsidRDefault="005A7502">
      <w:pPr>
        <w:spacing w:line="360" w:lineRule="auto"/>
        <w:jc w:val="both"/>
        <w:rPr>
          <w:rFonts w:ascii="Times New Roman" w:eastAsia="Times New Roman" w:hAnsi="Times New Roman" w:cs="Times New Roman"/>
          <w:sz w:val="24"/>
          <w:szCs w:val="24"/>
        </w:rPr>
      </w:pPr>
    </w:p>
    <w:p w14:paraId="7496646D" w14:textId="77777777" w:rsidR="005A7502" w:rsidRDefault="005A7502">
      <w:pPr>
        <w:spacing w:line="360" w:lineRule="auto"/>
        <w:jc w:val="both"/>
        <w:rPr>
          <w:rFonts w:ascii="Times New Roman" w:eastAsia="Times New Roman" w:hAnsi="Times New Roman" w:cs="Times New Roman"/>
          <w:sz w:val="24"/>
          <w:szCs w:val="24"/>
        </w:rPr>
      </w:pPr>
    </w:p>
    <w:p w14:paraId="4897B198" w14:textId="77777777" w:rsidR="005A7502" w:rsidRDefault="00000000">
      <w:pPr>
        <w:pStyle w:val="Heading1"/>
      </w:pPr>
      <w:bookmarkStart w:id="26" w:name="_v3mgqjic3cxa" w:colFirst="0" w:colLast="0"/>
      <w:bookmarkEnd w:id="26"/>
      <w:r>
        <w:br w:type="page"/>
      </w:r>
    </w:p>
    <w:p w14:paraId="7E84E1C4" w14:textId="77777777" w:rsidR="005A7502" w:rsidRDefault="00000000">
      <w:pPr>
        <w:pStyle w:val="Heading1"/>
      </w:pPr>
      <w:bookmarkStart w:id="27" w:name="_gjdgxs" w:colFirst="0" w:colLast="0"/>
      <w:bookmarkEnd w:id="27"/>
      <w:r>
        <w:lastRenderedPageBreak/>
        <w:t>References</w:t>
      </w:r>
    </w:p>
    <w:p w14:paraId="4AD61C55"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Aaker, D.A. and Moorman, C., 2023. Strategic market management. John Wiley &amp; Sons.</w:t>
      </w:r>
      <w:hyperlink r:id="rId12" w:anchor="v=onepage&amp;q=Strategic%20Management&amp;f=false">
        <w:r>
          <w:rPr>
            <w:rFonts w:ascii="Times New Roman" w:eastAsia="Times New Roman" w:hAnsi="Times New Roman" w:cs="Times New Roman"/>
            <w:color w:val="1155CC"/>
            <w:sz w:val="24"/>
            <w:szCs w:val="24"/>
            <w:highlight w:val="white"/>
            <w:u w:val="single"/>
          </w:rPr>
          <w:t>https://books.google.co.in/books?hl=en&amp;lr=&amp;id=_TDaEAAAQBAJ&amp;oi=fnd&amp;pg=IA2&amp;dq=Strategic+Management&amp;ots=uEgyBoRfeJ&amp;sig=ODEXlErIZgETwn9sLkmtqpHxDhk&amp;redir_esc=y#v=onepage&amp;q=Strategic%20Management&amp;f=false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1309B3BC"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Afuah</w:t>
      </w:r>
      <w:proofErr w:type="spellEnd"/>
      <w:r>
        <w:rPr>
          <w:rFonts w:ascii="Times New Roman" w:eastAsia="Times New Roman" w:hAnsi="Times New Roman" w:cs="Times New Roman"/>
          <w:color w:val="222222"/>
          <w:sz w:val="24"/>
          <w:szCs w:val="24"/>
          <w:highlight w:val="white"/>
        </w:rPr>
        <w:t>, A., 2020. Innovation management-strategies, implementation, and profits.</w:t>
      </w:r>
      <w:hyperlink r:id="rId13">
        <w:r>
          <w:rPr>
            <w:rFonts w:ascii="Times New Roman" w:eastAsia="Times New Roman" w:hAnsi="Times New Roman" w:cs="Times New Roman"/>
            <w:color w:val="1155CC"/>
            <w:sz w:val="24"/>
            <w:szCs w:val="24"/>
            <w:highlight w:val="white"/>
            <w:u w:val="single"/>
          </w:rPr>
          <w:t>http://elibrary.gci.edu.np/bitstream/123456789/674/1/BM-722%20Innovation%20manaement%20strategies%2C%20implementation%20and%20profits%20by%20Afuah%2C%20Allan.pdf</w:t>
        </w:r>
      </w:hyperlink>
      <w:r>
        <w:rPr>
          <w:rFonts w:ascii="Times New Roman" w:eastAsia="Times New Roman" w:hAnsi="Times New Roman" w:cs="Times New Roman"/>
          <w:color w:val="222222"/>
          <w:sz w:val="24"/>
          <w:szCs w:val="24"/>
          <w:highlight w:val="white"/>
        </w:rPr>
        <w:t xml:space="preserve"> </w:t>
      </w:r>
    </w:p>
    <w:p w14:paraId="7640F861"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Aguiar, N., Gupta, V. and Khargonekar, P.P., 2019. A real options market-based approach to increase penetration of renewables. </w:t>
      </w:r>
      <w:r>
        <w:rPr>
          <w:rFonts w:ascii="Times New Roman" w:eastAsia="Times New Roman" w:hAnsi="Times New Roman" w:cs="Times New Roman"/>
          <w:i/>
          <w:color w:val="222222"/>
          <w:sz w:val="24"/>
          <w:szCs w:val="24"/>
          <w:highlight w:val="white"/>
        </w:rPr>
        <w:t>IEEE Transactions on Smart Grid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 pp.1691-1701.</w:t>
      </w:r>
      <w:hyperlink r:id="rId14">
        <w:r>
          <w:rPr>
            <w:rFonts w:ascii="Times New Roman" w:eastAsia="Times New Roman" w:hAnsi="Times New Roman" w:cs="Times New Roman"/>
            <w:color w:val="1155CC"/>
            <w:sz w:val="24"/>
            <w:szCs w:val="24"/>
            <w:highlight w:val="white"/>
            <w:u w:val="single"/>
          </w:rPr>
          <w:t>https://ieeexplore.ieee.org/abstract/document/8843928/</w:t>
        </w:r>
      </w:hyperlink>
      <w:r>
        <w:rPr>
          <w:rFonts w:ascii="Times New Roman" w:eastAsia="Times New Roman" w:hAnsi="Times New Roman" w:cs="Times New Roman"/>
          <w:color w:val="222222"/>
          <w:sz w:val="24"/>
          <w:szCs w:val="24"/>
          <w:highlight w:val="white"/>
        </w:rPr>
        <w:t xml:space="preserve"> </w:t>
      </w:r>
    </w:p>
    <w:p w14:paraId="35858D36"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Annosi</w:t>
      </w:r>
      <w:proofErr w:type="spellEnd"/>
      <w:r>
        <w:rPr>
          <w:rFonts w:ascii="Times New Roman" w:eastAsia="Times New Roman" w:hAnsi="Times New Roman" w:cs="Times New Roman"/>
          <w:color w:val="222222"/>
          <w:sz w:val="24"/>
          <w:szCs w:val="24"/>
          <w:highlight w:val="white"/>
        </w:rPr>
        <w:t xml:space="preserve">, M.C., Brunetta, F., Bimbo, F. and </w:t>
      </w:r>
      <w:proofErr w:type="spellStart"/>
      <w:r>
        <w:rPr>
          <w:rFonts w:ascii="Times New Roman" w:eastAsia="Times New Roman" w:hAnsi="Times New Roman" w:cs="Times New Roman"/>
          <w:color w:val="222222"/>
          <w:sz w:val="24"/>
          <w:szCs w:val="24"/>
          <w:highlight w:val="white"/>
        </w:rPr>
        <w:t>Kostoula</w:t>
      </w:r>
      <w:proofErr w:type="spellEnd"/>
      <w:r>
        <w:rPr>
          <w:rFonts w:ascii="Times New Roman" w:eastAsia="Times New Roman" w:hAnsi="Times New Roman" w:cs="Times New Roman"/>
          <w:color w:val="222222"/>
          <w:sz w:val="24"/>
          <w:szCs w:val="24"/>
          <w:highlight w:val="white"/>
        </w:rPr>
        <w:t xml:space="preserve">, M., 2021. Digitalization within food supply chains to prevent food waste. Drivers, barriers and collaboration practices. </w:t>
      </w:r>
      <w:r>
        <w:rPr>
          <w:rFonts w:ascii="Times New Roman" w:eastAsia="Times New Roman" w:hAnsi="Times New Roman" w:cs="Times New Roman"/>
          <w:i/>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93</w:t>
      </w:r>
      <w:r>
        <w:rPr>
          <w:rFonts w:ascii="Times New Roman" w:eastAsia="Times New Roman" w:hAnsi="Times New Roman" w:cs="Times New Roman"/>
          <w:color w:val="222222"/>
          <w:sz w:val="24"/>
          <w:szCs w:val="24"/>
          <w:highlight w:val="white"/>
        </w:rPr>
        <w:t>, pp.208-220.</w:t>
      </w:r>
      <w:hyperlink r:id="rId15">
        <w:r>
          <w:rPr>
            <w:rFonts w:ascii="Times New Roman" w:eastAsia="Times New Roman" w:hAnsi="Times New Roman" w:cs="Times New Roman"/>
            <w:color w:val="1155CC"/>
            <w:sz w:val="24"/>
            <w:szCs w:val="24"/>
            <w:highlight w:val="white"/>
            <w:u w:val="single"/>
          </w:rPr>
          <w:t>https://www.sciencedirect.com/science/article/abs/pii/S0019850121000055</w:t>
        </w:r>
      </w:hyperlink>
      <w:r>
        <w:rPr>
          <w:rFonts w:ascii="Times New Roman" w:eastAsia="Times New Roman" w:hAnsi="Times New Roman" w:cs="Times New Roman"/>
          <w:color w:val="222222"/>
          <w:sz w:val="24"/>
          <w:szCs w:val="24"/>
          <w:highlight w:val="white"/>
        </w:rPr>
        <w:t xml:space="preserve"> </w:t>
      </w:r>
    </w:p>
    <w:p w14:paraId="5F8720B7"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Ansoff, H.I., Kipley, D., Lewis, A.O., Helm-Stevens, R. and Ansoff, R., 2018. Implanting strategic management. Springer.</w:t>
      </w:r>
      <w:hyperlink r:id="rId16" w:anchor="v=onepage&amp;q=Strategic%20Management&amp;f=false">
        <w:r>
          <w:rPr>
            <w:rFonts w:ascii="Times New Roman" w:eastAsia="Times New Roman" w:hAnsi="Times New Roman" w:cs="Times New Roman"/>
            <w:color w:val="1155CC"/>
            <w:sz w:val="24"/>
            <w:szCs w:val="24"/>
            <w:highlight w:val="white"/>
            <w:u w:val="single"/>
          </w:rPr>
          <w:t>https://books.google.co.in/books?hl=en&amp;lr=&amp;id=YSt1DwAAQBAJ&amp;oi=fnd&amp;pg=PR9&amp;dq=Strategic+Management&amp;ots=qUHvcww1py&amp;sig=ShPugFvQ7RGTM8AV45fyu3NzqFg&amp;redir_esc=y#v=onepage&amp;q=Strategic%20Management&amp;f=false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5DFEECFD"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Barney, J.B. and Hesterly, W.S., 2019. </w:t>
      </w:r>
      <w:r>
        <w:rPr>
          <w:rFonts w:ascii="Times New Roman" w:eastAsia="Times New Roman" w:hAnsi="Times New Roman" w:cs="Times New Roman"/>
          <w:i/>
          <w:color w:val="222222"/>
          <w:sz w:val="24"/>
          <w:szCs w:val="24"/>
          <w:highlight w:val="white"/>
        </w:rPr>
        <w:t>Strategic management and competitive advantage: Concepts and cases</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Pearson.</w:t>
      </w:r>
      <w:hyperlink r:id="rId17">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://thuvienso.hoasen.edu.vn/handle/123456789/12806</w:t>
        </w:r>
      </w:hyperlink>
      <w:r>
        <w:rPr>
          <w:rFonts w:ascii="Times New Roman" w:eastAsia="Times New Roman" w:hAnsi="Times New Roman" w:cs="Times New Roman"/>
          <w:color w:val="222222"/>
          <w:sz w:val="24"/>
          <w:szCs w:val="24"/>
          <w:highlight w:val="white"/>
        </w:rPr>
        <w:t xml:space="preserve"> </w:t>
      </w:r>
    </w:p>
    <w:p w14:paraId="17D67DF4"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Bogers, M., Chesbrough, H., Heaton, S. and Teece, D.J., 2019. Strategic management of open innovation: A dynamic capabilities perspective. California Management Review, 62(1), pp.77-94.</w:t>
      </w:r>
      <w:hyperlink r:id="rId18">
        <w:r>
          <w:rPr>
            <w:rFonts w:ascii="Times New Roman" w:eastAsia="Times New Roman" w:hAnsi="Times New Roman" w:cs="Times New Roman"/>
            <w:color w:val="1155CC"/>
            <w:sz w:val="24"/>
            <w:szCs w:val="24"/>
            <w:highlight w:val="white"/>
            <w:u w:val="single"/>
          </w:rPr>
          <w:t>https://journals.sagepub.com/doi/pdf/10.1177/0008125619885150</w:t>
        </w:r>
      </w:hyperlink>
      <w:r>
        <w:rPr>
          <w:rFonts w:ascii="Times New Roman" w:eastAsia="Times New Roman" w:hAnsi="Times New Roman" w:cs="Times New Roman"/>
          <w:color w:val="222222"/>
          <w:sz w:val="24"/>
          <w:szCs w:val="24"/>
          <w:highlight w:val="white"/>
        </w:rPr>
        <w:t xml:space="preserve"> </w:t>
      </w:r>
    </w:p>
    <w:p w14:paraId="1AAABD87"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Boon, C., Eckardt, R., Lepak, D.P. and </w:t>
      </w:r>
      <w:proofErr w:type="spellStart"/>
      <w:r>
        <w:rPr>
          <w:rFonts w:ascii="Times New Roman" w:eastAsia="Times New Roman" w:hAnsi="Times New Roman" w:cs="Times New Roman"/>
          <w:color w:val="222222"/>
          <w:sz w:val="24"/>
          <w:szCs w:val="24"/>
          <w:highlight w:val="white"/>
        </w:rPr>
        <w:t>Boselie</w:t>
      </w:r>
      <w:proofErr w:type="spellEnd"/>
      <w:r>
        <w:rPr>
          <w:rFonts w:ascii="Times New Roman" w:eastAsia="Times New Roman" w:hAnsi="Times New Roman" w:cs="Times New Roman"/>
          <w:color w:val="222222"/>
          <w:sz w:val="24"/>
          <w:szCs w:val="24"/>
          <w:highlight w:val="white"/>
        </w:rPr>
        <w:t>, P., 2018. Integrating strategic human capital and strategic human resource management. The International Journal of Human Resource Management, 29(1), pp.34-67.</w:t>
      </w:r>
      <w:hyperlink r:id="rId19">
        <w:r>
          <w:rPr>
            <w:rFonts w:ascii="Times New Roman" w:eastAsia="Times New Roman" w:hAnsi="Times New Roman" w:cs="Times New Roman"/>
            <w:color w:val="1155CC"/>
            <w:sz w:val="24"/>
            <w:szCs w:val="24"/>
            <w:highlight w:val="white"/>
            <w:u w:val="single"/>
          </w:rPr>
          <w:t>https://www.tandfonline.com/doi/pdf/10.1080/09585192.2017.1380063</w:t>
        </w:r>
      </w:hyperlink>
      <w:r>
        <w:rPr>
          <w:rFonts w:ascii="Times New Roman" w:eastAsia="Times New Roman" w:hAnsi="Times New Roman" w:cs="Times New Roman"/>
          <w:color w:val="222222"/>
          <w:sz w:val="24"/>
          <w:szCs w:val="24"/>
          <w:highlight w:val="white"/>
        </w:rPr>
        <w:t xml:space="preserve"> </w:t>
      </w:r>
    </w:p>
    <w:p w14:paraId="2335AD40"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Breier, M., </w:t>
      </w:r>
      <w:proofErr w:type="spellStart"/>
      <w:r>
        <w:rPr>
          <w:rFonts w:ascii="Times New Roman" w:eastAsia="Times New Roman" w:hAnsi="Times New Roman" w:cs="Times New Roman"/>
          <w:color w:val="222222"/>
          <w:sz w:val="24"/>
          <w:szCs w:val="24"/>
          <w:highlight w:val="white"/>
        </w:rPr>
        <w:t>Kallmuenzer</w:t>
      </w:r>
      <w:proofErr w:type="spellEnd"/>
      <w:r>
        <w:rPr>
          <w:rFonts w:ascii="Times New Roman" w:eastAsia="Times New Roman" w:hAnsi="Times New Roman" w:cs="Times New Roman"/>
          <w:color w:val="222222"/>
          <w:sz w:val="24"/>
          <w:szCs w:val="24"/>
          <w:highlight w:val="white"/>
        </w:rPr>
        <w:t xml:space="preserve">, A., Clauss, T., Gast, J., Kraus, S. and Tiberius, V., 2021. The role of business model innovation in the hospitality industry during the COVID-19 crisis.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 p.102723.</w:t>
      </w:r>
      <w:hyperlink r:id="rId20">
        <w:r>
          <w:rPr>
            <w:rFonts w:ascii="Times New Roman" w:eastAsia="Times New Roman" w:hAnsi="Times New Roman" w:cs="Times New Roman"/>
            <w:color w:val="1155CC"/>
            <w:sz w:val="24"/>
            <w:szCs w:val="24"/>
            <w:highlight w:val="white"/>
            <w:u w:val="single"/>
          </w:rPr>
          <w:t>https://www.sciencedirect.com/science/article/pii/S0278431920302759</w:t>
        </w:r>
      </w:hyperlink>
      <w:r>
        <w:rPr>
          <w:rFonts w:ascii="Times New Roman" w:eastAsia="Times New Roman" w:hAnsi="Times New Roman" w:cs="Times New Roman"/>
          <w:color w:val="222222"/>
          <w:sz w:val="24"/>
          <w:szCs w:val="24"/>
          <w:highlight w:val="white"/>
        </w:rPr>
        <w:t xml:space="preserve"> </w:t>
      </w:r>
    </w:p>
    <w:p w14:paraId="5D44357B"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Campo, R., Rosato, P. and </w:t>
      </w:r>
      <w:proofErr w:type="spellStart"/>
      <w:r>
        <w:rPr>
          <w:rFonts w:ascii="Times New Roman" w:eastAsia="Times New Roman" w:hAnsi="Times New Roman" w:cs="Times New Roman"/>
          <w:color w:val="222222"/>
          <w:sz w:val="24"/>
          <w:szCs w:val="24"/>
          <w:highlight w:val="white"/>
        </w:rPr>
        <w:t>Giagnacovo</w:t>
      </w:r>
      <w:proofErr w:type="spellEnd"/>
      <w:r>
        <w:rPr>
          <w:rFonts w:ascii="Times New Roman" w:eastAsia="Times New Roman" w:hAnsi="Times New Roman" w:cs="Times New Roman"/>
          <w:color w:val="222222"/>
          <w:sz w:val="24"/>
          <w:szCs w:val="24"/>
          <w:highlight w:val="white"/>
        </w:rPr>
        <w:t xml:space="preserve">, D., 2020. Less salt, same taste: Food marketing strategies via healthier products.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(9), p.3916.</w:t>
      </w:r>
      <w:hyperlink r:id="rId21">
        <w:r>
          <w:rPr>
            <w:rFonts w:ascii="Times New Roman" w:eastAsia="Times New Roman" w:hAnsi="Times New Roman" w:cs="Times New Roman"/>
            <w:color w:val="1155CC"/>
            <w:sz w:val="24"/>
            <w:szCs w:val="24"/>
            <w:highlight w:val="white"/>
            <w:u w:val="single"/>
          </w:rPr>
          <w:t>https://www.mdpi.com/2071-1050/12/9/3916</w:t>
        </w:r>
      </w:hyperlink>
      <w:r>
        <w:rPr>
          <w:rFonts w:ascii="Times New Roman" w:eastAsia="Times New Roman" w:hAnsi="Times New Roman" w:cs="Times New Roman"/>
          <w:color w:val="222222"/>
          <w:sz w:val="24"/>
          <w:szCs w:val="24"/>
          <w:highlight w:val="white"/>
        </w:rPr>
        <w:t xml:space="preserve"> </w:t>
      </w:r>
    </w:p>
    <w:p w14:paraId="1CC4A998"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Chou, S.F., Horng, J.S., Liu, C.H.S. and Lin, J.Y., 2020. Identifying the critical factors of customer behavior: An integration perspective of marketing strategy and components of attitudes.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p.102113.</w:t>
      </w:r>
      <w:hyperlink r:id="rId22">
        <w:r>
          <w:rPr>
            <w:rFonts w:ascii="Times New Roman" w:eastAsia="Times New Roman" w:hAnsi="Times New Roman" w:cs="Times New Roman"/>
            <w:color w:val="1155CC"/>
            <w:sz w:val="24"/>
            <w:szCs w:val="24"/>
            <w:highlight w:val="white"/>
            <w:u w:val="single"/>
          </w:rPr>
          <w:t>https://www.sciencedirect.com/science/article/abs/pii/S0969698919310793</w:t>
        </w:r>
      </w:hyperlink>
      <w:r>
        <w:rPr>
          <w:rFonts w:ascii="Times New Roman" w:eastAsia="Times New Roman" w:hAnsi="Times New Roman" w:cs="Times New Roman"/>
          <w:color w:val="222222"/>
          <w:sz w:val="24"/>
          <w:szCs w:val="24"/>
          <w:highlight w:val="white"/>
        </w:rPr>
        <w:t xml:space="preserve"> </w:t>
      </w:r>
    </w:p>
    <w:p w14:paraId="3FAAF400"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Clegg, S.R., Schweitzer, J., Whittle, A. and </w:t>
      </w:r>
      <w:proofErr w:type="spellStart"/>
      <w:r>
        <w:rPr>
          <w:rFonts w:ascii="Times New Roman" w:eastAsia="Times New Roman" w:hAnsi="Times New Roman" w:cs="Times New Roman"/>
          <w:color w:val="222222"/>
          <w:sz w:val="24"/>
          <w:szCs w:val="24"/>
          <w:highlight w:val="white"/>
        </w:rPr>
        <w:t>Pitelis</w:t>
      </w:r>
      <w:proofErr w:type="spellEnd"/>
      <w:r>
        <w:rPr>
          <w:rFonts w:ascii="Times New Roman" w:eastAsia="Times New Roman" w:hAnsi="Times New Roman" w:cs="Times New Roman"/>
          <w:color w:val="222222"/>
          <w:sz w:val="24"/>
          <w:szCs w:val="24"/>
          <w:highlight w:val="white"/>
        </w:rPr>
        <w:t>, C., 2019. Strategy: theory and practice. Sage.</w:t>
      </w:r>
      <w:hyperlink r:id="rId23">
        <w:r>
          <w:rPr>
            <w:rFonts w:ascii="Times New Roman" w:eastAsia="Times New Roman" w:hAnsi="Times New Roman" w:cs="Times New Roman"/>
            <w:color w:val="1155CC"/>
            <w:sz w:val="24"/>
            <w:szCs w:val="24"/>
            <w:highlight w:val="white"/>
            <w:u w:val="single"/>
          </w:rPr>
          <w:t>https://opus.lib.uts.edu.au/bitstream/10453/77487/1/Strategy%20Theory%20and%20Practice%20second%20edition%202017.pdf</w:t>
        </w:r>
      </w:hyperlink>
      <w:r>
        <w:rPr>
          <w:rFonts w:ascii="Times New Roman" w:eastAsia="Times New Roman" w:hAnsi="Times New Roman" w:cs="Times New Roman"/>
          <w:color w:val="222222"/>
          <w:sz w:val="24"/>
          <w:szCs w:val="24"/>
          <w:highlight w:val="white"/>
        </w:rPr>
        <w:t xml:space="preserve"> </w:t>
      </w:r>
    </w:p>
    <w:p w14:paraId="1C5F7E4B"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Cox, J., 2021. The higher education environment driving academic library strategy: A political, economic, social and technological (PEST) analysis. </w:t>
      </w:r>
      <w:r>
        <w:rPr>
          <w:rFonts w:ascii="Times New Roman" w:eastAsia="Times New Roman" w:hAnsi="Times New Roman" w:cs="Times New Roman"/>
          <w:i/>
          <w:color w:val="222222"/>
          <w:sz w:val="24"/>
          <w:szCs w:val="24"/>
          <w:highlight w:val="white"/>
        </w:rPr>
        <w:t>The Journal of Academic Librarianship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(1), p.102219.</w:t>
      </w:r>
      <w:hyperlink r:id="rId24">
        <w:r>
          <w:rPr>
            <w:rFonts w:ascii="Times New Roman" w:eastAsia="Times New Roman" w:hAnsi="Times New Roman" w:cs="Times New Roman"/>
            <w:color w:val="1155CC"/>
            <w:sz w:val="24"/>
            <w:szCs w:val="24"/>
            <w:highlight w:val="white"/>
            <w:u w:val="single"/>
          </w:rPr>
          <w:t>https://www.sciencedirect.com/science/article/pii/S0099133320301105</w:t>
        </w:r>
      </w:hyperlink>
      <w:r>
        <w:rPr>
          <w:rFonts w:ascii="Times New Roman" w:eastAsia="Times New Roman" w:hAnsi="Times New Roman" w:cs="Times New Roman"/>
          <w:color w:val="222222"/>
          <w:sz w:val="24"/>
          <w:szCs w:val="24"/>
          <w:highlight w:val="white"/>
        </w:rPr>
        <w:t xml:space="preserve"> </w:t>
      </w:r>
    </w:p>
    <w:p w14:paraId="167CB201"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 Baker, S., A Maw, S., Johnson, P.J. and W Macdonald, D., 2020. Not in my backyard: Public perceptions of wildlife and ‘pest </w:t>
      </w:r>
      <w:proofErr w:type="spellStart"/>
      <w:r>
        <w:rPr>
          <w:rFonts w:ascii="Times New Roman" w:eastAsia="Times New Roman" w:hAnsi="Times New Roman" w:cs="Times New Roman"/>
          <w:color w:val="222222"/>
          <w:sz w:val="24"/>
          <w:szCs w:val="24"/>
          <w:highlight w:val="white"/>
        </w:rPr>
        <w:t>control’in</w:t>
      </w:r>
      <w:proofErr w:type="spellEnd"/>
      <w:r>
        <w:rPr>
          <w:rFonts w:ascii="Times New Roman" w:eastAsia="Times New Roman" w:hAnsi="Times New Roman" w:cs="Times New Roman"/>
          <w:color w:val="222222"/>
          <w:sz w:val="24"/>
          <w:szCs w:val="24"/>
          <w:highlight w:val="white"/>
        </w:rPr>
        <w:t xml:space="preserve"> and around UK homes, and Local Authority ‘pest control’. </w:t>
      </w:r>
      <w:r>
        <w:rPr>
          <w:rFonts w:ascii="Times New Roman" w:eastAsia="Times New Roman" w:hAnsi="Times New Roman" w:cs="Times New Roman"/>
          <w:i/>
          <w:color w:val="222222"/>
          <w:sz w:val="24"/>
          <w:szCs w:val="24"/>
          <w:highlight w:val="white"/>
        </w:rPr>
        <w:t>Animals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 p.222.</w:t>
      </w:r>
      <w:hyperlink r:id="rId25">
        <w:r>
          <w:rPr>
            <w:rFonts w:ascii="Times New Roman" w:eastAsia="Times New Roman" w:hAnsi="Times New Roman" w:cs="Times New Roman"/>
            <w:color w:val="1155CC"/>
            <w:sz w:val="24"/>
            <w:szCs w:val="24"/>
            <w:highlight w:val="white"/>
            <w:u w:val="single"/>
          </w:rPr>
          <w:t>https://www.mdpi.com/2076-2615/10/2/222</w:t>
        </w:r>
      </w:hyperlink>
      <w:r>
        <w:rPr>
          <w:rFonts w:ascii="Times New Roman" w:eastAsia="Times New Roman" w:hAnsi="Times New Roman" w:cs="Times New Roman"/>
          <w:color w:val="222222"/>
          <w:sz w:val="24"/>
          <w:szCs w:val="24"/>
          <w:highlight w:val="white"/>
        </w:rPr>
        <w:t xml:space="preserve"> </w:t>
      </w:r>
    </w:p>
    <w:p w14:paraId="48C59107"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Ferlie, E. and Ongaro, E., 2022. Strategic management in public services organizations: Concepts, schools and contemporary issues. Routledge.</w:t>
      </w:r>
      <w:hyperlink r:id="rId26" w:anchor="v=onepage&amp;q=strategic%20management&amp;f=false">
        <w:r>
          <w:rPr>
            <w:rFonts w:ascii="Times New Roman" w:eastAsia="Times New Roman" w:hAnsi="Times New Roman" w:cs="Times New Roman"/>
            <w:color w:val="1155CC"/>
            <w:sz w:val="24"/>
            <w:szCs w:val="24"/>
            <w:highlight w:val="white"/>
            <w:u w:val="single"/>
          </w:rPr>
          <w:t>https://books.google.co.in/books?hl=en&amp;lr=&amp;id=IiJfEAAAQBAJ&amp;oi=fnd&amp;pg=PT7</w:t>
        </w:r>
        <w:r>
          <w:rPr>
            <w:rFonts w:ascii="Times New Roman" w:eastAsia="Times New Roman" w:hAnsi="Times New Roman" w:cs="Times New Roman"/>
            <w:color w:val="1155CC"/>
            <w:sz w:val="24"/>
            <w:szCs w:val="24"/>
            <w:highlight w:val="white"/>
            <w:u w:val="single"/>
          </w:rPr>
          <w:lastRenderedPageBreak/>
          <w:t>&amp;dq=strategic+management&amp;ots=_P5OrZEds8&amp;sig=Ow7hknikfA4Hj9ddYooBel9HYQg&amp;redir_esc=y#v=onepage&amp;q=strategic%20management&amp;f=false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5E598A04"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Fuertes, G., Alfaro, M., Vargas, M., Gutierrez, S., </w:t>
      </w:r>
      <w:proofErr w:type="spellStart"/>
      <w:r>
        <w:rPr>
          <w:rFonts w:ascii="Times New Roman" w:eastAsia="Times New Roman" w:hAnsi="Times New Roman" w:cs="Times New Roman"/>
          <w:color w:val="222222"/>
          <w:sz w:val="24"/>
          <w:szCs w:val="24"/>
          <w:highlight w:val="white"/>
        </w:rPr>
        <w:t>Ternero</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Sabattin</w:t>
      </w:r>
      <w:proofErr w:type="spellEnd"/>
      <w:r>
        <w:rPr>
          <w:rFonts w:ascii="Times New Roman" w:eastAsia="Times New Roman" w:hAnsi="Times New Roman" w:cs="Times New Roman"/>
          <w:color w:val="222222"/>
          <w:sz w:val="24"/>
          <w:szCs w:val="24"/>
          <w:highlight w:val="white"/>
        </w:rPr>
        <w:t xml:space="preserve">, J., 2020. Conceptual framework for the strategic management: a literature review—descriptive. </w:t>
      </w:r>
      <w:r>
        <w:rPr>
          <w:rFonts w:ascii="Times New Roman" w:eastAsia="Times New Roman" w:hAnsi="Times New Roman" w:cs="Times New Roman"/>
          <w:i/>
          <w:color w:val="222222"/>
          <w:sz w:val="24"/>
          <w:szCs w:val="24"/>
          <w:highlight w:val="white"/>
        </w:rPr>
        <w:t>Journal of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2020</w:t>
      </w:r>
      <w:r>
        <w:rPr>
          <w:rFonts w:ascii="Times New Roman" w:eastAsia="Times New Roman" w:hAnsi="Times New Roman" w:cs="Times New Roman"/>
          <w:color w:val="222222"/>
          <w:sz w:val="24"/>
          <w:szCs w:val="24"/>
          <w:highlight w:val="white"/>
        </w:rPr>
        <w:t>, pp.1-21.</w:t>
      </w:r>
      <w:hyperlink r:id="rId27">
        <w:r>
          <w:rPr>
            <w:rFonts w:ascii="Times New Roman" w:eastAsia="Times New Roman" w:hAnsi="Times New Roman" w:cs="Times New Roman"/>
            <w:color w:val="1155CC"/>
            <w:sz w:val="24"/>
            <w:szCs w:val="24"/>
            <w:highlight w:val="white"/>
            <w:u w:val="single"/>
          </w:rPr>
          <w:t>https://www.hindawi.com/journals/je/2020/6253013/</w:t>
        </w:r>
      </w:hyperlink>
      <w:r>
        <w:rPr>
          <w:rFonts w:ascii="Times New Roman" w:eastAsia="Times New Roman" w:hAnsi="Times New Roman" w:cs="Times New Roman"/>
          <w:color w:val="222222"/>
          <w:sz w:val="24"/>
          <w:szCs w:val="24"/>
          <w:highlight w:val="white"/>
        </w:rPr>
        <w:t xml:space="preserve"> </w:t>
      </w:r>
    </w:p>
    <w:p w14:paraId="2C109871"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Greer, C.R., 2021. Strategic human resource management. Pearson Custom Publishing.</w:t>
      </w:r>
      <w:hyperlink r:id="rId28">
        <w:r>
          <w:rPr>
            <w:rFonts w:ascii="Times New Roman" w:eastAsia="Times New Roman" w:hAnsi="Times New Roman" w:cs="Times New Roman"/>
            <w:color w:val="1155CC"/>
            <w:sz w:val="24"/>
            <w:szCs w:val="24"/>
            <w:highlight w:val="white"/>
            <w:u w:val="single"/>
          </w:rPr>
          <w:t>http://dspace.vnbrims.org:13000/jspui/bitstream/123456789/4407/1/Strategic%20Human%20Resource%20Management%20view.pdf</w:t>
        </w:r>
      </w:hyperlink>
      <w:r>
        <w:rPr>
          <w:rFonts w:ascii="Times New Roman" w:eastAsia="Times New Roman" w:hAnsi="Times New Roman" w:cs="Times New Roman"/>
          <w:color w:val="222222"/>
          <w:sz w:val="24"/>
          <w:szCs w:val="24"/>
          <w:highlight w:val="white"/>
        </w:rPr>
        <w:t xml:space="preserve"> </w:t>
      </w:r>
    </w:p>
    <w:p w14:paraId="13B4EA7D"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Griffin, R.W., 2022. Fundamentals of management. Cengage Learning, Inc..</w:t>
      </w:r>
      <w:hyperlink r:id="rId29">
        <w:r>
          <w:rPr>
            <w:rFonts w:ascii="Times New Roman" w:eastAsia="Times New Roman" w:hAnsi="Times New Roman" w:cs="Times New Roman"/>
            <w:color w:val="1155CC"/>
            <w:sz w:val="24"/>
            <w:szCs w:val="24"/>
            <w:highlight w:val="white"/>
            <w:u w:val="single"/>
          </w:rPr>
          <w:t>https://thuvienso.hoasen.edu.vn/bitstream/handle/123456789/13211/Contents.pdf?sequence=1&amp;isAllowed=y</w:t>
        </w:r>
      </w:hyperlink>
      <w:r>
        <w:rPr>
          <w:rFonts w:ascii="Times New Roman" w:eastAsia="Times New Roman" w:hAnsi="Times New Roman" w:cs="Times New Roman"/>
          <w:color w:val="222222"/>
          <w:sz w:val="24"/>
          <w:szCs w:val="24"/>
          <w:highlight w:val="white"/>
        </w:rPr>
        <w:t xml:space="preserve"> </w:t>
      </w:r>
    </w:p>
    <w:p w14:paraId="1E94832C"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Henry, A., 2021. Understanding strategic management. Oxford University Press.</w:t>
      </w:r>
      <w:hyperlink r:id="rId30" w:anchor="v=onepage&amp;q=Strategic%20Management&amp;f=false">
        <w:r>
          <w:rPr>
            <w:rFonts w:ascii="Times New Roman" w:eastAsia="Times New Roman" w:hAnsi="Times New Roman" w:cs="Times New Roman"/>
            <w:color w:val="1155CC"/>
            <w:sz w:val="24"/>
            <w:szCs w:val="24"/>
            <w:highlight w:val="white"/>
            <w:u w:val="single"/>
          </w:rPr>
          <w:t>https://books.google.co.in/books?hl=en&amp;lr=&amp;id=M7wyEAAAQBAJ&amp;oi=fnd&amp;pg=PP1&amp;dq=Strategic+Management&amp;ots=Z4s0vghFxw&amp;sig=T2sWc_GmydA_zI4oYz3YwfY1Pow&amp;redir_esc=y#v=onepage&amp;q=Strategic%20Management&amp;f=false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4278E695"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Hill, C.W., 2022. Essentials of strategic management. Cengage Learning.</w:t>
      </w:r>
      <w:hyperlink r:id="rId31">
        <w:r>
          <w:rPr>
            <w:rFonts w:ascii="Times New Roman" w:eastAsia="Times New Roman" w:hAnsi="Times New Roman" w:cs="Times New Roman"/>
            <w:color w:val="1155CC"/>
            <w:sz w:val="24"/>
            <w:szCs w:val="24"/>
            <w:highlight w:val="white"/>
            <w:u w:val="single"/>
          </w:rPr>
          <w:t>http://portal.belesparadisecollege.edu.et:8080/library/bitstream/123456789/1761/1/26.strategic-management-hill-melson.pdf</w:t>
        </w:r>
      </w:hyperlink>
      <w:r>
        <w:rPr>
          <w:rFonts w:ascii="Times New Roman" w:eastAsia="Times New Roman" w:hAnsi="Times New Roman" w:cs="Times New Roman"/>
          <w:color w:val="222222"/>
          <w:sz w:val="24"/>
          <w:szCs w:val="24"/>
          <w:highlight w:val="white"/>
        </w:rPr>
        <w:t xml:space="preserve"> </w:t>
      </w:r>
    </w:p>
    <w:p w14:paraId="3332B36D"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Hunger, J.D., 2020. Essentials of strategic management.</w:t>
      </w:r>
      <w:hyperlink r:id="rId32">
        <w:r>
          <w:rPr>
            <w:rFonts w:ascii="Times New Roman" w:eastAsia="Times New Roman" w:hAnsi="Times New Roman" w:cs="Times New Roman"/>
            <w:color w:val="1155CC"/>
            <w:sz w:val="24"/>
            <w:szCs w:val="24"/>
            <w:highlight w:val="white"/>
            <w:u w:val="single"/>
          </w:rPr>
          <w:t>http://elibrary.gci.edu.np/bitstream/123456789/718/1/BM%20-542%20Essentials%20of%20Strategic%20Management%2C%205th%20Edition%20by%20J.%20David%20Hunger%2C%20Thomas%20L.%20Wheelen.pdf</w:t>
        </w:r>
      </w:hyperlink>
      <w:r>
        <w:rPr>
          <w:rFonts w:ascii="Times New Roman" w:eastAsia="Times New Roman" w:hAnsi="Times New Roman" w:cs="Times New Roman"/>
          <w:color w:val="222222"/>
          <w:sz w:val="24"/>
          <w:szCs w:val="24"/>
          <w:highlight w:val="white"/>
        </w:rPr>
        <w:t xml:space="preserve"> </w:t>
      </w:r>
    </w:p>
    <w:p w14:paraId="3B1A3982"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Isabelle, D., Horak, K., McKinnon, S. and Palumbo, C., 2020. Is Porter's Five Forces Framework Still Relevant? A study of the capital/</w:t>
      </w:r>
      <w:proofErr w:type="spellStart"/>
      <w:r>
        <w:rPr>
          <w:rFonts w:ascii="Times New Roman" w:eastAsia="Times New Roman" w:hAnsi="Times New Roman" w:cs="Times New Roman"/>
          <w:color w:val="222222"/>
          <w:sz w:val="24"/>
          <w:szCs w:val="24"/>
          <w:highlight w:val="white"/>
        </w:rPr>
        <w:t>labthe</w:t>
      </w:r>
      <w:proofErr w:type="spellEnd"/>
      <w:r>
        <w:rPr>
          <w:rFonts w:ascii="Times New Roman" w:eastAsia="Times New Roman" w:hAnsi="Times New Roman" w:cs="Times New Roman"/>
          <w:color w:val="222222"/>
          <w:sz w:val="24"/>
          <w:szCs w:val="24"/>
          <w:highlight w:val="white"/>
        </w:rPr>
        <w:t xml:space="preserve"> intensity continuum via mining and IT industries. </w:t>
      </w:r>
      <w:r>
        <w:rPr>
          <w:rFonts w:ascii="Times New Roman" w:eastAsia="Times New Roman" w:hAnsi="Times New Roman" w:cs="Times New Roman"/>
          <w:i/>
          <w:color w:val="222222"/>
          <w:sz w:val="24"/>
          <w:szCs w:val="24"/>
          <w:highlight w:val="white"/>
        </w:rPr>
        <w:t>Technology Innovation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(6).</w:t>
      </w:r>
      <w:hyperlink r:id="rId33">
        <w:r>
          <w:rPr>
            <w:rFonts w:ascii="Times New Roman" w:eastAsia="Times New Roman" w:hAnsi="Times New Roman" w:cs="Times New Roman"/>
            <w:color w:val="1155CC"/>
            <w:sz w:val="24"/>
            <w:szCs w:val="24"/>
            <w:highlight w:val="white"/>
            <w:u w:val="single"/>
          </w:rPr>
          <w:t>https://www.timreview.ca/article/1366</w:t>
        </w:r>
      </w:hyperlink>
      <w:r>
        <w:rPr>
          <w:rFonts w:ascii="Times New Roman" w:eastAsia="Times New Roman" w:hAnsi="Times New Roman" w:cs="Times New Roman"/>
          <w:color w:val="222222"/>
          <w:sz w:val="24"/>
          <w:szCs w:val="24"/>
          <w:highlight w:val="white"/>
        </w:rPr>
        <w:t xml:space="preserve"> </w:t>
      </w:r>
    </w:p>
    <w:p w14:paraId="781D130E"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Izzaty</w:t>
      </w:r>
      <w:proofErr w:type="spellEnd"/>
      <w:r>
        <w:rPr>
          <w:rFonts w:ascii="Times New Roman" w:eastAsia="Times New Roman" w:hAnsi="Times New Roman" w:cs="Times New Roman"/>
          <w:color w:val="222222"/>
          <w:sz w:val="24"/>
          <w:szCs w:val="24"/>
          <w:highlight w:val="white"/>
        </w:rPr>
        <w:t xml:space="preserve">, W. and Aslami, N., 2021. </w:t>
      </w:r>
      <w:proofErr w:type="spellStart"/>
      <w:r>
        <w:rPr>
          <w:rFonts w:ascii="Times New Roman" w:eastAsia="Times New Roman" w:hAnsi="Times New Roman" w:cs="Times New Roman"/>
          <w:color w:val="222222"/>
          <w:sz w:val="24"/>
          <w:szCs w:val="24"/>
          <w:highlight w:val="white"/>
        </w:rPr>
        <w:t>Indomie</w:t>
      </w:r>
      <w:proofErr w:type="spellEnd"/>
      <w:r>
        <w:rPr>
          <w:rFonts w:ascii="Times New Roman" w:eastAsia="Times New Roman" w:hAnsi="Times New Roman" w:cs="Times New Roman"/>
          <w:color w:val="222222"/>
          <w:sz w:val="24"/>
          <w:szCs w:val="24"/>
          <w:highlight w:val="white"/>
        </w:rPr>
        <w:t xml:space="preserve"> Product Marketing Strategy in Entering International Marketing: </w:t>
      </w:r>
      <w:proofErr w:type="spellStart"/>
      <w:r>
        <w:rPr>
          <w:rFonts w:ascii="Times New Roman" w:eastAsia="Times New Roman" w:hAnsi="Times New Roman" w:cs="Times New Roman"/>
          <w:color w:val="222222"/>
          <w:sz w:val="24"/>
          <w:szCs w:val="24"/>
          <w:highlight w:val="white"/>
        </w:rPr>
        <w:t>Indomie</w:t>
      </w:r>
      <w:proofErr w:type="spellEnd"/>
      <w:r>
        <w:rPr>
          <w:rFonts w:ascii="Times New Roman" w:eastAsia="Times New Roman" w:hAnsi="Times New Roman" w:cs="Times New Roman"/>
          <w:color w:val="222222"/>
          <w:sz w:val="24"/>
          <w:szCs w:val="24"/>
          <w:highlight w:val="white"/>
        </w:rPr>
        <w:t xml:space="preserve"> Product Marketing Strategy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Entering International Marketing. </w:t>
      </w:r>
      <w:r>
        <w:rPr>
          <w:rFonts w:ascii="Times New Roman" w:eastAsia="Times New Roman" w:hAnsi="Times New Roman" w:cs="Times New Roman"/>
          <w:i/>
          <w:color w:val="222222"/>
          <w:sz w:val="24"/>
          <w:szCs w:val="24"/>
          <w:highlight w:val="white"/>
        </w:rPr>
        <w:t>Journal Of Social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pp.65-68.</w:t>
      </w:r>
      <w:hyperlink r:id="rId34">
        <w:r>
          <w:rPr>
            <w:rFonts w:ascii="Times New Roman" w:eastAsia="Times New Roman" w:hAnsi="Times New Roman" w:cs="Times New Roman"/>
            <w:color w:val="1155CC"/>
            <w:sz w:val="24"/>
            <w:szCs w:val="24"/>
            <w:highlight w:val="white"/>
            <w:u w:val="single"/>
          </w:rPr>
          <w:t>https://ijsr.internationaljournallabs.com/index.php/ijsr/article/view/5</w:t>
        </w:r>
      </w:hyperlink>
      <w:r>
        <w:rPr>
          <w:rFonts w:ascii="Times New Roman" w:eastAsia="Times New Roman" w:hAnsi="Times New Roman" w:cs="Times New Roman"/>
          <w:color w:val="222222"/>
          <w:sz w:val="24"/>
          <w:szCs w:val="24"/>
          <w:highlight w:val="white"/>
        </w:rPr>
        <w:t xml:space="preserve"> </w:t>
      </w:r>
    </w:p>
    <w:p w14:paraId="0E70F055"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Johnson, J., Whittington, R., </w:t>
      </w:r>
      <w:proofErr w:type="spellStart"/>
      <w:r>
        <w:rPr>
          <w:rFonts w:ascii="Times New Roman" w:eastAsia="Times New Roman" w:hAnsi="Times New Roman" w:cs="Times New Roman"/>
          <w:color w:val="222222"/>
          <w:sz w:val="24"/>
          <w:szCs w:val="24"/>
          <w:highlight w:val="white"/>
        </w:rPr>
        <w:t>Regnér</w:t>
      </w:r>
      <w:proofErr w:type="spellEnd"/>
      <w:r>
        <w:rPr>
          <w:rFonts w:ascii="Times New Roman" w:eastAsia="Times New Roman" w:hAnsi="Times New Roman" w:cs="Times New Roman"/>
          <w:color w:val="222222"/>
          <w:sz w:val="24"/>
          <w:szCs w:val="24"/>
          <w:highlight w:val="white"/>
        </w:rPr>
        <w:t>, P., Angwin, D., Johnson, G. and Scholes, K., 2020. Exploring strategy. Pearson UK.</w:t>
      </w:r>
      <w:hyperlink r:id="rId35">
        <w:r>
          <w:rPr>
            <w:rFonts w:ascii="Times New Roman" w:eastAsia="Times New Roman" w:hAnsi="Times New Roman" w:cs="Times New Roman"/>
            <w:color w:val="1155CC"/>
            <w:sz w:val="24"/>
            <w:szCs w:val="24"/>
            <w:highlight w:val="white"/>
            <w:u w:val="single"/>
          </w:rPr>
          <w:t>https://www.academia.edu/download/64941929/Exploring_Strategy_Text_and_Cases_PDFDrive_.pdf</w:t>
        </w:r>
      </w:hyperlink>
      <w:r>
        <w:rPr>
          <w:rFonts w:ascii="Times New Roman" w:eastAsia="Times New Roman" w:hAnsi="Times New Roman" w:cs="Times New Roman"/>
          <w:color w:val="222222"/>
          <w:sz w:val="24"/>
          <w:szCs w:val="24"/>
          <w:highlight w:val="white"/>
        </w:rPr>
        <w:t xml:space="preserve"> </w:t>
      </w:r>
    </w:p>
    <w:p w14:paraId="1DC0A441"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Kakani, V., Nguyen, V.H., Kumar, B.P., Kim, H. and Pasupuleti, V.R., 2020. A critical review on computer vision and artificial intelligence in food industry. </w:t>
      </w:r>
      <w:r>
        <w:rPr>
          <w:rFonts w:ascii="Times New Roman" w:eastAsia="Times New Roman" w:hAnsi="Times New Roman" w:cs="Times New Roman"/>
          <w:i/>
          <w:color w:val="222222"/>
          <w:sz w:val="24"/>
          <w:szCs w:val="24"/>
          <w:highlight w:val="white"/>
        </w:rPr>
        <w:t>Journal of Agriculture and Food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p.100033.</w:t>
      </w:r>
      <w:hyperlink r:id="rId36">
        <w:r>
          <w:rPr>
            <w:rFonts w:ascii="Times New Roman" w:eastAsia="Times New Roman" w:hAnsi="Times New Roman" w:cs="Times New Roman"/>
            <w:color w:val="1155CC"/>
            <w:sz w:val="24"/>
            <w:szCs w:val="24"/>
            <w:highlight w:val="white"/>
            <w:u w:val="single"/>
          </w:rPr>
          <w:t>https://www.sciencedirect.com/science/article/pii/S2666154320300144</w:t>
        </w:r>
      </w:hyperlink>
      <w:r>
        <w:rPr>
          <w:rFonts w:ascii="Times New Roman" w:eastAsia="Times New Roman" w:hAnsi="Times New Roman" w:cs="Times New Roman"/>
          <w:color w:val="222222"/>
          <w:sz w:val="24"/>
          <w:szCs w:val="24"/>
          <w:highlight w:val="white"/>
        </w:rPr>
        <w:t xml:space="preserve"> </w:t>
      </w:r>
    </w:p>
    <w:p w14:paraId="026A0E02"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Keller, A.A., Garner, K.L., Rao, N., Knipping, E. and Thomas, J., 2022. Downscaling approaches of climate change projections for watershed modeling: Review of theoretical and practical considerations. </w:t>
      </w:r>
      <w:r>
        <w:rPr>
          <w:rFonts w:ascii="Times New Roman" w:eastAsia="Times New Roman" w:hAnsi="Times New Roman" w:cs="Times New Roman"/>
          <w:i/>
          <w:color w:val="222222"/>
          <w:sz w:val="24"/>
          <w:szCs w:val="24"/>
          <w:highlight w:val="white"/>
        </w:rPr>
        <w:t>PLOS Water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(9), </w:t>
      </w:r>
      <w:proofErr w:type="gramStart"/>
      <w:r>
        <w:rPr>
          <w:rFonts w:ascii="Times New Roman" w:eastAsia="Times New Roman" w:hAnsi="Times New Roman" w:cs="Times New Roman"/>
          <w:color w:val="222222"/>
          <w:sz w:val="24"/>
          <w:szCs w:val="24"/>
          <w:highlight w:val="white"/>
        </w:rPr>
        <w:t>p.e</w:t>
      </w:r>
      <w:proofErr w:type="gramEnd"/>
      <w:r>
        <w:rPr>
          <w:rFonts w:ascii="Times New Roman" w:eastAsia="Times New Roman" w:hAnsi="Times New Roman" w:cs="Times New Roman"/>
          <w:color w:val="222222"/>
          <w:sz w:val="24"/>
          <w:szCs w:val="24"/>
          <w:highlight w:val="white"/>
        </w:rPr>
        <w:t>0000046.</w:t>
      </w:r>
      <w:hyperlink r:id="rId37">
        <w:r>
          <w:rPr>
            <w:rFonts w:ascii="Times New Roman" w:eastAsia="Times New Roman" w:hAnsi="Times New Roman" w:cs="Times New Roman"/>
            <w:color w:val="1155CC"/>
            <w:sz w:val="24"/>
            <w:szCs w:val="24"/>
            <w:highlight w:val="white"/>
            <w:u w:val="single"/>
          </w:rPr>
          <w:t>https://journals.plos.org/water/article?id=10.1371/journal.pwat.0000046</w:t>
        </w:r>
      </w:hyperlink>
      <w:r>
        <w:rPr>
          <w:rFonts w:ascii="Times New Roman" w:eastAsia="Times New Roman" w:hAnsi="Times New Roman" w:cs="Times New Roman"/>
          <w:color w:val="222222"/>
          <w:sz w:val="24"/>
          <w:szCs w:val="24"/>
          <w:highlight w:val="white"/>
        </w:rPr>
        <w:t xml:space="preserve"> </w:t>
      </w:r>
    </w:p>
    <w:p w14:paraId="39A825A3"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Ketchen Jr, D.J. and Craighead, C.W., 2020. Research at the intersection of entrepreneurship, supply chain management, and strategic management: Opportunities highlighted by COVID-19.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46</w:t>
      </w:r>
      <w:r>
        <w:rPr>
          <w:rFonts w:ascii="Times New Roman" w:eastAsia="Times New Roman" w:hAnsi="Times New Roman" w:cs="Times New Roman"/>
          <w:color w:val="222222"/>
          <w:sz w:val="24"/>
          <w:szCs w:val="24"/>
          <w:highlight w:val="white"/>
        </w:rPr>
        <w:t>(8), pp.1330-1341.</w:t>
      </w:r>
      <w:hyperlink r:id="rId38">
        <w:r>
          <w:rPr>
            <w:rFonts w:ascii="Times New Roman" w:eastAsia="Times New Roman" w:hAnsi="Times New Roman" w:cs="Times New Roman"/>
            <w:color w:val="1155CC"/>
            <w:sz w:val="24"/>
            <w:szCs w:val="24"/>
            <w:highlight w:val="white"/>
            <w:u w:val="single"/>
          </w:rPr>
          <w:t>https://journals.sagepub.com/doi/full/10.1177/0149206320945028</w:t>
        </w:r>
      </w:hyperlink>
      <w:r>
        <w:rPr>
          <w:rFonts w:ascii="Times New Roman" w:eastAsia="Times New Roman" w:hAnsi="Times New Roman" w:cs="Times New Roman"/>
          <w:color w:val="222222"/>
          <w:sz w:val="24"/>
          <w:szCs w:val="24"/>
          <w:highlight w:val="white"/>
        </w:rPr>
        <w:t xml:space="preserve"> </w:t>
      </w:r>
    </w:p>
    <w:p w14:paraId="02B8BFEE"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V. and Reinartz, W., 2018. Customer relationship management. Springer-Verlag GmbH Germany, part of Springer Nature 2006, 2012, 2018. </w:t>
      </w:r>
      <w:hyperlink r:id="rId39">
        <w:r>
          <w:rPr>
            <w:rFonts w:ascii="Times New Roman" w:eastAsia="Times New Roman" w:hAnsi="Times New Roman" w:cs="Times New Roman"/>
            <w:color w:val="1155CC"/>
            <w:sz w:val="24"/>
            <w:szCs w:val="24"/>
            <w:highlight w:val="white"/>
            <w:u w:val="single"/>
          </w:rPr>
          <w:t>http://repository.psa.edu.my/bitstream/123456789/2055/1/%28326%29%202018_Book_CustomerRelationshipManagement.pdf</w:t>
        </w:r>
      </w:hyperlink>
      <w:r>
        <w:rPr>
          <w:rFonts w:ascii="Times New Roman" w:eastAsia="Times New Roman" w:hAnsi="Times New Roman" w:cs="Times New Roman"/>
          <w:color w:val="222222"/>
          <w:sz w:val="24"/>
          <w:szCs w:val="24"/>
          <w:highlight w:val="white"/>
        </w:rPr>
        <w:t xml:space="preserve"> </w:t>
      </w:r>
    </w:p>
    <w:p w14:paraId="04A7AC2F"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Kurhayadi</w:t>
      </w:r>
      <w:proofErr w:type="spellEnd"/>
      <w:r>
        <w:rPr>
          <w:rFonts w:ascii="Times New Roman" w:eastAsia="Times New Roman" w:hAnsi="Times New Roman" w:cs="Times New Roman"/>
          <w:color w:val="222222"/>
          <w:sz w:val="24"/>
          <w:szCs w:val="24"/>
          <w:highlight w:val="white"/>
        </w:rPr>
        <w:t xml:space="preserve">, K., Yusuf, M., </w:t>
      </w:r>
      <w:proofErr w:type="spellStart"/>
      <w:r>
        <w:rPr>
          <w:rFonts w:ascii="Times New Roman" w:eastAsia="Times New Roman" w:hAnsi="Times New Roman" w:cs="Times New Roman"/>
          <w:color w:val="222222"/>
          <w:sz w:val="24"/>
          <w:szCs w:val="24"/>
          <w:highlight w:val="white"/>
        </w:rPr>
        <w:t>Masrifah</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Rincani</w:t>
      </w:r>
      <w:proofErr w:type="spellEnd"/>
      <w:r>
        <w:rPr>
          <w:rFonts w:ascii="Times New Roman" w:eastAsia="Times New Roman" w:hAnsi="Times New Roman" w:cs="Times New Roman"/>
          <w:color w:val="222222"/>
          <w:sz w:val="24"/>
          <w:szCs w:val="24"/>
          <w:highlight w:val="white"/>
        </w:rPr>
        <w:t xml:space="preserve">, E.D. and Fauzi, M., 2022. ANALYSIS OF BUMDESA COMPETITIVENESS STRATEGY THROUGH THE UTILIZATION OF TOURISM OBJECTS TO IMPROVE COMMUNITY WELFARE. </w:t>
      </w:r>
      <w:r>
        <w:rPr>
          <w:rFonts w:ascii="Times New Roman" w:eastAsia="Times New Roman" w:hAnsi="Times New Roman" w:cs="Times New Roman"/>
          <w:i/>
          <w:color w:val="222222"/>
          <w:sz w:val="24"/>
          <w:szCs w:val="24"/>
          <w:highlight w:val="white"/>
        </w:rPr>
        <w:t xml:space="preserve">LITERACY: International </w:t>
      </w:r>
      <w:r>
        <w:rPr>
          <w:rFonts w:ascii="Times New Roman" w:eastAsia="Times New Roman" w:hAnsi="Times New Roman" w:cs="Times New Roman"/>
          <w:i/>
          <w:color w:val="222222"/>
          <w:sz w:val="24"/>
          <w:szCs w:val="24"/>
          <w:highlight w:val="white"/>
        </w:rPr>
        <w:lastRenderedPageBreak/>
        <w:t>Scientific Journals of Social, Education, Humanities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(3), pp.157-171.https://jurnal-stiepari.ac.id/index.php/LITERACY/article/view/386 </w:t>
      </w:r>
    </w:p>
    <w:p w14:paraId="2F854CB0"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yellow"/>
        </w:rPr>
        <w:t>Lynch, R.,</w:t>
      </w:r>
      <w:r>
        <w:rPr>
          <w:rFonts w:ascii="Times New Roman" w:eastAsia="Times New Roman" w:hAnsi="Times New Roman" w:cs="Times New Roman"/>
          <w:color w:val="222222"/>
          <w:sz w:val="24"/>
          <w:szCs w:val="24"/>
          <w:highlight w:val="white"/>
        </w:rPr>
        <w:t xml:space="preserve"> 2018. Strategic management. Pearson UK.</w:t>
      </w:r>
      <w:hyperlink r:id="rId40" w:anchor="v=onepage&amp;q=Strategic%20Management&amp;f=false">
        <w:r>
          <w:rPr>
            <w:rFonts w:ascii="Times New Roman" w:eastAsia="Times New Roman" w:hAnsi="Times New Roman" w:cs="Times New Roman"/>
            <w:color w:val="1155CC"/>
            <w:sz w:val="24"/>
            <w:szCs w:val="24"/>
            <w:highlight w:val="white"/>
            <w:u w:val="single"/>
          </w:rPr>
          <w:t>https://books.google.co.in/books?hl=en&amp;lr=&amp;id=i71dDwAAQBAJ&amp;oi=fnd&amp;pg=PT17&amp;dq=Strategic+Management&amp;ots=gIhaxcLoel&amp;sig=5lXXKk1lnqrgFbhES2SJ5t2sNtg&amp;redir_esc=y#v=onepage&amp;q=Strategic%20Management&amp;f=false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27DBBC98"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Madahana</w:t>
      </w:r>
      <w:proofErr w:type="spellEnd"/>
      <w:r>
        <w:rPr>
          <w:rFonts w:ascii="Times New Roman" w:eastAsia="Times New Roman" w:hAnsi="Times New Roman" w:cs="Times New Roman"/>
          <w:color w:val="222222"/>
          <w:sz w:val="24"/>
          <w:szCs w:val="24"/>
          <w:highlight w:val="white"/>
        </w:rPr>
        <w:t xml:space="preserve">, M.C., </w:t>
      </w:r>
      <w:proofErr w:type="spellStart"/>
      <w:r>
        <w:rPr>
          <w:rFonts w:ascii="Times New Roman" w:eastAsia="Times New Roman" w:hAnsi="Times New Roman" w:cs="Times New Roman"/>
          <w:color w:val="222222"/>
          <w:sz w:val="24"/>
          <w:szCs w:val="24"/>
          <w:highlight w:val="white"/>
        </w:rPr>
        <w:t>Ekoru</w:t>
      </w:r>
      <w:proofErr w:type="spellEnd"/>
      <w:r>
        <w:rPr>
          <w:rFonts w:ascii="Times New Roman" w:eastAsia="Times New Roman" w:hAnsi="Times New Roman" w:cs="Times New Roman"/>
          <w:color w:val="222222"/>
          <w:sz w:val="24"/>
          <w:szCs w:val="24"/>
          <w:highlight w:val="white"/>
        </w:rPr>
        <w:t xml:space="preserve">, J.E. and Nyandoro, O.T., 2019. Smart automated noise policy monitoring and feedback control system for mining application. </w:t>
      </w:r>
      <w:r>
        <w:rPr>
          <w:rFonts w:ascii="Times New Roman" w:eastAsia="Times New Roman" w:hAnsi="Times New Roman" w:cs="Times New Roman"/>
          <w:i/>
          <w:color w:val="222222"/>
          <w:sz w:val="24"/>
          <w:szCs w:val="24"/>
          <w:highlight w:val="white"/>
        </w:rPr>
        <w:t>IFAC-</w:t>
      </w:r>
      <w:proofErr w:type="spellStart"/>
      <w:r>
        <w:rPr>
          <w:rFonts w:ascii="Times New Roman" w:eastAsia="Times New Roman" w:hAnsi="Times New Roman" w:cs="Times New Roman"/>
          <w:i/>
          <w:color w:val="222222"/>
          <w:sz w:val="24"/>
          <w:szCs w:val="24"/>
          <w:highlight w:val="white"/>
        </w:rPr>
        <w:t>PapersOnLine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(14), pp.177-182.</w:t>
      </w:r>
      <w:hyperlink r:id="rId41">
        <w:r>
          <w:rPr>
            <w:rFonts w:ascii="Times New Roman" w:eastAsia="Times New Roman" w:hAnsi="Times New Roman" w:cs="Times New Roman"/>
            <w:color w:val="1155CC"/>
            <w:sz w:val="24"/>
            <w:szCs w:val="24"/>
            <w:highlight w:val="white"/>
            <w:u w:val="single"/>
          </w:rPr>
          <w:t>https://www.sciencedirect.com/science/article/abs/pii/S0278612520301412</w:t>
        </w:r>
      </w:hyperlink>
      <w:r>
        <w:rPr>
          <w:rFonts w:ascii="Times New Roman" w:eastAsia="Times New Roman" w:hAnsi="Times New Roman" w:cs="Times New Roman"/>
          <w:color w:val="222222"/>
          <w:sz w:val="24"/>
          <w:szCs w:val="24"/>
          <w:highlight w:val="white"/>
        </w:rPr>
        <w:t xml:space="preserve"> </w:t>
      </w:r>
    </w:p>
    <w:p w14:paraId="33DED472"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Madeira, A., </w:t>
      </w:r>
      <w:proofErr w:type="spellStart"/>
      <w:r>
        <w:rPr>
          <w:rFonts w:ascii="Times New Roman" w:eastAsia="Times New Roman" w:hAnsi="Times New Roman" w:cs="Times New Roman"/>
          <w:color w:val="222222"/>
          <w:sz w:val="24"/>
          <w:szCs w:val="24"/>
          <w:highlight w:val="white"/>
        </w:rPr>
        <w:t>Palrão</w:t>
      </w:r>
      <w:proofErr w:type="spellEnd"/>
      <w:r>
        <w:rPr>
          <w:rFonts w:ascii="Times New Roman" w:eastAsia="Times New Roman" w:hAnsi="Times New Roman" w:cs="Times New Roman"/>
          <w:color w:val="222222"/>
          <w:sz w:val="24"/>
          <w:szCs w:val="24"/>
          <w:highlight w:val="white"/>
        </w:rPr>
        <w:t xml:space="preserve">, T. and Mendes, A.S., 2021. The impact of pandemic crisis on the restaurant business.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p.40.</w:t>
      </w:r>
      <w:hyperlink r:id="rId42">
        <w:r>
          <w:rPr>
            <w:rFonts w:ascii="Times New Roman" w:eastAsia="Times New Roman" w:hAnsi="Times New Roman" w:cs="Times New Roman"/>
            <w:color w:val="1155CC"/>
            <w:sz w:val="24"/>
            <w:szCs w:val="24"/>
            <w:highlight w:val="white"/>
            <w:u w:val="single"/>
          </w:rPr>
          <w:t>https://www.mdpi.com/2071-1050/13/1/40</w:t>
        </w:r>
      </w:hyperlink>
      <w:r>
        <w:rPr>
          <w:rFonts w:ascii="Times New Roman" w:eastAsia="Times New Roman" w:hAnsi="Times New Roman" w:cs="Times New Roman"/>
          <w:color w:val="222222"/>
          <w:sz w:val="24"/>
          <w:szCs w:val="24"/>
          <w:highlight w:val="white"/>
        </w:rPr>
        <w:t xml:space="preserve"> </w:t>
      </w:r>
    </w:p>
    <w:p w14:paraId="0688E49C"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Masini, A. and Frankl, P., 2020, November. An application of technology diffusion models to forecast long-term PV market penetration. In </w:t>
      </w:r>
      <w:r>
        <w:rPr>
          <w:rFonts w:ascii="Times New Roman" w:eastAsia="Times New Roman" w:hAnsi="Times New Roman" w:cs="Times New Roman"/>
          <w:i/>
          <w:color w:val="222222"/>
          <w:sz w:val="24"/>
          <w:szCs w:val="24"/>
          <w:highlight w:val="white"/>
        </w:rPr>
        <w:t>Sixteenth European Photovoltaic Solar Energy Conference</w:t>
      </w:r>
      <w:r>
        <w:rPr>
          <w:rFonts w:ascii="Times New Roman" w:eastAsia="Times New Roman" w:hAnsi="Times New Roman" w:cs="Times New Roman"/>
          <w:color w:val="222222"/>
          <w:sz w:val="24"/>
          <w:szCs w:val="24"/>
          <w:highlight w:val="white"/>
        </w:rPr>
        <w:t xml:space="preserve"> (pp. 2822-2825). Routledge.</w:t>
      </w:r>
      <w:hyperlink r:id="rId43">
        <w:r>
          <w:rPr>
            <w:rFonts w:ascii="Times New Roman" w:eastAsia="Times New Roman" w:hAnsi="Times New Roman" w:cs="Times New Roman"/>
            <w:color w:val="1155CC"/>
            <w:sz w:val="24"/>
            <w:szCs w:val="24"/>
            <w:highlight w:val="white"/>
            <w:u w:val="single"/>
          </w:rPr>
          <w:t>https://www.taylorfrancis.com/chapters/edit/10.4324/9781315074405-200/application-technology-diffusion-models-forecast-long-term-pv-market-penetration-andrea-masini-paolo-frankl</w:t>
        </w:r>
      </w:hyperlink>
      <w:r>
        <w:rPr>
          <w:rFonts w:ascii="Times New Roman" w:eastAsia="Times New Roman" w:hAnsi="Times New Roman" w:cs="Times New Roman"/>
          <w:color w:val="222222"/>
          <w:sz w:val="24"/>
          <w:szCs w:val="24"/>
          <w:highlight w:val="white"/>
        </w:rPr>
        <w:t xml:space="preserve"> </w:t>
      </w:r>
    </w:p>
    <w:p w14:paraId="4CB6DF91"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Matović</w:t>
      </w:r>
      <w:proofErr w:type="spellEnd"/>
      <w:r>
        <w:rPr>
          <w:rFonts w:ascii="Times New Roman" w:eastAsia="Times New Roman" w:hAnsi="Times New Roman" w:cs="Times New Roman"/>
          <w:color w:val="222222"/>
          <w:sz w:val="24"/>
          <w:szCs w:val="24"/>
          <w:highlight w:val="white"/>
        </w:rPr>
        <w:t xml:space="preserve">, I.M., 2020, September. PESTEL analysis of external environment as a success factor of startup business. In </w:t>
      </w:r>
      <w:proofErr w:type="spellStart"/>
      <w:r>
        <w:rPr>
          <w:rFonts w:ascii="Times New Roman" w:eastAsia="Times New Roman" w:hAnsi="Times New Roman" w:cs="Times New Roman"/>
          <w:i/>
          <w:color w:val="222222"/>
          <w:sz w:val="24"/>
          <w:szCs w:val="24"/>
          <w:highlight w:val="white"/>
        </w:rPr>
        <w:t>ConScienS</w:t>
      </w:r>
      <w:proofErr w:type="spellEnd"/>
      <w:r>
        <w:rPr>
          <w:rFonts w:ascii="Times New Roman" w:eastAsia="Times New Roman" w:hAnsi="Times New Roman" w:cs="Times New Roman"/>
          <w:i/>
          <w:color w:val="222222"/>
          <w:sz w:val="24"/>
          <w:szCs w:val="24"/>
          <w:highlight w:val="white"/>
        </w:rPr>
        <w:t xml:space="preserve"> Conference Proceedings</w:t>
      </w:r>
      <w:r>
        <w:rPr>
          <w:rFonts w:ascii="Times New Roman" w:eastAsia="Times New Roman" w:hAnsi="Times New Roman" w:cs="Times New Roman"/>
          <w:color w:val="222222"/>
          <w:sz w:val="24"/>
          <w:szCs w:val="24"/>
          <w:highlight w:val="white"/>
        </w:rPr>
        <w:t xml:space="preserve"> (pp. 96-102). Scientia </w:t>
      </w:r>
      <w:proofErr w:type="spellStart"/>
      <w:r>
        <w:rPr>
          <w:rFonts w:ascii="Times New Roman" w:eastAsia="Times New Roman" w:hAnsi="Times New Roman" w:cs="Times New Roman"/>
          <w:color w:val="222222"/>
          <w:sz w:val="24"/>
          <w:szCs w:val="24"/>
          <w:highlight w:val="white"/>
        </w:rPr>
        <w:t>Moralitas</w:t>
      </w:r>
      <w:proofErr w:type="spellEnd"/>
      <w:r>
        <w:rPr>
          <w:rFonts w:ascii="Times New Roman" w:eastAsia="Times New Roman" w:hAnsi="Times New Roman" w:cs="Times New Roman"/>
          <w:color w:val="222222"/>
          <w:sz w:val="24"/>
          <w:szCs w:val="24"/>
          <w:highlight w:val="white"/>
        </w:rPr>
        <w:t xml:space="preserve"> Research </w:t>
      </w:r>
      <w:proofErr w:type="spellStart"/>
      <w:r>
        <w:rPr>
          <w:rFonts w:ascii="Times New Roman" w:eastAsia="Times New Roman" w:hAnsi="Times New Roman" w:cs="Times New Roman"/>
          <w:color w:val="222222"/>
          <w:sz w:val="24"/>
          <w:szCs w:val="24"/>
          <w:highlight w:val="white"/>
        </w:rPr>
        <w:t>Institute.</w:t>
      </w:r>
      <w:hyperlink r:id="rId44">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://www.ceeol.com/search/chapter-detail?id=1022070</w:t>
        </w:r>
      </w:hyperlink>
      <w:r>
        <w:rPr>
          <w:rFonts w:ascii="Times New Roman" w:eastAsia="Times New Roman" w:hAnsi="Times New Roman" w:cs="Times New Roman"/>
          <w:color w:val="222222"/>
          <w:sz w:val="24"/>
          <w:szCs w:val="24"/>
          <w:highlight w:val="white"/>
        </w:rPr>
        <w:t xml:space="preserve"> </w:t>
      </w:r>
    </w:p>
    <w:p w14:paraId="1EABAA49"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Nosratabadi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Mosavi</w:t>
      </w:r>
      <w:proofErr w:type="spellEnd"/>
      <w:r>
        <w:rPr>
          <w:rFonts w:ascii="Times New Roman" w:eastAsia="Times New Roman" w:hAnsi="Times New Roman" w:cs="Times New Roman"/>
          <w:color w:val="222222"/>
          <w:sz w:val="24"/>
          <w:szCs w:val="24"/>
          <w:highlight w:val="white"/>
        </w:rPr>
        <w:t xml:space="preserve">, A. and Lakner, Z., 2020. Food supply chain and business model innovation. </w:t>
      </w:r>
      <w:r>
        <w:rPr>
          <w:rFonts w:ascii="Times New Roman" w:eastAsia="Times New Roman" w:hAnsi="Times New Roman" w:cs="Times New Roman"/>
          <w:i/>
          <w:color w:val="222222"/>
          <w:sz w:val="24"/>
          <w:szCs w:val="24"/>
          <w:highlight w:val="white"/>
        </w:rPr>
        <w:t>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p.132.</w:t>
      </w:r>
      <w:hyperlink r:id="rId45">
        <w:r>
          <w:rPr>
            <w:rFonts w:ascii="Times New Roman" w:eastAsia="Times New Roman" w:hAnsi="Times New Roman" w:cs="Times New Roman"/>
            <w:color w:val="1155CC"/>
            <w:sz w:val="24"/>
            <w:szCs w:val="24"/>
            <w:highlight w:val="white"/>
            <w:u w:val="single"/>
          </w:rPr>
          <w:t>https://www.mdpi.com/2304-8158/9/2/132</w:t>
        </w:r>
      </w:hyperlink>
      <w:r>
        <w:rPr>
          <w:rFonts w:ascii="Times New Roman" w:eastAsia="Times New Roman" w:hAnsi="Times New Roman" w:cs="Times New Roman"/>
          <w:color w:val="222222"/>
          <w:sz w:val="24"/>
          <w:szCs w:val="24"/>
          <w:highlight w:val="white"/>
        </w:rPr>
        <w:t xml:space="preserve"> </w:t>
      </w:r>
    </w:p>
    <w:p w14:paraId="3AB08431"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Prause, L., </w:t>
      </w:r>
      <w:proofErr w:type="spellStart"/>
      <w:r>
        <w:rPr>
          <w:rFonts w:ascii="Times New Roman" w:eastAsia="Times New Roman" w:hAnsi="Times New Roman" w:cs="Times New Roman"/>
          <w:color w:val="222222"/>
          <w:sz w:val="24"/>
          <w:szCs w:val="24"/>
          <w:highlight w:val="white"/>
        </w:rPr>
        <w:t>Hackfort</w:t>
      </w:r>
      <w:proofErr w:type="spellEnd"/>
      <w:r>
        <w:rPr>
          <w:rFonts w:ascii="Times New Roman" w:eastAsia="Times New Roman" w:hAnsi="Times New Roman" w:cs="Times New Roman"/>
          <w:color w:val="222222"/>
          <w:sz w:val="24"/>
          <w:szCs w:val="24"/>
          <w:highlight w:val="white"/>
        </w:rPr>
        <w:t xml:space="preserve">, S. and Lindgren, M., 2021. Digitalization and the third food regime. </w:t>
      </w:r>
      <w:r>
        <w:rPr>
          <w:rFonts w:ascii="Times New Roman" w:eastAsia="Times New Roman" w:hAnsi="Times New Roman" w:cs="Times New Roman"/>
          <w:i/>
          <w:color w:val="222222"/>
          <w:sz w:val="24"/>
          <w:szCs w:val="24"/>
          <w:highlight w:val="white"/>
        </w:rPr>
        <w:t>Agriculture and human values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pp.641-655.</w:t>
      </w:r>
      <w:hyperlink r:id="rId46">
        <w:r>
          <w:rPr>
            <w:rFonts w:ascii="Times New Roman" w:eastAsia="Times New Roman" w:hAnsi="Times New Roman" w:cs="Times New Roman"/>
            <w:color w:val="1155CC"/>
            <w:sz w:val="24"/>
            <w:szCs w:val="24"/>
            <w:highlight w:val="white"/>
            <w:u w:val="single"/>
          </w:rPr>
          <w:t>https://link.springer.com/article/10.1007/s10460-020-10161-2</w:t>
        </w:r>
      </w:hyperlink>
      <w:r>
        <w:rPr>
          <w:rFonts w:ascii="Times New Roman" w:eastAsia="Times New Roman" w:hAnsi="Times New Roman" w:cs="Times New Roman"/>
          <w:color w:val="222222"/>
          <w:sz w:val="24"/>
          <w:szCs w:val="24"/>
          <w:highlight w:val="white"/>
        </w:rPr>
        <w:t xml:space="preserve"> </w:t>
      </w:r>
    </w:p>
    <w:p w14:paraId="20CC2531" w14:textId="77777777" w:rsidR="00162BCD" w:rsidRDefault="00000000">
      <w:pPr>
        <w:spacing w:before="240" w:after="240" w:line="360" w:lineRule="auto"/>
        <w:jc w:val="both"/>
        <w:rPr>
          <w:rFonts w:ascii="Times New Roman" w:eastAsia="Times New Roman" w:hAnsi="Times New Roman" w:cs="Times New Roman"/>
          <w:color w:val="1155CC"/>
          <w:sz w:val="24"/>
          <w:szCs w:val="24"/>
          <w:highlight w:val="white"/>
          <w:u w:val="single"/>
        </w:rPr>
      </w:pPr>
      <w:proofErr w:type="spellStart"/>
      <w:r>
        <w:rPr>
          <w:rFonts w:ascii="Times New Roman" w:eastAsia="Times New Roman" w:hAnsi="Times New Roman" w:cs="Times New Roman"/>
          <w:color w:val="222222"/>
          <w:sz w:val="24"/>
          <w:szCs w:val="24"/>
          <w:highlight w:val="white"/>
        </w:rPr>
        <w:lastRenderedPageBreak/>
        <w:t>Qutteina</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Hallez</w:t>
      </w:r>
      <w:proofErr w:type="spellEnd"/>
      <w:r>
        <w:rPr>
          <w:rFonts w:ascii="Times New Roman" w:eastAsia="Times New Roman" w:hAnsi="Times New Roman" w:cs="Times New Roman"/>
          <w:color w:val="222222"/>
          <w:sz w:val="24"/>
          <w:szCs w:val="24"/>
          <w:highlight w:val="white"/>
        </w:rPr>
        <w:t xml:space="preserve">, L., Mennes, N., De Backer, C. and Smits, T., 2019. What do adolescents see on social media? A diary study of food marketing images on social media.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p.2637.</w:t>
      </w:r>
      <w:hyperlink r:id="rId47">
        <w:r>
          <w:rPr>
            <w:rFonts w:ascii="Times New Roman" w:eastAsia="Times New Roman" w:hAnsi="Times New Roman" w:cs="Times New Roman"/>
            <w:color w:val="1155CC"/>
            <w:sz w:val="24"/>
            <w:szCs w:val="24"/>
            <w:highlight w:val="white"/>
            <w:u w:val="single"/>
          </w:rPr>
          <w:t>https://www.frontiersin.org/articles/10.3389/fpsyg.2019.02637/full</w:t>
        </w:r>
      </w:hyperlink>
    </w:p>
    <w:p w14:paraId="52BB9706"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Sadeghi, B., </w:t>
      </w:r>
      <w:proofErr w:type="spellStart"/>
      <w:r>
        <w:rPr>
          <w:rFonts w:ascii="Times New Roman" w:eastAsia="Times New Roman" w:hAnsi="Times New Roman" w:cs="Times New Roman"/>
          <w:color w:val="222222"/>
          <w:sz w:val="24"/>
          <w:szCs w:val="24"/>
          <w:highlight w:val="white"/>
        </w:rPr>
        <w:t>Borazjani</w:t>
      </w:r>
      <w:proofErr w:type="spellEnd"/>
      <w:r>
        <w:rPr>
          <w:rFonts w:ascii="Times New Roman" w:eastAsia="Times New Roman" w:hAnsi="Times New Roman" w:cs="Times New Roman"/>
          <w:color w:val="222222"/>
          <w:sz w:val="24"/>
          <w:szCs w:val="24"/>
          <w:highlight w:val="white"/>
        </w:rPr>
        <w:t xml:space="preserve">, M.A., Mardani, M., </w:t>
      </w:r>
      <w:proofErr w:type="spellStart"/>
      <w:r>
        <w:rPr>
          <w:rFonts w:ascii="Times New Roman" w:eastAsia="Times New Roman" w:hAnsi="Times New Roman" w:cs="Times New Roman"/>
          <w:color w:val="222222"/>
          <w:sz w:val="24"/>
          <w:szCs w:val="24"/>
          <w:highlight w:val="white"/>
        </w:rPr>
        <w:t>Ziaee</w:t>
      </w:r>
      <w:proofErr w:type="spellEnd"/>
      <w:r>
        <w:rPr>
          <w:rFonts w:ascii="Times New Roman" w:eastAsia="Times New Roman" w:hAnsi="Times New Roman" w:cs="Times New Roman"/>
          <w:color w:val="222222"/>
          <w:sz w:val="24"/>
          <w:szCs w:val="24"/>
          <w:highlight w:val="white"/>
        </w:rPr>
        <w:t xml:space="preserve">, S. and Mohammadi, H., 2023. Systemic management of water resources with environmental and climate change considerations. </w:t>
      </w:r>
      <w:r>
        <w:rPr>
          <w:rFonts w:ascii="Times New Roman" w:eastAsia="Times New Roman" w:hAnsi="Times New Roman" w:cs="Times New Roman"/>
          <w:i/>
          <w:color w:val="222222"/>
          <w:sz w:val="24"/>
          <w:szCs w:val="24"/>
          <w:highlight w:val="white"/>
        </w:rPr>
        <w:t>Water Resources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(6-7), pp.2543-2574.</w:t>
      </w:r>
      <w:hyperlink r:id="rId48">
        <w:r>
          <w:rPr>
            <w:rFonts w:ascii="Times New Roman" w:eastAsia="Times New Roman" w:hAnsi="Times New Roman" w:cs="Times New Roman"/>
            <w:color w:val="1155CC"/>
            <w:sz w:val="24"/>
            <w:szCs w:val="24"/>
            <w:highlight w:val="white"/>
            <w:u w:val="single"/>
          </w:rPr>
          <w:t>https://link.springer.com/article/10.1007/s11269-022-03388-7</w:t>
        </w:r>
      </w:hyperlink>
      <w:r>
        <w:rPr>
          <w:rFonts w:ascii="Times New Roman" w:eastAsia="Times New Roman" w:hAnsi="Times New Roman" w:cs="Times New Roman"/>
          <w:color w:val="222222"/>
          <w:sz w:val="24"/>
          <w:szCs w:val="24"/>
          <w:highlight w:val="white"/>
        </w:rPr>
        <w:t xml:space="preserve"> </w:t>
      </w:r>
    </w:p>
    <w:p w14:paraId="019DB34D"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Schermerhorn Jr, J.R. and Bachrach, D.G., 2023. Management. John Wiley &amp; Sons.</w:t>
      </w:r>
      <w:hyperlink r:id="rId49">
        <w:r>
          <w:rPr>
            <w:rFonts w:ascii="Times New Roman" w:eastAsia="Times New Roman" w:hAnsi="Times New Roman" w:cs="Times New Roman"/>
            <w:color w:val="1155CC"/>
            <w:sz w:val="24"/>
            <w:szCs w:val="24"/>
            <w:highlight w:val="white"/>
            <w:u w:val="single"/>
          </w:rPr>
          <w:t>https://moh.gov.my/moh/resources/Penerbitan/CPG/Respiratory/QR_Management_of_EVALI_for_Online_Publication.pdf</w:t>
        </w:r>
      </w:hyperlink>
      <w:r>
        <w:rPr>
          <w:rFonts w:ascii="Times New Roman" w:eastAsia="Times New Roman" w:hAnsi="Times New Roman" w:cs="Times New Roman"/>
          <w:color w:val="222222"/>
          <w:sz w:val="24"/>
          <w:szCs w:val="24"/>
          <w:highlight w:val="white"/>
        </w:rPr>
        <w:t xml:space="preserve"> </w:t>
      </w:r>
    </w:p>
    <w:p w14:paraId="19F43697"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Steiss</w:t>
      </w:r>
      <w:proofErr w:type="spellEnd"/>
      <w:r>
        <w:rPr>
          <w:rFonts w:ascii="Times New Roman" w:eastAsia="Times New Roman" w:hAnsi="Times New Roman" w:cs="Times New Roman"/>
          <w:color w:val="222222"/>
          <w:sz w:val="24"/>
          <w:szCs w:val="24"/>
          <w:highlight w:val="white"/>
        </w:rPr>
        <w:t>, A.W., 2019. Strategic management for public and nonprofit organizations. Routledge.</w:t>
      </w:r>
      <w:hyperlink r:id="rId50">
        <w:r>
          <w:rPr>
            <w:rFonts w:ascii="Times New Roman" w:eastAsia="Times New Roman" w:hAnsi="Times New Roman" w:cs="Times New Roman"/>
            <w:color w:val="1155CC"/>
            <w:sz w:val="24"/>
            <w:szCs w:val="24"/>
            <w:highlight w:val="white"/>
            <w:u w:val="single"/>
          </w:rPr>
          <w:t>http://elibrary.gci.edu.np:8080/bitstream/123456789/549/1/BM-295%5BSteiss_A.W.%5D_Strategic_Management_for_Public_and_.pdf</w:t>
        </w:r>
      </w:hyperlink>
      <w:r>
        <w:rPr>
          <w:rFonts w:ascii="Times New Roman" w:eastAsia="Times New Roman" w:hAnsi="Times New Roman" w:cs="Times New Roman"/>
          <w:color w:val="222222"/>
          <w:sz w:val="24"/>
          <w:szCs w:val="24"/>
          <w:highlight w:val="white"/>
        </w:rPr>
        <w:t xml:space="preserve"> </w:t>
      </w:r>
    </w:p>
    <w:p w14:paraId="48DEF960"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Stewart, G.L. and Brown, K.G., 2019. Human resource management. John Wiley &amp; Sons.</w:t>
      </w:r>
      <w:hyperlink r:id="rId51" w:anchor="v=onepage&amp;q=Strategic%20Management&amp;f=false">
        <w:r>
          <w:rPr>
            <w:rFonts w:ascii="Times New Roman" w:eastAsia="Times New Roman" w:hAnsi="Times New Roman" w:cs="Times New Roman"/>
            <w:color w:val="1155CC"/>
            <w:sz w:val="24"/>
            <w:szCs w:val="24"/>
            <w:highlight w:val="white"/>
            <w:u w:val="single"/>
          </w:rPr>
          <w:t>https://books.google.co.in/books?hl=en&amp;lr=&amp;id=53eYDwAAQBAJ&amp;oi=fnd&amp;pg=PA2&amp;dq=Strategic+Management&amp;ots=XGsFqcsb7o&amp;sig=i3rXW5k6vVFqtX1QSqDjTYJ63nc&amp;redir_esc=y#v=onepage&amp;q=Strategic%20Management&amp;f=false</w:t>
        </w:r>
      </w:hyperlink>
      <w:r>
        <w:rPr>
          <w:rFonts w:ascii="Times New Roman" w:eastAsia="Times New Roman" w:hAnsi="Times New Roman" w:cs="Times New Roman"/>
          <w:color w:val="222222"/>
          <w:sz w:val="24"/>
          <w:szCs w:val="24"/>
          <w:highlight w:val="white"/>
        </w:rPr>
        <w:t xml:space="preserve"> </w:t>
      </w:r>
    </w:p>
    <w:p w14:paraId="2D11B7E6" w14:textId="77777777" w:rsidR="00162BCD"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Teece, D.J., 2019. A capability theory of the firm: an economics and (strategic) management perspective. New Zealand Economic Papers, 53(1), pp.1-43.</w:t>
      </w:r>
      <w:hyperlink r:id="rId52">
        <w:r>
          <w:rPr>
            <w:rFonts w:ascii="Times New Roman" w:eastAsia="Times New Roman" w:hAnsi="Times New Roman" w:cs="Times New Roman"/>
            <w:color w:val="1155CC"/>
            <w:sz w:val="24"/>
            <w:szCs w:val="24"/>
            <w:highlight w:val="white"/>
            <w:u w:val="single"/>
          </w:rPr>
          <w:t>https://www.tandfonline.com/doi/pdf/10.1080/00779954.2017.1371208</w:t>
        </w:r>
      </w:hyperlink>
      <w:r>
        <w:rPr>
          <w:rFonts w:ascii="Times New Roman" w:eastAsia="Times New Roman" w:hAnsi="Times New Roman" w:cs="Times New Roman"/>
          <w:color w:val="222222"/>
          <w:sz w:val="24"/>
          <w:szCs w:val="24"/>
          <w:highlight w:val="white"/>
        </w:rPr>
        <w:t xml:space="preserve"> </w:t>
      </w:r>
    </w:p>
    <w:p w14:paraId="1BC8B073"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Verevka</w:t>
      </w:r>
      <w:proofErr w:type="spellEnd"/>
      <w:r>
        <w:rPr>
          <w:rFonts w:ascii="Times New Roman" w:eastAsia="Times New Roman" w:hAnsi="Times New Roman" w:cs="Times New Roman"/>
          <w:color w:val="222222"/>
          <w:sz w:val="24"/>
          <w:szCs w:val="24"/>
          <w:highlight w:val="white"/>
        </w:rPr>
        <w:t xml:space="preserve">, T.V., 2019. Development of industry 4.0 in the hotel and restaurant business. </w:t>
      </w:r>
      <w:r>
        <w:rPr>
          <w:rFonts w:ascii="Times New Roman" w:eastAsia="Times New Roman" w:hAnsi="Times New Roman" w:cs="Times New Roman"/>
          <w:i/>
          <w:color w:val="222222"/>
          <w:sz w:val="24"/>
          <w:szCs w:val="24"/>
          <w:highlight w:val="white"/>
        </w:rPr>
        <w:t>IBIMA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324071</w:t>
      </w:r>
      <w:r>
        <w:rPr>
          <w:rFonts w:ascii="Times New Roman" w:eastAsia="Times New Roman" w:hAnsi="Times New Roman" w:cs="Times New Roman"/>
          <w:color w:val="222222"/>
          <w:sz w:val="24"/>
          <w:szCs w:val="24"/>
          <w:highlight w:val="white"/>
        </w:rPr>
        <w:t>.</w:t>
      </w:r>
      <w:hyperlink r:id="rId53">
        <w:r>
          <w:rPr>
            <w:rFonts w:ascii="Times New Roman" w:eastAsia="Times New Roman" w:hAnsi="Times New Roman" w:cs="Times New Roman"/>
            <w:color w:val="1155CC"/>
            <w:sz w:val="24"/>
            <w:szCs w:val="24"/>
            <w:highlight w:val="white"/>
            <w:u w:val="single"/>
          </w:rPr>
          <w:t>https://ibimapublishing.com/articles/IBIMABR/2019/324071/324071.pdf</w:t>
        </w:r>
      </w:hyperlink>
      <w:r>
        <w:rPr>
          <w:rFonts w:ascii="Times New Roman" w:eastAsia="Times New Roman" w:hAnsi="Times New Roman" w:cs="Times New Roman"/>
          <w:color w:val="222222"/>
          <w:sz w:val="24"/>
          <w:szCs w:val="24"/>
          <w:highlight w:val="white"/>
        </w:rPr>
        <w:t xml:space="preserve"> </w:t>
      </w:r>
    </w:p>
    <w:p w14:paraId="7D25E099"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Wellner, S. and </w:t>
      </w:r>
      <w:proofErr w:type="spellStart"/>
      <w:r>
        <w:rPr>
          <w:rFonts w:ascii="Times New Roman" w:eastAsia="Times New Roman" w:hAnsi="Times New Roman" w:cs="Times New Roman"/>
          <w:color w:val="222222"/>
          <w:sz w:val="24"/>
          <w:szCs w:val="24"/>
          <w:highlight w:val="white"/>
        </w:rPr>
        <w:t>Lakotta</w:t>
      </w:r>
      <w:proofErr w:type="spellEnd"/>
      <w:r>
        <w:rPr>
          <w:rFonts w:ascii="Times New Roman" w:eastAsia="Times New Roman" w:hAnsi="Times New Roman" w:cs="Times New Roman"/>
          <w:color w:val="222222"/>
          <w:sz w:val="24"/>
          <w:szCs w:val="24"/>
          <w:highlight w:val="white"/>
        </w:rPr>
        <w:t xml:space="preserve">, J., 2020. Porter's Five Forces in the German railway industry. </w:t>
      </w:r>
      <w:r>
        <w:rPr>
          <w:rFonts w:ascii="Times New Roman" w:eastAsia="Times New Roman" w:hAnsi="Times New Roman" w:cs="Times New Roman"/>
          <w:i/>
          <w:color w:val="222222"/>
          <w:sz w:val="24"/>
          <w:szCs w:val="24"/>
          <w:highlight w:val="white"/>
        </w:rPr>
        <w:t>Journal of Rail Transport Planning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p.100181.</w:t>
      </w:r>
      <w:hyperlink r:id="rId54">
        <w:r>
          <w:rPr>
            <w:rFonts w:ascii="Times New Roman" w:eastAsia="Times New Roman" w:hAnsi="Times New Roman" w:cs="Times New Roman"/>
            <w:color w:val="1155CC"/>
            <w:sz w:val="24"/>
            <w:szCs w:val="24"/>
            <w:highlight w:val="white"/>
            <w:u w:val="single"/>
          </w:rPr>
          <w:t>https://www.sciencedirect.com/science/article/abs/pii/S2210970618300891</w:t>
        </w:r>
      </w:hyperlink>
      <w:r>
        <w:rPr>
          <w:rFonts w:ascii="Times New Roman" w:eastAsia="Times New Roman" w:hAnsi="Times New Roman" w:cs="Times New Roman"/>
          <w:color w:val="222222"/>
          <w:sz w:val="24"/>
          <w:szCs w:val="24"/>
          <w:highlight w:val="white"/>
        </w:rPr>
        <w:t xml:space="preserve"> </w:t>
      </w:r>
    </w:p>
    <w:p w14:paraId="31264FF5" w14:textId="77777777" w:rsidR="00162BCD"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Wood, B., Williams, O., Nagarajan, V. and Sacks, G., 2021. Market strategies used by processed food manufacturers to increase and consolidate their power: a systematic review and document analysis. </w:t>
      </w:r>
      <w:r>
        <w:rPr>
          <w:rFonts w:ascii="Times New Roman" w:eastAsia="Times New Roman" w:hAnsi="Times New Roman" w:cs="Times New Roman"/>
          <w:i/>
          <w:color w:val="222222"/>
          <w:sz w:val="24"/>
          <w:szCs w:val="24"/>
          <w:highlight w:val="white"/>
        </w:rPr>
        <w:t>Globalization and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pp.1-23.</w:t>
      </w:r>
      <w:hyperlink r:id="rId55">
        <w:r>
          <w:rPr>
            <w:rFonts w:ascii="Times New Roman" w:eastAsia="Times New Roman" w:hAnsi="Times New Roman" w:cs="Times New Roman"/>
            <w:color w:val="1155CC"/>
            <w:sz w:val="24"/>
            <w:szCs w:val="24"/>
            <w:highlight w:val="white"/>
            <w:u w:val="single"/>
          </w:rPr>
          <w:t>https://globalizationandhealth.biomedcentral.com/articles/10.1186/s12992-021-00667-7</w:t>
        </w:r>
      </w:hyperlink>
      <w:r>
        <w:rPr>
          <w:rFonts w:ascii="Times New Roman" w:eastAsia="Times New Roman" w:hAnsi="Times New Roman" w:cs="Times New Roman"/>
          <w:color w:val="222222"/>
          <w:sz w:val="24"/>
          <w:szCs w:val="24"/>
          <w:highlight w:val="white"/>
        </w:rPr>
        <w:t xml:space="preserve"> </w:t>
      </w:r>
    </w:p>
    <w:p w14:paraId="25D645F1" w14:textId="77777777" w:rsidR="005A7502" w:rsidRDefault="005A7502">
      <w:pPr>
        <w:spacing w:line="360" w:lineRule="auto"/>
        <w:jc w:val="both"/>
        <w:rPr>
          <w:rFonts w:ascii="Times New Roman" w:eastAsia="Times New Roman" w:hAnsi="Times New Roman" w:cs="Times New Roman"/>
          <w:color w:val="222222"/>
          <w:sz w:val="24"/>
          <w:szCs w:val="24"/>
          <w:highlight w:val="white"/>
        </w:rPr>
      </w:pPr>
    </w:p>
    <w:p w14:paraId="28460385" w14:textId="77777777" w:rsidR="005A7502" w:rsidRDefault="005A7502">
      <w:pPr>
        <w:spacing w:line="360" w:lineRule="auto"/>
        <w:jc w:val="both"/>
        <w:rPr>
          <w:rFonts w:ascii="Times New Roman" w:eastAsia="Times New Roman" w:hAnsi="Times New Roman" w:cs="Times New Roman"/>
          <w:color w:val="222222"/>
          <w:sz w:val="24"/>
          <w:szCs w:val="24"/>
          <w:highlight w:val="white"/>
        </w:rPr>
      </w:pPr>
    </w:p>
    <w:sectPr w:rsidR="005A7502">
      <w:headerReference w:type="default" r:id="rId56"/>
      <w:headerReference w:type="first" r:id="rId5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7F971" w14:textId="77777777" w:rsidR="00240851" w:rsidRDefault="00240851">
      <w:pPr>
        <w:spacing w:after="0" w:line="240" w:lineRule="auto"/>
      </w:pPr>
      <w:r>
        <w:separator/>
      </w:r>
    </w:p>
  </w:endnote>
  <w:endnote w:type="continuationSeparator" w:id="0">
    <w:p w14:paraId="42CE8D21" w14:textId="77777777" w:rsidR="00240851" w:rsidRDefault="00240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22DD8" w14:textId="77777777" w:rsidR="00240851" w:rsidRDefault="00240851">
      <w:pPr>
        <w:spacing w:after="0" w:line="240" w:lineRule="auto"/>
      </w:pPr>
      <w:r>
        <w:separator/>
      </w:r>
    </w:p>
  </w:footnote>
  <w:footnote w:type="continuationSeparator" w:id="0">
    <w:p w14:paraId="75D71A48" w14:textId="77777777" w:rsidR="00240851" w:rsidRDefault="002408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71B33" w14:textId="77777777" w:rsidR="005A7502" w:rsidRDefault="00000000">
    <w:pPr>
      <w:spacing w:line="360" w:lineRule="auto"/>
      <w:ind w:left="79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162BCD">
      <w:rPr>
        <w:rFonts w:ascii="Times New Roman" w:eastAsia="Times New Roman" w:hAnsi="Times New Roman" w:cs="Times New Roman"/>
        <w:noProof/>
        <w:sz w:val="24"/>
        <w:szCs w:val="24"/>
      </w:rPr>
      <w:t>29</w:t>
    </w:r>
    <w:r>
      <w:rPr>
        <w:rFonts w:ascii="Times New Roman" w:eastAsia="Times New Roman" w:hAnsi="Times New Roman" w:cs="Times New Roman"/>
        <w:sz w:val="24"/>
        <w:szCs w:val="24"/>
      </w:rPr>
      <w:fldChar w:fldCharType="end"/>
    </w:r>
  </w:p>
  <w:p w14:paraId="119B5935" w14:textId="77777777" w:rsidR="005A7502" w:rsidRDefault="005A7502">
    <w:pPr>
      <w:spacing w:line="360" w:lineRule="auto"/>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A0C67" w14:textId="77777777" w:rsidR="005A7502" w:rsidRDefault="005A750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314D"/>
    <w:multiLevelType w:val="multilevel"/>
    <w:tmpl w:val="3AF8993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31F6457"/>
    <w:multiLevelType w:val="multilevel"/>
    <w:tmpl w:val="3D7E72F6"/>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3CB64B74"/>
    <w:multiLevelType w:val="multilevel"/>
    <w:tmpl w:val="BA9A4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AC2F64"/>
    <w:multiLevelType w:val="multilevel"/>
    <w:tmpl w:val="88B400B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673B7C8C"/>
    <w:multiLevelType w:val="multilevel"/>
    <w:tmpl w:val="A9386666"/>
    <w:lvl w:ilvl="0">
      <w:start w:val="1"/>
      <w:numFmt w:val="decimal"/>
      <w:lvlText w:val="%1."/>
      <w:lvlJc w:val="left"/>
      <w:pPr>
        <w:ind w:left="720" w:hanging="360"/>
      </w:p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67545EA8"/>
    <w:multiLevelType w:val="multilevel"/>
    <w:tmpl w:val="3D903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86081">
    <w:abstractNumId w:val="1"/>
  </w:num>
  <w:num w:numId="2" w16cid:durableId="2107915946">
    <w:abstractNumId w:val="4"/>
  </w:num>
  <w:num w:numId="3" w16cid:durableId="1224029707">
    <w:abstractNumId w:val="5"/>
  </w:num>
  <w:num w:numId="4" w16cid:durableId="287900406">
    <w:abstractNumId w:val="3"/>
  </w:num>
  <w:num w:numId="5" w16cid:durableId="968753216">
    <w:abstractNumId w:val="0"/>
  </w:num>
  <w:num w:numId="6" w16cid:durableId="13682620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502"/>
    <w:rsid w:val="000E6C16"/>
    <w:rsid w:val="00162BCD"/>
    <w:rsid w:val="00240851"/>
    <w:rsid w:val="005A7502"/>
    <w:rsid w:val="00650732"/>
    <w:rsid w:val="00AF10DB"/>
    <w:rsid w:val="00FA3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B629D"/>
  <w15:docId w15:val="{6EA6F470-859D-479A-AEA1-EED3AA683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both"/>
    </w:pPr>
    <w:rPr>
      <w:rFonts w:ascii="Times New Roman" w:eastAsia="Times New Roman" w:hAnsi="Times New Roman" w:cs="Times New Roman"/>
      <w:b/>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5" w:type="dxa"/>
        <w:left w:w="15" w:type="dxa"/>
        <w:bottom w:w="15" w:type="dxa"/>
        <w:right w:w="15" w:type="dxa"/>
      </w:tblCellMar>
    </w:tblPr>
  </w:style>
  <w:style w:type="table" w:customStyle="1" w:styleId="a2">
    <w:name w:val="a2"/>
    <w:basedOn w:val="TableNormal"/>
    <w:tblPr>
      <w:tblStyleRowBandSize w:val="1"/>
      <w:tblStyleColBandSize w:val="1"/>
      <w:tblCellMar>
        <w:top w:w="15" w:type="dxa"/>
        <w:left w:w="15" w:type="dxa"/>
        <w:bottom w:w="15" w:type="dxa"/>
        <w:right w:w="15" w:type="dxa"/>
      </w:tblCellMar>
    </w:tblPr>
  </w:style>
  <w:style w:type="table" w:customStyle="1" w:styleId="a3">
    <w:name w:val="a3"/>
    <w:basedOn w:val="TableNormal"/>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FA3D8F"/>
    <w:pPr>
      <w:spacing w:after="100"/>
    </w:pPr>
  </w:style>
  <w:style w:type="paragraph" w:styleId="TOC2">
    <w:name w:val="toc 2"/>
    <w:basedOn w:val="Normal"/>
    <w:next w:val="Normal"/>
    <w:autoRedefine/>
    <w:uiPriority w:val="39"/>
    <w:unhideWhenUsed/>
    <w:rsid w:val="00FA3D8F"/>
    <w:pPr>
      <w:spacing w:after="100"/>
      <w:ind w:left="220"/>
    </w:pPr>
  </w:style>
  <w:style w:type="character" w:styleId="Hyperlink">
    <w:name w:val="Hyperlink"/>
    <w:basedOn w:val="DefaultParagraphFont"/>
    <w:uiPriority w:val="99"/>
    <w:unhideWhenUsed/>
    <w:rsid w:val="00FA3D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elibrary.gci.edu.np/bitstream/123456789/674/1/BM-722%20Innovation%20manaement%20strategies%2C%20implementation%20and%20profits%20by%20Afuah%2C%20Allan.pdf" TargetMode="External"/><Relationship Id="rId18" Type="http://schemas.openxmlformats.org/officeDocument/2006/relationships/hyperlink" Target="https://journals.sagepub.com/doi/pdf/10.1177/0008125619885150" TargetMode="External"/><Relationship Id="rId26" Type="http://schemas.openxmlformats.org/officeDocument/2006/relationships/hyperlink" Target="https://books.google.co.in/books?hl=en&amp;lr=&amp;id=IiJfEAAAQBAJ&amp;oi=fnd&amp;pg=PT7&amp;dq=strategic+management&amp;ots=_P5OrZEds8&amp;sig=Ow7hknikfA4Hj9ddYooBel9HYQg&amp;redir_esc=y" TargetMode="External"/><Relationship Id="rId39" Type="http://schemas.openxmlformats.org/officeDocument/2006/relationships/hyperlink" Target="http://repository.psa.edu.my/bitstream/123456789/2055/1/%28326%29%202018_Book_CustomerRelationshipManagement.pdf" TargetMode="External"/><Relationship Id="rId21" Type="http://schemas.openxmlformats.org/officeDocument/2006/relationships/hyperlink" Target="https://www.mdpi.com/2071-1050/12/9/3916" TargetMode="External"/><Relationship Id="rId34" Type="http://schemas.openxmlformats.org/officeDocument/2006/relationships/hyperlink" Target="https://ijsr.internationaljournallabs.com/index.php/ijsr/article/view/5" TargetMode="External"/><Relationship Id="rId42" Type="http://schemas.openxmlformats.org/officeDocument/2006/relationships/hyperlink" Target="https://www.mdpi.com/2071-1050/13/1/40" TargetMode="External"/><Relationship Id="rId47" Type="http://schemas.openxmlformats.org/officeDocument/2006/relationships/hyperlink" Target="https://www.frontiersin.org/articles/10.3389/fpsyg.2019.02637/full" TargetMode="External"/><Relationship Id="rId50" Type="http://schemas.openxmlformats.org/officeDocument/2006/relationships/hyperlink" Target="http://elibrary.gci.edu.np:8080/bitstream/123456789/549/1/BM-295%5BSteiss_A.W.%5D_Strategic_Management_for_Public_and_.pdf" TargetMode="External"/><Relationship Id="rId55" Type="http://schemas.openxmlformats.org/officeDocument/2006/relationships/hyperlink" Target="https://globalizationandhealth.biomedcentral.com/articles/10.1186/s12992-021-00667-7" TargetMode="External"/><Relationship Id="rId7" Type="http://schemas.openxmlformats.org/officeDocument/2006/relationships/image" Target="media/image1.png"/><Relationship Id="rId12" Type="http://schemas.openxmlformats.org/officeDocument/2006/relationships/hyperlink" Target="https://books.google.co.in/books?hl=en&amp;lr=&amp;id=_TDaEAAAQBAJ&amp;oi=fnd&amp;pg=IA2&amp;dq=Strategic+Management&amp;ots=uEgyBoRfeJ&amp;sig=ODEXlErIZgETwn9sLkmtqpHxDhk&amp;redir_esc=y" TargetMode="External"/><Relationship Id="rId17" Type="http://schemas.openxmlformats.org/officeDocument/2006/relationships/hyperlink" Target="https://thuvienso.hoasen.edu.vn/handle/123456789/12806" TargetMode="External"/><Relationship Id="rId25" Type="http://schemas.openxmlformats.org/officeDocument/2006/relationships/hyperlink" Target="https://www.mdpi.com/2076-2615/10/2/222" TargetMode="External"/><Relationship Id="rId33" Type="http://schemas.openxmlformats.org/officeDocument/2006/relationships/hyperlink" Target="https://www.timreview.ca/article/1366" TargetMode="External"/><Relationship Id="rId38" Type="http://schemas.openxmlformats.org/officeDocument/2006/relationships/hyperlink" Target="https://journals.sagepub.com/doi/full/10.1177/0149206320945028" TargetMode="External"/><Relationship Id="rId46" Type="http://schemas.openxmlformats.org/officeDocument/2006/relationships/hyperlink" Target="https://link.springer.com/article/10.1007/s10460-020-10161-2"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in/books?hl=en&amp;lr=&amp;id=YSt1DwAAQBAJ&amp;oi=fnd&amp;pg=PR9&amp;dq=Strategic+Management&amp;ots=qUHvcww1py&amp;sig=ShPugFvQ7RGTM8AV45fyu3NzqFg&amp;redir_esc=y" TargetMode="External"/><Relationship Id="rId20" Type="http://schemas.openxmlformats.org/officeDocument/2006/relationships/hyperlink" Target="https://www.sciencedirect.com/science/article/pii/S0278431920302759" TargetMode="External"/><Relationship Id="rId29" Type="http://schemas.openxmlformats.org/officeDocument/2006/relationships/hyperlink" Target="https://thuvienso.hoasen.edu.vn/bitstream/handle/123456789/13211/Contents.pdf?sequence=1&amp;isAllowed=y" TargetMode="External"/><Relationship Id="rId41" Type="http://schemas.openxmlformats.org/officeDocument/2006/relationships/hyperlink" Target="https://www.sciencedirect.com/science/article/abs/pii/S0278612520301412" TargetMode="External"/><Relationship Id="rId54" Type="http://schemas.openxmlformats.org/officeDocument/2006/relationships/hyperlink" Target="https://www.sciencedirect.com/science/article/abs/pii/S22109706183008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encedirect.com/science/article/pii/S0099133320301105" TargetMode="External"/><Relationship Id="rId32" Type="http://schemas.openxmlformats.org/officeDocument/2006/relationships/hyperlink" Target="http://elibrary.gci.edu.np/bitstream/123456789/718/1/BM%20-542%20Essentials%20of%20Strategic%20Management%2C%205th%20Edition%20by%20J.%20David%20Hunger%2C%20Thomas%20L.%20Wheelen.pdf" TargetMode="External"/><Relationship Id="rId37" Type="http://schemas.openxmlformats.org/officeDocument/2006/relationships/hyperlink" Target="https://journals.plos.org/water/article?id=10.1371/journal.pwat.0000046" TargetMode="External"/><Relationship Id="rId40" Type="http://schemas.openxmlformats.org/officeDocument/2006/relationships/hyperlink" Target="https://books.google.co.in/books?hl=en&amp;lr=&amp;id=i71dDwAAQBAJ&amp;oi=fnd&amp;pg=PT17&amp;dq=Strategic+Management&amp;ots=gIhaxcLoel&amp;sig=5lXXKk1lnqrgFbhES2SJ5t2sNtg&amp;redir_esc=y" TargetMode="External"/><Relationship Id="rId45" Type="http://schemas.openxmlformats.org/officeDocument/2006/relationships/hyperlink" Target="https://www.mdpi.com/2304-8158/9/2/132" TargetMode="External"/><Relationship Id="rId53" Type="http://schemas.openxmlformats.org/officeDocument/2006/relationships/hyperlink" Target="https://ibimapublishing.com/articles/IBIMABR/2019/324071/324071.pdf"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abs/pii/S0019850121000055" TargetMode="External"/><Relationship Id="rId23" Type="http://schemas.openxmlformats.org/officeDocument/2006/relationships/hyperlink" Target="https://opus.lib.uts.edu.au/bitstream/10453/77487/1/Strategy%20Theory%20and%20Practice%20second%20edition%202017.pdf" TargetMode="External"/><Relationship Id="rId28" Type="http://schemas.openxmlformats.org/officeDocument/2006/relationships/hyperlink" Target="http://dspace.vnbrims.org:13000/jspui/bitstream/123456789/4407/1/Strategic%20Human%20Resource%20Management%20view.pdf" TargetMode="External"/><Relationship Id="rId36" Type="http://schemas.openxmlformats.org/officeDocument/2006/relationships/hyperlink" Target="https://www.sciencedirect.com/science/article/pii/S2666154320300144" TargetMode="External"/><Relationship Id="rId49" Type="http://schemas.openxmlformats.org/officeDocument/2006/relationships/hyperlink" Target="https://moh.gov.my/moh/resources/Penerbitan/CPG/Respiratory/QR_Management_of_EVALI_for_Online_Publication.pdf" TargetMode="External"/><Relationship Id="rId57"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www.tandfonline.com/doi/pdf/10.1080/09585192.2017.1380063" TargetMode="External"/><Relationship Id="rId31" Type="http://schemas.openxmlformats.org/officeDocument/2006/relationships/hyperlink" Target="http://portal.belesparadisecollege.edu.et:8080/library/bitstream/123456789/1761/1/26.strategic-management-hill-melson.pdf" TargetMode="External"/><Relationship Id="rId44" Type="http://schemas.openxmlformats.org/officeDocument/2006/relationships/hyperlink" Target="https://www.ceeol.com/search/chapter-detail?id=1022070" TargetMode="External"/><Relationship Id="rId52" Type="http://schemas.openxmlformats.org/officeDocument/2006/relationships/hyperlink" Target="https://www.tandfonline.com/doi/pdf/10.1080/00779954.2017.137120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eeexplore.ieee.org/abstract/document/8843928/" TargetMode="External"/><Relationship Id="rId22" Type="http://schemas.openxmlformats.org/officeDocument/2006/relationships/hyperlink" Target="https://www.sciencedirect.com/science/article/abs/pii/S0969698919310793" TargetMode="External"/><Relationship Id="rId27" Type="http://schemas.openxmlformats.org/officeDocument/2006/relationships/hyperlink" Target="https://www.hindawi.com/journals/je/2020/6253013/" TargetMode="External"/><Relationship Id="rId30" Type="http://schemas.openxmlformats.org/officeDocument/2006/relationships/hyperlink" Target="https://books.google.co.in/books?hl=en&amp;lr=&amp;id=M7wyEAAAQBAJ&amp;oi=fnd&amp;pg=PP1&amp;dq=Strategic+Management&amp;ots=Z4s0vghFxw&amp;sig=T2sWc_GmydA_zI4oYz3YwfY1Pow&amp;redir_esc=y" TargetMode="External"/><Relationship Id="rId35" Type="http://schemas.openxmlformats.org/officeDocument/2006/relationships/hyperlink" Target="https://www.academia.edu/download/64941929/Exploring_Strategy_Text_and_Cases_PDFDrive_.pdf" TargetMode="External"/><Relationship Id="rId43" Type="http://schemas.openxmlformats.org/officeDocument/2006/relationships/hyperlink" Target="https://www.taylorfrancis.com/chapters/edit/10.4324/9781315074405-200/application-technology-diffusion-models-forecast-long-term-pv-market-penetration-andrea-masini-paolo-frankl" TargetMode="External"/><Relationship Id="rId48" Type="http://schemas.openxmlformats.org/officeDocument/2006/relationships/hyperlink" Target="https://link.springer.com/article/10.1007/s11269-022-03388-7" TargetMode="External"/><Relationship Id="rId56"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books.google.co.in/books?hl=en&amp;lr=&amp;id=53eYDwAAQBAJ&amp;oi=fnd&amp;pg=PA2&amp;dq=Strategic+Management&amp;ots=XGsFqcsb7o&amp;sig=i3rXW5k6vVFqtX1QSqDjTYJ63nc&amp;redir_esc=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34</Pages>
  <Words>8354</Words>
  <Characters>47621</Characters>
  <Application>Microsoft Office Word</Application>
  <DocSecurity>0</DocSecurity>
  <Lines>396</Lines>
  <Paragraphs>111</Paragraphs>
  <ScaleCrop>false</ScaleCrop>
  <Company/>
  <LinksUpToDate>false</LinksUpToDate>
  <CharactersWithSpaces>55864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Dev Dasgupta</cp:lastModifiedBy>
  <cp:revision>4</cp:revision>
  <dcterms:created xsi:type="dcterms:W3CDTF">2023-12-14T07:53:00Z</dcterms:created>
  <dcterms:modified xsi:type="dcterms:W3CDTF">2023-12-19T14:27:00Z</dcterms:modified>
</cp:coreProperties>
</file>