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5926" w:rsidP="3F6CE971" w:rsidRDefault="4883C426" w14:paraId="7A9823E3" w14:textId="77777777">
      <w:pPr>
        <w:jc w:val="center"/>
        <w:rPr>
          <w:rFonts w:ascii="Times New Roman" w:hAnsi="Times New Roman" w:eastAsia="Times New Roman" w:cs="Times New Roman"/>
          <w:b w:val="1"/>
          <w:bCs w:val="1"/>
          <w:color w:val="auto"/>
        </w:rPr>
      </w:pPr>
      <w:r w:rsidRPr="3F6CE971" w:rsidR="3F6CE971">
        <w:rPr>
          <w:rFonts w:ascii="Times New Roman" w:hAnsi="Times New Roman" w:eastAsia="Times New Roman" w:cs="Times New Roman"/>
          <w:b w:val="1"/>
          <w:bCs w:val="1"/>
          <w:color w:val="auto"/>
        </w:rPr>
        <w:t xml:space="preserve">Critically evaluate whether the ‘Brexit’ vote was influenced by intergroup attitudes. </w:t>
      </w:r>
    </w:p>
    <w:p w:rsidR="00895DD5" w:rsidP="3F6CE971" w:rsidRDefault="00895DD5" w14:paraId="59084EC7" w14:textId="39A5C017">
      <w:pPr>
        <w:rPr>
          <w:rFonts w:ascii="Times New Roman" w:hAnsi="Times New Roman" w:eastAsia="Times New Roman" w:cs="Times New Roman"/>
          <w:color w:val="auto"/>
        </w:rPr>
      </w:pPr>
    </w:p>
    <w:p w:rsidR="4883C426" w:rsidP="3F6CE971" w:rsidRDefault="4883C426" w14:paraId="61B7159E" w14:textId="4FE0A00C">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On the 23</w:t>
      </w:r>
      <w:r w:rsidRPr="3F6CE971" w:rsidR="3F6CE971">
        <w:rPr>
          <w:rFonts w:ascii="Times New Roman" w:hAnsi="Times New Roman" w:eastAsia="Times New Roman" w:cs="Times New Roman"/>
          <w:color w:val="auto"/>
          <w:sz w:val="24"/>
          <w:szCs w:val="24"/>
          <w:vertAlign w:val="superscript"/>
        </w:rPr>
        <w:t>rd</w:t>
      </w:r>
      <w:r w:rsidRPr="3F6CE971" w:rsidR="3F6CE971">
        <w:rPr>
          <w:rFonts w:ascii="Times New Roman" w:hAnsi="Times New Roman" w:eastAsia="Times New Roman" w:cs="Times New Roman"/>
          <w:color w:val="auto"/>
          <w:sz w:val="24"/>
          <w:szCs w:val="24"/>
        </w:rPr>
        <w:t xml:space="preserve"> of June 2016, the public of the United Kingdom (U.K.) voted to leave the European Union (E.U.) with a majority vote of 52% in favour to leave in the British-European referendum</w:t>
      </w:r>
      <w:r w:rsidRPr="3F6CE971" w:rsidR="3F6CE971">
        <w:rPr>
          <w:rFonts w:ascii="Times New Roman" w:hAnsi="Times New Roman" w:eastAsia="Times New Roman" w:cs="Times New Roman"/>
          <w:color w:val="auto"/>
          <w:sz w:val="24"/>
          <w:szCs w:val="24"/>
        </w:rPr>
        <w:t>:</w:t>
      </w:r>
      <w:r w:rsidRPr="3F6CE971" w:rsidR="3F6CE971">
        <w:rPr>
          <w:rFonts w:ascii="Times New Roman" w:hAnsi="Times New Roman" w:eastAsia="Times New Roman" w:cs="Times New Roman"/>
          <w:color w:val="auto"/>
          <w:sz w:val="24"/>
          <w:szCs w:val="24"/>
        </w:rPr>
        <w:t xml:space="preserve"> a</w:t>
      </w:r>
      <w:r w:rsidRPr="3F6CE971" w:rsidR="3F6CE971">
        <w:rPr>
          <w:rFonts w:ascii="Times New Roman" w:hAnsi="Times New Roman" w:eastAsia="Times New Roman" w:cs="Times New Roman"/>
          <w:color w:val="auto"/>
          <w:sz w:val="24"/>
          <w:szCs w:val="24"/>
        </w:rPr>
        <w:t xml:space="preserve"> result that divided the nation. Considering the roles played by social identity theory (Tajfel, 2019), Contact theory (Allport, 1954), alongside issues of prejudice classified within the dual process model (</w:t>
      </w:r>
      <w:r w:rsidRPr="3F6CE971" w:rsidR="3F6CE971">
        <w:rPr>
          <w:rFonts w:ascii="Times New Roman" w:hAnsi="Times New Roman" w:eastAsia="Times New Roman" w:cs="Times New Roman"/>
          <w:color w:val="auto"/>
          <w:sz w:val="24"/>
          <w:szCs w:val="24"/>
        </w:rPr>
        <w:t xml:space="preserve">Son-Hing, Chung-Yan, Hamilton &amp; </w:t>
      </w:r>
      <w:r w:rsidRPr="3F6CE971" w:rsidR="3F6CE971">
        <w:rPr>
          <w:rFonts w:ascii="Times New Roman" w:hAnsi="Times New Roman" w:eastAsia="Times New Roman" w:cs="Times New Roman"/>
          <w:color w:val="auto"/>
          <w:sz w:val="24"/>
          <w:szCs w:val="24"/>
        </w:rPr>
        <w:t>Zanna</w:t>
      </w:r>
      <w:r w:rsidRPr="3F6CE971" w:rsidR="3F6CE971">
        <w:rPr>
          <w:rFonts w:ascii="Times New Roman" w:hAnsi="Times New Roman" w:eastAsia="Times New Roman" w:cs="Times New Roman"/>
          <w:color w:val="auto"/>
          <w:sz w:val="24"/>
          <w:szCs w:val="24"/>
        </w:rPr>
        <w:t xml:space="preserve">, 2008) this essay will consider the extent to which intergroup attitudes influenced the outcome of the British-European referendum. </w:t>
      </w:r>
    </w:p>
    <w:p w:rsidR="00335926" w:rsidP="3F6CE971" w:rsidRDefault="00335926" w14:paraId="3FB14BD5" w14:textId="77777777">
      <w:pPr>
        <w:jc w:val="both"/>
        <w:rPr>
          <w:rFonts w:ascii="Times New Roman" w:hAnsi="Times New Roman" w:eastAsia="Times New Roman" w:cs="Times New Roman"/>
          <w:color w:val="auto"/>
          <w:sz w:val="24"/>
          <w:szCs w:val="24"/>
        </w:rPr>
      </w:pPr>
    </w:p>
    <w:p w:rsidR="000116C9" w:rsidP="3F6CE971" w:rsidRDefault="4883C426" w14:paraId="59F431A8" w14:textId="7DAA6FAC">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A vastly developing bo</w:t>
      </w:r>
      <w:r w:rsidRPr="3F6CE971" w:rsidR="3F6CE971">
        <w:rPr>
          <w:rFonts w:ascii="Times New Roman" w:hAnsi="Times New Roman" w:eastAsia="Times New Roman" w:cs="Times New Roman"/>
          <w:color w:val="auto"/>
          <w:sz w:val="24"/>
          <w:szCs w:val="24"/>
        </w:rPr>
        <w:t>d</w:t>
      </w:r>
      <w:r w:rsidRPr="3F6CE971" w:rsidR="3F6CE971">
        <w:rPr>
          <w:rFonts w:ascii="Times New Roman" w:hAnsi="Times New Roman" w:eastAsia="Times New Roman" w:cs="Times New Roman"/>
          <w:color w:val="auto"/>
          <w:sz w:val="24"/>
          <w:szCs w:val="24"/>
        </w:rPr>
        <w:t xml:space="preserve">y of literature has, and continues to investigate the factors that influenced the voting decisions of the British public within a British-European referendum, described as one of the most significant political decisions in over a decade (Sumner, Scofield, Buchanan, Evans &amp; Shearing, 2018). Initial analysis of the data focused on the role of individual level characteristics, finding that people with the following characteristics were more likely to vote to leave the E.U.: those with no qualifications (75% leave), routine manual workers (71% leave), those aged 66 or above (59% leave), those not in paid employment (59% leave) and those with a household income of less than £20,000 (58% leave; Goodwin &amp; Heath, 2016). Analysis at this level provides important information, however, considering this information in isolation only addresses part of the puzzle (Kauffman, 2016). It is important to consider also the role played by the media leading up to the referendum. The leave campaign utilised a powerful KISS (Keep it short and simple) strategy with the campaign line to ‘take back control’ (Berry, 2016). A message with strong connotations that control has been lost, playing effortlessly into issues of immigration, national identity and economics (the key issues identified to have impacted voting intentions most greatly; Blinder &amp; </w:t>
      </w:r>
      <w:r w:rsidRPr="3F6CE971" w:rsidR="3F6CE971">
        <w:rPr>
          <w:rFonts w:ascii="Times New Roman" w:hAnsi="Times New Roman" w:eastAsia="Times New Roman" w:cs="Times New Roman"/>
          <w:color w:val="auto"/>
          <w:sz w:val="24"/>
          <w:szCs w:val="24"/>
        </w:rPr>
        <w:t>Jeannet</w:t>
      </w:r>
      <w:r w:rsidRPr="3F6CE971" w:rsidR="3F6CE971">
        <w:rPr>
          <w:rFonts w:ascii="Times New Roman" w:hAnsi="Times New Roman" w:eastAsia="Times New Roman" w:cs="Times New Roman"/>
          <w:color w:val="auto"/>
          <w:sz w:val="24"/>
          <w:szCs w:val="24"/>
        </w:rPr>
        <w:t>, 2018).</w:t>
      </w:r>
    </w:p>
    <w:p w:rsidR="0004292A" w:rsidP="3F6CE971" w:rsidRDefault="0004292A" w14:paraId="3F28B507" w14:textId="77777777">
      <w:pPr>
        <w:jc w:val="both"/>
        <w:rPr>
          <w:rFonts w:ascii="Times New Roman" w:hAnsi="Times New Roman" w:eastAsia="Times New Roman" w:cs="Times New Roman"/>
          <w:color w:val="auto"/>
          <w:sz w:val="24"/>
          <w:szCs w:val="24"/>
        </w:rPr>
      </w:pPr>
    </w:p>
    <w:p w:rsidR="007C6B35" w:rsidP="3F6CE971" w:rsidRDefault="4883C426" w14:paraId="0F676F4C" w14:textId="1D667422">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Immigration was a key element within both the leave and remain campaign, identified as the most salient and important issue facing the British population between June 2015 and June 2016 (Blinder &amp; </w:t>
      </w:r>
      <w:r w:rsidRPr="3F6CE971" w:rsidR="3F6CE971">
        <w:rPr>
          <w:rFonts w:ascii="Times New Roman" w:hAnsi="Times New Roman" w:eastAsia="Times New Roman" w:cs="Times New Roman"/>
          <w:color w:val="auto"/>
          <w:sz w:val="24"/>
          <w:szCs w:val="24"/>
        </w:rPr>
        <w:t>Jeannet</w:t>
      </w:r>
      <w:r w:rsidRPr="3F6CE971" w:rsidR="3F6CE971">
        <w:rPr>
          <w:rFonts w:ascii="Times New Roman" w:hAnsi="Times New Roman" w:eastAsia="Times New Roman" w:cs="Times New Roman"/>
          <w:color w:val="auto"/>
          <w:sz w:val="24"/>
          <w:szCs w:val="24"/>
        </w:rPr>
        <w:t xml:space="preserve">, 2018; Goodwin &amp; Milazzo, 2017). The British attitude towards immigration has changed considerably over the past fifteen years mirroring levels of actual immigration, where the higher the level of immigration, the greater public concern (Blinder &amp; </w:t>
      </w:r>
      <w:r w:rsidRPr="3F6CE971" w:rsidR="3F6CE971">
        <w:rPr>
          <w:rFonts w:ascii="Times New Roman" w:hAnsi="Times New Roman" w:eastAsia="Times New Roman" w:cs="Times New Roman"/>
          <w:color w:val="auto"/>
          <w:sz w:val="24"/>
          <w:szCs w:val="24"/>
        </w:rPr>
        <w:t>Jeannet</w:t>
      </w:r>
      <w:r w:rsidRPr="3F6CE971" w:rsidR="3F6CE971">
        <w:rPr>
          <w:rFonts w:ascii="Times New Roman" w:hAnsi="Times New Roman" w:eastAsia="Times New Roman" w:cs="Times New Roman"/>
          <w:color w:val="auto"/>
          <w:sz w:val="24"/>
          <w:szCs w:val="24"/>
        </w:rPr>
        <w:t>, 2018; Office for National Statistics, 2019). In a large-scale study conducted by Abrams and Houston in 2006, the British population were found to hold primarily positive attitudes towards immigrants (48% positive, 35% neutral and 17% negative). In 2013, public attitudes towards immigration w</w:t>
      </w:r>
      <w:r w:rsidRPr="3F6CE971" w:rsidR="3F6CE971">
        <w:rPr>
          <w:rFonts w:ascii="Times New Roman" w:hAnsi="Times New Roman" w:eastAsia="Times New Roman" w:cs="Times New Roman"/>
          <w:color w:val="auto"/>
          <w:sz w:val="24"/>
          <w:szCs w:val="24"/>
        </w:rPr>
        <w:t>ere</w:t>
      </w:r>
      <w:r w:rsidRPr="3F6CE971" w:rsidR="3F6CE971">
        <w:rPr>
          <w:rFonts w:ascii="Times New Roman" w:hAnsi="Times New Roman" w:eastAsia="Times New Roman" w:cs="Times New Roman"/>
          <w:color w:val="auto"/>
          <w:sz w:val="24"/>
          <w:szCs w:val="24"/>
        </w:rPr>
        <w:t xml:space="preserve"> less positive, with one study reporting 77% </w:t>
      </w:r>
      <w:r w:rsidRPr="3F6CE971" w:rsidR="3F6CE971">
        <w:rPr>
          <w:rFonts w:ascii="Times New Roman" w:hAnsi="Times New Roman" w:eastAsia="Times New Roman" w:cs="Times New Roman"/>
          <w:color w:val="auto"/>
          <w:sz w:val="24"/>
          <w:szCs w:val="24"/>
        </w:rPr>
        <w:t xml:space="preserve">in </w:t>
      </w:r>
      <w:r w:rsidRPr="3F6CE971" w:rsidR="3F6CE971">
        <w:rPr>
          <w:rFonts w:ascii="Times New Roman" w:hAnsi="Times New Roman" w:eastAsia="Times New Roman" w:cs="Times New Roman"/>
          <w:color w:val="auto"/>
          <w:sz w:val="24"/>
          <w:szCs w:val="24"/>
        </w:rPr>
        <w:t xml:space="preserve">favour </w:t>
      </w:r>
      <w:r w:rsidRPr="3F6CE971" w:rsidR="3F6CE971">
        <w:rPr>
          <w:rFonts w:ascii="Times New Roman" w:hAnsi="Times New Roman" w:eastAsia="Times New Roman" w:cs="Times New Roman"/>
          <w:color w:val="auto"/>
          <w:sz w:val="24"/>
          <w:szCs w:val="24"/>
        </w:rPr>
        <w:t>of</w:t>
      </w:r>
      <w:r w:rsidRPr="3F6CE971" w:rsidR="3F6CE971">
        <w:rPr>
          <w:rFonts w:ascii="Times New Roman" w:hAnsi="Times New Roman" w:eastAsia="Times New Roman" w:cs="Times New Roman"/>
          <w:color w:val="auto"/>
          <w:sz w:val="24"/>
          <w:szCs w:val="24"/>
        </w:rPr>
        <w:t xml:space="preserve"> reduc</w:t>
      </w:r>
      <w:r w:rsidRPr="3F6CE971" w:rsidR="3F6CE971">
        <w:rPr>
          <w:rFonts w:ascii="Times New Roman" w:hAnsi="Times New Roman" w:eastAsia="Times New Roman" w:cs="Times New Roman"/>
          <w:color w:val="auto"/>
          <w:sz w:val="24"/>
          <w:szCs w:val="24"/>
        </w:rPr>
        <w:t>ing</w:t>
      </w:r>
      <w:r w:rsidRPr="3F6CE971" w:rsidR="3F6CE971">
        <w:rPr>
          <w:rFonts w:ascii="Times New Roman" w:hAnsi="Times New Roman" w:eastAsia="Times New Roman" w:cs="Times New Roman"/>
          <w:color w:val="auto"/>
          <w:sz w:val="24"/>
          <w:szCs w:val="24"/>
        </w:rPr>
        <w:t xml:space="preserve"> immigration to the U.K. (Blinder &amp; </w:t>
      </w:r>
      <w:r w:rsidRPr="3F6CE971" w:rsidR="3F6CE971">
        <w:rPr>
          <w:rFonts w:ascii="Times New Roman" w:hAnsi="Times New Roman" w:eastAsia="Times New Roman" w:cs="Times New Roman"/>
          <w:color w:val="auto"/>
          <w:sz w:val="24"/>
          <w:szCs w:val="24"/>
        </w:rPr>
        <w:t>Jeannet</w:t>
      </w:r>
      <w:r w:rsidRPr="3F6CE971" w:rsidR="3F6CE971">
        <w:rPr>
          <w:rFonts w:ascii="Times New Roman" w:hAnsi="Times New Roman" w:eastAsia="Times New Roman" w:cs="Times New Roman"/>
          <w:color w:val="auto"/>
          <w:sz w:val="24"/>
          <w:szCs w:val="24"/>
        </w:rPr>
        <w:t xml:space="preserve">, 2018). It is important to understand the limitations of attitude research within prejudice and discrimination as a result of the self-reported measures, often from self-selected participants (Kauffman &amp; Harris, 2015). Considering the variable history of attitudes towards immigration into the U.K. the utilisation of immigration statistics during the referendum campaign (343,000 migrants in 2015; Office </w:t>
      </w:r>
      <w:r w:rsidRPr="3F6CE971" w:rsidR="3F6CE971">
        <w:rPr>
          <w:rFonts w:ascii="Times New Roman" w:hAnsi="Times New Roman" w:eastAsia="Times New Roman" w:cs="Times New Roman"/>
          <w:color w:val="auto"/>
          <w:sz w:val="24"/>
          <w:szCs w:val="24"/>
        </w:rPr>
        <w:t xml:space="preserve">for National Statistics, 2019) appears to have had a profound effect on public opinion regarding immigration, both as a result of freedom of movement within the E.U. and the wider issues of border control. The issue of immigration </w:t>
      </w:r>
      <w:r w:rsidRPr="3F6CE971" w:rsidR="3F6CE971">
        <w:rPr>
          <w:rFonts w:ascii="Times New Roman" w:hAnsi="Times New Roman" w:eastAsia="Times New Roman" w:cs="Times New Roman"/>
          <w:color w:val="auto"/>
          <w:sz w:val="24"/>
          <w:szCs w:val="24"/>
        </w:rPr>
        <w:t xml:space="preserve">therefore </w:t>
      </w:r>
      <w:r w:rsidRPr="3F6CE971" w:rsidR="3F6CE971">
        <w:rPr>
          <w:rFonts w:ascii="Times New Roman" w:hAnsi="Times New Roman" w:eastAsia="Times New Roman" w:cs="Times New Roman"/>
          <w:color w:val="auto"/>
          <w:sz w:val="24"/>
          <w:szCs w:val="24"/>
        </w:rPr>
        <w:t>constituted a powerful frame leading up to the referendum, as it encompassed issues of economics, national identity, and security (</w:t>
      </w:r>
      <w:r w:rsidRPr="3F6CE971" w:rsidR="3F6CE971">
        <w:rPr>
          <w:rFonts w:ascii="Times New Roman" w:hAnsi="Times New Roman" w:eastAsia="Times New Roman" w:cs="Times New Roman"/>
          <w:color w:val="auto"/>
          <w:sz w:val="24"/>
          <w:szCs w:val="24"/>
        </w:rPr>
        <w:t>Vasilopoulou</w:t>
      </w:r>
      <w:r w:rsidRPr="3F6CE971" w:rsidR="3F6CE971">
        <w:rPr>
          <w:rFonts w:ascii="Times New Roman" w:hAnsi="Times New Roman" w:eastAsia="Times New Roman" w:cs="Times New Roman"/>
          <w:color w:val="auto"/>
          <w:sz w:val="24"/>
          <w:szCs w:val="24"/>
        </w:rPr>
        <w:t>, 2016).</w:t>
      </w:r>
    </w:p>
    <w:p w:rsidR="007C6B35" w:rsidP="3F6CE971" w:rsidRDefault="007C6B35" w14:paraId="67E22A4B" w14:textId="028E5760">
      <w:pPr>
        <w:jc w:val="both"/>
        <w:rPr>
          <w:rFonts w:ascii="Times New Roman" w:hAnsi="Times New Roman" w:eastAsia="Times New Roman" w:cs="Times New Roman"/>
          <w:color w:val="auto"/>
          <w:sz w:val="24"/>
          <w:szCs w:val="24"/>
        </w:rPr>
      </w:pPr>
    </w:p>
    <w:p w:rsidR="007C6B35" w:rsidP="3F6CE971" w:rsidRDefault="4883C426" w14:paraId="0D773EFC" w14:textId="32697F4E">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Social identity theory (Tajfel, 1969) states that the groups with which one identifies, form an important part of a person’s self-concept and an extension of oneself. The categorisation process used to capture similarities and differences between those belonging within the group (the in-group members) and those outside of the group (out-group members) utilises stereotypes to categorise potential members (Hogg &amp; Turner, 1987). During this categorisation process, favourable, idealised features are often emphasised for members of the in-group with less favourable features attributed to outgroup members. It has been argued that such inter-group comparison serves to maintain favourable in-group attitudes (Dovido, </w:t>
      </w:r>
      <w:proofErr w:type="spellStart"/>
      <w:r w:rsidRPr="3F6CE971" w:rsidR="3F6CE971">
        <w:rPr>
          <w:rFonts w:ascii="Times New Roman" w:hAnsi="Times New Roman" w:eastAsia="Times New Roman" w:cs="Times New Roman"/>
          <w:color w:val="auto"/>
          <w:sz w:val="24"/>
          <w:szCs w:val="24"/>
        </w:rPr>
        <w:t>Hewstone</w:t>
      </w:r>
      <w:proofErr w:type="spellEnd"/>
      <w:r w:rsidRPr="3F6CE971" w:rsidR="3F6CE971">
        <w:rPr>
          <w:rFonts w:ascii="Times New Roman" w:hAnsi="Times New Roman" w:eastAsia="Times New Roman" w:cs="Times New Roman"/>
          <w:color w:val="auto"/>
          <w:sz w:val="24"/>
          <w:szCs w:val="24"/>
        </w:rPr>
        <w:t xml:space="preserve">, Glick &amp; Esses, 2010), also serving to depersonalise outgroup members, which can lead to negative attitudes and behaviours towards the outgroup. However, as suggested by Tajfel (1969) and Putnam (2007) it is possible to identify positively with in-group members without negative attitudes towards outgroup members, dependent on the strength and significance one attaches to their group membership (Hogg, Abrams, Otten &amp; Hinkle, 2004). </w:t>
      </w:r>
    </w:p>
    <w:p w:rsidR="4883C426" w:rsidP="3F6CE971" w:rsidRDefault="4883C426" w14:paraId="01DDA943" w14:textId="6DDF1630">
      <w:pPr>
        <w:jc w:val="both"/>
        <w:rPr>
          <w:rFonts w:ascii="Times New Roman" w:hAnsi="Times New Roman" w:eastAsia="Times New Roman" w:cs="Times New Roman"/>
          <w:color w:val="auto"/>
          <w:sz w:val="24"/>
          <w:szCs w:val="24"/>
        </w:rPr>
      </w:pPr>
    </w:p>
    <w:p w:rsidR="4883C426" w:rsidP="3F6CE971" w:rsidRDefault="4883C426" w14:paraId="6BD92186" w14:textId="18641BAE">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The role played by individual and group level prejudice has a profound effect on issues such as migration. Individuals scoring highly on measures of prejudice are likely to associate outgroup members as a threat, thus strengthening an inter-group rivalry. Son-Hing et al., (2008) developed a dual process model </w:t>
      </w:r>
      <w:r w:rsidRPr="3F6CE971" w:rsidR="3F6CE971">
        <w:rPr>
          <w:rFonts w:ascii="Times New Roman" w:hAnsi="Times New Roman" w:eastAsia="Times New Roman" w:cs="Times New Roman"/>
          <w:color w:val="auto"/>
          <w:sz w:val="24"/>
          <w:szCs w:val="24"/>
        </w:rPr>
        <w:t xml:space="preserve">which </w:t>
      </w:r>
      <w:r w:rsidRPr="3F6CE971" w:rsidR="3F6CE971">
        <w:rPr>
          <w:rFonts w:ascii="Times New Roman" w:hAnsi="Times New Roman" w:eastAsia="Times New Roman" w:cs="Times New Roman"/>
          <w:color w:val="auto"/>
          <w:sz w:val="24"/>
          <w:szCs w:val="24"/>
        </w:rPr>
        <w:t>identif</w:t>
      </w:r>
      <w:r w:rsidRPr="3F6CE971" w:rsidR="3F6CE971">
        <w:rPr>
          <w:rFonts w:ascii="Times New Roman" w:hAnsi="Times New Roman" w:eastAsia="Times New Roman" w:cs="Times New Roman"/>
          <w:color w:val="auto"/>
          <w:sz w:val="24"/>
          <w:szCs w:val="24"/>
        </w:rPr>
        <w:t>ied</w:t>
      </w:r>
      <w:r w:rsidRPr="3F6CE971" w:rsidR="3F6CE971">
        <w:rPr>
          <w:rFonts w:ascii="Times New Roman" w:hAnsi="Times New Roman" w:eastAsia="Times New Roman" w:cs="Times New Roman"/>
          <w:color w:val="auto"/>
          <w:sz w:val="24"/>
          <w:szCs w:val="24"/>
        </w:rPr>
        <w:t xml:space="preserve"> the interaction between implicit (unconscious) and explicit (conscious) prejudice, in which individuals can be placed in one of four categories: Egalitarian (low implicit/low explicit), Aversive racist (high implicit/low explicit), Principled conservative (low implicit/ high explicit), and modern racist (high implicit/ high explicit). These prejudice ‘sub-types’ have often found aversive racists and egalitarians to be on the ‘left’ spectrum of the political divide, with principled conservatives and modern racists more often found on the ‘right’ (Son-Hing et al., 2008). An analysis by Hutchings and Sullivan (2018) identified that over 70% of the U.K. is prejudiced to a greater or lesser extent when considering classification within the four sub-types of the Son-Hing (2008) model. It is important to note that the notion of prejudice extends beyond the realms of the historical blatant, hot racism, into more subtle, avoidant even ambiguous, indirect ‘cool’ behaviours (Pettigrew &amp; </w:t>
      </w:r>
      <w:proofErr w:type="spellStart"/>
      <w:r w:rsidRPr="3F6CE971" w:rsidR="3F6CE971">
        <w:rPr>
          <w:rFonts w:ascii="Times New Roman" w:hAnsi="Times New Roman" w:eastAsia="Times New Roman" w:cs="Times New Roman"/>
          <w:color w:val="auto"/>
          <w:sz w:val="24"/>
          <w:szCs w:val="24"/>
        </w:rPr>
        <w:t>Meertens</w:t>
      </w:r>
      <w:proofErr w:type="spellEnd"/>
      <w:r w:rsidRPr="3F6CE971" w:rsidR="3F6CE971">
        <w:rPr>
          <w:rFonts w:ascii="Times New Roman" w:hAnsi="Times New Roman" w:eastAsia="Times New Roman" w:cs="Times New Roman"/>
          <w:color w:val="auto"/>
          <w:sz w:val="24"/>
          <w:szCs w:val="24"/>
        </w:rPr>
        <w:t>, 1995). In a further study, Sullivan and Hutchings (2018) identified that prejudice type was not only strongly associated with political affiliation as previously identified by Son-Hing et al., (2008), but also with voting behaviours. Identifying that 80% of leave voters within a sample of 226 participants that voted leave scored highly on measures of explicit prejudice, and as such</w:t>
      </w:r>
      <w:r w:rsidRPr="3F6CE971" w:rsidR="3F6CE971">
        <w:rPr>
          <w:rFonts w:ascii="Times New Roman" w:hAnsi="Times New Roman" w:eastAsia="Times New Roman" w:cs="Times New Roman"/>
          <w:color w:val="auto"/>
          <w:sz w:val="24"/>
          <w:szCs w:val="24"/>
        </w:rPr>
        <w:t>,</w:t>
      </w:r>
      <w:r w:rsidRPr="3F6CE971" w:rsidR="3F6CE971">
        <w:rPr>
          <w:rFonts w:ascii="Times New Roman" w:hAnsi="Times New Roman" w:eastAsia="Times New Roman" w:cs="Times New Roman"/>
          <w:color w:val="auto"/>
          <w:sz w:val="24"/>
          <w:szCs w:val="24"/>
        </w:rPr>
        <w:t xml:space="preserve"> were characterised as either modern racists or principled conservatives.</w:t>
      </w:r>
    </w:p>
    <w:p w:rsidR="4883C426" w:rsidP="3F6CE971" w:rsidRDefault="4883C426" w14:paraId="0B9B941B" w14:textId="63E8F03D">
      <w:pPr>
        <w:jc w:val="both"/>
        <w:rPr>
          <w:rFonts w:ascii="Times New Roman" w:hAnsi="Times New Roman" w:eastAsia="Times New Roman" w:cs="Times New Roman"/>
          <w:color w:val="auto"/>
          <w:sz w:val="24"/>
          <w:szCs w:val="24"/>
        </w:rPr>
      </w:pPr>
    </w:p>
    <w:p w:rsidR="00B11545" w:rsidP="3F6CE971" w:rsidRDefault="4883C426" w14:paraId="3F70AF6E" w14:textId="57A71810">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Considering the geographical breakdown of voting behaviours in line with the demographic characteristics of such regions as was identified by Goodwin and Heath (2016) provides some vital information regarding the role that intergroup attitudes played within the 2016 referendum. Goodwin and Heath (2016) identified that the areas with the strongest support to remain within the E.U. such as Islington, Oxford and Cambridge are characterised as being affluent and highly educated, containing diverse populations. In contrast, the regions in which the strongest support to leave the E.U. such as Mansfield, Ashfield and Doncaster do not contain the same educational, and professional opportunities, with lower skill levels and lower average incomes. This finding has been investigated and interpreted in </w:t>
      </w:r>
      <w:r w:rsidRPr="3F6CE971" w:rsidR="3F6CE971">
        <w:rPr>
          <w:rFonts w:ascii="Times New Roman" w:hAnsi="Times New Roman" w:eastAsia="Times New Roman" w:cs="Times New Roman"/>
          <w:color w:val="auto"/>
          <w:sz w:val="24"/>
          <w:szCs w:val="24"/>
        </w:rPr>
        <w:t>many</w:t>
      </w:r>
      <w:r w:rsidRPr="3F6CE971" w:rsidR="3F6CE971">
        <w:rPr>
          <w:rFonts w:ascii="Times New Roman" w:hAnsi="Times New Roman" w:eastAsia="Times New Roman" w:cs="Times New Roman"/>
          <w:color w:val="auto"/>
          <w:sz w:val="24"/>
          <w:szCs w:val="24"/>
        </w:rPr>
        <w:t xml:space="preserve"> ways. </w:t>
      </w:r>
    </w:p>
    <w:p w:rsidR="00DC3FB9" w:rsidP="3F6CE971" w:rsidRDefault="00DC3FB9" w14:paraId="0C49ECB7" w14:textId="0B0ADCB6">
      <w:pPr>
        <w:jc w:val="both"/>
        <w:rPr>
          <w:rFonts w:ascii="Times New Roman" w:hAnsi="Times New Roman" w:eastAsia="Times New Roman" w:cs="Times New Roman"/>
          <w:color w:val="auto"/>
          <w:sz w:val="24"/>
          <w:szCs w:val="24"/>
        </w:rPr>
      </w:pPr>
    </w:p>
    <w:p w:rsidR="00B54745" w:rsidP="3F6CE971" w:rsidRDefault="4883C426" w14:paraId="5CAFCCB5" w14:textId="4BBA99ED">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The referendum result has been considered a ‘protest vote’ resulting from a decline of faith in the political system from less prosperous regions (Jessop, 2017). Economic performance has emerged as a powerful factor, regions with poor economic performance, often containing a population with limited educational opportunities were considerably more likely to vote leave in the referendum. Such regions also contained low skilled workers, who were affected on a global level by ‘import shock’ as a result of the rise in importation of goods from countries such as China (</w:t>
      </w:r>
      <w:proofErr w:type="spellStart"/>
      <w:r w:rsidRPr="3F6CE971" w:rsidR="3F6CE971">
        <w:rPr>
          <w:rFonts w:ascii="Times New Roman" w:hAnsi="Times New Roman" w:eastAsia="Times New Roman" w:cs="Times New Roman"/>
          <w:color w:val="auto"/>
          <w:sz w:val="24"/>
          <w:szCs w:val="24"/>
        </w:rPr>
        <w:t>Calotone</w:t>
      </w:r>
      <w:proofErr w:type="spellEnd"/>
      <w:r w:rsidRPr="3F6CE971" w:rsidR="3F6CE971">
        <w:rPr>
          <w:rFonts w:ascii="Times New Roman" w:hAnsi="Times New Roman" w:eastAsia="Times New Roman" w:cs="Times New Roman"/>
          <w:color w:val="auto"/>
          <w:sz w:val="24"/>
          <w:szCs w:val="24"/>
        </w:rPr>
        <w:t xml:space="preserve"> &amp; </w:t>
      </w:r>
      <w:proofErr w:type="spellStart"/>
      <w:r w:rsidRPr="3F6CE971" w:rsidR="3F6CE971">
        <w:rPr>
          <w:rFonts w:ascii="Times New Roman" w:hAnsi="Times New Roman" w:eastAsia="Times New Roman" w:cs="Times New Roman"/>
          <w:color w:val="auto"/>
          <w:sz w:val="24"/>
          <w:szCs w:val="24"/>
        </w:rPr>
        <w:t>Stanig</w:t>
      </w:r>
      <w:proofErr w:type="spellEnd"/>
      <w:r w:rsidRPr="3F6CE971" w:rsidR="3F6CE971">
        <w:rPr>
          <w:rFonts w:ascii="Times New Roman" w:hAnsi="Times New Roman" w:eastAsia="Times New Roman" w:cs="Times New Roman"/>
          <w:color w:val="auto"/>
          <w:sz w:val="24"/>
          <w:szCs w:val="24"/>
        </w:rPr>
        <w:t>, 2016). Unfavourable attitudes towards immigration were primarily found in those workers  The voting population from such areas has been described as those ‘left behind’ in an increasingly global economy, with little opportunity to reap the benefits that an increasingly global society can provide (Goodwin &amp; Heath, 2016; Goodwin &amp; Milazzo, 2017). In line with social identity theory, these economic factors, creating a sense of limited resources, are likely to have heightened negative attitudes towards outgroup members (Dovido et al., 2010; Hutchings &amp; Sullivan, 2018), despite studies finding immigration often leads to greater employment opportunities for native workers (</w:t>
      </w:r>
      <w:proofErr w:type="spellStart"/>
      <w:r w:rsidRPr="3F6CE971" w:rsidR="3F6CE971">
        <w:rPr>
          <w:rFonts w:ascii="Times New Roman" w:hAnsi="Times New Roman" w:eastAsia="Times New Roman" w:cs="Times New Roman"/>
          <w:color w:val="auto"/>
          <w:sz w:val="24"/>
          <w:szCs w:val="24"/>
        </w:rPr>
        <w:t>Foged</w:t>
      </w:r>
      <w:proofErr w:type="spellEnd"/>
      <w:r w:rsidRPr="3F6CE971" w:rsidR="3F6CE971">
        <w:rPr>
          <w:rFonts w:ascii="Times New Roman" w:hAnsi="Times New Roman" w:eastAsia="Times New Roman" w:cs="Times New Roman"/>
          <w:color w:val="auto"/>
          <w:sz w:val="24"/>
          <w:szCs w:val="24"/>
        </w:rPr>
        <w:t xml:space="preserve"> &amp; Peri, 2016).</w:t>
      </w:r>
    </w:p>
    <w:p w:rsidR="00593DA7" w:rsidP="3F6CE971" w:rsidRDefault="00593DA7" w14:paraId="62C49B8C" w14:textId="2B902FFD">
      <w:pPr>
        <w:jc w:val="both"/>
        <w:rPr>
          <w:rFonts w:ascii="Times New Roman" w:hAnsi="Times New Roman" w:eastAsia="Times New Roman" w:cs="Times New Roman"/>
          <w:color w:val="auto"/>
          <w:sz w:val="24"/>
          <w:szCs w:val="24"/>
        </w:rPr>
      </w:pPr>
    </w:p>
    <w:p w:rsidR="0036156E" w:rsidP="3F6CE971" w:rsidRDefault="4883C426" w14:paraId="07E94636" w14:textId="29AA1BD1">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There is no doubt that the British Economy played a role within the referendum campaign, areas seeing economic benefit from membership being more likely to wish to remain, with those seeing poor economic growth and perceiving little membership benefit wishing to leave. However, the issue of immigration was identified as the most important and salient issue from June 2015 to June 2016, spanning the duration of the leave and remain referendum campaigns (Blinder &amp; </w:t>
      </w:r>
      <w:r w:rsidRPr="3F6CE971" w:rsidR="3F6CE971">
        <w:rPr>
          <w:rFonts w:ascii="Times New Roman" w:hAnsi="Times New Roman" w:eastAsia="Times New Roman" w:cs="Times New Roman"/>
          <w:color w:val="auto"/>
          <w:sz w:val="24"/>
          <w:szCs w:val="24"/>
        </w:rPr>
        <w:t>Jeannet</w:t>
      </w:r>
      <w:r w:rsidRPr="3F6CE971" w:rsidR="3F6CE971">
        <w:rPr>
          <w:rFonts w:ascii="Times New Roman" w:hAnsi="Times New Roman" w:eastAsia="Times New Roman" w:cs="Times New Roman"/>
          <w:color w:val="auto"/>
          <w:sz w:val="24"/>
          <w:szCs w:val="24"/>
        </w:rPr>
        <w:t xml:space="preserve">, 2018). When </w:t>
      </w:r>
      <w:proofErr w:type="gramStart"/>
      <w:r w:rsidRPr="3F6CE971" w:rsidR="3F6CE971">
        <w:rPr>
          <w:rFonts w:ascii="Times New Roman" w:hAnsi="Times New Roman" w:eastAsia="Times New Roman" w:cs="Times New Roman"/>
          <w:color w:val="auto"/>
          <w:sz w:val="24"/>
          <w:szCs w:val="24"/>
        </w:rPr>
        <w:t>referring back</w:t>
      </w:r>
      <w:proofErr w:type="gramEnd"/>
      <w:r w:rsidRPr="3F6CE971" w:rsidR="3F6CE971">
        <w:rPr>
          <w:rFonts w:ascii="Times New Roman" w:hAnsi="Times New Roman" w:eastAsia="Times New Roman" w:cs="Times New Roman"/>
          <w:color w:val="auto"/>
          <w:sz w:val="24"/>
          <w:szCs w:val="24"/>
        </w:rPr>
        <w:t xml:space="preserve"> to Goodwin and Heath’s (2006) </w:t>
      </w:r>
      <w:r w:rsidRPr="3F6CE971" w:rsidR="3F6CE971">
        <w:rPr>
          <w:rFonts w:ascii="Times New Roman" w:hAnsi="Times New Roman" w:eastAsia="Times New Roman" w:cs="Times New Roman"/>
          <w:color w:val="auto"/>
          <w:sz w:val="24"/>
          <w:szCs w:val="24"/>
        </w:rPr>
        <w:t xml:space="preserve">study </w:t>
      </w:r>
      <w:r w:rsidRPr="3F6CE971" w:rsidR="3F6CE971">
        <w:rPr>
          <w:rFonts w:ascii="Times New Roman" w:hAnsi="Times New Roman" w:eastAsia="Times New Roman" w:cs="Times New Roman"/>
          <w:color w:val="auto"/>
          <w:sz w:val="24"/>
          <w:szCs w:val="24"/>
        </w:rPr>
        <w:t xml:space="preserve">alongside other analysis, the majority of geographical locations supporting to remain within the E.U. were multicultural, containing a consistently high migrant population, reporting positive attitudes towards immigration. In contrast, areas with traditionally low levels of immigration were more likely to support the leave campaign, reporting </w:t>
      </w:r>
      <w:proofErr w:type="gramStart"/>
      <w:r w:rsidRPr="3F6CE971" w:rsidR="3F6CE971">
        <w:rPr>
          <w:rFonts w:ascii="Times New Roman" w:hAnsi="Times New Roman" w:eastAsia="Times New Roman" w:cs="Times New Roman"/>
          <w:color w:val="auto"/>
          <w:sz w:val="24"/>
          <w:szCs w:val="24"/>
        </w:rPr>
        <w:t>less</w:t>
      </w:r>
      <w:proofErr w:type="gramEnd"/>
      <w:r w:rsidRPr="3F6CE971" w:rsidR="3F6CE971">
        <w:rPr>
          <w:rFonts w:ascii="Times New Roman" w:hAnsi="Times New Roman" w:eastAsia="Times New Roman" w:cs="Times New Roman"/>
          <w:color w:val="auto"/>
          <w:sz w:val="24"/>
          <w:szCs w:val="24"/>
        </w:rPr>
        <w:t xml:space="preserve"> positive attitudes towards immigration (Goodwin &amp; Milazzo, 2017). When considered in line with social identity theory, the idea that areas containing the most ethnic diversity hold positive attitudes towards immigration could be explained through a weak national or regional identity, leading to a weak negative association with members of the out-</w:t>
      </w:r>
      <w:r w:rsidRPr="3F6CE971" w:rsidR="3F6CE971">
        <w:rPr>
          <w:rFonts w:ascii="Times New Roman" w:hAnsi="Times New Roman" w:eastAsia="Times New Roman" w:cs="Times New Roman"/>
          <w:color w:val="auto"/>
          <w:sz w:val="24"/>
          <w:szCs w:val="24"/>
        </w:rPr>
        <w:t>group, in this case immigrants, or perhaps no negative association at all</w:t>
      </w:r>
      <w:r w:rsidRPr="3F6CE971" w:rsidR="3F6CE971">
        <w:rPr>
          <w:rFonts w:ascii="Times New Roman" w:hAnsi="Times New Roman" w:eastAsia="Times New Roman" w:cs="Times New Roman"/>
          <w:color w:val="auto"/>
          <w:sz w:val="24"/>
          <w:szCs w:val="24"/>
        </w:rPr>
        <w:t>,</w:t>
      </w:r>
      <w:r w:rsidRPr="3F6CE971" w:rsidR="3F6CE971">
        <w:rPr>
          <w:rFonts w:ascii="Times New Roman" w:hAnsi="Times New Roman" w:eastAsia="Times New Roman" w:cs="Times New Roman"/>
          <w:color w:val="auto"/>
          <w:sz w:val="24"/>
          <w:szCs w:val="24"/>
        </w:rPr>
        <w:t xml:space="preserve"> as immigrants are not perceived to be out group members (Morrison, </w:t>
      </w:r>
      <w:r w:rsidRPr="3F6CE971" w:rsidR="3F6CE971">
        <w:rPr>
          <w:rFonts w:ascii="Times New Roman" w:hAnsi="Times New Roman" w:eastAsia="Times New Roman" w:cs="Times New Roman"/>
          <w:color w:val="auto"/>
          <w:sz w:val="24"/>
          <w:szCs w:val="24"/>
        </w:rPr>
        <w:t>Plaut</w:t>
      </w:r>
      <w:r w:rsidRPr="3F6CE971" w:rsidR="3F6CE971">
        <w:rPr>
          <w:rFonts w:ascii="Times New Roman" w:hAnsi="Times New Roman" w:eastAsia="Times New Roman" w:cs="Times New Roman"/>
          <w:color w:val="auto"/>
          <w:sz w:val="24"/>
          <w:szCs w:val="24"/>
        </w:rPr>
        <w:t xml:space="preserve"> &amp; Ybarra, 2010). </w:t>
      </w:r>
    </w:p>
    <w:p w:rsidR="00CE49AD" w:rsidP="3F6CE971" w:rsidRDefault="00CE49AD" w14:paraId="0577E43F" w14:textId="77777777">
      <w:pPr>
        <w:jc w:val="both"/>
        <w:rPr>
          <w:rFonts w:ascii="Times New Roman" w:hAnsi="Times New Roman" w:eastAsia="Times New Roman" w:cs="Times New Roman"/>
          <w:color w:val="auto"/>
          <w:sz w:val="24"/>
          <w:szCs w:val="24"/>
        </w:rPr>
      </w:pPr>
    </w:p>
    <w:p w:rsidR="00754F2C" w:rsidP="3F6CE971" w:rsidRDefault="4883C426" w14:paraId="70B5E13A" w14:textId="08A10BD4">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Alternatively, considering Allport’s contact theory (1954) the regular positive contact of an in-group (in this case British nationals) and an out-group (in this case immigrant residents) served to reduce perceptions of threat, as </w:t>
      </w:r>
      <w:r w:rsidRPr="3F6CE971" w:rsidR="3F6CE971">
        <w:rPr>
          <w:rFonts w:ascii="Times New Roman" w:hAnsi="Times New Roman" w:eastAsia="Times New Roman" w:cs="Times New Roman"/>
          <w:color w:val="auto"/>
          <w:sz w:val="24"/>
          <w:szCs w:val="24"/>
        </w:rPr>
        <w:t xml:space="preserve">their </w:t>
      </w:r>
      <w:r w:rsidRPr="3F6CE971" w:rsidR="3F6CE971">
        <w:rPr>
          <w:rFonts w:ascii="Times New Roman" w:hAnsi="Times New Roman" w:eastAsia="Times New Roman" w:cs="Times New Roman"/>
          <w:color w:val="auto"/>
          <w:sz w:val="24"/>
          <w:szCs w:val="24"/>
        </w:rPr>
        <w:t>individuating characteristics override internalised stereotypes. Contact theory suggests that through frequent positive intergroup contact, the fear and threat that can lead to prejudiced and discriminatory behaviour can be reduced, with the potential to improve intergroup attitudes, relationships, behaviours and even social policy (</w:t>
      </w:r>
      <w:r w:rsidRPr="3F6CE971" w:rsidR="3F6CE971">
        <w:rPr>
          <w:rFonts w:ascii="Times New Roman" w:hAnsi="Times New Roman" w:eastAsia="Times New Roman" w:cs="Times New Roman"/>
          <w:color w:val="auto"/>
          <w:sz w:val="24"/>
          <w:szCs w:val="24"/>
        </w:rPr>
        <w:t>Miklikowska</w:t>
      </w:r>
      <w:r w:rsidRPr="3F6CE971" w:rsidR="3F6CE971">
        <w:rPr>
          <w:rFonts w:ascii="Times New Roman" w:hAnsi="Times New Roman" w:eastAsia="Times New Roman" w:cs="Times New Roman"/>
          <w:color w:val="auto"/>
          <w:sz w:val="24"/>
          <w:szCs w:val="24"/>
        </w:rPr>
        <w:t>, 2017). Areas such as London contain a high migrant population and as a result</w:t>
      </w:r>
      <w:r w:rsidRPr="3F6CE971" w:rsidR="3F6CE971">
        <w:rPr>
          <w:rFonts w:ascii="Times New Roman" w:hAnsi="Times New Roman" w:eastAsia="Times New Roman" w:cs="Times New Roman"/>
          <w:color w:val="auto"/>
          <w:sz w:val="24"/>
          <w:szCs w:val="24"/>
        </w:rPr>
        <w:t>,</w:t>
      </w:r>
      <w:r w:rsidRPr="3F6CE971" w:rsidR="3F6CE971">
        <w:rPr>
          <w:rFonts w:ascii="Times New Roman" w:hAnsi="Times New Roman" w:eastAsia="Times New Roman" w:cs="Times New Roman"/>
          <w:color w:val="auto"/>
          <w:sz w:val="24"/>
          <w:szCs w:val="24"/>
        </w:rPr>
        <w:t xml:space="preserve"> their young educated population attract</w:t>
      </w:r>
      <w:r w:rsidRPr="3F6CE971" w:rsidR="3F6CE971">
        <w:rPr>
          <w:rFonts w:ascii="Times New Roman" w:hAnsi="Times New Roman" w:eastAsia="Times New Roman" w:cs="Times New Roman"/>
          <w:color w:val="auto"/>
          <w:sz w:val="24"/>
          <w:szCs w:val="24"/>
        </w:rPr>
        <w:t>s</w:t>
      </w:r>
      <w:r w:rsidRPr="3F6CE971" w:rsidR="3F6CE971">
        <w:rPr>
          <w:rFonts w:ascii="Times New Roman" w:hAnsi="Times New Roman" w:eastAsia="Times New Roman" w:cs="Times New Roman"/>
          <w:color w:val="auto"/>
          <w:sz w:val="24"/>
          <w:szCs w:val="24"/>
        </w:rPr>
        <w:t xml:space="preserve"> further immigration (</w:t>
      </w:r>
      <w:proofErr w:type="spellStart"/>
      <w:r w:rsidRPr="3F6CE971" w:rsidR="3F6CE971">
        <w:rPr>
          <w:rFonts w:ascii="Times New Roman" w:hAnsi="Times New Roman" w:eastAsia="Times New Roman" w:cs="Times New Roman"/>
          <w:color w:val="auto"/>
          <w:sz w:val="24"/>
          <w:szCs w:val="24"/>
        </w:rPr>
        <w:t>Calotone</w:t>
      </w:r>
      <w:proofErr w:type="spellEnd"/>
      <w:r w:rsidRPr="3F6CE971" w:rsidR="3F6CE971">
        <w:rPr>
          <w:rFonts w:ascii="Times New Roman" w:hAnsi="Times New Roman" w:eastAsia="Times New Roman" w:cs="Times New Roman"/>
          <w:color w:val="auto"/>
          <w:sz w:val="24"/>
          <w:szCs w:val="24"/>
        </w:rPr>
        <w:t xml:space="preserve"> &amp; </w:t>
      </w:r>
      <w:proofErr w:type="spellStart"/>
      <w:r w:rsidRPr="3F6CE971" w:rsidR="3F6CE971">
        <w:rPr>
          <w:rFonts w:ascii="Times New Roman" w:hAnsi="Times New Roman" w:eastAsia="Times New Roman" w:cs="Times New Roman"/>
          <w:color w:val="auto"/>
          <w:sz w:val="24"/>
          <w:szCs w:val="24"/>
        </w:rPr>
        <w:t>Stanig</w:t>
      </w:r>
      <w:proofErr w:type="spellEnd"/>
      <w:r w:rsidRPr="3F6CE971" w:rsidR="3F6CE971">
        <w:rPr>
          <w:rFonts w:ascii="Times New Roman" w:hAnsi="Times New Roman" w:eastAsia="Times New Roman" w:cs="Times New Roman"/>
          <w:color w:val="auto"/>
          <w:sz w:val="24"/>
          <w:szCs w:val="24"/>
        </w:rPr>
        <w:t>, 2016). The findings that such regions predominantly voted to remain within the E.U. (Goodwin &amp; Heath, 2016) provides a degree of support for Allport’s theory. This support is extended by the finding of Kauffman and Harris (2015) who identified that white national</w:t>
      </w:r>
      <w:r w:rsidRPr="3F6CE971" w:rsidR="3F6CE971">
        <w:rPr>
          <w:rFonts w:ascii="Times New Roman" w:hAnsi="Times New Roman" w:eastAsia="Times New Roman" w:cs="Times New Roman"/>
          <w:color w:val="auto"/>
          <w:sz w:val="24"/>
          <w:szCs w:val="24"/>
        </w:rPr>
        <w:t>s</w:t>
      </w:r>
      <w:r w:rsidRPr="3F6CE971" w:rsidR="3F6CE971">
        <w:rPr>
          <w:rFonts w:ascii="Times New Roman" w:hAnsi="Times New Roman" w:eastAsia="Times New Roman" w:cs="Times New Roman"/>
          <w:color w:val="auto"/>
          <w:sz w:val="24"/>
          <w:szCs w:val="24"/>
        </w:rPr>
        <w:t xml:space="preserve"> that describe their local area as being diverse</w:t>
      </w:r>
      <w:r w:rsidRPr="3F6CE971" w:rsidR="3F6CE971">
        <w:rPr>
          <w:rFonts w:ascii="Times New Roman" w:hAnsi="Times New Roman" w:eastAsia="Times New Roman" w:cs="Times New Roman"/>
          <w:color w:val="auto"/>
          <w:sz w:val="24"/>
          <w:szCs w:val="24"/>
        </w:rPr>
        <w:t>,</w:t>
      </w:r>
      <w:r w:rsidRPr="3F6CE971" w:rsidR="3F6CE971">
        <w:rPr>
          <w:rFonts w:ascii="Times New Roman" w:hAnsi="Times New Roman" w:eastAsia="Times New Roman" w:cs="Times New Roman"/>
          <w:color w:val="auto"/>
          <w:sz w:val="24"/>
          <w:szCs w:val="24"/>
        </w:rPr>
        <w:t xml:space="preserve"> report greater acceptance of immigration. </w:t>
      </w:r>
    </w:p>
    <w:p w:rsidR="0001057B" w:rsidP="3F6CE971" w:rsidRDefault="0001057B" w14:paraId="00A11B4D" w14:textId="3FA0FCA4">
      <w:pPr>
        <w:jc w:val="both"/>
        <w:rPr>
          <w:rFonts w:ascii="Times New Roman" w:hAnsi="Times New Roman" w:eastAsia="Times New Roman" w:cs="Times New Roman"/>
          <w:color w:val="auto"/>
          <w:sz w:val="24"/>
          <w:szCs w:val="24"/>
        </w:rPr>
      </w:pPr>
    </w:p>
    <w:p w:rsidR="007270A4" w:rsidP="3F6CE971" w:rsidRDefault="4883C426" w14:paraId="142A5BEF" w14:textId="52B09ADD">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During times of threat, individuals whose self-identity is strongly connected to their group membership are motivated to think and behave in the in-group’s best interest (known as threat theory; </w:t>
      </w:r>
      <w:r w:rsidRPr="3F6CE971" w:rsidR="3F6CE971">
        <w:rPr>
          <w:rFonts w:ascii="Times New Roman" w:hAnsi="Times New Roman" w:eastAsia="Times New Roman" w:cs="Times New Roman"/>
          <w:color w:val="auto"/>
          <w:sz w:val="24"/>
          <w:szCs w:val="24"/>
        </w:rPr>
        <w:t>Golec</w:t>
      </w:r>
      <w:r w:rsidRPr="3F6CE971" w:rsidR="3F6CE971">
        <w:rPr>
          <w:rFonts w:ascii="Times New Roman" w:hAnsi="Times New Roman" w:eastAsia="Times New Roman" w:cs="Times New Roman"/>
          <w:color w:val="auto"/>
          <w:sz w:val="24"/>
          <w:szCs w:val="24"/>
        </w:rPr>
        <w:t xml:space="preserve"> de Zavala, Guerra &amp; </w:t>
      </w:r>
      <w:r w:rsidRPr="3F6CE971" w:rsidR="3F6CE971">
        <w:rPr>
          <w:rFonts w:ascii="Times New Roman" w:hAnsi="Times New Roman" w:eastAsia="Times New Roman" w:cs="Times New Roman"/>
          <w:color w:val="auto"/>
          <w:sz w:val="24"/>
          <w:szCs w:val="24"/>
        </w:rPr>
        <w:t>Simao</w:t>
      </w:r>
      <w:r w:rsidRPr="3F6CE971" w:rsidR="3F6CE971">
        <w:rPr>
          <w:rFonts w:ascii="Times New Roman" w:hAnsi="Times New Roman" w:eastAsia="Times New Roman" w:cs="Times New Roman"/>
          <w:color w:val="auto"/>
          <w:sz w:val="24"/>
          <w:szCs w:val="24"/>
        </w:rPr>
        <w:t xml:space="preserve">, 2017). This was demonstrated by Morrison, </w:t>
      </w:r>
      <w:r w:rsidRPr="3F6CE971" w:rsidR="3F6CE971">
        <w:rPr>
          <w:rFonts w:ascii="Times New Roman" w:hAnsi="Times New Roman" w:eastAsia="Times New Roman" w:cs="Times New Roman"/>
          <w:color w:val="auto"/>
          <w:sz w:val="24"/>
          <w:szCs w:val="24"/>
        </w:rPr>
        <w:t>Plaut</w:t>
      </w:r>
      <w:r w:rsidRPr="3F6CE971" w:rsidR="3F6CE971">
        <w:rPr>
          <w:rFonts w:ascii="Times New Roman" w:hAnsi="Times New Roman" w:eastAsia="Times New Roman" w:cs="Times New Roman"/>
          <w:color w:val="auto"/>
          <w:sz w:val="24"/>
          <w:szCs w:val="24"/>
        </w:rPr>
        <w:t xml:space="preserve"> and Ybarra (2010) who found that those</w:t>
      </w:r>
      <w:r w:rsidRPr="3F6CE971" w:rsidR="3F6CE971">
        <w:rPr>
          <w:rFonts w:ascii="Times New Roman" w:hAnsi="Times New Roman" w:eastAsia="Times New Roman" w:cs="Times New Roman"/>
          <w:color w:val="auto"/>
          <w:sz w:val="24"/>
          <w:szCs w:val="24"/>
        </w:rPr>
        <w:t xml:space="preserve"> who</w:t>
      </w:r>
      <w:r w:rsidRPr="3F6CE971" w:rsidR="3F6CE971">
        <w:rPr>
          <w:rFonts w:ascii="Times New Roman" w:hAnsi="Times New Roman" w:eastAsia="Times New Roman" w:cs="Times New Roman"/>
          <w:color w:val="auto"/>
          <w:sz w:val="24"/>
          <w:szCs w:val="24"/>
        </w:rPr>
        <w:t xml:space="preserve"> strongly identified as white Americans were more likely to see immigration as a threat to the ingroup, than those who identified less strongly as white Americans. </w:t>
      </w:r>
    </w:p>
    <w:p w:rsidR="007270A4" w:rsidP="3F6CE971" w:rsidRDefault="007270A4" w14:paraId="11D3AB9D" w14:textId="6C665405">
      <w:pPr>
        <w:jc w:val="both"/>
        <w:rPr>
          <w:rFonts w:ascii="Times New Roman" w:hAnsi="Times New Roman" w:eastAsia="Times New Roman" w:cs="Times New Roman"/>
          <w:color w:val="auto"/>
          <w:sz w:val="24"/>
          <w:szCs w:val="24"/>
        </w:rPr>
      </w:pPr>
    </w:p>
    <w:p w:rsidR="007270A4" w:rsidP="3F6CE971" w:rsidRDefault="007270A4" w14:paraId="0A3A61FF" w14:textId="017F44FE">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The change in diversity associated with immigration has been found to trigger a perceived threat response to individuals that self-identify strongly with the majority group, particularly in instances of rapid change (</w:t>
      </w:r>
      <w:proofErr w:type="spellStart"/>
      <w:r w:rsidRPr="3F6CE971" w:rsidR="3F6CE971">
        <w:rPr>
          <w:rFonts w:ascii="Times New Roman" w:hAnsi="Times New Roman" w:eastAsia="Times New Roman" w:cs="Times New Roman"/>
          <w:color w:val="auto"/>
          <w:sz w:val="24"/>
          <w:szCs w:val="24"/>
        </w:rPr>
        <w:t>Putnham</w:t>
      </w:r>
      <w:proofErr w:type="spellEnd"/>
      <w:r w:rsidRPr="3F6CE971" w:rsidR="3F6CE971">
        <w:rPr>
          <w:rFonts w:ascii="Times New Roman" w:hAnsi="Times New Roman" w:eastAsia="Times New Roman" w:cs="Times New Roman"/>
          <w:color w:val="auto"/>
          <w:sz w:val="24"/>
          <w:szCs w:val="24"/>
        </w:rPr>
        <w:t>, 2007).  Goodwin &amp; Milazzo (2017) identified a powerful illustrative example of the impact an immigration influx can have on intergroup attitudes at a local level, by utilising the migration influx of 10,000 to the communities of Corby and Derby over a ten-year period. Derby contained a diverse population prior to the influx, where Corby did not. Although the instances of migration were equal, and after which Derby had a greater migrant population, the rate of change in immigration levels in Corby was much starker. This rate of change can be viewed by a local population as a threat to their way of life, as such, integration is more likely to be rejected and worsen intergroup attitudes (Swami, Barron, Weis &amp; Furnham, 2018). The theory of ‘White flight’ which suggests that those who are not comfortable with immigration move to less diverse areas. Areas which have largely been found to support political parties with an anti-immigrant stance (Kauffman &amp; Harris, 2015). With this theory in mind, it is possible that the positive attitudes towards multiculturalism in diverse area</w:t>
      </w:r>
      <w:r w:rsidRPr="3F6CE971" w:rsidR="3F6CE971">
        <w:rPr>
          <w:rFonts w:ascii="Times New Roman" w:hAnsi="Times New Roman" w:eastAsia="Times New Roman" w:cs="Times New Roman"/>
          <w:color w:val="auto"/>
          <w:sz w:val="24"/>
          <w:szCs w:val="24"/>
        </w:rPr>
        <w:t>s is</w:t>
      </w:r>
      <w:r w:rsidRPr="3F6CE971" w:rsidR="3F6CE971">
        <w:rPr>
          <w:rFonts w:ascii="Times New Roman" w:hAnsi="Times New Roman" w:eastAsia="Times New Roman" w:cs="Times New Roman"/>
          <w:color w:val="auto"/>
          <w:sz w:val="24"/>
          <w:szCs w:val="24"/>
        </w:rPr>
        <w:t xml:space="preserve"> in part due to individuals with greater prejudice moving away. </w:t>
      </w:r>
    </w:p>
    <w:p w:rsidR="2275D3AC" w:rsidP="3F6CE971" w:rsidRDefault="2275D3AC" w14:paraId="18FB124D" w14:textId="6B09862A">
      <w:pPr>
        <w:pStyle w:val="Normal"/>
        <w:jc w:val="both"/>
        <w:rPr>
          <w:rFonts w:ascii="Times New Roman" w:hAnsi="Times New Roman" w:eastAsia="Times New Roman" w:cs="Times New Roman"/>
          <w:color w:val="auto"/>
          <w:sz w:val="24"/>
          <w:szCs w:val="24"/>
        </w:rPr>
      </w:pPr>
    </w:p>
    <w:p w:rsidR="00221798" w:rsidP="3F6CE971" w:rsidRDefault="4883C426" w14:paraId="0265BAE8" w14:textId="553E943D">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Right wing authoritarianism, Social dominance orientation and collective narcissism have also been linked to attitudes towards immigration, and voting intentions (Zavala, Guerro &amp; Simao, 2017). Right wing authoritarianism (RW</w:t>
      </w:r>
      <w:r w:rsidRPr="3F6CE971" w:rsidR="3F6CE971">
        <w:rPr>
          <w:rFonts w:ascii="Times New Roman" w:hAnsi="Times New Roman" w:eastAsia="Times New Roman" w:cs="Times New Roman"/>
          <w:color w:val="auto"/>
          <w:sz w:val="24"/>
          <w:szCs w:val="24"/>
        </w:rPr>
        <w:t>A</w:t>
      </w:r>
      <w:r w:rsidRPr="3F6CE971" w:rsidR="3F6CE971">
        <w:rPr>
          <w:rFonts w:ascii="Times New Roman" w:hAnsi="Times New Roman" w:eastAsia="Times New Roman" w:cs="Times New Roman"/>
          <w:color w:val="auto"/>
          <w:sz w:val="24"/>
          <w:szCs w:val="24"/>
        </w:rPr>
        <w:t xml:space="preserve">) combines submission to strength-based authority, aggressiveness towards social deviants, and support for conventionalism (Altemeyer, 1988). Described by Kauffman (2016) as order versus openness, individuals scoring highly on </w:t>
      </w:r>
      <w:r w:rsidRPr="3F6CE971" w:rsidR="3F6CE971">
        <w:rPr>
          <w:rFonts w:ascii="Times New Roman" w:hAnsi="Times New Roman" w:eastAsia="Times New Roman" w:cs="Times New Roman"/>
          <w:color w:val="auto"/>
          <w:sz w:val="24"/>
          <w:szCs w:val="24"/>
        </w:rPr>
        <w:t>RW</w:t>
      </w:r>
      <w:r w:rsidRPr="3F6CE971" w:rsidR="3F6CE971">
        <w:rPr>
          <w:rFonts w:ascii="Times New Roman" w:hAnsi="Times New Roman" w:eastAsia="Times New Roman" w:cs="Times New Roman"/>
          <w:color w:val="auto"/>
          <w:sz w:val="24"/>
          <w:szCs w:val="24"/>
        </w:rPr>
        <w:t>A</w:t>
      </w:r>
      <w:r w:rsidRPr="3F6CE971" w:rsidR="3F6CE971">
        <w:rPr>
          <w:rFonts w:ascii="Times New Roman" w:hAnsi="Times New Roman" w:eastAsia="Times New Roman" w:cs="Times New Roman"/>
          <w:color w:val="auto"/>
          <w:sz w:val="24"/>
          <w:szCs w:val="24"/>
        </w:rPr>
        <w:t xml:space="preserve"> display a preference for order, the law, are resistant to change, and were found to be considerably more likely to vote to leave the European Union. On a similar vein, social dominance orientation (SDO) appears to play a central role in intergroup attitudes, and can be described as a measure of support for general inequality between social groups, linked also with support to political parties upholding group-relevant social ideologies such as conservatism (Ho et al., 2015). Collective narcissists, characterised as individuals who believe in their nation's superiority, driven by the belief that out-groups threaten the in-group's safety, which when applied on a national scale is related to systematic rejection of foreigners and minorities (De </w:t>
      </w:r>
      <w:proofErr w:type="spellStart"/>
      <w:r w:rsidRPr="3F6CE971" w:rsidR="3F6CE971">
        <w:rPr>
          <w:rFonts w:ascii="Times New Roman" w:hAnsi="Times New Roman" w:eastAsia="Times New Roman" w:cs="Times New Roman"/>
          <w:color w:val="auto"/>
          <w:sz w:val="24"/>
          <w:szCs w:val="24"/>
        </w:rPr>
        <w:t>Zvala</w:t>
      </w:r>
      <w:proofErr w:type="spellEnd"/>
      <w:r w:rsidRPr="3F6CE971" w:rsidR="3F6CE971">
        <w:rPr>
          <w:rFonts w:ascii="Times New Roman" w:hAnsi="Times New Roman" w:eastAsia="Times New Roman" w:cs="Times New Roman"/>
          <w:color w:val="auto"/>
          <w:sz w:val="24"/>
          <w:szCs w:val="24"/>
        </w:rPr>
        <w:t xml:space="preserve">, Iskra-Golec &amp; Cichocka, 2013). Collective narcissism takes the idea of positive self-identity in association with group membership one step further, in which the group is not only seen as an extension of oneself, but with the added expectation that others should recognise the greatness of the member’s group, which in relation to the referendum were British nationals (Golec de Zavala, </w:t>
      </w:r>
      <w:proofErr w:type="spellStart"/>
      <w:r w:rsidRPr="3F6CE971" w:rsidR="3F6CE971">
        <w:rPr>
          <w:rFonts w:ascii="Times New Roman" w:hAnsi="Times New Roman" w:eastAsia="Times New Roman" w:cs="Times New Roman"/>
          <w:color w:val="auto"/>
          <w:sz w:val="24"/>
          <w:szCs w:val="24"/>
        </w:rPr>
        <w:t>Cichocks</w:t>
      </w:r>
      <w:proofErr w:type="spellEnd"/>
      <w:r w:rsidRPr="3F6CE971" w:rsidR="3F6CE971">
        <w:rPr>
          <w:rFonts w:ascii="Times New Roman" w:hAnsi="Times New Roman" w:eastAsia="Times New Roman" w:cs="Times New Roman"/>
          <w:color w:val="auto"/>
          <w:sz w:val="24"/>
          <w:szCs w:val="24"/>
        </w:rPr>
        <w:t xml:space="preserve">, </w:t>
      </w:r>
      <w:proofErr w:type="spellStart"/>
      <w:r w:rsidRPr="3F6CE971" w:rsidR="3F6CE971">
        <w:rPr>
          <w:rFonts w:ascii="Times New Roman" w:hAnsi="Times New Roman" w:eastAsia="Times New Roman" w:cs="Times New Roman"/>
          <w:color w:val="auto"/>
          <w:sz w:val="24"/>
          <w:szCs w:val="24"/>
        </w:rPr>
        <w:t>Eidelson</w:t>
      </w:r>
      <w:proofErr w:type="spellEnd"/>
      <w:r w:rsidRPr="3F6CE971" w:rsidR="3F6CE971">
        <w:rPr>
          <w:rFonts w:ascii="Times New Roman" w:hAnsi="Times New Roman" w:eastAsia="Times New Roman" w:cs="Times New Roman"/>
          <w:color w:val="auto"/>
          <w:sz w:val="24"/>
          <w:szCs w:val="24"/>
        </w:rPr>
        <w:t xml:space="preserve"> &amp; </w:t>
      </w:r>
      <w:proofErr w:type="spellStart"/>
      <w:r w:rsidRPr="3F6CE971" w:rsidR="3F6CE971">
        <w:rPr>
          <w:rFonts w:ascii="Times New Roman" w:hAnsi="Times New Roman" w:eastAsia="Times New Roman" w:cs="Times New Roman"/>
          <w:color w:val="auto"/>
          <w:sz w:val="24"/>
          <w:szCs w:val="24"/>
        </w:rPr>
        <w:t>Jayawickreme</w:t>
      </w:r>
      <w:proofErr w:type="spellEnd"/>
      <w:r w:rsidRPr="3F6CE971" w:rsidR="3F6CE971">
        <w:rPr>
          <w:rFonts w:ascii="Times New Roman" w:hAnsi="Times New Roman" w:eastAsia="Times New Roman" w:cs="Times New Roman"/>
          <w:color w:val="auto"/>
          <w:sz w:val="24"/>
          <w:szCs w:val="24"/>
        </w:rPr>
        <w:t>, 2019). Collective narcissism was identified as a strong independent predictor of the referendums outcome, as a result of the perceived threat of immigrants held by a large amount of the British public (Golec de Zavala, Guerra &amp; Simao, 2017).</w:t>
      </w:r>
    </w:p>
    <w:p w:rsidR="001045E2" w:rsidP="3F6CE971" w:rsidRDefault="001045E2" w14:paraId="5A43592E" w14:textId="4B3D56BA">
      <w:pPr>
        <w:jc w:val="both"/>
        <w:rPr>
          <w:rFonts w:ascii="Times New Roman" w:hAnsi="Times New Roman" w:eastAsia="Times New Roman" w:cs="Times New Roman"/>
          <w:color w:val="auto"/>
          <w:sz w:val="24"/>
          <w:szCs w:val="24"/>
        </w:rPr>
      </w:pPr>
    </w:p>
    <w:p w:rsidR="001045E2" w:rsidP="3F6CE971" w:rsidRDefault="4883C426" w14:paraId="610BD7E1" w14:textId="2467FB3A">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It has been suggested that there is a stark incongruence between the opinions and stereotypes held by individuals, and those expressed, as a result of internalised motivation not to display prejudice, and social pressures for political correctness. Such individuals are difficult to place within the Son-Hing two-dimensional model (2008) as unlike aversive racists who are not consciously aware of their prejudices, such individuals consciously avoid displaying prejudices that are held. Such individuals, like aversive racists are prone to displaying aversive discriminatory behaviours or even endorsing ‘colour blindness’ (Plaut, Thomas &amp; Goren, 2008). Blinder, Ford and </w:t>
      </w:r>
      <w:proofErr w:type="spellStart"/>
      <w:r w:rsidRPr="3F6CE971" w:rsidR="3F6CE971">
        <w:rPr>
          <w:rFonts w:ascii="Times New Roman" w:hAnsi="Times New Roman" w:eastAsia="Times New Roman" w:cs="Times New Roman"/>
          <w:color w:val="auto"/>
          <w:sz w:val="24"/>
          <w:szCs w:val="24"/>
        </w:rPr>
        <w:t>Ivarsflaten</w:t>
      </w:r>
      <w:proofErr w:type="spellEnd"/>
      <w:r w:rsidRPr="3F6CE971" w:rsidR="3F6CE971">
        <w:rPr>
          <w:rFonts w:ascii="Times New Roman" w:hAnsi="Times New Roman" w:eastAsia="Times New Roman" w:cs="Times New Roman"/>
          <w:color w:val="auto"/>
          <w:sz w:val="24"/>
          <w:szCs w:val="24"/>
        </w:rPr>
        <w:t xml:space="preserve"> (2013) identified that in such instances, antiprejudice social norms have the power to pull people away from voting for extremist parties, even if they support </w:t>
      </w:r>
      <w:r w:rsidRPr="3F6CE971" w:rsidR="3F6CE971">
        <w:rPr>
          <w:rFonts w:ascii="Times New Roman" w:hAnsi="Times New Roman" w:eastAsia="Times New Roman" w:cs="Times New Roman"/>
          <w:color w:val="auto"/>
          <w:sz w:val="24"/>
          <w:szCs w:val="24"/>
        </w:rPr>
        <w:t>their</w:t>
      </w:r>
      <w:r w:rsidRPr="3F6CE971" w:rsidR="3F6CE971">
        <w:rPr>
          <w:rFonts w:ascii="Times New Roman" w:hAnsi="Times New Roman" w:eastAsia="Times New Roman" w:cs="Times New Roman"/>
          <w:color w:val="auto"/>
          <w:sz w:val="24"/>
          <w:szCs w:val="24"/>
        </w:rPr>
        <w:t xml:space="preserve"> policies. When considered in line with Brexit, this idea could in part explain the fast rise in popularity of the Brexit party, who despite having considerable overlap with UKIP policy, did not hold the negative connotations that may dissuade individuals support. </w:t>
      </w:r>
    </w:p>
    <w:p w:rsidR="0061461A" w:rsidP="3F6CE971" w:rsidRDefault="0061461A" w14:paraId="39ED2185" w14:textId="77777777">
      <w:pPr>
        <w:jc w:val="both"/>
        <w:rPr>
          <w:rFonts w:ascii="Times New Roman" w:hAnsi="Times New Roman" w:eastAsia="Times New Roman" w:cs="Times New Roman"/>
          <w:color w:val="auto"/>
          <w:sz w:val="24"/>
          <w:szCs w:val="24"/>
        </w:rPr>
      </w:pPr>
    </w:p>
    <w:p w:rsidRPr="00812EB1" w:rsidR="00812EB1" w:rsidP="3F6CE971" w:rsidRDefault="00812EB1" w14:paraId="0518A528" w14:textId="0868B646">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In conclusion, providing a clear narrative of the role played by inter-group attitudes within the 2016 British-European referendum is a difficult, if not impossible task for a </w:t>
      </w:r>
      <w:r w:rsidRPr="3F6CE971" w:rsidR="3F6CE971">
        <w:rPr>
          <w:rFonts w:ascii="Times New Roman" w:hAnsi="Times New Roman" w:eastAsia="Times New Roman" w:cs="Times New Roman"/>
          <w:color w:val="auto"/>
          <w:sz w:val="24"/>
          <w:szCs w:val="24"/>
        </w:rPr>
        <w:t>multitude</w:t>
      </w:r>
      <w:r w:rsidRPr="3F6CE971" w:rsidR="3F6CE971">
        <w:rPr>
          <w:rFonts w:ascii="Times New Roman" w:hAnsi="Times New Roman" w:eastAsia="Times New Roman" w:cs="Times New Roman"/>
          <w:color w:val="auto"/>
          <w:sz w:val="24"/>
          <w:szCs w:val="24"/>
        </w:rPr>
        <w:t xml:space="preserve"> of reasons. Firstly, a wealth of complex social, economic and identity issues were all rolled into a simple binary question that was posed to the British public o</w:t>
      </w:r>
      <w:r w:rsidRPr="3F6CE971" w:rsidR="3F6CE971">
        <w:rPr>
          <w:rFonts w:ascii="Times New Roman" w:hAnsi="Times New Roman" w:eastAsia="Times New Roman" w:cs="Times New Roman"/>
          <w:color w:val="auto"/>
          <w:sz w:val="24"/>
          <w:szCs w:val="24"/>
        </w:rPr>
        <w:t>n whether</w:t>
      </w:r>
      <w:r w:rsidRPr="3F6CE971" w:rsidR="3F6CE971">
        <w:rPr>
          <w:rFonts w:ascii="Times New Roman" w:hAnsi="Times New Roman" w:eastAsia="Times New Roman" w:cs="Times New Roman"/>
          <w:color w:val="auto"/>
          <w:sz w:val="24"/>
          <w:szCs w:val="24"/>
        </w:rPr>
        <w:t xml:space="preserve"> to remain a member of the European Union (Hutchings &amp; Sullivan, 2018). Secondly, in line with social identity theory (Tajfel, 1969) an individual can hold membership to multiple groups, as such the in-group and out-group differs on an individual level, as does the importance placed on one’s group membership. It is clear from the wealth of literature that exists, that inter-group attitudes did played a role within the 2016 referendum outcome. Vital information which has been gathered at the individual level (Goodwin &amp; Heath, 2016), the role played by the media (Berry, 2016), the role of financial inequality and low-income regions (Jessop, 2017; Goodwin &amp; Milazzo, 2017) all impacted on the decision by the British public to leave the European Union. Issues of prejudice at an individual level (Son-Hing et al., 2008, Hutchings &amp; Sullivan, 2018), considered in isolation and in combination with the perceived threat of immigration, were found to be strongly linked with voting behaviours, with those displaying greater level of prejudice, feeling increasingly threatened and therefore being strongly in favour of the leave vote. Right wing authoritarianism, social dominance orientation and collective narcissism (Zavala, Guerro &amp; Simao, 2017) were all found to have impacted the referendum outcome, with those scoring highly in measures of </w:t>
      </w:r>
      <w:r w:rsidRPr="3F6CE971" w:rsidR="3F6CE971">
        <w:rPr>
          <w:rFonts w:ascii="Times New Roman" w:hAnsi="Times New Roman" w:eastAsia="Times New Roman" w:cs="Times New Roman"/>
          <w:color w:val="auto"/>
          <w:sz w:val="24"/>
          <w:szCs w:val="24"/>
        </w:rPr>
        <w:t>these traits individually or collectively</w:t>
      </w:r>
      <w:r w:rsidRPr="3F6CE971" w:rsidR="3F6CE971">
        <w:rPr>
          <w:rFonts w:ascii="Times New Roman" w:hAnsi="Times New Roman" w:eastAsia="Times New Roman" w:cs="Times New Roman"/>
          <w:color w:val="auto"/>
          <w:sz w:val="24"/>
          <w:szCs w:val="24"/>
        </w:rPr>
        <w:t xml:space="preserve"> demonstrating greater support for the leave vote. </w:t>
      </w:r>
    </w:p>
    <w:p w:rsidR="3F6CE971" w:rsidP="3F6CE971" w:rsidRDefault="3F6CE971" w14:paraId="76353BB9" w14:textId="3BB12BC5">
      <w:pPr>
        <w:pStyle w:val="Normal"/>
        <w:jc w:val="both"/>
        <w:rPr>
          <w:rFonts w:ascii="Times New Roman" w:hAnsi="Times New Roman" w:eastAsia="Times New Roman" w:cs="Times New Roman"/>
          <w:color w:val="auto"/>
          <w:sz w:val="24"/>
          <w:szCs w:val="24"/>
        </w:rPr>
      </w:pPr>
    </w:p>
    <w:p w:rsidRPr="004E3203" w:rsidR="4883C426" w:rsidP="3F6CE971" w:rsidRDefault="4883C426" w14:paraId="4D50B732" w14:textId="51307298">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rPr>
        <w:t xml:space="preserve">It </w:t>
      </w:r>
      <w:r w:rsidRPr="3F6CE971" w:rsidR="3F6CE971">
        <w:rPr>
          <w:rFonts w:ascii="Times New Roman" w:hAnsi="Times New Roman" w:eastAsia="Times New Roman" w:cs="Times New Roman"/>
          <w:color w:val="auto"/>
          <w:sz w:val="24"/>
          <w:szCs w:val="24"/>
        </w:rPr>
        <w:t xml:space="preserve">therefore </w:t>
      </w:r>
      <w:r w:rsidRPr="3F6CE971" w:rsidR="3F6CE971">
        <w:rPr>
          <w:rFonts w:ascii="Times New Roman" w:hAnsi="Times New Roman" w:eastAsia="Times New Roman" w:cs="Times New Roman"/>
          <w:color w:val="auto"/>
          <w:sz w:val="24"/>
          <w:szCs w:val="24"/>
        </w:rPr>
        <w:t>appears from this analysis, that immigrants can be perceived as out-group members, from an economic, national identity, or immigration related stance. When coupled with economic insecurity, threat perceptions and prejudice held by the in-group, inter-group relationships have been found to worsen. These factors do</w:t>
      </w:r>
      <w:r w:rsidRPr="3F6CE971" w:rsidR="3F6CE971">
        <w:rPr>
          <w:rFonts w:ascii="Times New Roman" w:hAnsi="Times New Roman" w:eastAsia="Times New Roman" w:cs="Times New Roman"/>
          <w:color w:val="auto"/>
          <w:sz w:val="24"/>
          <w:szCs w:val="24"/>
        </w:rPr>
        <w:t xml:space="preserve"> not</w:t>
      </w:r>
      <w:r w:rsidRPr="3F6CE971" w:rsidR="3F6CE971">
        <w:rPr>
          <w:rFonts w:ascii="Times New Roman" w:hAnsi="Times New Roman" w:eastAsia="Times New Roman" w:cs="Times New Roman"/>
          <w:color w:val="auto"/>
          <w:sz w:val="24"/>
          <w:szCs w:val="24"/>
        </w:rPr>
        <w:t xml:space="preserve"> provide a</w:t>
      </w:r>
      <w:r w:rsidRPr="3F6CE971" w:rsidR="3F6CE971">
        <w:rPr>
          <w:rFonts w:ascii="Times New Roman" w:hAnsi="Times New Roman" w:eastAsia="Times New Roman" w:cs="Times New Roman"/>
          <w:color w:val="auto"/>
          <w:sz w:val="24"/>
          <w:szCs w:val="24"/>
        </w:rPr>
        <w:t xml:space="preserve"> </w:t>
      </w:r>
      <w:r w:rsidRPr="3F6CE971" w:rsidR="3F6CE971">
        <w:rPr>
          <w:rFonts w:ascii="Times New Roman" w:hAnsi="Times New Roman" w:eastAsia="Times New Roman" w:cs="Times New Roman"/>
          <w:color w:val="auto"/>
          <w:sz w:val="24"/>
          <w:szCs w:val="24"/>
        </w:rPr>
        <w:t>definitive</w:t>
      </w:r>
      <w:r w:rsidRPr="3F6CE971" w:rsidR="3F6CE971">
        <w:rPr>
          <w:rFonts w:ascii="Times New Roman" w:hAnsi="Times New Roman" w:eastAsia="Times New Roman" w:cs="Times New Roman"/>
          <w:color w:val="auto"/>
          <w:sz w:val="24"/>
          <w:szCs w:val="24"/>
        </w:rPr>
        <w:t xml:space="preserve"> answer to the extent to which intergroup attitudes affected the outcome of the </w:t>
      </w:r>
      <w:r w:rsidRPr="3F6CE971" w:rsidR="3F6CE971">
        <w:rPr>
          <w:rFonts w:ascii="Times New Roman" w:hAnsi="Times New Roman" w:eastAsia="Times New Roman" w:cs="Times New Roman"/>
          <w:color w:val="auto"/>
          <w:sz w:val="24"/>
          <w:szCs w:val="24"/>
        </w:rPr>
        <w:t xml:space="preserve">2016 referendum but </w:t>
      </w:r>
      <w:r w:rsidRPr="3F6CE971" w:rsidR="3F6CE971">
        <w:rPr>
          <w:rFonts w:ascii="Times New Roman" w:hAnsi="Times New Roman" w:eastAsia="Times New Roman" w:cs="Times New Roman"/>
          <w:color w:val="auto"/>
          <w:sz w:val="24"/>
          <w:szCs w:val="24"/>
        </w:rPr>
        <w:t xml:space="preserve">do, nonetheless </w:t>
      </w:r>
      <w:r w:rsidRPr="3F6CE971" w:rsidR="3F6CE971">
        <w:rPr>
          <w:rFonts w:ascii="Times New Roman" w:hAnsi="Times New Roman" w:eastAsia="Times New Roman" w:cs="Times New Roman"/>
          <w:color w:val="auto"/>
          <w:sz w:val="24"/>
          <w:szCs w:val="24"/>
        </w:rPr>
        <w:t xml:space="preserve">offer valuable insight into the influence that can result from </w:t>
      </w:r>
      <w:r w:rsidRPr="3F6CE971" w:rsidR="3F6CE971">
        <w:rPr>
          <w:rFonts w:ascii="Times New Roman" w:hAnsi="Times New Roman" w:eastAsia="Times New Roman" w:cs="Times New Roman"/>
          <w:color w:val="auto"/>
          <w:sz w:val="24"/>
          <w:szCs w:val="24"/>
        </w:rPr>
        <w:t xml:space="preserve">group </w:t>
      </w:r>
      <w:r w:rsidRPr="3F6CE971" w:rsidR="3F6CE971">
        <w:rPr>
          <w:rFonts w:ascii="Times New Roman" w:hAnsi="Times New Roman" w:eastAsia="Times New Roman" w:cs="Times New Roman"/>
          <w:color w:val="auto"/>
          <w:sz w:val="24"/>
          <w:szCs w:val="24"/>
        </w:rPr>
        <w:t>membership.</w:t>
      </w:r>
    </w:p>
    <w:p w:rsidR="4883C426" w:rsidP="3F6CE971" w:rsidRDefault="4883C426" w14:paraId="3E3ED81B" w14:textId="384891BD">
      <w:pPr>
        <w:jc w:val="both"/>
        <w:rPr>
          <w:rFonts w:ascii="Times New Roman" w:hAnsi="Times New Roman" w:eastAsia="Times New Roman" w:cs="Times New Roman"/>
          <w:color w:val="auto"/>
          <w:sz w:val="24"/>
          <w:szCs w:val="24"/>
        </w:rPr>
      </w:pPr>
    </w:p>
    <w:p w:rsidRPr="000B6EA5" w:rsidR="4883C426" w:rsidP="3F6CE971" w:rsidRDefault="4883C426" w14:paraId="673A1230" w14:textId="7992F55A">
      <w:pPr>
        <w:rPr>
          <w:rFonts w:ascii="Times New Roman" w:hAnsi="Times New Roman" w:eastAsia="Times New Roman" w:cs="Times New Roman"/>
        </w:rPr>
      </w:pPr>
      <w:r w:rsidRPr="3F6CE971">
        <w:rPr>
          <w:rFonts w:ascii="Times New Roman" w:hAnsi="Times New Roman" w:eastAsia="Times New Roman" w:cs="Times New Roman"/>
        </w:rPr>
        <w:br w:type="page"/>
      </w:r>
    </w:p>
    <w:p w:rsidR="4883C426" w:rsidP="3F6CE971" w:rsidRDefault="4883C426" w14:paraId="3801C629" w14:textId="5FE945D1">
      <w:pPr>
        <w:jc w:val="both"/>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u w:val="single"/>
        </w:rPr>
        <w:t xml:space="preserve">References </w:t>
      </w:r>
    </w:p>
    <w:p w:rsidR="4883C426" w:rsidP="3F6CE971" w:rsidRDefault="4883C426" w14:paraId="04D20682" w14:textId="7C4D50BD">
      <w:pPr>
        <w:jc w:val="both"/>
        <w:rPr>
          <w:rFonts w:ascii="Times New Roman" w:hAnsi="Times New Roman" w:eastAsia="Times New Roman" w:cs="Times New Roman"/>
          <w:color w:val="auto"/>
          <w:sz w:val="24"/>
          <w:szCs w:val="24"/>
          <w:u w:val="single"/>
        </w:rPr>
      </w:pPr>
    </w:p>
    <w:p w:rsidR="4883C426" w:rsidP="3F6CE971" w:rsidRDefault="4883C426" w14:paraId="1465BBBC" w14:textId="0120C4B5">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Abrams, D., &amp; Houston, D. M. (2006). Equality, diversity and prejudice in Britain: results from the 2005 national survey: report for the cabinet office equalities review October 2006.</w:t>
      </w:r>
    </w:p>
    <w:p w:rsidR="4883C426" w:rsidP="3F6CE971" w:rsidRDefault="4883C426" w14:paraId="70720D90" w14:textId="3330934D">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Allport, G. W. (1954). (1979).</w:t>
      </w:r>
      <w:r w:rsidRPr="3F6CE971" w:rsidR="3F6CE971">
        <w:rPr>
          <w:rFonts w:ascii="Times New Roman" w:hAnsi="Times New Roman" w:eastAsia="Times New Roman" w:cs="Times New Roman"/>
          <w:i w:val="1"/>
          <w:iCs w:val="1"/>
          <w:color w:val="auto"/>
          <w:sz w:val="24"/>
          <w:szCs w:val="24"/>
          <w:lang w:val="en-US"/>
        </w:rPr>
        <w:t xml:space="preserve"> The nature of prejudice</w:t>
      </w:r>
      <w:r w:rsidRPr="3F6CE971" w:rsidR="3F6CE971">
        <w:rPr>
          <w:rFonts w:ascii="Times New Roman" w:hAnsi="Times New Roman" w:eastAsia="Times New Roman" w:cs="Times New Roman"/>
          <w:color w:val="auto"/>
          <w:sz w:val="24"/>
          <w:szCs w:val="24"/>
          <w:lang w:val="en-US"/>
        </w:rPr>
        <w:t>. Reading, MA: Addison-Wesley.</w:t>
      </w:r>
    </w:p>
    <w:p w:rsidR="4883C426" w:rsidP="3F6CE971" w:rsidRDefault="4883C426" w14:paraId="439596D5" w14:textId="46CC7221">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 xml:space="preserve">Altemeyer, B. (1998). The other “authoritarian personality”. In </w:t>
      </w:r>
      <w:r w:rsidRPr="3F6CE971" w:rsidR="3F6CE971">
        <w:rPr>
          <w:rFonts w:ascii="Times New Roman" w:hAnsi="Times New Roman" w:eastAsia="Times New Roman" w:cs="Times New Roman"/>
          <w:i w:val="1"/>
          <w:iCs w:val="1"/>
          <w:color w:val="auto"/>
          <w:sz w:val="24"/>
          <w:szCs w:val="24"/>
          <w:lang w:val="en-US"/>
        </w:rPr>
        <w:t>Advances in experimental social psychology</w:t>
      </w:r>
      <w:r w:rsidRPr="3F6CE971" w:rsidR="3F6CE971">
        <w:rPr>
          <w:rFonts w:ascii="Times New Roman" w:hAnsi="Times New Roman" w:eastAsia="Times New Roman" w:cs="Times New Roman"/>
          <w:color w:val="auto"/>
          <w:sz w:val="24"/>
          <w:szCs w:val="24"/>
          <w:lang w:val="en-US"/>
        </w:rPr>
        <w:t xml:space="preserve"> (Vol. 30, pp. 47-92). Academic Press. </w:t>
      </w:r>
      <w:hyperlink r:id="R9354b8136e61415c">
        <w:r w:rsidRPr="3F6CE971" w:rsidR="3F6CE971">
          <w:rPr>
            <w:rStyle w:val="Hyperlink"/>
            <w:rFonts w:ascii="Times New Roman" w:hAnsi="Times New Roman" w:eastAsia="Times New Roman" w:cs="Times New Roman"/>
            <w:color w:val="auto"/>
            <w:sz w:val="24"/>
            <w:szCs w:val="24"/>
            <w:lang w:val="en-US"/>
          </w:rPr>
          <w:t>https://doi.org/10/1016/S0065-2601(08)60382-2</w:t>
        </w:r>
      </w:hyperlink>
    </w:p>
    <w:p w:rsidR="4883C426" w:rsidP="3F6CE971" w:rsidRDefault="4883C426" w14:paraId="25102D57" w14:textId="381ECAB1">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Berry, M. (2016). Understanding the role of the mass media in the EU Referendum. </w:t>
      </w:r>
      <w:r w:rsidRPr="3F6CE971" w:rsidR="3F6CE971">
        <w:rPr>
          <w:rFonts w:ascii="Times New Roman" w:hAnsi="Times New Roman" w:eastAsia="Times New Roman" w:cs="Times New Roman"/>
          <w:i w:val="1"/>
          <w:iCs w:val="1"/>
          <w:color w:val="auto"/>
          <w:sz w:val="24"/>
          <w:szCs w:val="24"/>
          <w:lang w:val="en-US"/>
        </w:rPr>
        <w:t>LSE European Politics and Policy (EUROPP) Blog</w:t>
      </w:r>
      <w:r w:rsidRPr="3F6CE971" w:rsidR="3F6CE971">
        <w:rPr>
          <w:rFonts w:ascii="Times New Roman" w:hAnsi="Times New Roman" w:eastAsia="Times New Roman" w:cs="Times New Roman"/>
          <w:color w:val="auto"/>
          <w:sz w:val="24"/>
          <w:szCs w:val="24"/>
          <w:lang w:val="en-US"/>
        </w:rPr>
        <w:t xml:space="preserve">. </w:t>
      </w:r>
      <w:hyperlink r:id="Rb233e5cf2f0442b3">
        <w:r w:rsidRPr="3F6CE971" w:rsidR="3F6CE971">
          <w:rPr>
            <w:rStyle w:val="Hyperlink"/>
            <w:rFonts w:ascii="Times New Roman" w:hAnsi="Times New Roman" w:eastAsia="Times New Roman" w:cs="Times New Roman"/>
            <w:color w:val="auto"/>
            <w:sz w:val="24"/>
            <w:szCs w:val="24"/>
            <w:lang w:val="en-US"/>
          </w:rPr>
          <w:t>http://bit.ly/2awfQ2j</w:t>
        </w:r>
      </w:hyperlink>
    </w:p>
    <w:p w:rsidR="4883C426" w:rsidP="3F6CE971" w:rsidRDefault="4883C426" w14:paraId="3DFFFB74" w14:textId="69186AEC">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Blinder, S., &amp; Allen, W. (2016). UK public opinion toward immigration: Overall attitudes and level of concern. The Migration Observatory, 28.</w:t>
      </w:r>
    </w:p>
    <w:p w:rsidR="4883C426" w:rsidP="3F6CE971" w:rsidRDefault="4883C426" w14:paraId="42411DDF" w14:textId="41A2EC79">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Blinder, S., &amp; </w:t>
      </w:r>
      <w:r w:rsidRPr="3F6CE971" w:rsidR="3F6CE971">
        <w:rPr>
          <w:rFonts w:ascii="Times New Roman" w:hAnsi="Times New Roman" w:eastAsia="Times New Roman" w:cs="Times New Roman"/>
          <w:color w:val="auto"/>
          <w:sz w:val="24"/>
          <w:szCs w:val="24"/>
          <w:lang w:val="en-US"/>
        </w:rPr>
        <w:t>Jeannet</w:t>
      </w:r>
      <w:r w:rsidRPr="3F6CE971" w:rsidR="3F6CE971">
        <w:rPr>
          <w:rFonts w:ascii="Times New Roman" w:hAnsi="Times New Roman" w:eastAsia="Times New Roman" w:cs="Times New Roman"/>
          <w:color w:val="auto"/>
          <w:sz w:val="24"/>
          <w:szCs w:val="24"/>
          <w:lang w:val="en-US"/>
        </w:rPr>
        <w:t xml:space="preserve">, A. M. (2018). The ‘illegal’ and the skilled: effects of media portrayals on perceptions of immigrants in Britain. </w:t>
      </w:r>
      <w:r w:rsidRPr="3F6CE971" w:rsidR="3F6CE971">
        <w:rPr>
          <w:rFonts w:ascii="Times New Roman" w:hAnsi="Times New Roman" w:eastAsia="Times New Roman" w:cs="Times New Roman"/>
          <w:i w:val="1"/>
          <w:iCs w:val="1"/>
          <w:color w:val="auto"/>
          <w:sz w:val="24"/>
          <w:szCs w:val="24"/>
          <w:lang w:val="en-US"/>
        </w:rPr>
        <w:t>Journal of Ethnic and Migration Studies</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44</w:t>
      </w:r>
      <w:r w:rsidRPr="3F6CE971" w:rsidR="3F6CE971">
        <w:rPr>
          <w:rFonts w:ascii="Times New Roman" w:hAnsi="Times New Roman" w:eastAsia="Times New Roman" w:cs="Times New Roman"/>
          <w:color w:val="auto"/>
          <w:sz w:val="24"/>
          <w:szCs w:val="24"/>
          <w:lang w:val="en-US"/>
        </w:rPr>
        <w:t>(9), 1444-1462.</w:t>
      </w:r>
    </w:p>
    <w:p w:rsidR="4883C426" w:rsidP="3F6CE971" w:rsidRDefault="4883C426" w14:paraId="5E0FB5AB" w14:textId="15EE6B93">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Blinder, S., Ford, R., &amp; </w:t>
      </w:r>
      <w:proofErr w:type="spellStart"/>
      <w:r w:rsidRPr="3F6CE971" w:rsidR="3F6CE971">
        <w:rPr>
          <w:rFonts w:ascii="Times New Roman" w:hAnsi="Times New Roman" w:eastAsia="Times New Roman" w:cs="Times New Roman"/>
          <w:color w:val="auto"/>
          <w:sz w:val="24"/>
          <w:szCs w:val="24"/>
          <w:lang w:val="en-US"/>
        </w:rPr>
        <w:t>Ivarsflaten</w:t>
      </w:r>
      <w:proofErr w:type="spellEnd"/>
      <w:r w:rsidRPr="3F6CE971" w:rsidR="3F6CE971">
        <w:rPr>
          <w:rFonts w:ascii="Times New Roman" w:hAnsi="Times New Roman" w:eastAsia="Times New Roman" w:cs="Times New Roman"/>
          <w:color w:val="auto"/>
          <w:sz w:val="24"/>
          <w:szCs w:val="24"/>
          <w:lang w:val="en-US"/>
        </w:rPr>
        <w:t xml:space="preserve">, E. (2013). The Better Angels of Our Nature: How the Antiprejudice Norm Affects Policy and Party Preferences in Great Britain and Germany. </w:t>
      </w:r>
      <w:r w:rsidRPr="3F6CE971" w:rsidR="3F6CE971">
        <w:rPr>
          <w:rFonts w:ascii="Times New Roman" w:hAnsi="Times New Roman" w:eastAsia="Times New Roman" w:cs="Times New Roman"/>
          <w:i w:val="1"/>
          <w:iCs w:val="1"/>
          <w:color w:val="auto"/>
          <w:sz w:val="24"/>
          <w:szCs w:val="24"/>
          <w:lang w:val="en-US"/>
        </w:rPr>
        <w:t>American Journal of Political Science,</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57</w:t>
      </w:r>
      <w:r w:rsidRPr="3F6CE971" w:rsidR="3F6CE971">
        <w:rPr>
          <w:rFonts w:ascii="Times New Roman" w:hAnsi="Times New Roman" w:eastAsia="Times New Roman" w:cs="Times New Roman"/>
          <w:color w:val="auto"/>
          <w:sz w:val="24"/>
          <w:szCs w:val="24"/>
          <w:lang w:val="en-US"/>
        </w:rPr>
        <w:t>(4), 841-857.</w:t>
      </w:r>
    </w:p>
    <w:p w:rsidR="4883C426" w:rsidP="3F6CE971" w:rsidRDefault="4883C426" w14:paraId="05010FC6" w14:textId="3F268AA1">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Colantone</w:t>
      </w:r>
      <w:r w:rsidRPr="3F6CE971" w:rsidR="3F6CE971">
        <w:rPr>
          <w:rFonts w:ascii="Times New Roman" w:hAnsi="Times New Roman" w:eastAsia="Times New Roman" w:cs="Times New Roman"/>
          <w:color w:val="auto"/>
          <w:sz w:val="24"/>
          <w:szCs w:val="24"/>
          <w:lang w:val="en-US"/>
        </w:rPr>
        <w:t xml:space="preserve">, I., &amp; </w:t>
      </w:r>
      <w:r w:rsidRPr="3F6CE971" w:rsidR="3F6CE971">
        <w:rPr>
          <w:rFonts w:ascii="Times New Roman" w:hAnsi="Times New Roman" w:eastAsia="Times New Roman" w:cs="Times New Roman"/>
          <w:color w:val="auto"/>
          <w:sz w:val="24"/>
          <w:szCs w:val="24"/>
          <w:lang w:val="en-US"/>
        </w:rPr>
        <w:t>Stanig</w:t>
      </w:r>
      <w:r w:rsidRPr="3F6CE971" w:rsidR="3F6CE971">
        <w:rPr>
          <w:rFonts w:ascii="Times New Roman" w:hAnsi="Times New Roman" w:eastAsia="Times New Roman" w:cs="Times New Roman"/>
          <w:color w:val="auto"/>
          <w:sz w:val="24"/>
          <w:szCs w:val="24"/>
          <w:lang w:val="en-US"/>
        </w:rPr>
        <w:t xml:space="preserve">, P. (2018). Global Competition and Brexit. </w:t>
      </w:r>
      <w:r w:rsidRPr="3F6CE971" w:rsidR="3F6CE971">
        <w:rPr>
          <w:rFonts w:ascii="Times New Roman" w:hAnsi="Times New Roman" w:eastAsia="Times New Roman" w:cs="Times New Roman"/>
          <w:i w:val="1"/>
          <w:iCs w:val="1"/>
          <w:color w:val="auto"/>
          <w:sz w:val="24"/>
          <w:szCs w:val="24"/>
          <w:lang w:val="en-US"/>
        </w:rPr>
        <w:t>The American Political Science Review,</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112</w:t>
      </w:r>
      <w:r w:rsidRPr="3F6CE971" w:rsidR="3F6CE971">
        <w:rPr>
          <w:rFonts w:ascii="Times New Roman" w:hAnsi="Times New Roman" w:eastAsia="Times New Roman" w:cs="Times New Roman"/>
          <w:color w:val="auto"/>
          <w:sz w:val="24"/>
          <w:szCs w:val="24"/>
          <w:lang w:val="en-US"/>
        </w:rPr>
        <w:t xml:space="preserve">(2), 201-218. </w:t>
      </w:r>
      <w:hyperlink r:id="Rc5722ebc28b742d1">
        <w:r w:rsidRPr="3F6CE971" w:rsidR="3F6CE971">
          <w:rPr>
            <w:rStyle w:val="Hyperlink"/>
            <w:rFonts w:ascii="Times New Roman" w:hAnsi="Times New Roman" w:eastAsia="Times New Roman" w:cs="Times New Roman"/>
            <w:color w:val="auto"/>
            <w:sz w:val="24"/>
            <w:szCs w:val="24"/>
            <w:lang w:val="en-US"/>
          </w:rPr>
          <w:t>Ftp://ftp.repec.org/opt/ReDIF/RePEc/baf/papers/cbafwp1644.pdf</w:t>
        </w:r>
      </w:hyperlink>
      <w:r w:rsidRPr="3F6CE971" w:rsidR="3F6CE971">
        <w:rPr>
          <w:rFonts w:ascii="Times New Roman" w:hAnsi="Times New Roman" w:eastAsia="Times New Roman" w:cs="Times New Roman"/>
          <w:color w:val="auto"/>
          <w:sz w:val="24"/>
          <w:szCs w:val="24"/>
          <w:u w:val="single"/>
          <w:lang w:val="en-US"/>
        </w:rPr>
        <w:t>. Accessed 10 Oct 2019.</w:t>
      </w:r>
    </w:p>
    <w:p w:rsidR="4883C426" w:rsidP="3F6CE971" w:rsidRDefault="4883C426" w14:paraId="2602C677" w14:textId="6CD63D70">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 xml:space="preserve">De Zavala, A. G., </w:t>
      </w:r>
      <w:r w:rsidRPr="3F6CE971" w:rsidR="3F6CE971">
        <w:rPr>
          <w:rFonts w:ascii="Times New Roman" w:hAnsi="Times New Roman" w:eastAsia="Times New Roman" w:cs="Times New Roman"/>
          <w:color w:val="auto"/>
          <w:sz w:val="24"/>
          <w:szCs w:val="24"/>
          <w:lang w:val="en-US"/>
        </w:rPr>
        <w:t>Cichocka</w:t>
      </w:r>
      <w:r w:rsidRPr="3F6CE971" w:rsidR="3F6CE971">
        <w:rPr>
          <w:rFonts w:ascii="Times New Roman" w:hAnsi="Times New Roman" w:eastAsia="Times New Roman" w:cs="Times New Roman"/>
          <w:color w:val="auto"/>
          <w:sz w:val="24"/>
          <w:szCs w:val="24"/>
          <w:lang w:val="en-US"/>
        </w:rPr>
        <w:t xml:space="preserve">, A., </w:t>
      </w:r>
      <w:r w:rsidRPr="3F6CE971" w:rsidR="3F6CE971">
        <w:rPr>
          <w:rFonts w:ascii="Times New Roman" w:hAnsi="Times New Roman" w:eastAsia="Times New Roman" w:cs="Times New Roman"/>
          <w:color w:val="auto"/>
          <w:sz w:val="24"/>
          <w:szCs w:val="24"/>
          <w:lang w:val="en-US"/>
        </w:rPr>
        <w:t>Eidelson</w:t>
      </w:r>
      <w:r w:rsidRPr="3F6CE971" w:rsidR="3F6CE971">
        <w:rPr>
          <w:rFonts w:ascii="Times New Roman" w:hAnsi="Times New Roman" w:eastAsia="Times New Roman" w:cs="Times New Roman"/>
          <w:color w:val="auto"/>
          <w:sz w:val="24"/>
          <w:szCs w:val="24"/>
          <w:lang w:val="en-US"/>
        </w:rPr>
        <w:t xml:space="preserve">, R., &amp; </w:t>
      </w:r>
      <w:r w:rsidRPr="3F6CE971" w:rsidR="3F6CE971">
        <w:rPr>
          <w:rFonts w:ascii="Times New Roman" w:hAnsi="Times New Roman" w:eastAsia="Times New Roman" w:cs="Times New Roman"/>
          <w:color w:val="auto"/>
          <w:sz w:val="24"/>
          <w:szCs w:val="24"/>
          <w:lang w:val="en-US"/>
        </w:rPr>
        <w:t>Jayawickreme</w:t>
      </w:r>
      <w:r w:rsidRPr="3F6CE971" w:rsidR="3F6CE971">
        <w:rPr>
          <w:rFonts w:ascii="Times New Roman" w:hAnsi="Times New Roman" w:eastAsia="Times New Roman" w:cs="Times New Roman"/>
          <w:color w:val="auto"/>
          <w:sz w:val="24"/>
          <w:szCs w:val="24"/>
          <w:lang w:val="en-US"/>
        </w:rPr>
        <w:t>, N. (2009). Collective narcissism and its social consequences. Journal of personality and social psychology, 97(6), 1074 - 1097. ISSN 0022-3514</w:t>
      </w:r>
    </w:p>
    <w:p w:rsidR="4883C426" w:rsidP="3F6CE971" w:rsidRDefault="4883C426" w14:paraId="77E0269B" w14:textId="0CDEB979">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Dovidio, J. F., </w:t>
      </w:r>
      <w:proofErr w:type="spellStart"/>
      <w:r w:rsidRPr="3F6CE971" w:rsidR="3F6CE971">
        <w:rPr>
          <w:rFonts w:ascii="Times New Roman" w:hAnsi="Times New Roman" w:eastAsia="Times New Roman" w:cs="Times New Roman"/>
          <w:color w:val="auto"/>
          <w:sz w:val="24"/>
          <w:szCs w:val="24"/>
          <w:lang w:val="en-US"/>
        </w:rPr>
        <w:t>Hewstone</w:t>
      </w:r>
      <w:proofErr w:type="spellEnd"/>
      <w:r w:rsidRPr="3F6CE971" w:rsidR="3F6CE971">
        <w:rPr>
          <w:rFonts w:ascii="Times New Roman" w:hAnsi="Times New Roman" w:eastAsia="Times New Roman" w:cs="Times New Roman"/>
          <w:color w:val="auto"/>
          <w:sz w:val="24"/>
          <w:szCs w:val="24"/>
          <w:lang w:val="en-US"/>
        </w:rPr>
        <w:t xml:space="preserve">, M., Glick, P., &amp; </w:t>
      </w:r>
      <w:r w:rsidRPr="3F6CE971" w:rsidR="3F6CE971">
        <w:rPr>
          <w:rFonts w:ascii="Times New Roman" w:hAnsi="Times New Roman" w:eastAsia="Times New Roman" w:cs="Times New Roman"/>
          <w:color w:val="auto"/>
          <w:sz w:val="24"/>
          <w:szCs w:val="24"/>
          <w:lang w:val="en-US"/>
        </w:rPr>
        <w:t>Esses</w:t>
      </w:r>
      <w:r w:rsidRPr="3F6CE971" w:rsidR="3F6CE971">
        <w:rPr>
          <w:rFonts w:ascii="Times New Roman" w:hAnsi="Times New Roman" w:eastAsia="Times New Roman" w:cs="Times New Roman"/>
          <w:color w:val="auto"/>
          <w:sz w:val="24"/>
          <w:szCs w:val="24"/>
          <w:lang w:val="en-US"/>
        </w:rPr>
        <w:t xml:space="preserve">, V. M. (2010). Prejudice, stereotyping and discrimination: Theoretical and empirical overview. In: </w:t>
      </w:r>
      <w:proofErr w:type="spellStart"/>
      <w:r w:rsidRPr="3F6CE971" w:rsidR="3F6CE971">
        <w:rPr>
          <w:rFonts w:ascii="Times New Roman" w:hAnsi="Times New Roman" w:eastAsia="Times New Roman" w:cs="Times New Roman"/>
          <w:color w:val="auto"/>
          <w:sz w:val="24"/>
          <w:szCs w:val="24"/>
          <w:lang w:val="en-US"/>
        </w:rPr>
        <w:t>Dovido</w:t>
      </w:r>
      <w:proofErr w:type="spellEnd"/>
      <w:r w:rsidRPr="3F6CE971" w:rsidR="3F6CE971">
        <w:rPr>
          <w:rFonts w:ascii="Times New Roman" w:hAnsi="Times New Roman" w:eastAsia="Times New Roman" w:cs="Times New Roman"/>
          <w:color w:val="auto"/>
          <w:sz w:val="24"/>
          <w:szCs w:val="24"/>
          <w:lang w:val="en-US"/>
        </w:rPr>
        <w:t xml:space="preserve"> JF, </w:t>
      </w:r>
      <w:proofErr w:type="spellStart"/>
      <w:r w:rsidRPr="3F6CE971" w:rsidR="3F6CE971">
        <w:rPr>
          <w:rFonts w:ascii="Times New Roman" w:hAnsi="Times New Roman" w:eastAsia="Times New Roman" w:cs="Times New Roman"/>
          <w:color w:val="auto"/>
          <w:sz w:val="24"/>
          <w:szCs w:val="24"/>
          <w:lang w:val="en-US"/>
        </w:rPr>
        <w:t>Hewstone</w:t>
      </w:r>
      <w:proofErr w:type="spellEnd"/>
      <w:r w:rsidRPr="3F6CE971" w:rsidR="3F6CE971">
        <w:rPr>
          <w:rFonts w:ascii="Times New Roman" w:hAnsi="Times New Roman" w:eastAsia="Times New Roman" w:cs="Times New Roman"/>
          <w:color w:val="auto"/>
          <w:sz w:val="24"/>
          <w:szCs w:val="24"/>
          <w:lang w:val="en-US"/>
        </w:rPr>
        <w:t xml:space="preserve"> M, Glick P, </w:t>
      </w:r>
      <w:r w:rsidRPr="3F6CE971" w:rsidR="3F6CE971">
        <w:rPr>
          <w:rFonts w:ascii="Times New Roman" w:hAnsi="Times New Roman" w:eastAsia="Times New Roman" w:cs="Times New Roman"/>
          <w:color w:val="auto"/>
          <w:sz w:val="24"/>
          <w:szCs w:val="24"/>
          <w:lang w:val="en-US"/>
        </w:rPr>
        <w:t>Esses</w:t>
      </w:r>
      <w:r w:rsidRPr="3F6CE971" w:rsidR="3F6CE971">
        <w:rPr>
          <w:rFonts w:ascii="Times New Roman" w:hAnsi="Times New Roman" w:eastAsia="Times New Roman" w:cs="Times New Roman"/>
          <w:color w:val="auto"/>
          <w:sz w:val="24"/>
          <w:szCs w:val="24"/>
          <w:lang w:val="en-US"/>
        </w:rPr>
        <w:t xml:space="preserve"> VM (eds) </w:t>
      </w:r>
      <w:r w:rsidRPr="3F6CE971" w:rsidR="3F6CE971">
        <w:rPr>
          <w:rFonts w:ascii="Times New Roman" w:hAnsi="Times New Roman" w:eastAsia="Times New Roman" w:cs="Times New Roman"/>
          <w:i w:val="1"/>
          <w:iCs w:val="1"/>
          <w:color w:val="auto"/>
          <w:sz w:val="24"/>
          <w:szCs w:val="24"/>
          <w:lang w:val="en-US"/>
        </w:rPr>
        <w:t>The SAGE handbook of prejudice, stereotyping and discrimination. SAGE, London.</w:t>
      </w:r>
    </w:p>
    <w:p w:rsidR="4883C426" w:rsidP="3F6CE971" w:rsidRDefault="4883C426" w14:paraId="7FD5922B" w14:textId="784E386C">
      <w:pPr>
        <w:spacing w:after="160"/>
        <w:ind w:left="720" w:hanging="720"/>
        <w:rPr>
          <w:rFonts w:ascii="Times New Roman" w:hAnsi="Times New Roman" w:eastAsia="Times New Roman" w:cs="Times New Roman"/>
          <w:color w:val="auto"/>
          <w:sz w:val="24"/>
          <w:szCs w:val="24"/>
        </w:rPr>
      </w:pPr>
      <w:proofErr w:type="spellStart"/>
      <w:r w:rsidRPr="3F6CE971" w:rsidR="3F6CE971">
        <w:rPr>
          <w:rFonts w:ascii="Times New Roman" w:hAnsi="Times New Roman" w:eastAsia="Times New Roman" w:cs="Times New Roman"/>
          <w:color w:val="auto"/>
          <w:sz w:val="24"/>
          <w:szCs w:val="24"/>
          <w:lang w:val="en-US"/>
        </w:rPr>
        <w:t>Foged</w:t>
      </w:r>
      <w:proofErr w:type="spellEnd"/>
      <w:r w:rsidRPr="3F6CE971" w:rsidR="3F6CE971">
        <w:rPr>
          <w:rFonts w:ascii="Times New Roman" w:hAnsi="Times New Roman" w:eastAsia="Times New Roman" w:cs="Times New Roman"/>
          <w:color w:val="auto"/>
          <w:sz w:val="24"/>
          <w:szCs w:val="24"/>
          <w:lang w:val="en-US"/>
        </w:rPr>
        <w:t>, M., &amp; Peri, G. (2016). Immigrants' effect on native workers: New analysis on longitudinal data.</w:t>
      </w:r>
      <w:r w:rsidRPr="3F6CE971" w:rsidR="3F6CE971">
        <w:rPr>
          <w:rFonts w:ascii="Times New Roman" w:hAnsi="Times New Roman" w:eastAsia="Times New Roman" w:cs="Times New Roman"/>
          <w:i w:val="1"/>
          <w:iCs w:val="1"/>
          <w:color w:val="auto"/>
          <w:sz w:val="24"/>
          <w:szCs w:val="24"/>
          <w:lang w:val="en-US"/>
        </w:rPr>
        <w:t xml:space="preserve"> American Economic Journal. Applied Economics, 8</w:t>
      </w:r>
      <w:r w:rsidRPr="3F6CE971" w:rsidR="3F6CE971">
        <w:rPr>
          <w:rFonts w:ascii="Times New Roman" w:hAnsi="Times New Roman" w:eastAsia="Times New Roman" w:cs="Times New Roman"/>
          <w:color w:val="auto"/>
          <w:sz w:val="24"/>
          <w:szCs w:val="24"/>
          <w:lang w:val="en-US"/>
        </w:rPr>
        <w:t xml:space="preserve">(2), 1-34. </w:t>
      </w:r>
      <w:proofErr w:type="spellStart"/>
      <w:r w:rsidRPr="3F6CE971" w:rsidR="3F6CE971">
        <w:rPr>
          <w:rFonts w:ascii="Times New Roman" w:hAnsi="Times New Roman" w:eastAsia="Times New Roman" w:cs="Times New Roman"/>
          <w:color w:val="auto"/>
          <w:sz w:val="24"/>
          <w:szCs w:val="24"/>
          <w:lang w:val="en-US"/>
        </w:rPr>
        <w:t>doi:http</w:t>
      </w:r>
      <w:proofErr w:type="spellEnd"/>
      <w:r w:rsidRPr="3F6CE971" w:rsidR="3F6CE971">
        <w:rPr>
          <w:rFonts w:ascii="Times New Roman" w:hAnsi="Times New Roman" w:eastAsia="Times New Roman" w:cs="Times New Roman"/>
          <w:color w:val="auto"/>
          <w:sz w:val="24"/>
          <w:szCs w:val="24"/>
          <w:lang w:val="en-US"/>
        </w:rPr>
        <w:t>://dx.doi.org/10.1257/app.20150114</w:t>
      </w:r>
    </w:p>
    <w:p w:rsidR="4883C426" w:rsidP="3F6CE971" w:rsidRDefault="4883C426" w14:paraId="7A43EE32" w14:textId="33834DF6">
      <w:pPr>
        <w:spacing w:after="160"/>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Golec</w:t>
      </w:r>
      <w:r w:rsidRPr="3F6CE971" w:rsidR="3F6CE971">
        <w:rPr>
          <w:rFonts w:ascii="Times New Roman" w:hAnsi="Times New Roman" w:eastAsia="Times New Roman" w:cs="Times New Roman"/>
          <w:color w:val="auto"/>
          <w:sz w:val="24"/>
          <w:szCs w:val="24"/>
          <w:lang w:val="en-US"/>
        </w:rPr>
        <w:t xml:space="preserve"> de Zavala, A., Guerra, R., &amp; </w:t>
      </w:r>
      <w:proofErr w:type="spellStart"/>
      <w:r w:rsidRPr="3F6CE971" w:rsidR="3F6CE971">
        <w:rPr>
          <w:rFonts w:ascii="Times New Roman" w:hAnsi="Times New Roman" w:eastAsia="Times New Roman" w:cs="Times New Roman"/>
          <w:color w:val="auto"/>
          <w:sz w:val="24"/>
          <w:szCs w:val="24"/>
          <w:lang w:val="en-US"/>
        </w:rPr>
        <w:t>Simão</w:t>
      </w:r>
      <w:proofErr w:type="spellEnd"/>
      <w:r w:rsidRPr="3F6CE971" w:rsidR="3F6CE971">
        <w:rPr>
          <w:rFonts w:ascii="Times New Roman" w:hAnsi="Times New Roman" w:eastAsia="Times New Roman" w:cs="Times New Roman"/>
          <w:color w:val="auto"/>
          <w:sz w:val="24"/>
          <w:szCs w:val="24"/>
          <w:lang w:val="en-US"/>
        </w:rPr>
        <w:t xml:space="preserve">, C. (2017). The relationship between the Brexit vote and individual predictors of prejudice: Collective narcissism, right wing authoritarianism, social dominance orientation. </w:t>
      </w:r>
      <w:r w:rsidRPr="3F6CE971" w:rsidR="3F6CE971">
        <w:rPr>
          <w:rFonts w:ascii="Times New Roman" w:hAnsi="Times New Roman" w:eastAsia="Times New Roman" w:cs="Times New Roman"/>
          <w:i w:val="1"/>
          <w:iCs w:val="1"/>
          <w:color w:val="auto"/>
          <w:sz w:val="24"/>
          <w:szCs w:val="24"/>
          <w:lang w:val="en-US"/>
        </w:rPr>
        <w:t>Frontiers in psychology</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8</w:t>
      </w:r>
      <w:r w:rsidRPr="3F6CE971" w:rsidR="3F6CE971">
        <w:rPr>
          <w:rFonts w:ascii="Times New Roman" w:hAnsi="Times New Roman" w:eastAsia="Times New Roman" w:cs="Times New Roman"/>
          <w:color w:val="auto"/>
          <w:sz w:val="24"/>
          <w:szCs w:val="24"/>
          <w:lang w:val="en-US"/>
        </w:rPr>
        <w:t>, (2023), 1-14. DOI:10.3389/fpsyg.2017.02023</w:t>
      </w:r>
    </w:p>
    <w:p w:rsidR="4883C426" w:rsidP="3F6CE971" w:rsidRDefault="4883C426" w14:paraId="7AB4944A" w14:textId="76299BF6">
      <w:pPr>
        <w:spacing w:after="160" w:line="240" w:lineRule="auto"/>
        <w:ind w:left="720" w:hanging="720"/>
        <w:rPr>
          <w:rFonts w:ascii="Times New Roman" w:hAnsi="Times New Roman" w:eastAsia="Times New Roman" w:cs="Times New Roman"/>
          <w:color w:val="auto"/>
          <w:sz w:val="24"/>
          <w:szCs w:val="24"/>
        </w:rPr>
      </w:pPr>
    </w:p>
    <w:p w:rsidR="4883C426" w:rsidP="3F6CE971" w:rsidRDefault="4883C426" w14:paraId="044A8DBE" w14:textId="37FC18EA">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Goodwin M, Heath O (2016) Brexit vote explained: poverty, low skills and lack of opportunities. Joseph Rowntree Foundation, York. </w:t>
      </w:r>
      <w:hyperlink r:id="R77747b6294e2454b">
        <w:r w:rsidRPr="3F6CE971" w:rsidR="3F6CE971">
          <w:rPr>
            <w:rStyle w:val="Hyperlink"/>
            <w:rFonts w:ascii="Times New Roman" w:hAnsi="Times New Roman" w:eastAsia="Times New Roman" w:cs="Times New Roman"/>
            <w:color w:val="auto"/>
            <w:sz w:val="24"/>
            <w:szCs w:val="24"/>
            <w:lang w:val="en-US"/>
          </w:rPr>
          <w:t>https://www.jrf.org.uk/report/brexit-vote-explained-poverty-low-skills-and-lack-opportunities</w:t>
        </w:r>
      </w:hyperlink>
      <w:r w:rsidRPr="3F6CE971" w:rsidR="3F6CE971">
        <w:rPr>
          <w:rFonts w:ascii="Times New Roman" w:hAnsi="Times New Roman" w:eastAsia="Times New Roman" w:cs="Times New Roman"/>
          <w:color w:val="auto"/>
          <w:sz w:val="24"/>
          <w:szCs w:val="24"/>
          <w:u w:val="single"/>
          <w:lang w:val="en-US"/>
        </w:rPr>
        <w:t>. Accessed 15 Oct 2019.</w:t>
      </w:r>
    </w:p>
    <w:p w:rsidR="4883C426" w:rsidP="3F6CE971" w:rsidRDefault="4883C426" w14:paraId="632273FB" w14:textId="055FF455">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Goodwin M and Milazzo C (2017) Taking back control? Investigating the role of immigration in the 2016 vote for Brexit. The British Journal of Politics and International Relations 19(3): 450–464.</w:t>
      </w:r>
    </w:p>
    <w:p w:rsidR="4883C426" w:rsidP="3F6CE971" w:rsidRDefault="4883C426" w14:paraId="633C976E" w14:textId="0023C096">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Hutchings, P. B. &amp; Sullivan, K.E., (2019) Prejudice and the Brexit vote: A tangled web. </w:t>
      </w:r>
      <w:r w:rsidRPr="3F6CE971" w:rsidR="3F6CE971">
        <w:rPr>
          <w:rFonts w:ascii="Times New Roman" w:hAnsi="Times New Roman" w:eastAsia="Times New Roman" w:cs="Times New Roman"/>
          <w:i w:val="1"/>
          <w:iCs w:val="1"/>
          <w:color w:val="auto"/>
          <w:sz w:val="24"/>
          <w:szCs w:val="24"/>
          <w:lang w:val="en-US"/>
        </w:rPr>
        <w:t xml:space="preserve">Palgrave Communications, </w:t>
      </w:r>
      <w:r w:rsidRPr="3F6CE971" w:rsidR="3F6CE971">
        <w:rPr>
          <w:rFonts w:ascii="Times New Roman" w:hAnsi="Times New Roman" w:eastAsia="Times New Roman" w:cs="Times New Roman"/>
          <w:color w:val="auto"/>
          <w:sz w:val="24"/>
          <w:szCs w:val="24"/>
          <w:lang w:val="en-US"/>
        </w:rPr>
        <w:t xml:space="preserve">5(1), 1-5. </w:t>
      </w:r>
      <w:hyperlink r:id="R0beb1159aaa4467b">
        <w:r w:rsidRPr="3F6CE971" w:rsidR="3F6CE971">
          <w:rPr>
            <w:rStyle w:val="Hyperlink"/>
            <w:rFonts w:ascii="Times New Roman" w:hAnsi="Times New Roman" w:eastAsia="Times New Roman" w:cs="Times New Roman"/>
            <w:color w:val="auto"/>
            <w:sz w:val="24"/>
            <w:szCs w:val="24"/>
            <w:lang w:val="en-US"/>
          </w:rPr>
          <w:t>https://doi.org/10.1057/s41599-018-0214-5</w:t>
        </w:r>
      </w:hyperlink>
    </w:p>
    <w:p w:rsidR="4883C426" w:rsidP="3F6CE971" w:rsidRDefault="4883C426" w14:paraId="140EDE7C" w14:textId="136337B5">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Ho, A. K., </w:t>
      </w:r>
      <w:proofErr w:type="spellStart"/>
      <w:r w:rsidRPr="3F6CE971" w:rsidR="3F6CE971">
        <w:rPr>
          <w:rFonts w:ascii="Times New Roman" w:hAnsi="Times New Roman" w:eastAsia="Times New Roman" w:cs="Times New Roman"/>
          <w:color w:val="auto"/>
          <w:sz w:val="24"/>
          <w:szCs w:val="24"/>
          <w:lang w:val="en-US"/>
        </w:rPr>
        <w:t>Sidanius</w:t>
      </w:r>
      <w:proofErr w:type="spellEnd"/>
      <w:r w:rsidRPr="3F6CE971" w:rsidR="3F6CE971">
        <w:rPr>
          <w:rFonts w:ascii="Times New Roman" w:hAnsi="Times New Roman" w:eastAsia="Times New Roman" w:cs="Times New Roman"/>
          <w:color w:val="auto"/>
          <w:sz w:val="24"/>
          <w:szCs w:val="24"/>
          <w:lang w:val="en-US"/>
        </w:rPr>
        <w:t xml:space="preserve">, J., </w:t>
      </w:r>
      <w:proofErr w:type="spellStart"/>
      <w:r w:rsidRPr="3F6CE971" w:rsidR="3F6CE971">
        <w:rPr>
          <w:rFonts w:ascii="Times New Roman" w:hAnsi="Times New Roman" w:eastAsia="Times New Roman" w:cs="Times New Roman"/>
          <w:color w:val="auto"/>
          <w:sz w:val="24"/>
          <w:szCs w:val="24"/>
          <w:lang w:val="en-US"/>
        </w:rPr>
        <w:t>Kteily</w:t>
      </w:r>
      <w:proofErr w:type="spellEnd"/>
      <w:r w:rsidRPr="3F6CE971" w:rsidR="3F6CE971">
        <w:rPr>
          <w:rFonts w:ascii="Times New Roman" w:hAnsi="Times New Roman" w:eastAsia="Times New Roman" w:cs="Times New Roman"/>
          <w:color w:val="auto"/>
          <w:sz w:val="24"/>
          <w:szCs w:val="24"/>
          <w:lang w:val="en-US"/>
        </w:rPr>
        <w:t xml:space="preserve">, N., Sheehy-Skeffington, J., </w:t>
      </w:r>
      <w:proofErr w:type="spellStart"/>
      <w:r w:rsidRPr="3F6CE971" w:rsidR="3F6CE971">
        <w:rPr>
          <w:rFonts w:ascii="Times New Roman" w:hAnsi="Times New Roman" w:eastAsia="Times New Roman" w:cs="Times New Roman"/>
          <w:color w:val="auto"/>
          <w:sz w:val="24"/>
          <w:szCs w:val="24"/>
          <w:lang w:val="en-US"/>
        </w:rPr>
        <w:t>Pratto</w:t>
      </w:r>
      <w:proofErr w:type="spellEnd"/>
      <w:r w:rsidRPr="3F6CE971" w:rsidR="3F6CE971">
        <w:rPr>
          <w:rFonts w:ascii="Times New Roman" w:hAnsi="Times New Roman" w:eastAsia="Times New Roman" w:cs="Times New Roman"/>
          <w:color w:val="auto"/>
          <w:sz w:val="24"/>
          <w:szCs w:val="24"/>
          <w:lang w:val="en-US"/>
        </w:rPr>
        <w:t xml:space="preserve">, F., Henkel, K. E., ... &amp; Stewart, A. L. (2015). The nature of social dominance orientation: Theorizing and measuring preferences for intergroup inequality using the new SDO₇ scale. </w:t>
      </w:r>
      <w:r w:rsidRPr="3F6CE971" w:rsidR="3F6CE971">
        <w:rPr>
          <w:rFonts w:ascii="Times New Roman" w:hAnsi="Times New Roman" w:eastAsia="Times New Roman" w:cs="Times New Roman"/>
          <w:i w:val="1"/>
          <w:iCs w:val="1"/>
          <w:color w:val="auto"/>
          <w:sz w:val="24"/>
          <w:szCs w:val="24"/>
          <w:lang w:val="en-US"/>
        </w:rPr>
        <w:t>Journal of Personality and Social Psychology</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109</w:t>
      </w:r>
      <w:r w:rsidRPr="3F6CE971" w:rsidR="3F6CE971">
        <w:rPr>
          <w:rFonts w:ascii="Times New Roman" w:hAnsi="Times New Roman" w:eastAsia="Times New Roman" w:cs="Times New Roman"/>
          <w:color w:val="auto"/>
          <w:sz w:val="24"/>
          <w:szCs w:val="24"/>
          <w:lang w:val="en-US"/>
        </w:rPr>
        <w:t>(6), 1003.</w:t>
      </w:r>
    </w:p>
    <w:p w:rsidR="4883C426" w:rsidP="3F6CE971" w:rsidRDefault="4883C426" w14:paraId="1D438BF9" w14:textId="7FC0D181">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Hogg, M., Abrams, D., </w:t>
      </w:r>
      <w:r w:rsidRPr="3F6CE971" w:rsidR="3F6CE971">
        <w:rPr>
          <w:rFonts w:ascii="Times New Roman" w:hAnsi="Times New Roman" w:eastAsia="Times New Roman" w:cs="Times New Roman"/>
          <w:color w:val="auto"/>
          <w:sz w:val="24"/>
          <w:szCs w:val="24"/>
          <w:lang w:val="en-US"/>
        </w:rPr>
        <w:t>Otten</w:t>
      </w:r>
      <w:r w:rsidRPr="3F6CE971" w:rsidR="3F6CE971">
        <w:rPr>
          <w:rFonts w:ascii="Times New Roman" w:hAnsi="Times New Roman" w:eastAsia="Times New Roman" w:cs="Times New Roman"/>
          <w:color w:val="auto"/>
          <w:sz w:val="24"/>
          <w:szCs w:val="24"/>
          <w:lang w:val="en-US"/>
        </w:rPr>
        <w:t xml:space="preserve">, S., &amp; Hinkle, S. (2004). The Social Identity Perspective: Intergroup Relations, Self-Conception, and Small Groups. </w:t>
      </w:r>
      <w:r w:rsidRPr="3F6CE971" w:rsidR="3F6CE971">
        <w:rPr>
          <w:rFonts w:ascii="Times New Roman" w:hAnsi="Times New Roman" w:eastAsia="Times New Roman" w:cs="Times New Roman"/>
          <w:i w:val="1"/>
          <w:iCs w:val="1"/>
          <w:color w:val="auto"/>
          <w:sz w:val="24"/>
          <w:szCs w:val="24"/>
          <w:lang w:val="en-US"/>
        </w:rPr>
        <w:t>Small Group Research,</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35</w:t>
      </w:r>
      <w:r w:rsidRPr="3F6CE971" w:rsidR="3F6CE971">
        <w:rPr>
          <w:rFonts w:ascii="Times New Roman" w:hAnsi="Times New Roman" w:eastAsia="Times New Roman" w:cs="Times New Roman"/>
          <w:color w:val="auto"/>
          <w:sz w:val="24"/>
          <w:szCs w:val="24"/>
          <w:lang w:val="en-US"/>
        </w:rPr>
        <w:t>(3), 246-276.</w:t>
      </w:r>
    </w:p>
    <w:p w:rsidR="4883C426" w:rsidP="3F6CE971" w:rsidRDefault="4883C426" w14:paraId="1056AF01" w14:textId="51BF2810">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 xml:space="preserve">Hogg, M. A., &amp; Turner, J. C. (1987). Intergroup </w:t>
      </w:r>
      <w:proofErr w:type="spellStart"/>
      <w:r w:rsidRPr="3F6CE971" w:rsidR="3F6CE971">
        <w:rPr>
          <w:rFonts w:ascii="Times New Roman" w:hAnsi="Times New Roman" w:eastAsia="Times New Roman" w:cs="Times New Roman"/>
          <w:color w:val="auto"/>
          <w:sz w:val="24"/>
          <w:szCs w:val="24"/>
          <w:lang w:val="en-US"/>
        </w:rPr>
        <w:t>behaviour</w:t>
      </w:r>
      <w:proofErr w:type="spellEnd"/>
      <w:r w:rsidRPr="3F6CE971" w:rsidR="3F6CE971">
        <w:rPr>
          <w:rFonts w:ascii="Times New Roman" w:hAnsi="Times New Roman" w:eastAsia="Times New Roman" w:cs="Times New Roman"/>
          <w:color w:val="auto"/>
          <w:sz w:val="24"/>
          <w:szCs w:val="24"/>
          <w:lang w:val="en-US"/>
        </w:rPr>
        <w:t xml:space="preserve">, self‐stereotyping and the salience of social categories. </w:t>
      </w:r>
      <w:r w:rsidRPr="3F6CE971" w:rsidR="3F6CE971">
        <w:rPr>
          <w:rFonts w:ascii="Times New Roman" w:hAnsi="Times New Roman" w:eastAsia="Times New Roman" w:cs="Times New Roman"/>
          <w:i w:val="1"/>
          <w:iCs w:val="1"/>
          <w:color w:val="auto"/>
          <w:sz w:val="24"/>
          <w:szCs w:val="24"/>
          <w:lang w:val="en-US"/>
        </w:rPr>
        <w:t>British Journal of Social Psychology</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26</w:t>
      </w:r>
      <w:r w:rsidRPr="3F6CE971" w:rsidR="3F6CE971">
        <w:rPr>
          <w:rFonts w:ascii="Times New Roman" w:hAnsi="Times New Roman" w:eastAsia="Times New Roman" w:cs="Times New Roman"/>
          <w:color w:val="auto"/>
          <w:sz w:val="24"/>
          <w:szCs w:val="24"/>
          <w:lang w:val="en-US"/>
        </w:rPr>
        <w:t>(4), 325-340.</w:t>
      </w:r>
    </w:p>
    <w:p w:rsidR="4883C426" w:rsidP="3F6CE971" w:rsidRDefault="4883C426" w14:paraId="5E1D565D" w14:textId="3C9AF63D">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Jessop, B. (2017). The organic crisis of the British state: Putting Brexit in its place. </w:t>
      </w:r>
      <w:r w:rsidRPr="3F6CE971" w:rsidR="3F6CE971">
        <w:rPr>
          <w:rFonts w:ascii="Times New Roman" w:hAnsi="Times New Roman" w:eastAsia="Times New Roman" w:cs="Times New Roman"/>
          <w:i w:val="1"/>
          <w:iCs w:val="1"/>
          <w:color w:val="auto"/>
          <w:sz w:val="24"/>
          <w:szCs w:val="24"/>
          <w:lang w:val="en-US"/>
        </w:rPr>
        <w:t>Globalizations</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14</w:t>
      </w:r>
      <w:r w:rsidRPr="3F6CE971" w:rsidR="3F6CE971">
        <w:rPr>
          <w:rFonts w:ascii="Times New Roman" w:hAnsi="Times New Roman" w:eastAsia="Times New Roman" w:cs="Times New Roman"/>
          <w:color w:val="auto"/>
          <w:sz w:val="24"/>
          <w:szCs w:val="24"/>
          <w:lang w:val="en-US"/>
        </w:rPr>
        <w:t>(1), 133-141.</w:t>
      </w:r>
    </w:p>
    <w:p w:rsidR="4883C426" w:rsidP="3F6CE971" w:rsidRDefault="4883C426" w14:paraId="5A67CC78" w14:textId="4E7F3128">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Kaufmann, E., &amp; Harris, G. (2015). “White Flight” or Positive Contact? Local Diversity and Attitudes to Immigration in Britain. </w:t>
      </w:r>
      <w:r w:rsidRPr="3F6CE971" w:rsidR="3F6CE971">
        <w:rPr>
          <w:rFonts w:ascii="Times New Roman" w:hAnsi="Times New Roman" w:eastAsia="Times New Roman" w:cs="Times New Roman"/>
          <w:i w:val="1"/>
          <w:iCs w:val="1"/>
          <w:color w:val="auto"/>
          <w:sz w:val="24"/>
          <w:szCs w:val="24"/>
          <w:lang w:val="en-US"/>
        </w:rPr>
        <w:t>Comparative Political Studies,</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48</w:t>
      </w:r>
      <w:r w:rsidRPr="3F6CE971" w:rsidR="3F6CE971">
        <w:rPr>
          <w:rFonts w:ascii="Times New Roman" w:hAnsi="Times New Roman" w:eastAsia="Times New Roman" w:cs="Times New Roman"/>
          <w:color w:val="auto"/>
          <w:sz w:val="24"/>
          <w:szCs w:val="24"/>
          <w:lang w:val="en-US"/>
        </w:rPr>
        <w:t>(12), 1563-1590. DOI: 10.1177/00| 04 | 40| 558| 684</w:t>
      </w:r>
    </w:p>
    <w:p w:rsidR="4883C426" w:rsidP="3F6CE971" w:rsidRDefault="4883C426" w14:paraId="74C27EDF" w14:textId="6F52035B">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Kaufmann, E. (2016). It’s NOT the economy, stupid: Brexit as a story of personal values. </w:t>
      </w:r>
      <w:r w:rsidRPr="3F6CE971" w:rsidR="3F6CE971">
        <w:rPr>
          <w:rFonts w:ascii="Times New Roman" w:hAnsi="Times New Roman" w:eastAsia="Times New Roman" w:cs="Times New Roman"/>
          <w:i w:val="1"/>
          <w:iCs w:val="1"/>
          <w:color w:val="auto"/>
          <w:sz w:val="24"/>
          <w:szCs w:val="24"/>
          <w:lang w:val="en-US"/>
        </w:rPr>
        <w:t>British Politics and Policy at LSE</w:t>
      </w:r>
      <w:r w:rsidRPr="3F6CE971" w:rsidR="3F6CE971">
        <w:rPr>
          <w:rFonts w:ascii="Times New Roman" w:hAnsi="Times New Roman" w:eastAsia="Times New Roman" w:cs="Times New Roman"/>
          <w:color w:val="auto"/>
          <w:sz w:val="24"/>
          <w:szCs w:val="24"/>
          <w:lang w:val="en-US"/>
        </w:rPr>
        <w:t>.</w:t>
      </w:r>
    </w:p>
    <w:p w:rsidR="4883C426" w:rsidP="3F6CE971" w:rsidRDefault="4883C426" w14:paraId="3280BB0E" w14:textId="20CACC92">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Miklikowska</w:t>
      </w:r>
      <w:r w:rsidRPr="3F6CE971" w:rsidR="3F6CE971">
        <w:rPr>
          <w:rFonts w:ascii="Times New Roman" w:hAnsi="Times New Roman" w:eastAsia="Times New Roman" w:cs="Times New Roman"/>
          <w:color w:val="auto"/>
          <w:sz w:val="24"/>
          <w:szCs w:val="24"/>
          <w:lang w:val="en-US"/>
        </w:rPr>
        <w:t xml:space="preserve">, M. (2017). Development of anti‐immigrant attitudes in adolescence: The role of parents, peers, intergroup friendships, and empathy. </w:t>
      </w:r>
      <w:r w:rsidRPr="3F6CE971" w:rsidR="3F6CE971">
        <w:rPr>
          <w:rFonts w:ascii="Times New Roman" w:hAnsi="Times New Roman" w:eastAsia="Times New Roman" w:cs="Times New Roman"/>
          <w:i w:val="1"/>
          <w:iCs w:val="1"/>
          <w:color w:val="auto"/>
          <w:sz w:val="24"/>
          <w:szCs w:val="24"/>
          <w:lang w:val="en-US"/>
        </w:rPr>
        <w:t>British Journal of Psychology</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108</w:t>
      </w:r>
      <w:r w:rsidRPr="3F6CE971" w:rsidR="3F6CE971">
        <w:rPr>
          <w:rFonts w:ascii="Times New Roman" w:hAnsi="Times New Roman" w:eastAsia="Times New Roman" w:cs="Times New Roman"/>
          <w:color w:val="auto"/>
          <w:sz w:val="24"/>
          <w:szCs w:val="24"/>
          <w:lang w:val="en-US"/>
        </w:rPr>
        <w:t>(3), 626-648.</w:t>
      </w:r>
    </w:p>
    <w:p w:rsidR="4883C426" w:rsidP="3F6CE971" w:rsidRDefault="4883C426" w14:paraId="55F6674A" w14:textId="337D0CFE">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 xml:space="preserve">Morrison, K. R., </w:t>
      </w:r>
      <w:r w:rsidRPr="3F6CE971" w:rsidR="3F6CE971">
        <w:rPr>
          <w:rFonts w:ascii="Times New Roman" w:hAnsi="Times New Roman" w:eastAsia="Times New Roman" w:cs="Times New Roman"/>
          <w:color w:val="auto"/>
          <w:sz w:val="24"/>
          <w:szCs w:val="24"/>
          <w:lang w:val="en-US"/>
        </w:rPr>
        <w:t>Plaut</w:t>
      </w:r>
      <w:r w:rsidRPr="3F6CE971" w:rsidR="3F6CE971">
        <w:rPr>
          <w:rFonts w:ascii="Times New Roman" w:hAnsi="Times New Roman" w:eastAsia="Times New Roman" w:cs="Times New Roman"/>
          <w:color w:val="auto"/>
          <w:sz w:val="24"/>
          <w:szCs w:val="24"/>
          <w:lang w:val="en-US"/>
        </w:rPr>
        <w:t xml:space="preserve">, V. C., &amp; Ybarra, O. (2010). Predicting whether multiculturalism positively or negatively influences White Americans’ intergroup attitudes: The role of ethnic identification. </w:t>
      </w:r>
      <w:r w:rsidRPr="3F6CE971" w:rsidR="3F6CE971">
        <w:rPr>
          <w:rFonts w:ascii="Times New Roman" w:hAnsi="Times New Roman" w:eastAsia="Times New Roman" w:cs="Times New Roman"/>
          <w:i w:val="1"/>
          <w:iCs w:val="1"/>
          <w:color w:val="auto"/>
          <w:sz w:val="24"/>
          <w:szCs w:val="24"/>
          <w:lang w:val="en-US"/>
        </w:rPr>
        <w:t>Personality and social psychology bulletin</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36</w:t>
      </w:r>
      <w:r w:rsidRPr="3F6CE971" w:rsidR="3F6CE971">
        <w:rPr>
          <w:rFonts w:ascii="Times New Roman" w:hAnsi="Times New Roman" w:eastAsia="Times New Roman" w:cs="Times New Roman"/>
          <w:color w:val="auto"/>
          <w:sz w:val="24"/>
          <w:szCs w:val="24"/>
          <w:lang w:val="en-US"/>
        </w:rPr>
        <w:t>(12), 1648-1661.</w:t>
      </w:r>
    </w:p>
    <w:p w:rsidR="4883C426" w:rsidP="3F6CE971" w:rsidRDefault="4883C426" w14:paraId="4F7E0CAA" w14:textId="04FA970A">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Office for National Statistics (2019) Migration Statistics Quarterly Report. August 2019. </w:t>
      </w:r>
      <w:hyperlink r:id="Rd485a8e6b5364d36">
        <w:r w:rsidRPr="3F6CE971" w:rsidR="3F6CE971">
          <w:rPr>
            <w:rStyle w:val="Hyperlink"/>
            <w:rFonts w:ascii="Times New Roman" w:hAnsi="Times New Roman" w:eastAsia="Times New Roman" w:cs="Times New Roman"/>
            <w:color w:val="auto"/>
            <w:sz w:val="24"/>
            <w:szCs w:val="24"/>
            <w:lang w:val="en-US"/>
          </w:rPr>
          <w:t>https://www.ons.gov.uk/peoplepopulationandcommunity/</w:t>
        </w:r>
      </w:hyperlink>
    </w:p>
    <w:p w:rsidR="4883C426" w:rsidP="3F6CE971" w:rsidRDefault="4883C426" w14:paraId="424DDF7B" w14:textId="3A82CDA6">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Putnam, R. D. (2007). E pluribus </w:t>
      </w:r>
      <w:proofErr w:type="spellStart"/>
      <w:r w:rsidRPr="3F6CE971" w:rsidR="3F6CE971">
        <w:rPr>
          <w:rFonts w:ascii="Times New Roman" w:hAnsi="Times New Roman" w:eastAsia="Times New Roman" w:cs="Times New Roman"/>
          <w:color w:val="auto"/>
          <w:sz w:val="24"/>
          <w:szCs w:val="24"/>
          <w:lang w:val="en-US"/>
        </w:rPr>
        <w:t>unum</w:t>
      </w:r>
      <w:proofErr w:type="spellEnd"/>
      <w:r w:rsidRPr="3F6CE971" w:rsidR="3F6CE971">
        <w:rPr>
          <w:rFonts w:ascii="Times New Roman" w:hAnsi="Times New Roman" w:eastAsia="Times New Roman" w:cs="Times New Roman"/>
          <w:color w:val="auto"/>
          <w:sz w:val="24"/>
          <w:szCs w:val="24"/>
          <w:lang w:val="en-US"/>
        </w:rPr>
        <w:t xml:space="preserve">: Diversity and community in the twenty‐first century the 2006 Johan </w:t>
      </w:r>
      <w:r w:rsidRPr="3F6CE971" w:rsidR="3F6CE971">
        <w:rPr>
          <w:rFonts w:ascii="Times New Roman" w:hAnsi="Times New Roman" w:eastAsia="Times New Roman" w:cs="Times New Roman"/>
          <w:color w:val="auto"/>
          <w:sz w:val="24"/>
          <w:szCs w:val="24"/>
          <w:lang w:val="en-US"/>
        </w:rPr>
        <w:t>Skytte</w:t>
      </w:r>
      <w:r w:rsidRPr="3F6CE971" w:rsidR="3F6CE971">
        <w:rPr>
          <w:rFonts w:ascii="Times New Roman" w:hAnsi="Times New Roman" w:eastAsia="Times New Roman" w:cs="Times New Roman"/>
          <w:color w:val="auto"/>
          <w:sz w:val="24"/>
          <w:szCs w:val="24"/>
          <w:lang w:val="en-US"/>
        </w:rPr>
        <w:t xml:space="preserve"> Prize Lecture. </w:t>
      </w:r>
      <w:r w:rsidRPr="3F6CE971" w:rsidR="3F6CE971">
        <w:rPr>
          <w:rFonts w:ascii="Times New Roman" w:hAnsi="Times New Roman" w:eastAsia="Times New Roman" w:cs="Times New Roman"/>
          <w:i w:val="1"/>
          <w:iCs w:val="1"/>
          <w:color w:val="auto"/>
          <w:sz w:val="24"/>
          <w:szCs w:val="24"/>
          <w:lang w:val="en-US"/>
        </w:rPr>
        <w:t>Scandinavian political studies</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30</w:t>
      </w:r>
      <w:r w:rsidRPr="3F6CE971" w:rsidR="3F6CE971">
        <w:rPr>
          <w:rFonts w:ascii="Times New Roman" w:hAnsi="Times New Roman" w:eastAsia="Times New Roman" w:cs="Times New Roman"/>
          <w:color w:val="auto"/>
          <w:sz w:val="24"/>
          <w:szCs w:val="24"/>
          <w:lang w:val="en-US"/>
        </w:rPr>
        <w:t>(2), 137-174. ISSN 0080-6757</w:t>
      </w:r>
    </w:p>
    <w:p w:rsidR="4883C426" w:rsidP="3F6CE971" w:rsidRDefault="4883C426" w14:paraId="31685C09" w14:textId="5C0D0F03">
      <w:pPr>
        <w:spacing w:after="160" w:line="240" w:lineRule="auto"/>
        <w:ind w:left="720" w:hanging="720"/>
        <w:rPr>
          <w:rFonts w:ascii="Times New Roman" w:hAnsi="Times New Roman" w:eastAsia="Times New Roman" w:cs="Times New Roman"/>
          <w:color w:val="auto"/>
          <w:sz w:val="24"/>
          <w:szCs w:val="24"/>
        </w:rPr>
      </w:pPr>
    </w:p>
    <w:p w:rsidR="4883C426" w:rsidP="3F6CE971" w:rsidRDefault="4883C426" w14:paraId="73030C66" w14:textId="33CF9B6A">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Son Hing, L. S., Chung-Yan, G. A., Hamilton, L. K., &amp; </w:t>
      </w:r>
      <w:r w:rsidRPr="3F6CE971" w:rsidR="3F6CE971">
        <w:rPr>
          <w:rFonts w:ascii="Times New Roman" w:hAnsi="Times New Roman" w:eastAsia="Times New Roman" w:cs="Times New Roman"/>
          <w:color w:val="auto"/>
          <w:sz w:val="24"/>
          <w:szCs w:val="24"/>
          <w:lang w:val="en-US"/>
        </w:rPr>
        <w:t>Zanna</w:t>
      </w:r>
      <w:r w:rsidRPr="3F6CE971" w:rsidR="3F6CE971">
        <w:rPr>
          <w:rFonts w:ascii="Times New Roman" w:hAnsi="Times New Roman" w:eastAsia="Times New Roman" w:cs="Times New Roman"/>
          <w:color w:val="auto"/>
          <w:sz w:val="24"/>
          <w:szCs w:val="24"/>
          <w:lang w:val="en-US"/>
        </w:rPr>
        <w:t xml:space="preserve">, M. P. (2008). A two-dimensional model that employs explicit and implicit attitudes to characterize prejudice. </w:t>
      </w:r>
      <w:r w:rsidRPr="3F6CE971" w:rsidR="3F6CE971">
        <w:rPr>
          <w:rFonts w:ascii="Times New Roman" w:hAnsi="Times New Roman" w:eastAsia="Times New Roman" w:cs="Times New Roman"/>
          <w:i w:val="1"/>
          <w:iCs w:val="1"/>
          <w:color w:val="auto"/>
          <w:sz w:val="24"/>
          <w:szCs w:val="24"/>
          <w:lang w:val="en-US"/>
        </w:rPr>
        <w:t>Journal of Personality and Social Psychology</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94</w:t>
      </w:r>
      <w:r w:rsidRPr="3F6CE971" w:rsidR="3F6CE971">
        <w:rPr>
          <w:rFonts w:ascii="Times New Roman" w:hAnsi="Times New Roman" w:eastAsia="Times New Roman" w:cs="Times New Roman"/>
          <w:color w:val="auto"/>
          <w:sz w:val="24"/>
          <w:szCs w:val="24"/>
          <w:lang w:val="en-US"/>
        </w:rPr>
        <w:t>(6), 971-978.</w:t>
      </w:r>
    </w:p>
    <w:p w:rsidR="4883C426" w:rsidP="3F6CE971" w:rsidRDefault="4883C426" w14:paraId="2A90E8BB" w14:textId="344E4B43">
      <w:pPr>
        <w:spacing w:after="160" w:line="240" w:lineRule="auto"/>
        <w:ind w:left="720" w:hanging="720"/>
        <w:rPr>
          <w:rFonts w:ascii="Times New Roman" w:hAnsi="Times New Roman" w:eastAsia="Times New Roman" w:cs="Times New Roman"/>
          <w:color w:val="auto"/>
          <w:sz w:val="24"/>
          <w:szCs w:val="24"/>
          <w:lang w:val="en-US"/>
        </w:rPr>
      </w:pPr>
      <w:r w:rsidRPr="3F6CE971" w:rsidR="3F6CE971">
        <w:rPr>
          <w:rFonts w:ascii="Times New Roman" w:hAnsi="Times New Roman" w:eastAsia="Times New Roman" w:cs="Times New Roman"/>
          <w:color w:val="auto"/>
          <w:sz w:val="24"/>
          <w:szCs w:val="24"/>
          <w:lang w:val="en-US"/>
        </w:rPr>
        <w:t>Sullivan, K. E., &amp; Hutchings, P. B. (in press). Prejudice and the Brexit vote. Journal of Political Psychology.</w:t>
      </w:r>
    </w:p>
    <w:p w:rsidR="4883C426" w:rsidP="3F6CE971" w:rsidRDefault="4883C426" w14:paraId="7CDCA5C0" w14:textId="27792BCE">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Swami, V., Barron, D., Weis, L.&amp; Furnham, A. (2018). To Brexit or not to Brexit: The roles of Islamophobia, conspiracist beliefs, and integrated threat in voting intentions for the United Kingdom European Union membership referendum. British Journal of Psychology, 109(1), 156-179. DOI: </w:t>
      </w:r>
      <w:hyperlink r:id="R85225bdccdd4437d">
        <w:r w:rsidRPr="3F6CE971" w:rsidR="3F6CE971">
          <w:rPr>
            <w:rStyle w:val="Hyperlink"/>
            <w:rFonts w:ascii="Times New Roman" w:hAnsi="Times New Roman" w:eastAsia="Times New Roman" w:cs="Times New Roman"/>
            <w:color w:val="auto"/>
            <w:sz w:val="24"/>
            <w:szCs w:val="24"/>
            <w:lang w:val="en-US"/>
          </w:rPr>
          <w:t>http://dx.doi.org/10.1111/bjop.12252</w:t>
        </w:r>
      </w:hyperlink>
    </w:p>
    <w:p w:rsidR="4883C426" w:rsidP="3F6CE971" w:rsidRDefault="4883C426" w14:paraId="71D192F4" w14:textId="16D42FD1">
      <w:pPr>
        <w:spacing w:after="160" w:line="240" w:lineRule="auto"/>
        <w:ind w:left="720" w:hanging="720"/>
        <w:rPr>
          <w:rFonts w:ascii="Times New Roman" w:hAnsi="Times New Roman" w:eastAsia="Times New Roman" w:cs="Times New Roman"/>
          <w:color w:val="auto"/>
          <w:sz w:val="24"/>
          <w:szCs w:val="24"/>
        </w:rPr>
      </w:pPr>
      <w:r w:rsidRPr="3F6CE971" w:rsidR="3F6CE971">
        <w:rPr>
          <w:rFonts w:ascii="Times New Roman" w:hAnsi="Times New Roman" w:eastAsia="Times New Roman" w:cs="Times New Roman"/>
          <w:color w:val="auto"/>
          <w:sz w:val="24"/>
          <w:szCs w:val="24"/>
          <w:lang w:val="en-US"/>
        </w:rPr>
        <w:t xml:space="preserve">Tajfel, Henri. (1969). Cognitive Aspects of Prejudice. </w:t>
      </w:r>
      <w:r w:rsidRPr="3F6CE971" w:rsidR="3F6CE971">
        <w:rPr>
          <w:rFonts w:ascii="Times New Roman" w:hAnsi="Times New Roman" w:eastAsia="Times New Roman" w:cs="Times New Roman"/>
          <w:i w:val="1"/>
          <w:iCs w:val="1"/>
          <w:color w:val="auto"/>
          <w:sz w:val="24"/>
          <w:szCs w:val="24"/>
          <w:lang w:val="en-US"/>
        </w:rPr>
        <w:t>Journal of Social Issues,</w:t>
      </w:r>
      <w:r w:rsidRPr="3F6CE971" w:rsidR="3F6CE971">
        <w:rPr>
          <w:rFonts w:ascii="Times New Roman" w:hAnsi="Times New Roman" w:eastAsia="Times New Roman" w:cs="Times New Roman"/>
          <w:color w:val="auto"/>
          <w:sz w:val="24"/>
          <w:szCs w:val="24"/>
          <w:lang w:val="en-US"/>
        </w:rPr>
        <w:t xml:space="preserve"> </w:t>
      </w:r>
      <w:r w:rsidRPr="3F6CE971" w:rsidR="3F6CE971">
        <w:rPr>
          <w:rFonts w:ascii="Times New Roman" w:hAnsi="Times New Roman" w:eastAsia="Times New Roman" w:cs="Times New Roman"/>
          <w:i w:val="1"/>
          <w:iCs w:val="1"/>
          <w:color w:val="auto"/>
          <w:sz w:val="24"/>
          <w:szCs w:val="24"/>
          <w:lang w:val="en-US"/>
        </w:rPr>
        <w:t>25</w:t>
      </w:r>
      <w:r w:rsidRPr="3F6CE971" w:rsidR="3F6CE971">
        <w:rPr>
          <w:rFonts w:ascii="Times New Roman" w:hAnsi="Times New Roman" w:eastAsia="Times New Roman" w:cs="Times New Roman"/>
          <w:color w:val="auto"/>
          <w:sz w:val="24"/>
          <w:szCs w:val="24"/>
          <w:lang w:val="en-US"/>
        </w:rPr>
        <w:t>(4), 79-98.</w:t>
      </w:r>
    </w:p>
    <w:p w:rsidR="4883C426" w:rsidP="3F6CE971" w:rsidRDefault="4883C426" w14:paraId="3030CFF2" w14:textId="14F485F1">
      <w:pPr>
        <w:spacing w:after="160" w:line="240" w:lineRule="auto"/>
        <w:ind w:left="720" w:hanging="720"/>
        <w:rPr>
          <w:rFonts w:ascii="Times New Roman" w:hAnsi="Times New Roman" w:eastAsia="Times New Roman" w:cs="Times New Roman"/>
          <w:color w:val="auto"/>
          <w:sz w:val="24"/>
          <w:szCs w:val="24"/>
        </w:rPr>
      </w:pPr>
      <w:bookmarkStart w:name="_GoBack" w:id="0"/>
      <w:bookmarkEnd w:id="0"/>
      <w:r w:rsidRPr="3F6CE971" w:rsidR="3F6CE971">
        <w:rPr>
          <w:rFonts w:ascii="Times New Roman" w:hAnsi="Times New Roman" w:eastAsia="Times New Roman" w:cs="Times New Roman"/>
          <w:color w:val="auto"/>
          <w:sz w:val="24"/>
          <w:szCs w:val="24"/>
          <w:lang w:val="en-US"/>
        </w:rPr>
        <w:t>Vasilopoulou</w:t>
      </w:r>
      <w:r w:rsidRPr="3F6CE971" w:rsidR="3F6CE971">
        <w:rPr>
          <w:rFonts w:ascii="Times New Roman" w:hAnsi="Times New Roman" w:eastAsia="Times New Roman" w:cs="Times New Roman"/>
          <w:color w:val="auto"/>
          <w:sz w:val="24"/>
          <w:szCs w:val="24"/>
          <w:lang w:val="en-US"/>
        </w:rPr>
        <w:t xml:space="preserve">, S. (2016). UK Euroscepticism and the Brexit Referendum. </w:t>
      </w:r>
      <w:r w:rsidRPr="3F6CE971" w:rsidR="3F6CE971">
        <w:rPr>
          <w:rFonts w:ascii="Times New Roman" w:hAnsi="Times New Roman" w:eastAsia="Times New Roman" w:cs="Times New Roman"/>
          <w:i w:val="1"/>
          <w:iCs w:val="1"/>
          <w:color w:val="auto"/>
          <w:sz w:val="24"/>
          <w:szCs w:val="24"/>
          <w:lang w:val="en-US"/>
        </w:rPr>
        <w:t>Political Quarterly,87</w:t>
      </w:r>
      <w:r w:rsidRPr="3F6CE971" w:rsidR="3F6CE971">
        <w:rPr>
          <w:rFonts w:ascii="Times New Roman" w:hAnsi="Times New Roman" w:eastAsia="Times New Roman" w:cs="Times New Roman"/>
          <w:color w:val="auto"/>
          <w:sz w:val="24"/>
          <w:szCs w:val="24"/>
          <w:lang w:val="en-US"/>
        </w:rPr>
        <w:t>(2), 219-228.</w:t>
      </w:r>
    </w:p>
    <w:p w:rsidR="4883C426" w:rsidP="3F6CE971" w:rsidRDefault="4883C426" w14:paraId="551F1A72" w14:textId="6B0E515E">
      <w:pPr>
        <w:jc w:val="both"/>
        <w:rPr>
          <w:rFonts w:ascii="Times New Roman" w:hAnsi="Times New Roman" w:eastAsia="Times New Roman" w:cs="Times New Roman"/>
          <w:color w:val="auto"/>
          <w:sz w:val="24"/>
          <w:szCs w:val="24"/>
          <w:u w:val="single"/>
        </w:rPr>
      </w:pPr>
    </w:p>
    <w:p w:rsidR="0085722A" w:rsidP="3F6CE971" w:rsidRDefault="0085722A" w14:paraId="5844B344" w14:textId="2E65A2E3">
      <w:pPr>
        <w:jc w:val="both"/>
        <w:rPr>
          <w:rFonts w:ascii="Times New Roman" w:hAnsi="Times New Roman" w:eastAsia="Times New Roman" w:cs="Times New Roman"/>
          <w:b w:val="1"/>
          <w:bCs w:val="1"/>
          <w:color w:val="auto"/>
          <w:sz w:val="24"/>
          <w:szCs w:val="24"/>
        </w:rPr>
      </w:pPr>
    </w:p>
    <w:p w:rsidR="003B3DD1" w:rsidP="4883C426" w:rsidRDefault="003B3DD1" w14:paraId="48F0DF08" w14:textId="3BA9A4A1">
      <w:pPr>
        <w:jc w:val="both"/>
        <w:rPr>
          <w:b/>
          <w:bCs/>
          <w:color w:val="auto"/>
          <w:sz w:val="24"/>
          <w:szCs w:val="24"/>
        </w:rPr>
      </w:pPr>
    </w:p>
    <w:p w:rsidR="003B3DD1" w:rsidP="4883C426" w:rsidRDefault="003B3DD1" w14:paraId="27B6662F" w14:textId="77777777">
      <w:pPr>
        <w:jc w:val="both"/>
        <w:rPr>
          <w:color w:val="auto"/>
          <w:sz w:val="24"/>
          <w:szCs w:val="24"/>
        </w:rPr>
      </w:pPr>
    </w:p>
    <w:p w:rsidR="0065767C" w:rsidP="4883C426" w:rsidRDefault="0065767C" w14:paraId="1F30D30D" w14:textId="12F047D8">
      <w:pPr>
        <w:jc w:val="both"/>
        <w:rPr>
          <w:color w:val="auto"/>
          <w:sz w:val="24"/>
          <w:szCs w:val="24"/>
        </w:rPr>
      </w:pPr>
    </w:p>
    <w:p w:rsidR="00A80AAD" w:rsidP="4883C426" w:rsidRDefault="00A80AAD" w14:paraId="05EA1912" w14:textId="7D78C0EB">
      <w:pPr>
        <w:jc w:val="both"/>
        <w:rPr>
          <w:color w:val="auto"/>
          <w:sz w:val="24"/>
          <w:szCs w:val="24"/>
        </w:rPr>
      </w:pPr>
    </w:p>
    <w:p w:rsidR="00A80AAD" w:rsidP="4883C426" w:rsidRDefault="00A80AAD" w14:paraId="1C8DE332" w14:textId="77777777">
      <w:pPr>
        <w:jc w:val="both"/>
        <w:rPr>
          <w:color w:val="auto"/>
          <w:sz w:val="24"/>
          <w:szCs w:val="24"/>
        </w:rPr>
      </w:pPr>
    </w:p>
    <w:p w:rsidR="007C6B35" w:rsidP="4883C426" w:rsidRDefault="007C6B35" w14:paraId="3E2D53C2" w14:textId="31753224">
      <w:pPr>
        <w:jc w:val="both"/>
        <w:rPr>
          <w:color w:val="auto"/>
          <w:sz w:val="24"/>
          <w:szCs w:val="24"/>
        </w:rPr>
      </w:pPr>
    </w:p>
    <w:p w:rsidR="1F182BCC" w:rsidP="4883C426" w:rsidRDefault="1F182BCC" w14:paraId="3DF563C0" w14:textId="1B4ABC86">
      <w:pPr>
        <w:rPr>
          <w:rFonts w:ascii="Calibri" w:hAnsi="Calibri" w:eastAsia="Calibri" w:cs="Calibri"/>
          <w:color w:val="auto"/>
          <w:sz w:val="24"/>
          <w:szCs w:val="24"/>
          <w:lang w:val="en-US"/>
        </w:rPr>
      </w:pPr>
    </w:p>
    <w:p w:rsidR="1F182BCC" w:rsidP="4883C426" w:rsidRDefault="1F182BCC" w14:paraId="4D69DC48" w14:textId="17C01AE9">
      <w:pPr>
        <w:rPr>
          <w:rFonts w:ascii="Calibri" w:hAnsi="Calibri" w:eastAsia="Calibri" w:cs="Calibri"/>
          <w:color w:val="auto"/>
          <w:sz w:val="24"/>
          <w:szCs w:val="24"/>
          <w:lang w:val="en-US"/>
        </w:rPr>
      </w:pPr>
    </w:p>
    <w:p w:rsidR="1F182BCC" w:rsidP="4883C426" w:rsidRDefault="1F182BCC" w14:paraId="39B575CF" w14:textId="180D9624">
      <w:pPr>
        <w:rPr>
          <w:sz w:val="24"/>
          <w:szCs w:val="24"/>
        </w:rPr>
      </w:pPr>
    </w:p>
    <w:p w:rsidR="4883C426" w:rsidP="4883C426" w:rsidRDefault="4883C426" w14:paraId="3E02399E" w14:textId="384C5E6F">
      <w:pPr>
        <w:rPr>
          <w:sz w:val="24"/>
          <w:szCs w:val="24"/>
        </w:rPr>
      </w:pPr>
    </w:p>
    <w:p w:rsidR="4883C426" w:rsidP="4883C426" w:rsidRDefault="4883C426" w14:paraId="63831292" w14:textId="6303A39A">
      <w:pPr>
        <w:rPr>
          <w:sz w:val="24"/>
          <w:szCs w:val="24"/>
        </w:rPr>
      </w:pPr>
    </w:p>
    <w:sectPr w:rsidR="4883C42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26"/>
    <w:rsid w:val="0001057B"/>
    <w:rsid w:val="000116C9"/>
    <w:rsid w:val="00013026"/>
    <w:rsid w:val="00025A20"/>
    <w:rsid w:val="0004292A"/>
    <w:rsid w:val="00042A6A"/>
    <w:rsid w:val="000466B3"/>
    <w:rsid w:val="00051D3D"/>
    <w:rsid w:val="0005418F"/>
    <w:rsid w:val="00064350"/>
    <w:rsid w:val="000744B4"/>
    <w:rsid w:val="000776F5"/>
    <w:rsid w:val="0008727E"/>
    <w:rsid w:val="000A12E2"/>
    <w:rsid w:val="000A2E73"/>
    <w:rsid w:val="000A7308"/>
    <w:rsid w:val="000B0DBB"/>
    <w:rsid w:val="000B17E8"/>
    <w:rsid w:val="000B1B62"/>
    <w:rsid w:val="000B4942"/>
    <w:rsid w:val="000B6EA5"/>
    <w:rsid w:val="000C5E0D"/>
    <w:rsid w:val="000C66FD"/>
    <w:rsid w:val="000D20E6"/>
    <w:rsid w:val="000D4D75"/>
    <w:rsid w:val="000E6531"/>
    <w:rsid w:val="001045E2"/>
    <w:rsid w:val="00106CC2"/>
    <w:rsid w:val="0013019E"/>
    <w:rsid w:val="00140477"/>
    <w:rsid w:val="00161F81"/>
    <w:rsid w:val="00176A72"/>
    <w:rsid w:val="00191975"/>
    <w:rsid w:val="0019671A"/>
    <w:rsid w:val="001A6F72"/>
    <w:rsid w:val="001B0BFA"/>
    <w:rsid w:val="001B5C66"/>
    <w:rsid w:val="001D39DE"/>
    <w:rsid w:val="001D5E26"/>
    <w:rsid w:val="001E400C"/>
    <w:rsid w:val="001F3DCD"/>
    <w:rsid w:val="00210FAE"/>
    <w:rsid w:val="00214254"/>
    <w:rsid w:val="00221798"/>
    <w:rsid w:val="00226C81"/>
    <w:rsid w:val="00230321"/>
    <w:rsid w:val="002660C9"/>
    <w:rsid w:val="00271860"/>
    <w:rsid w:val="00275CD8"/>
    <w:rsid w:val="00276A55"/>
    <w:rsid w:val="002842C6"/>
    <w:rsid w:val="00293306"/>
    <w:rsid w:val="002A7B0B"/>
    <w:rsid w:val="002B267A"/>
    <w:rsid w:val="002C27D9"/>
    <w:rsid w:val="002C48C6"/>
    <w:rsid w:val="002C6A09"/>
    <w:rsid w:val="002C77A0"/>
    <w:rsid w:val="002D5CF5"/>
    <w:rsid w:val="002E7995"/>
    <w:rsid w:val="002F1FA0"/>
    <w:rsid w:val="002F411E"/>
    <w:rsid w:val="002F4A3A"/>
    <w:rsid w:val="00323022"/>
    <w:rsid w:val="003245AD"/>
    <w:rsid w:val="00335926"/>
    <w:rsid w:val="00347234"/>
    <w:rsid w:val="00347B41"/>
    <w:rsid w:val="003502BC"/>
    <w:rsid w:val="00352921"/>
    <w:rsid w:val="0035459C"/>
    <w:rsid w:val="0036156E"/>
    <w:rsid w:val="003659A7"/>
    <w:rsid w:val="00366701"/>
    <w:rsid w:val="00366D38"/>
    <w:rsid w:val="00373F27"/>
    <w:rsid w:val="003835DC"/>
    <w:rsid w:val="00387306"/>
    <w:rsid w:val="00391B1E"/>
    <w:rsid w:val="003939E9"/>
    <w:rsid w:val="00397827"/>
    <w:rsid w:val="003A0925"/>
    <w:rsid w:val="003A78D5"/>
    <w:rsid w:val="003B0722"/>
    <w:rsid w:val="003B3637"/>
    <w:rsid w:val="003B3DD1"/>
    <w:rsid w:val="003C02E3"/>
    <w:rsid w:val="003C1AA9"/>
    <w:rsid w:val="003C1DAB"/>
    <w:rsid w:val="003C457B"/>
    <w:rsid w:val="003C74DC"/>
    <w:rsid w:val="003D57B7"/>
    <w:rsid w:val="003E064F"/>
    <w:rsid w:val="003E15CD"/>
    <w:rsid w:val="003E2F79"/>
    <w:rsid w:val="003E43AA"/>
    <w:rsid w:val="003E5B0D"/>
    <w:rsid w:val="003F6185"/>
    <w:rsid w:val="00400356"/>
    <w:rsid w:val="00404251"/>
    <w:rsid w:val="00406341"/>
    <w:rsid w:val="004135BC"/>
    <w:rsid w:val="00414389"/>
    <w:rsid w:val="004259EE"/>
    <w:rsid w:val="00433334"/>
    <w:rsid w:val="004358F5"/>
    <w:rsid w:val="0043692B"/>
    <w:rsid w:val="00441D43"/>
    <w:rsid w:val="0044648E"/>
    <w:rsid w:val="004607A7"/>
    <w:rsid w:val="00481271"/>
    <w:rsid w:val="0048498C"/>
    <w:rsid w:val="004968A9"/>
    <w:rsid w:val="004A1FC3"/>
    <w:rsid w:val="004A2E00"/>
    <w:rsid w:val="004A64A2"/>
    <w:rsid w:val="004A6808"/>
    <w:rsid w:val="004A7131"/>
    <w:rsid w:val="004B47D8"/>
    <w:rsid w:val="004C437F"/>
    <w:rsid w:val="004E3203"/>
    <w:rsid w:val="004E7CFA"/>
    <w:rsid w:val="00504A8B"/>
    <w:rsid w:val="005109D2"/>
    <w:rsid w:val="00527959"/>
    <w:rsid w:val="00532F49"/>
    <w:rsid w:val="00543182"/>
    <w:rsid w:val="00545709"/>
    <w:rsid w:val="0055309A"/>
    <w:rsid w:val="00553DB4"/>
    <w:rsid w:val="00554A22"/>
    <w:rsid w:val="0055673B"/>
    <w:rsid w:val="00562C43"/>
    <w:rsid w:val="005649BB"/>
    <w:rsid w:val="00570DD4"/>
    <w:rsid w:val="00580535"/>
    <w:rsid w:val="0059015E"/>
    <w:rsid w:val="00593DA7"/>
    <w:rsid w:val="005A4F5E"/>
    <w:rsid w:val="005D0688"/>
    <w:rsid w:val="005D2322"/>
    <w:rsid w:val="005F1151"/>
    <w:rsid w:val="005F186F"/>
    <w:rsid w:val="005F4799"/>
    <w:rsid w:val="00601AF4"/>
    <w:rsid w:val="006078F7"/>
    <w:rsid w:val="00611CAE"/>
    <w:rsid w:val="00612248"/>
    <w:rsid w:val="0061461A"/>
    <w:rsid w:val="00617B1C"/>
    <w:rsid w:val="00633DDD"/>
    <w:rsid w:val="00641A72"/>
    <w:rsid w:val="00641C0B"/>
    <w:rsid w:val="0065767C"/>
    <w:rsid w:val="00661E35"/>
    <w:rsid w:val="0066767D"/>
    <w:rsid w:val="00694ED7"/>
    <w:rsid w:val="006B1706"/>
    <w:rsid w:val="006B1B76"/>
    <w:rsid w:val="006B273D"/>
    <w:rsid w:val="006B762B"/>
    <w:rsid w:val="006C3138"/>
    <w:rsid w:val="006D3B8B"/>
    <w:rsid w:val="006E53FD"/>
    <w:rsid w:val="006F268A"/>
    <w:rsid w:val="00706E6B"/>
    <w:rsid w:val="0071244D"/>
    <w:rsid w:val="00717A24"/>
    <w:rsid w:val="00721FF6"/>
    <w:rsid w:val="00724A7D"/>
    <w:rsid w:val="00726830"/>
    <w:rsid w:val="007270A4"/>
    <w:rsid w:val="0073461B"/>
    <w:rsid w:val="0073790D"/>
    <w:rsid w:val="00745E11"/>
    <w:rsid w:val="00746C24"/>
    <w:rsid w:val="00747754"/>
    <w:rsid w:val="00754F2C"/>
    <w:rsid w:val="0076181D"/>
    <w:rsid w:val="007700B1"/>
    <w:rsid w:val="00777664"/>
    <w:rsid w:val="00784C75"/>
    <w:rsid w:val="007857C5"/>
    <w:rsid w:val="00796349"/>
    <w:rsid w:val="007A5B56"/>
    <w:rsid w:val="007A6C59"/>
    <w:rsid w:val="007A7D33"/>
    <w:rsid w:val="007B4E66"/>
    <w:rsid w:val="007C1346"/>
    <w:rsid w:val="007C6B35"/>
    <w:rsid w:val="007D0683"/>
    <w:rsid w:val="007D50E2"/>
    <w:rsid w:val="007E2093"/>
    <w:rsid w:val="007E59D2"/>
    <w:rsid w:val="007E6380"/>
    <w:rsid w:val="007E7F9B"/>
    <w:rsid w:val="00801F5F"/>
    <w:rsid w:val="00804525"/>
    <w:rsid w:val="00812EB1"/>
    <w:rsid w:val="0081348E"/>
    <w:rsid w:val="00815FEE"/>
    <w:rsid w:val="0082220A"/>
    <w:rsid w:val="00825CD8"/>
    <w:rsid w:val="00831EC4"/>
    <w:rsid w:val="00836F53"/>
    <w:rsid w:val="008409C3"/>
    <w:rsid w:val="0084318F"/>
    <w:rsid w:val="008477DF"/>
    <w:rsid w:val="008515A7"/>
    <w:rsid w:val="0085444D"/>
    <w:rsid w:val="00856232"/>
    <w:rsid w:val="0085722A"/>
    <w:rsid w:val="00861608"/>
    <w:rsid w:val="0086174E"/>
    <w:rsid w:val="00862D2A"/>
    <w:rsid w:val="00876767"/>
    <w:rsid w:val="00892CAC"/>
    <w:rsid w:val="00895DD5"/>
    <w:rsid w:val="00896425"/>
    <w:rsid w:val="008A229F"/>
    <w:rsid w:val="008B390D"/>
    <w:rsid w:val="008B6164"/>
    <w:rsid w:val="008D1D6F"/>
    <w:rsid w:val="008D4227"/>
    <w:rsid w:val="008D5D97"/>
    <w:rsid w:val="008D6BD6"/>
    <w:rsid w:val="008F45CB"/>
    <w:rsid w:val="008F5C4B"/>
    <w:rsid w:val="00903715"/>
    <w:rsid w:val="00923E45"/>
    <w:rsid w:val="00930075"/>
    <w:rsid w:val="0093586D"/>
    <w:rsid w:val="0094111F"/>
    <w:rsid w:val="00953046"/>
    <w:rsid w:val="00955454"/>
    <w:rsid w:val="00960A73"/>
    <w:rsid w:val="0096335E"/>
    <w:rsid w:val="00971537"/>
    <w:rsid w:val="00974EF6"/>
    <w:rsid w:val="009760B5"/>
    <w:rsid w:val="009902FB"/>
    <w:rsid w:val="009A3CF6"/>
    <w:rsid w:val="009A5E2A"/>
    <w:rsid w:val="009A5F31"/>
    <w:rsid w:val="009C2041"/>
    <w:rsid w:val="009C6CC9"/>
    <w:rsid w:val="009E7715"/>
    <w:rsid w:val="009F3D80"/>
    <w:rsid w:val="009F579E"/>
    <w:rsid w:val="00A13AA1"/>
    <w:rsid w:val="00A147C5"/>
    <w:rsid w:val="00A15687"/>
    <w:rsid w:val="00A22E9A"/>
    <w:rsid w:val="00A2772E"/>
    <w:rsid w:val="00A42F0E"/>
    <w:rsid w:val="00A454FD"/>
    <w:rsid w:val="00A46748"/>
    <w:rsid w:val="00A5112A"/>
    <w:rsid w:val="00A53041"/>
    <w:rsid w:val="00A54F1F"/>
    <w:rsid w:val="00A6176C"/>
    <w:rsid w:val="00A715B1"/>
    <w:rsid w:val="00A71934"/>
    <w:rsid w:val="00A71CFB"/>
    <w:rsid w:val="00A74640"/>
    <w:rsid w:val="00A80AAD"/>
    <w:rsid w:val="00A853C2"/>
    <w:rsid w:val="00A87F8E"/>
    <w:rsid w:val="00A90375"/>
    <w:rsid w:val="00AA5430"/>
    <w:rsid w:val="00AC4CE9"/>
    <w:rsid w:val="00AF047E"/>
    <w:rsid w:val="00AF3033"/>
    <w:rsid w:val="00B01445"/>
    <w:rsid w:val="00B02EA7"/>
    <w:rsid w:val="00B0488D"/>
    <w:rsid w:val="00B11545"/>
    <w:rsid w:val="00B272BF"/>
    <w:rsid w:val="00B32360"/>
    <w:rsid w:val="00B35D9F"/>
    <w:rsid w:val="00B54745"/>
    <w:rsid w:val="00B56760"/>
    <w:rsid w:val="00B65A46"/>
    <w:rsid w:val="00B66BC1"/>
    <w:rsid w:val="00B70B1E"/>
    <w:rsid w:val="00B76015"/>
    <w:rsid w:val="00B85A4C"/>
    <w:rsid w:val="00BC4B0B"/>
    <w:rsid w:val="00BD418C"/>
    <w:rsid w:val="00BD4313"/>
    <w:rsid w:val="00BD46D8"/>
    <w:rsid w:val="00BD5968"/>
    <w:rsid w:val="00BD6740"/>
    <w:rsid w:val="00BE0CA4"/>
    <w:rsid w:val="00BE26CC"/>
    <w:rsid w:val="00C07A21"/>
    <w:rsid w:val="00C11C19"/>
    <w:rsid w:val="00C17E03"/>
    <w:rsid w:val="00C2537C"/>
    <w:rsid w:val="00C32FF8"/>
    <w:rsid w:val="00C37F54"/>
    <w:rsid w:val="00C44876"/>
    <w:rsid w:val="00C541CE"/>
    <w:rsid w:val="00C57728"/>
    <w:rsid w:val="00C60AF3"/>
    <w:rsid w:val="00C857D6"/>
    <w:rsid w:val="00C86F01"/>
    <w:rsid w:val="00C92CFC"/>
    <w:rsid w:val="00CA60D3"/>
    <w:rsid w:val="00CB12B4"/>
    <w:rsid w:val="00CC639B"/>
    <w:rsid w:val="00CD017E"/>
    <w:rsid w:val="00CD32B3"/>
    <w:rsid w:val="00CD59A2"/>
    <w:rsid w:val="00CE49AD"/>
    <w:rsid w:val="00CE7CE5"/>
    <w:rsid w:val="00CF2D4D"/>
    <w:rsid w:val="00D0081D"/>
    <w:rsid w:val="00D0183B"/>
    <w:rsid w:val="00D01AC8"/>
    <w:rsid w:val="00D03EE8"/>
    <w:rsid w:val="00D075FB"/>
    <w:rsid w:val="00D106AA"/>
    <w:rsid w:val="00D13E14"/>
    <w:rsid w:val="00D17C04"/>
    <w:rsid w:val="00D351C5"/>
    <w:rsid w:val="00D40274"/>
    <w:rsid w:val="00D43352"/>
    <w:rsid w:val="00D43C5C"/>
    <w:rsid w:val="00D46024"/>
    <w:rsid w:val="00D47AB5"/>
    <w:rsid w:val="00D57C44"/>
    <w:rsid w:val="00D60072"/>
    <w:rsid w:val="00D63990"/>
    <w:rsid w:val="00D63A52"/>
    <w:rsid w:val="00D64AC6"/>
    <w:rsid w:val="00D6742A"/>
    <w:rsid w:val="00D766AB"/>
    <w:rsid w:val="00D8635D"/>
    <w:rsid w:val="00D92C93"/>
    <w:rsid w:val="00D942F0"/>
    <w:rsid w:val="00DA212C"/>
    <w:rsid w:val="00DB52B8"/>
    <w:rsid w:val="00DB67BD"/>
    <w:rsid w:val="00DC3FB9"/>
    <w:rsid w:val="00DD0752"/>
    <w:rsid w:val="00DD2410"/>
    <w:rsid w:val="00DE05E2"/>
    <w:rsid w:val="00DE16F9"/>
    <w:rsid w:val="00DE2E70"/>
    <w:rsid w:val="00DE7353"/>
    <w:rsid w:val="00DF0BA8"/>
    <w:rsid w:val="00E0049B"/>
    <w:rsid w:val="00E04633"/>
    <w:rsid w:val="00E27E57"/>
    <w:rsid w:val="00E309B3"/>
    <w:rsid w:val="00E30BA1"/>
    <w:rsid w:val="00E31802"/>
    <w:rsid w:val="00E413E4"/>
    <w:rsid w:val="00E44122"/>
    <w:rsid w:val="00E514C3"/>
    <w:rsid w:val="00E93C46"/>
    <w:rsid w:val="00E94A40"/>
    <w:rsid w:val="00EB7336"/>
    <w:rsid w:val="00EC24B1"/>
    <w:rsid w:val="00ED5008"/>
    <w:rsid w:val="00EE5CE8"/>
    <w:rsid w:val="00EF2382"/>
    <w:rsid w:val="00EF2961"/>
    <w:rsid w:val="00F001E4"/>
    <w:rsid w:val="00F126C1"/>
    <w:rsid w:val="00F1622B"/>
    <w:rsid w:val="00F21FE4"/>
    <w:rsid w:val="00F347E1"/>
    <w:rsid w:val="00F35DA6"/>
    <w:rsid w:val="00F36E55"/>
    <w:rsid w:val="00F40455"/>
    <w:rsid w:val="00F5310E"/>
    <w:rsid w:val="00F7767C"/>
    <w:rsid w:val="00F80FD8"/>
    <w:rsid w:val="00F80FE0"/>
    <w:rsid w:val="00F9671E"/>
    <w:rsid w:val="00FA0235"/>
    <w:rsid w:val="00FA6D02"/>
    <w:rsid w:val="00FB447F"/>
    <w:rsid w:val="00FC1CE4"/>
    <w:rsid w:val="00FC50F0"/>
    <w:rsid w:val="00FC54E6"/>
    <w:rsid w:val="00FE1A1A"/>
    <w:rsid w:val="00FE25D8"/>
    <w:rsid w:val="00FE3362"/>
    <w:rsid w:val="00FE55E1"/>
    <w:rsid w:val="00FF158F"/>
    <w:rsid w:val="00FF4374"/>
    <w:rsid w:val="1F182BCC"/>
    <w:rsid w:val="2275D3AC"/>
    <w:rsid w:val="3F6CE971"/>
    <w:rsid w:val="4883C426"/>
    <w:rsid w:val="53F9750C"/>
    <w:rsid w:val="70560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3104"/>
  <w15:chartTrackingRefBased/>
  <w15:docId w15:val="{A484EA4F-9D04-4A50-959E-9AC7A214C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5926"/>
    <w:pPr>
      <w:spacing w:after="120"/>
    </w:pPr>
    <w:rPr>
      <w:color w:val="595959" w:themeColor="text1" w:themeTint="A6"/>
      <w:sz w:val="30"/>
      <w:szCs w:val="3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9760B5"/>
    <w:pPr>
      <w:spacing w:before="100" w:beforeAutospacing="1" w:after="100" w:afterAutospacing="1" w:line="240" w:lineRule="auto"/>
    </w:pPr>
    <w:rPr>
      <w:rFonts w:ascii="Times New Roman" w:hAnsi="Times New Roman" w:eastAsia="Times New Roman" w:cs="Times New Roman"/>
      <w:color w:val="auto"/>
      <w:sz w:val="24"/>
      <w:szCs w:val="24"/>
      <w:lang w:eastAsia="en-GB"/>
    </w:rPr>
  </w:style>
  <w:style w:type="character" w:styleId="normaltextrun" w:customStyle="1">
    <w:name w:val="normaltextrun"/>
    <w:basedOn w:val="DefaultParagraphFont"/>
    <w:rsid w:val="009760B5"/>
  </w:style>
  <w:style w:type="character" w:styleId="eop" w:customStyle="1">
    <w:name w:val="eop"/>
    <w:basedOn w:val="DefaultParagraphFont"/>
    <w:rsid w:val="009760B5"/>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549707">
      <w:bodyDiv w:val="1"/>
      <w:marLeft w:val="0"/>
      <w:marRight w:val="0"/>
      <w:marTop w:val="0"/>
      <w:marBottom w:val="0"/>
      <w:divBdr>
        <w:top w:val="none" w:sz="0" w:space="0" w:color="auto"/>
        <w:left w:val="none" w:sz="0" w:space="0" w:color="auto"/>
        <w:bottom w:val="none" w:sz="0" w:space="0" w:color="auto"/>
        <w:right w:val="none" w:sz="0" w:space="0" w:color="auto"/>
      </w:divBdr>
    </w:div>
    <w:div w:id="186208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styles" Target="styles.xml" Id="rId4" /><Relationship Type="http://schemas.openxmlformats.org/officeDocument/2006/relationships/fontTable" Target="fontTable.xml" Id="rId14" /><Relationship Type="http://schemas.openxmlformats.org/officeDocument/2006/relationships/hyperlink" Target="https://doi.org/10/1016/S0065-2601(08)60382-2" TargetMode="External" Id="R9354b8136e61415c" /><Relationship Type="http://schemas.openxmlformats.org/officeDocument/2006/relationships/hyperlink" Target="http://bit.ly/2awfQ2j" TargetMode="External" Id="Rb233e5cf2f0442b3" /><Relationship Type="http://schemas.openxmlformats.org/officeDocument/2006/relationships/hyperlink" Target="ftp://ftp.repec.org/opt/ReDIF/RePEc/baf/papers/cbafwp1644.pdf" TargetMode="External" Id="Rc5722ebc28b742d1" /><Relationship Type="http://schemas.openxmlformats.org/officeDocument/2006/relationships/hyperlink" Target="https://www.jrf.org.uk/report/brexit-vote-explained-poverty-low-skills-and-lack-opportunities" TargetMode="External" Id="R77747b6294e2454b" /><Relationship Type="http://schemas.openxmlformats.org/officeDocument/2006/relationships/hyperlink" Target="https://doi.org/10.1057/s41599-018-0214-5" TargetMode="External" Id="R0beb1159aaa4467b" /><Relationship Type="http://schemas.openxmlformats.org/officeDocument/2006/relationships/hyperlink" Target="https://www.ons.gov.uk/peoplepopulationandcommunity/" TargetMode="External" Id="Rd485a8e6b5364d36" /><Relationship Type="http://schemas.openxmlformats.org/officeDocument/2006/relationships/hyperlink" Target="http://dx.doi.org/10.1111/bjop.12252" TargetMode="External" Id="R85225bdccdd443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A7D1CD-7F23-4AAD-8CBD-B64A0A968EFB}">
  <ds:schemaRefs>
    <ds:schemaRef ds:uri="http://schemas.microsoft.com/sharepoint/v3/contenttype/forms"/>
  </ds:schemaRefs>
</ds:datastoreItem>
</file>

<file path=customXml/itemProps2.xml><?xml version="1.0" encoding="utf-8"?>
<ds:datastoreItem xmlns:ds="http://schemas.openxmlformats.org/officeDocument/2006/customXml" ds:itemID="{A447E2E2-C7D7-4F62-ABDA-0832D4C17F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DB7F6C-A2EE-457A-A62B-C2E9C16A29B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Bronwen Phillips</dc:creator>
  <keywords/>
  <dc:description/>
  <lastModifiedBy>Bronwen Phillips (1351715)</lastModifiedBy>
  <revision>388</revision>
  <dcterms:created xsi:type="dcterms:W3CDTF">2019-11-06T14:53:00.0000000Z</dcterms:created>
  <dcterms:modified xsi:type="dcterms:W3CDTF">2019-11-12T22:05:48.0577851Z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