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690824621"/>
        <w:docPartObj>
          <w:docPartGallery w:val="Cover Pages"/>
          <w:docPartUnique/>
        </w:docPartObj>
      </w:sdtPr>
      <w:sdtEndPr>
        <w:rPr>
          <w:rFonts w:ascii="Arial" w:hAnsi="Arial" w:cs="Arial"/>
          <w:b/>
          <w:bCs/>
          <w:caps w:val="0"/>
          <w:color w:val="365F91" w:themeColor="accent1" w:themeShade="BF"/>
          <w:sz w:val="48"/>
          <w:szCs w:val="48"/>
        </w:rPr>
      </w:sdtEndPr>
      <w:sdtContent>
        <w:tbl>
          <w:tblPr>
            <w:tblW w:w="5000" w:type="pct"/>
            <w:jc w:val="center"/>
            <w:tblLook w:val="04A0"/>
          </w:tblPr>
          <w:tblGrid>
            <w:gridCol w:w="9242"/>
          </w:tblGrid>
          <w:tr w:rsidR="003315C2">
            <w:trPr>
              <w:trHeight w:val="2880"/>
              <w:jc w:val="center"/>
            </w:trPr>
            <w:tc>
              <w:tcPr>
                <w:tcW w:w="5000" w:type="pct"/>
              </w:tcPr>
              <w:p w:rsidR="003315C2" w:rsidRDefault="00C8681D" w:rsidP="00C8681D">
                <w:pPr>
                  <w:pStyle w:val="NoSpacing"/>
                  <w:ind w:left="-1276"/>
                  <w:rPr>
                    <w:rFonts w:asciiTheme="majorHAnsi" w:eastAsiaTheme="majorEastAsia" w:hAnsiTheme="majorHAnsi" w:cstheme="majorBidi"/>
                    <w:caps/>
                  </w:rPr>
                </w:pPr>
                <w:r w:rsidRPr="00C8681D">
                  <w:rPr>
                    <w:rFonts w:asciiTheme="majorHAnsi" w:eastAsiaTheme="majorEastAsia" w:hAnsiTheme="majorHAnsi" w:cstheme="majorBidi"/>
                    <w:caps/>
                    <w:noProof/>
                    <w:lang w:val="en-GB" w:eastAsia="en-GB"/>
                  </w:rPr>
                  <w:drawing>
                    <wp:inline distT="0" distB="0" distL="0" distR="0">
                      <wp:extent cx="2609850" cy="914400"/>
                      <wp:effectExtent l="514350" t="438150" r="800100" b="742950"/>
                      <wp:docPr id="1" name="Picture 1" descr="University of Wales Trinity Saint David">
                        <a:extLst xmlns:a="http://schemas.openxmlformats.org/drawingml/2006/main">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A2AC4A84-07F7-501E-E5E2-B16D175BF497}"/>
                          </a:ext>
                        </a:extLst>
                      </wp:docPr>
                      <wp:cNvGraphicFramePr/>
                      <a:graphic xmlns:a="http://schemas.openxmlformats.org/drawingml/2006/main">
                        <a:graphicData uri="http://schemas.openxmlformats.org/drawingml/2006/picture">
                          <pic:pic xmlns:pic="http://schemas.openxmlformats.org/drawingml/2006/picture">
                            <pic:nvPicPr>
                              <pic:cNvPr id="5" name="Picture 4" descr="University of Wales Trinity Saint David">
                                <a:extLst>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A2AC4A84-07F7-501E-E5E2-B16D175BF497}"/>
                                  </a:ext>
                                </a:extLst>
                              </pic:cNvPr>
                              <pic:cNvPicPr/>
                            </pic:nvPicPr>
                            <pic:blipFill rotWithShape="1">
                              <a:blip r:embed="rId7" cstate="print">
                                <a:extLst>
                                  <a:ext uri="{28A0092B-C50C-407E-A947-70E740481C1C}">
                                    <a14:useLocalDpi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val="0"/>
                                  </a:ext>
                                </a:extLst>
                              </a:blip>
                              <a:srcRect l="5923" t="29904" r="5907" b="33238"/>
                              <a:stretch/>
                            </pic:blipFill>
                            <pic:spPr bwMode="auto">
                              <a:xfrm>
                                <a:off x="0" y="0"/>
                                <a:ext cx="2609431" cy="914253"/>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tc>
          </w:tr>
          <w:tr w:rsidR="003315C2" w:rsidRPr="006C43F5" w:rsidTr="00C8681D">
            <w:trPr>
              <w:trHeight w:val="1940"/>
              <w:jc w:val="center"/>
            </w:trPr>
            <w:sdt>
              <w:sdtPr>
                <w:rPr>
                  <w:rStyle w:val="Heading1Char"/>
                  <w:rFonts w:ascii="Arial" w:hAnsi="Arial" w:cs="Arial"/>
                  <w:color w:val="1D2125"/>
                  <w:sz w:val="48"/>
                  <w:szCs w:val="48"/>
                  <w:shd w:val="clear" w:color="auto" w:fill="FFFFFF"/>
                </w:rPr>
                <w:alias w:val="Title"/>
                <w:id w:val="15524250"/>
                <w:placeholder>
                  <w:docPart w:val="AFCED750B580453D8A7C12EB332C62CC"/>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3315C2" w:rsidRPr="006C43F5" w:rsidRDefault="00C8681D" w:rsidP="00C8681D">
                    <w:pPr>
                      <w:pStyle w:val="NoSpacing"/>
                      <w:jc w:val="center"/>
                      <w:rPr>
                        <w:rFonts w:ascii="Arial" w:eastAsiaTheme="majorEastAsia" w:hAnsi="Arial" w:cs="Arial"/>
                        <w:sz w:val="80"/>
                        <w:szCs w:val="80"/>
                      </w:rPr>
                    </w:pPr>
                    <w:r w:rsidRPr="006C43F5">
                      <w:rPr>
                        <w:rStyle w:val="Heading1Char"/>
                        <w:rFonts w:ascii="Arial" w:hAnsi="Arial" w:cs="Arial"/>
                        <w:color w:val="1D2125"/>
                        <w:sz w:val="48"/>
                        <w:szCs w:val="48"/>
                        <w:shd w:val="clear" w:color="auto" w:fill="FFFFFF"/>
                      </w:rPr>
                      <w:t>MSc. Health Care System Organisation and Leadership LCHS7002_LON</w:t>
                    </w:r>
                  </w:p>
                </w:tc>
              </w:sdtContent>
            </w:sdt>
          </w:tr>
          <w:tr w:rsidR="003315C2" w:rsidRPr="006C43F5">
            <w:trPr>
              <w:trHeight w:val="720"/>
              <w:jc w:val="center"/>
            </w:trPr>
            <w:tc>
              <w:tcPr>
                <w:tcW w:w="5000" w:type="pct"/>
                <w:tcBorders>
                  <w:top w:val="single" w:sz="4" w:space="0" w:color="4F81BD" w:themeColor="accent1"/>
                </w:tcBorders>
                <w:vAlign w:val="center"/>
              </w:tcPr>
              <w:p w:rsidR="003315C2" w:rsidRPr="006C43F5" w:rsidRDefault="003315C2">
                <w:pPr>
                  <w:pStyle w:val="NoSpacing"/>
                  <w:jc w:val="center"/>
                  <w:rPr>
                    <w:rFonts w:ascii="Arial" w:eastAsiaTheme="majorEastAsia" w:hAnsi="Arial" w:cs="Arial"/>
                    <w:sz w:val="32"/>
                    <w:szCs w:val="32"/>
                  </w:rPr>
                </w:pPr>
              </w:p>
            </w:tc>
          </w:tr>
          <w:tr w:rsidR="003315C2" w:rsidRPr="006C43F5">
            <w:trPr>
              <w:trHeight w:val="360"/>
              <w:jc w:val="center"/>
            </w:trPr>
            <w:tc>
              <w:tcPr>
                <w:tcW w:w="5000" w:type="pct"/>
                <w:vAlign w:val="center"/>
              </w:tcPr>
              <w:p w:rsidR="003315C2" w:rsidRPr="006C43F5" w:rsidRDefault="003315C2" w:rsidP="00C8681D">
                <w:pPr>
                  <w:pStyle w:val="NoSpacing"/>
                  <w:jc w:val="center"/>
                  <w:rPr>
                    <w:rFonts w:ascii="Arial" w:hAnsi="Arial" w:cs="Arial"/>
                    <w:b/>
                    <w:sz w:val="32"/>
                    <w:szCs w:val="32"/>
                  </w:rPr>
                </w:pPr>
              </w:p>
            </w:tc>
          </w:tr>
          <w:tr w:rsidR="003315C2" w:rsidRPr="006C43F5">
            <w:trPr>
              <w:trHeight w:val="360"/>
              <w:jc w:val="center"/>
            </w:trPr>
            <w:sdt>
              <w:sdtPr>
                <w:rPr>
                  <w:rFonts w:ascii="Arial" w:eastAsiaTheme="majorEastAsia" w:hAnsi="Arial" w:cs="Arial"/>
                  <w:b/>
                  <w:bCs/>
                  <w:color w:val="365F91" w:themeColor="accent1" w:themeShade="BF"/>
                  <w:sz w:val="32"/>
                  <w:szCs w:val="32"/>
                </w:rPr>
                <w:alias w:val="Author"/>
                <w:id w:val="15524260"/>
                <w:placeholder>
                  <w:docPart w:val="701989EA91A941FCA992B00EC05C20F4"/>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3315C2" w:rsidRPr="006C43F5" w:rsidRDefault="003315C2" w:rsidP="00C8681D">
                    <w:pPr>
                      <w:pStyle w:val="NoSpacing"/>
                      <w:jc w:val="center"/>
                      <w:rPr>
                        <w:rFonts w:ascii="Arial" w:hAnsi="Arial" w:cs="Arial"/>
                        <w:b/>
                        <w:bCs/>
                        <w:sz w:val="32"/>
                        <w:szCs w:val="32"/>
                      </w:rPr>
                    </w:pPr>
                    <w:r w:rsidRPr="006C43F5">
                      <w:rPr>
                        <w:rFonts w:ascii="Arial" w:hAnsi="Arial" w:cs="Arial"/>
                        <w:b/>
                        <w:bCs/>
                        <w:sz w:val="32"/>
                        <w:szCs w:val="32"/>
                      </w:rPr>
                      <w:t>Maria Fatima Mangue Mbomio -2230098</w:t>
                    </w:r>
                  </w:p>
                </w:tc>
              </w:sdtContent>
            </w:sdt>
          </w:tr>
          <w:tr w:rsidR="003315C2" w:rsidRPr="006C43F5">
            <w:trPr>
              <w:trHeight w:val="360"/>
              <w:jc w:val="center"/>
            </w:trPr>
            <w:tc>
              <w:tcPr>
                <w:tcW w:w="5000" w:type="pct"/>
                <w:vAlign w:val="center"/>
              </w:tcPr>
              <w:p w:rsidR="003315C2" w:rsidRPr="006C43F5" w:rsidRDefault="003315C2" w:rsidP="00C8681D">
                <w:pPr>
                  <w:pStyle w:val="NoSpacing"/>
                  <w:jc w:val="center"/>
                  <w:rPr>
                    <w:rFonts w:ascii="Arial" w:hAnsi="Arial" w:cs="Arial"/>
                    <w:b/>
                    <w:bCs/>
                    <w:sz w:val="32"/>
                    <w:szCs w:val="32"/>
                  </w:rPr>
                </w:pPr>
              </w:p>
            </w:tc>
          </w:tr>
        </w:tbl>
        <w:p w:rsidR="003315C2" w:rsidRPr="006C43F5" w:rsidRDefault="006C43F5" w:rsidP="006C43F5">
          <w:pPr>
            <w:ind w:left="1440" w:firstLine="720"/>
            <w:rPr>
              <w:rFonts w:ascii="Arial" w:hAnsi="Arial" w:cs="Arial"/>
              <w:b/>
              <w:sz w:val="32"/>
              <w:szCs w:val="32"/>
            </w:rPr>
          </w:pPr>
          <w:r>
            <w:rPr>
              <w:rFonts w:ascii="Arial" w:hAnsi="Arial" w:cs="Arial"/>
              <w:b/>
              <w:color w:val="1D2125"/>
              <w:sz w:val="32"/>
              <w:szCs w:val="32"/>
              <w:shd w:val="clear" w:color="auto" w:fill="FFFFFF"/>
            </w:rPr>
            <w:t>Module L</w:t>
          </w:r>
          <w:r w:rsidRPr="006C43F5">
            <w:rPr>
              <w:rFonts w:ascii="Arial" w:hAnsi="Arial" w:cs="Arial"/>
              <w:b/>
              <w:color w:val="1D2125"/>
              <w:sz w:val="32"/>
              <w:szCs w:val="32"/>
              <w:shd w:val="clear" w:color="auto" w:fill="FFFFFF"/>
            </w:rPr>
            <w:t>eader</w:t>
          </w:r>
          <w:r w:rsidR="003315C2" w:rsidRPr="006C43F5">
            <w:rPr>
              <w:rFonts w:ascii="Arial" w:hAnsi="Arial" w:cs="Arial"/>
              <w:b/>
              <w:color w:val="1D2125"/>
              <w:sz w:val="32"/>
              <w:szCs w:val="32"/>
              <w:shd w:val="clear" w:color="auto" w:fill="FFFFFF"/>
            </w:rPr>
            <w:t>: Dr Pascal Navelle</w:t>
          </w:r>
        </w:p>
        <w:p w:rsidR="00C8681D" w:rsidRPr="006C43F5" w:rsidRDefault="0059334C">
          <w:pPr>
            <w:rPr>
              <w:rFonts w:ascii="Arial" w:hAnsi="Arial" w:cs="Arial"/>
            </w:rPr>
          </w:pPr>
        </w:p>
      </w:sdtContent>
    </w:sdt>
    <w:p w:rsidR="006C43F5" w:rsidRDefault="006C43F5">
      <w:pPr>
        <w:rPr>
          <w:rStyle w:val="Heading3Char"/>
          <w:rFonts w:asciiTheme="minorHAnsi" w:eastAsiaTheme="minorHAnsi" w:hAnsiTheme="minorHAnsi" w:cstheme="minorBidi"/>
          <w:b w:val="0"/>
          <w:bCs w:val="0"/>
          <w:color w:val="auto"/>
        </w:rPr>
      </w:pPr>
      <w:r>
        <w:rPr>
          <w:noProof/>
          <w:lang w:eastAsia="en-GB"/>
        </w:rPr>
        <w:drawing>
          <wp:inline distT="0" distB="0" distL="0" distR="0">
            <wp:extent cx="6010275" cy="3448050"/>
            <wp:effectExtent l="19050" t="0" r="9525" b="0"/>
            <wp:docPr id="4" name="Picture 1" descr="What is the importance of leadership in Organizational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importance of leadership in Organizational Growth"/>
                    <pic:cNvPicPr>
                      <a:picLocks noChangeAspect="1" noChangeArrowheads="1"/>
                    </pic:cNvPicPr>
                  </pic:nvPicPr>
                  <pic:blipFill>
                    <a:blip r:embed="rId8" cstate="print"/>
                    <a:srcRect/>
                    <a:stretch>
                      <a:fillRect/>
                    </a:stretch>
                  </pic:blipFill>
                  <pic:spPr bwMode="auto">
                    <a:xfrm>
                      <a:off x="0" y="0"/>
                      <a:ext cx="6010275" cy="3448050"/>
                    </a:xfrm>
                    <a:prstGeom prst="rect">
                      <a:avLst/>
                    </a:prstGeom>
                    <a:noFill/>
                    <a:ln w="9525">
                      <a:noFill/>
                      <a:miter lim="800000"/>
                      <a:headEnd/>
                      <a:tailEnd/>
                    </a:ln>
                  </pic:spPr>
                </pic:pic>
              </a:graphicData>
            </a:graphic>
          </wp:inline>
        </w:drawing>
      </w:r>
    </w:p>
    <w:p w:rsidR="00C8681D" w:rsidRPr="006C43F5" w:rsidRDefault="00C8681D">
      <w:pPr>
        <w:rPr>
          <w:rStyle w:val="Heading3Char"/>
          <w:rFonts w:asciiTheme="minorHAnsi" w:eastAsiaTheme="minorHAnsi" w:hAnsiTheme="minorHAnsi" w:cstheme="minorBidi"/>
          <w:b w:val="0"/>
          <w:bCs w:val="0"/>
          <w:color w:val="auto"/>
        </w:rPr>
      </w:pPr>
    </w:p>
    <w:sdt>
      <w:sdtPr>
        <w:rPr>
          <w:rFonts w:asciiTheme="minorHAnsi" w:eastAsiaTheme="minorHAnsi" w:hAnsiTheme="minorHAnsi" w:cstheme="minorBidi"/>
          <w:b w:val="0"/>
          <w:bCs w:val="0"/>
          <w:color w:val="auto"/>
          <w:sz w:val="22"/>
          <w:szCs w:val="22"/>
          <w:lang w:val="en-GB"/>
        </w:rPr>
        <w:id w:val="690824584"/>
        <w:docPartObj>
          <w:docPartGallery w:val="Table of Contents"/>
          <w:docPartUnique/>
        </w:docPartObj>
      </w:sdtPr>
      <w:sdtContent>
        <w:p w:rsidR="000A7327" w:rsidRDefault="000A7327">
          <w:pPr>
            <w:pStyle w:val="TOCHeading"/>
          </w:pPr>
          <w:r>
            <w:t>Table of Contents</w:t>
          </w:r>
        </w:p>
        <w:p w:rsidR="000A7327" w:rsidRPr="000A7327" w:rsidRDefault="0059334C">
          <w:pPr>
            <w:pStyle w:val="TOC1"/>
            <w:tabs>
              <w:tab w:val="right" w:leader="dot" w:pos="9016"/>
            </w:tabs>
            <w:rPr>
              <w:rFonts w:ascii="Arial" w:eastAsiaTheme="minorEastAsia" w:hAnsi="Arial" w:cs="Arial"/>
              <w:noProof/>
              <w:lang w:eastAsia="en-GB"/>
            </w:rPr>
          </w:pPr>
          <w:r w:rsidRPr="000A7327">
            <w:rPr>
              <w:rFonts w:ascii="Arial" w:hAnsi="Arial" w:cs="Arial"/>
            </w:rPr>
            <w:fldChar w:fldCharType="begin"/>
          </w:r>
          <w:r w:rsidR="000A7327" w:rsidRPr="000A7327">
            <w:rPr>
              <w:rFonts w:ascii="Arial" w:hAnsi="Arial" w:cs="Arial"/>
            </w:rPr>
            <w:instrText xml:space="preserve"> TOC \o "1-3" \h \z \u </w:instrText>
          </w:r>
          <w:r w:rsidRPr="000A7327">
            <w:rPr>
              <w:rFonts w:ascii="Arial" w:hAnsi="Arial" w:cs="Arial"/>
            </w:rPr>
            <w:fldChar w:fldCharType="separate"/>
          </w:r>
          <w:hyperlink w:anchor="_Toc236773901" w:history="1">
            <w:r w:rsidR="000A7327" w:rsidRPr="000A7327">
              <w:rPr>
                <w:rStyle w:val="Hyperlink"/>
                <w:rFonts w:ascii="Arial" w:hAnsi="Arial" w:cs="Arial"/>
                <w:noProof/>
              </w:rPr>
              <w:t>Introduction</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_Toc236773901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1</w:t>
            </w:r>
            <w:r w:rsidRPr="000A7327">
              <w:rPr>
                <w:rFonts w:ascii="Arial" w:hAnsi="Arial" w:cs="Arial"/>
                <w:noProof/>
                <w:webHidden/>
              </w:rPr>
              <w:fldChar w:fldCharType="end"/>
            </w:r>
          </w:hyperlink>
        </w:p>
        <w:p w:rsidR="000A7327" w:rsidRPr="000A7327" w:rsidRDefault="0059334C">
          <w:pPr>
            <w:pStyle w:val="TOC1"/>
            <w:tabs>
              <w:tab w:val="right" w:leader="dot" w:pos="9016"/>
            </w:tabs>
            <w:rPr>
              <w:rFonts w:ascii="Arial" w:eastAsiaTheme="minorEastAsia" w:hAnsi="Arial" w:cs="Arial"/>
              <w:noProof/>
              <w:lang w:eastAsia="en-GB"/>
            </w:rPr>
          </w:pPr>
          <w:hyperlink w:anchor="_Toc236773902" w:history="1">
            <w:r w:rsidR="000A7327" w:rsidRPr="000A7327">
              <w:rPr>
                <w:rStyle w:val="Hyperlink"/>
                <w:rFonts w:ascii="Arial" w:hAnsi="Arial" w:cs="Arial"/>
                <w:noProof/>
              </w:rPr>
              <w:t>Analysis of the case study</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_Toc236773902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4</w:t>
            </w:r>
            <w:r w:rsidRPr="000A7327">
              <w:rPr>
                <w:rFonts w:ascii="Arial" w:hAnsi="Arial" w:cs="Arial"/>
                <w:noProof/>
                <w:webHidden/>
              </w:rPr>
              <w:fldChar w:fldCharType="end"/>
            </w:r>
          </w:hyperlink>
        </w:p>
        <w:p w:rsidR="000A7327" w:rsidRPr="000A7327" w:rsidRDefault="0059334C">
          <w:pPr>
            <w:pStyle w:val="TOC2"/>
            <w:tabs>
              <w:tab w:val="right" w:leader="dot" w:pos="9016"/>
            </w:tabs>
            <w:rPr>
              <w:rFonts w:ascii="Arial" w:eastAsiaTheme="minorEastAsia" w:hAnsi="Arial" w:cs="Arial"/>
              <w:noProof/>
              <w:lang w:eastAsia="en-GB"/>
            </w:rPr>
          </w:pPr>
          <w:hyperlink w:anchor="_Toc236773903" w:history="1">
            <w:r w:rsidR="000A7327" w:rsidRPr="000A7327">
              <w:rPr>
                <w:rStyle w:val="Hyperlink"/>
                <w:rFonts w:ascii="Arial" w:hAnsi="Arial" w:cs="Arial"/>
                <w:noProof/>
              </w:rPr>
              <w:t>National and International statistics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_Toc236773903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4</w:t>
            </w:r>
            <w:r w:rsidRPr="000A7327">
              <w:rPr>
                <w:rFonts w:ascii="Arial" w:hAnsi="Arial" w:cs="Arial"/>
                <w:noProof/>
                <w:webHidden/>
              </w:rPr>
              <w:fldChar w:fldCharType="end"/>
            </w:r>
          </w:hyperlink>
        </w:p>
        <w:p w:rsidR="000A7327" w:rsidRPr="000A7327" w:rsidRDefault="0059334C">
          <w:pPr>
            <w:pStyle w:val="TOC2"/>
            <w:tabs>
              <w:tab w:val="right" w:leader="dot" w:pos="9016"/>
            </w:tabs>
            <w:rPr>
              <w:rFonts w:ascii="Arial" w:eastAsiaTheme="minorEastAsia" w:hAnsi="Arial" w:cs="Arial"/>
              <w:noProof/>
              <w:lang w:eastAsia="en-GB"/>
            </w:rPr>
          </w:pPr>
          <w:hyperlink w:anchor="_Toc236773904" w:history="1">
            <w:r w:rsidR="000A7327" w:rsidRPr="000A7327">
              <w:rPr>
                <w:rStyle w:val="Hyperlink"/>
                <w:rFonts w:ascii="Arial" w:hAnsi="Arial" w:cs="Arial"/>
                <w:noProof/>
              </w:rPr>
              <w:t>Weaknesses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_Toc236773904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5</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05" w:history="1">
            <w:r w:rsidR="000A7327" w:rsidRPr="000A7327">
              <w:rPr>
                <w:rStyle w:val="Hyperlink"/>
                <w:rFonts w:ascii="Arial" w:hAnsi="Arial" w:cs="Arial"/>
                <w:noProof/>
              </w:rPr>
              <w:t>The examination of communication</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_Toc236773905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5</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06" w:history="1">
            <w:r w:rsidR="000A7327" w:rsidRPr="000A7327">
              <w:rPr>
                <w:rStyle w:val="Hyperlink"/>
                <w:rFonts w:ascii="Arial" w:hAnsi="Arial" w:cs="Arial"/>
                <w:noProof/>
              </w:rPr>
              <w:t>The accountability for reviewing apixaban: It</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_Toc236773906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5</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07" w:history="1">
            <w:r w:rsidR="000A7327" w:rsidRPr="000A7327">
              <w:rPr>
                <w:rStyle w:val="Hyperlink"/>
                <w:rFonts w:ascii="Arial" w:hAnsi="Arial" w:cs="Arial"/>
                <w:noProof/>
              </w:rPr>
              <w:t>Leadership deficiencies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_Toc236773907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6</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08" w:history="1">
            <w:r w:rsidR="000A7327" w:rsidRPr="000A7327">
              <w:rPr>
                <w:rStyle w:val="Hyperlink"/>
                <w:rFonts w:ascii="Arial" w:hAnsi="Arial" w:cs="Arial"/>
                <w:noProof/>
              </w:rPr>
              <w:t>Governance</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_Toc236773908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6</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09" w:history="1">
            <w:r w:rsidR="000A7327" w:rsidRPr="000A7327">
              <w:rPr>
                <w:rStyle w:val="Hyperlink"/>
                <w:rFonts w:ascii="Arial" w:hAnsi="Arial" w:cs="Arial"/>
                <w:i/>
                <w:iCs/>
                <w:noProof/>
              </w:rPr>
              <w:t>Local Governance (The Hospital Trust):</w:t>
            </w:r>
            <w:r w:rsidR="000A7327" w:rsidRPr="000A7327">
              <w:rPr>
                <w:rStyle w:val="Hyperlink"/>
                <w:rFonts w:ascii="Arial" w:hAnsi="Arial" w:cs="Arial"/>
                <w:noProof/>
              </w:rPr>
              <w:t xml:space="preserve"> The most significant operational failures occurred at this level, where the local infrastructure failed to provide safe, actionable clinical tools.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_Toc236773909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6</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10" w:history="1">
            <w:r w:rsidR="000A7327" w:rsidRPr="000A7327">
              <w:rPr>
                <w:rStyle w:val="Hyperlink"/>
                <w:rFonts w:ascii="Arial" w:hAnsi="Arial" w:cs="Arial"/>
                <w:i/>
                <w:iCs/>
                <w:noProof/>
              </w:rPr>
              <w:t>Regional Governance (Integrated Care Systems / Healthcare Networks):</w:t>
            </w:r>
            <w:r w:rsidR="000A7327" w:rsidRPr="000A7327">
              <w:rPr>
                <w:rStyle w:val="Hyperlink"/>
                <w:rFonts w:ascii="Arial" w:hAnsi="Arial" w:cs="Arial"/>
                <w:noProof/>
              </w:rPr>
              <w:t xml:space="preserve"> Regional pressures imposed resource constraints and physical bottlenecks that prolonged the patient's vulnerable state.</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_Toc236773910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6</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11" w:history="1">
            <w:r w:rsidR="000A7327" w:rsidRPr="000A7327">
              <w:rPr>
                <w:rStyle w:val="Hyperlink"/>
                <w:rFonts w:ascii="Arial" w:hAnsi="Arial" w:cs="Arial"/>
                <w:i/>
                <w:iCs/>
                <w:noProof/>
              </w:rPr>
              <w:t>National Governance (The NHS / Royal Colleges / National Guidelines):</w:t>
            </w:r>
            <w:r w:rsidR="000A7327" w:rsidRPr="000A7327">
              <w:rPr>
                <w:rStyle w:val="Hyperlink"/>
                <w:rFonts w:ascii="Arial" w:hAnsi="Arial" w:cs="Arial"/>
                <w:noProof/>
              </w:rPr>
              <w:t xml:space="preserve"> National frameworks established the broader context for staffing standards, safety alerts, and software procurement</w:t>
            </w:r>
            <w:r w:rsidR="000A7327" w:rsidRPr="000A7327">
              <w:rPr>
                <w:rStyle w:val="Hyperlink"/>
                <w:rFonts w:ascii="Arial" w:eastAsia="Times New Roman" w:hAnsi="Arial" w:cs="Arial"/>
                <w:noProof/>
                <w:lang w:eastAsia="en-GB"/>
              </w:rPr>
              <w:t xml:space="preserve"> </w:t>
            </w:r>
            <w:r w:rsidR="000A7327" w:rsidRPr="000A7327">
              <w:rPr>
                <w:rStyle w:val="Hyperlink"/>
                <w:rFonts w:ascii="Arial" w:hAnsi="Arial" w:cs="Arial"/>
                <w:noProof/>
              </w:rPr>
              <w:t>(Jones, 2023).</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_Toc236773911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6</w:t>
            </w:r>
            <w:r w:rsidRPr="000A7327">
              <w:rPr>
                <w:rFonts w:ascii="Arial" w:hAnsi="Arial" w:cs="Arial"/>
                <w:noProof/>
                <w:webHidden/>
              </w:rPr>
              <w:fldChar w:fldCharType="end"/>
            </w:r>
          </w:hyperlink>
        </w:p>
        <w:p w:rsidR="000A7327" w:rsidRPr="000A7327" w:rsidRDefault="0059334C">
          <w:pPr>
            <w:pStyle w:val="TOC2"/>
            <w:tabs>
              <w:tab w:val="right" w:leader="dot" w:pos="9016"/>
            </w:tabs>
            <w:rPr>
              <w:rFonts w:ascii="Arial" w:eastAsiaTheme="minorEastAsia" w:hAnsi="Arial" w:cs="Arial"/>
              <w:noProof/>
              <w:lang w:eastAsia="en-GB"/>
            </w:rPr>
          </w:pPr>
          <w:hyperlink w:anchor="_Toc236773912" w:history="1">
            <w:r w:rsidR="000A7327" w:rsidRPr="000A7327">
              <w:rPr>
                <w:rStyle w:val="Hyperlink"/>
                <w:rFonts w:ascii="Arial" w:hAnsi="Arial" w:cs="Arial"/>
                <w:noProof/>
              </w:rPr>
              <w:t>Centralisation or Decentralisation</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_Toc236773912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7</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13" w:history="1">
            <w:r w:rsidR="000A7327" w:rsidRPr="000A7327">
              <w:rPr>
                <w:rStyle w:val="Hyperlink"/>
                <w:rFonts w:ascii="Arial" w:hAnsi="Arial" w:cs="Arial"/>
                <w:noProof/>
              </w:rPr>
              <w:t>Centralised systems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_Toc236773913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7</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14" w:history="1">
            <w:r w:rsidR="000A7327" w:rsidRPr="000A7327">
              <w:rPr>
                <w:rStyle w:val="Hyperlink"/>
                <w:rFonts w:ascii="Arial" w:hAnsi="Arial" w:cs="Arial"/>
                <w:noProof/>
              </w:rPr>
              <w:t>Decentralised systems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_Toc236773914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8</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15" w:history="1">
            <w:r w:rsidR="000A7327" w:rsidRPr="000A7327">
              <w:rPr>
                <w:rStyle w:val="Hyperlink"/>
                <w:rFonts w:ascii="Arial" w:hAnsi="Arial" w:cs="Arial"/>
                <w:noProof/>
              </w:rPr>
              <w:t>Analysis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_Toc236773915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9</w:t>
            </w:r>
            <w:r w:rsidRPr="000A7327">
              <w:rPr>
                <w:rFonts w:ascii="Arial" w:hAnsi="Arial" w:cs="Arial"/>
                <w:noProof/>
                <w:webHidden/>
              </w:rPr>
              <w:fldChar w:fldCharType="end"/>
            </w:r>
          </w:hyperlink>
        </w:p>
        <w:p w:rsidR="000A7327" w:rsidRPr="000A7327" w:rsidRDefault="0059334C">
          <w:pPr>
            <w:pStyle w:val="TOC2"/>
            <w:tabs>
              <w:tab w:val="right" w:leader="dot" w:pos="9016"/>
            </w:tabs>
            <w:rPr>
              <w:rFonts w:ascii="Arial" w:eastAsiaTheme="minorEastAsia" w:hAnsi="Arial" w:cs="Arial"/>
              <w:noProof/>
              <w:lang w:eastAsia="en-GB"/>
            </w:rPr>
          </w:pPr>
          <w:hyperlink w:anchor="_Toc236773916" w:history="1">
            <w:r w:rsidR="000A7327" w:rsidRPr="000A7327">
              <w:rPr>
                <w:rStyle w:val="Hyperlink"/>
                <w:rFonts w:ascii="Arial" w:hAnsi="Arial" w:cs="Arial"/>
                <w:noProof/>
              </w:rPr>
              <w:t>Leadership Theory and Application</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_Toc236773916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9</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17" w:history="1">
            <w:r w:rsidR="000A7327" w:rsidRPr="000A7327">
              <w:rPr>
                <w:rStyle w:val="Hyperlink"/>
                <w:rFonts w:ascii="Arial" w:hAnsi="Arial" w:cs="Arial"/>
                <w:noProof/>
              </w:rPr>
              <w:t>Transformational leadership:</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_Toc236773917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9</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18" w:history="1">
            <w:r w:rsidR="000A7327" w:rsidRPr="000A7327">
              <w:rPr>
                <w:rStyle w:val="Hyperlink"/>
                <w:rFonts w:ascii="Arial" w:hAnsi="Arial" w:cs="Arial"/>
                <w:noProof/>
              </w:rPr>
              <w:t>Situational leadership:</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_Toc236773918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10</w:t>
            </w:r>
            <w:r w:rsidRPr="000A7327">
              <w:rPr>
                <w:rFonts w:ascii="Arial" w:hAnsi="Arial" w:cs="Arial"/>
                <w:noProof/>
                <w:webHidden/>
              </w:rPr>
              <w:fldChar w:fldCharType="end"/>
            </w:r>
          </w:hyperlink>
        </w:p>
        <w:p w:rsidR="000A7327" w:rsidRPr="000A7327" w:rsidRDefault="0059334C">
          <w:pPr>
            <w:pStyle w:val="TOC3"/>
            <w:tabs>
              <w:tab w:val="right" w:leader="dot" w:pos="9016"/>
            </w:tabs>
            <w:rPr>
              <w:rFonts w:ascii="Arial" w:eastAsiaTheme="minorEastAsia" w:hAnsi="Arial" w:cs="Arial"/>
              <w:noProof/>
              <w:lang w:eastAsia="en-GB"/>
            </w:rPr>
          </w:pPr>
          <w:hyperlink w:anchor="_Toc236773919" w:history="1">
            <w:r w:rsidR="000A7327" w:rsidRPr="000A7327">
              <w:rPr>
                <w:rStyle w:val="Hyperlink"/>
                <w:rFonts w:ascii="Arial" w:hAnsi="Arial" w:cs="Arial"/>
                <w:noProof/>
              </w:rPr>
              <w:t>Transactional leadership</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_Toc236773919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10</w:t>
            </w:r>
            <w:r w:rsidRPr="000A7327">
              <w:rPr>
                <w:rFonts w:ascii="Arial" w:hAnsi="Arial" w:cs="Arial"/>
                <w:noProof/>
                <w:webHidden/>
              </w:rPr>
              <w:fldChar w:fldCharType="end"/>
            </w:r>
          </w:hyperlink>
        </w:p>
        <w:p w:rsidR="000A7327" w:rsidRPr="000A7327" w:rsidRDefault="0059334C">
          <w:pPr>
            <w:pStyle w:val="TOC2"/>
            <w:tabs>
              <w:tab w:val="right" w:leader="dot" w:pos="9016"/>
            </w:tabs>
            <w:rPr>
              <w:rFonts w:ascii="Arial" w:eastAsiaTheme="minorEastAsia" w:hAnsi="Arial" w:cs="Arial"/>
              <w:noProof/>
              <w:lang w:eastAsia="en-GB"/>
            </w:rPr>
          </w:pPr>
          <w:hyperlink w:anchor="_Toc236773920" w:history="1">
            <w:r w:rsidR="000A7327" w:rsidRPr="000A7327">
              <w:rPr>
                <w:rStyle w:val="Hyperlink"/>
                <w:rFonts w:ascii="Arial" w:hAnsi="Arial" w:cs="Arial"/>
                <w:noProof/>
              </w:rPr>
              <w:t>Improvement, and Lessons Learned</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_Toc236773920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11</w:t>
            </w:r>
            <w:r w:rsidRPr="000A7327">
              <w:rPr>
                <w:rFonts w:ascii="Arial" w:hAnsi="Arial" w:cs="Arial"/>
                <w:noProof/>
                <w:webHidden/>
              </w:rPr>
              <w:fldChar w:fldCharType="end"/>
            </w:r>
          </w:hyperlink>
        </w:p>
        <w:p w:rsidR="000A7327" w:rsidRPr="000A7327" w:rsidRDefault="0059334C">
          <w:pPr>
            <w:pStyle w:val="TOC1"/>
            <w:tabs>
              <w:tab w:val="right" w:leader="dot" w:pos="9016"/>
            </w:tabs>
            <w:rPr>
              <w:rFonts w:ascii="Arial" w:eastAsiaTheme="minorEastAsia" w:hAnsi="Arial" w:cs="Arial"/>
              <w:noProof/>
              <w:lang w:eastAsia="en-GB"/>
            </w:rPr>
          </w:pPr>
          <w:hyperlink w:anchor="_Toc236773921" w:history="1">
            <w:r w:rsidR="000A7327" w:rsidRPr="000A7327">
              <w:rPr>
                <w:rStyle w:val="Hyperlink"/>
                <w:rFonts w:ascii="Arial" w:hAnsi="Arial" w:cs="Arial"/>
                <w:noProof/>
              </w:rPr>
              <w:t>Recommendations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_Toc236773921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13</w:t>
            </w:r>
            <w:r w:rsidRPr="000A7327">
              <w:rPr>
                <w:rFonts w:ascii="Arial" w:hAnsi="Arial" w:cs="Arial"/>
                <w:noProof/>
                <w:webHidden/>
              </w:rPr>
              <w:fldChar w:fldCharType="end"/>
            </w:r>
          </w:hyperlink>
        </w:p>
        <w:p w:rsidR="000A7327" w:rsidRPr="000A7327" w:rsidRDefault="0059334C">
          <w:pPr>
            <w:pStyle w:val="TOC1"/>
            <w:tabs>
              <w:tab w:val="right" w:leader="dot" w:pos="9016"/>
            </w:tabs>
            <w:rPr>
              <w:rFonts w:ascii="Arial" w:eastAsiaTheme="minorEastAsia" w:hAnsi="Arial" w:cs="Arial"/>
              <w:noProof/>
              <w:lang w:eastAsia="en-GB"/>
            </w:rPr>
          </w:pPr>
          <w:hyperlink w:anchor="_Toc236773922" w:history="1">
            <w:r w:rsidR="000A7327" w:rsidRPr="000A7327">
              <w:rPr>
                <w:rStyle w:val="Hyperlink"/>
                <w:rFonts w:ascii="Arial" w:hAnsi="Arial" w:cs="Arial"/>
                <w:noProof/>
              </w:rPr>
              <w:t>Conclusion</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_Toc236773922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15</w:t>
            </w:r>
            <w:r w:rsidRPr="000A7327">
              <w:rPr>
                <w:rFonts w:ascii="Arial" w:hAnsi="Arial" w:cs="Arial"/>
                <w:noProof/>
                <w:webHidden/>
              </w:rPr>
              <w:fldChar w:fldCharType="end"/>
            </w:r>
          </w:hyperlink>
        </w:p>
        <w:p w:rsidR="000A7327" w:rsidRPr="000A7327" w:rsidRDefault="0059334C">
          <w:pPr>
            <w:pStyle w:val="TOC1"/>
            <w:tabs>
              <w:tab w:val="right" w:leader="dot" w:pos="9016"/>
            </w:tabs>
            <w:rPr>
              <w:rFonts w:ascii="Arial" w:eastAsiaTheme="minorEastAsia" w:hAnsi="Arial" w:cs="Arial"/>
              <w:noProof/>
              <w:lang w:eastAsia="en-GB"/>
            </w:rPr>
          </w:pPr>
          <w:hyperlink w:anchor="_Toc236773923" w:history="1">
            <w:r w:rsidR="000A7327" w:rsidRPr="000A7327">
              <w:rPr>
                <w:rStyle w:val="Hyperlink"/>
                <w:rFonts w:ascii="Arial" w:eastAsia="Times New Roman" w:hAnsi="Arial" w:cs="Arial"/>
                <w:noProof/>
                <w:lang w:eastAsia="en-GB"/>
              </w:rPr>
              <w:t>References</w:t>
            </w:r>
            <w:r w:rsidR="000A7327" w:rsidRPr="000A7327">
              <w:rPr>
                <w:rFonts w:ascii="Arial" w:hAnsi="Arial" w:cs="Arial"/>
                <w:noProof/>
                <w:webHidden/>
              </w:rPr>
              <w:tab/>
            </w:r>
            <w:r w:rsidRPr="000A7327">
              <w:rPr>
                <w:rFonts w:ascii="Arial" w:hAnsi="Arial" w:cs="Arial"/>
                <w:noProof/>
                <w:webHidden/>
              </w:rPr>
              <w:fldChar w:fldCharType="begin"/>
            </w:r>
            <w:r w:rsidR="000A7327" w:rsidRPr="000A7327">
              <w:rPr>
                <w:rFonts w:ascii="Arial" w:hAnsi="Arial" w:cs="Arial"/>
                <w:noProof/>
                <w:webHidden/>
              </w:rPr>
              <w:instrText xml:space="preserve"> PAGEREF _Toc236773923 \h </w:instrText>
            </w:r>
            <w:r w:rsidRPr="000A7327">
              <w:rPr>
                <w:rFonts w:ascii="Arial" w:hAnsi="Arial" w:cs="Arial"/>
                <w:noProof/>
                <w:webHidden/>
              </w:rPr>
            </w:r>
            <w:r w:rsidRPr="000A7327">
              <w:rPr>
                <w:rFonts w:ascii="Arial" w:hAnsi="Arial" w:cs="Arial"/>
                <w:noProof/>
                <w:webHidden/>
              </w:rPr>
              <w:fldChar w:fldCharType="separate"/>
            </w:r>
            <w:r w:rsidR="000A7327" w:rsidRPr="000A7327">
              <w:rPr>
                <w:rFonts w:ascii="Arial" w:hAnsi="Arial" w:cs="Arial"/>
                <w:noProof/>
                <w:webHidden/>
              </w:rPr>
              <w:t>16</w:t>
            </w:r>
            <w:r w:rsidRPr="000A7327">
              <w:rPr>
                <w:rFonts w:ascii="Arial" w:hAnsi="Arial" w:cs="Arial"/>
                <w:noProof/>
                <w:webHidden/>
              </w:rPr>
              <w:fldChar w:fldCharType="end"/>
            </w:r>
          </w:hyperlink>
        </w:p>
        <w:p w:rsidR="000A7327" w:rsidRDefault="0059334C" w:rsidP="000A7327">
          <w:r w:rsidRPr="000A7327">
            <w:rPr>
              <w:rFonts w:ascii="Arial" w:hAnsi="Arial" w:cs="Arial"/>
            </w:rPr>
            <w:fldChar w:fldCharType="end"/>
          </w:r>
        </w:p>
      </w:sdtContent>
    </w:sdt>
    <w:bookmarkStart w:id="0" w:name="_Toc236773901" w:displacedByCustomXml="prev"/>
    <w:p w:rsidR="000A7327" w:rsidRDefault="000A7327" w:rsidP="000A7327">
      <w:pPr>
        <w:rPr>
          <w:rFonts w:ascii="Arial" w:hAnsi="Arial" w:cs="Arial"/>
        </w:rPr>
      </w:pPr>
    </w:p>
    <w:p w:rsidR="000A7327" w:rsidRDefault="000A7327" w:rsidP="000A7327">
      <w:pPr>
        <w:rPr>
          <w:rFonts w:ascii="Arial" w:hAnsi="Arial" w:cs="Arial"/>
        </w:rPr>
      </w:pPr>
    </w:p>
    <w:p w:rsidR="000A7327" w:rsidRDefault="000A7327" w:rsidP="000A7327">
      <w:pPr>
        <w:rPr>
          <w:rFonts w:ascii="Arial" w:hAnsi="Arial" w:cs="Arial"/>
        </w:rPr>
      </w:pPr>
    </w:p>
    <w:p w:rsidR="000A7327" w:rsidRDefault="000A7327" w:rsidP="000A7327">
      <w:pPr>
        <w:rPr>
          <w:rFonts w:ascii="Arial" w:hAnsi="Arial" w:cs="Arial"/>
        </w:rPr>
      </w:pPr>
    </w:p>
    <w:p w:rsidR="00D90B86" w:rsidRPr="000A7327" w:rsidRDefault="00D90B86" w:rsidP="000A7327">
      <w:pPr>
        <w:pStyle w:val="Heading1"/>
        <w:rPr>
          <w:rFonts w:ascii="Arial" w:hAnsi="Arial" w:cs="Arial"/>
        </w:rPr>
      </w:pPr>
      <w:r w:rsidRPr="000A7327">
        <w:rPr>
          <w:rFonts w:ascii="Arial" w:hAnsi="Arial" w:cs="Arial"/>
        </w:rPr>
        <w:t>Introduction</w:t>
      </w:r>
      <w:bookmarkEnd w:id="0"/>
    </w:p>
    <w:p w:rsidR="003F3478" w:rsidRPr="00B44C48" w:rsidRDefault="00F20175" w:rsidP="00B44C48">
      <w:pPr>
        <w:spacing w:line="360" w:lineRule="auto"/>
        <w:jc w:val="both"/>
        <w:rPr>
          <w:rFonts w:ascii="Arial" w:hAnsi="Arial" w:cs="Arial"/>
        </w:rPr>
      </w:pPr>
      <w:r w:rsidRPr="00F20175">
        <w:rPr>
          <w:rFonts w:ascii="Arial" w:hAnsi="Arial" w:cs="Arial"/>
        </w:rPr>
        <w:t>This report analyses a serious safet</w:t>
      </w:r>
      <w:r w:rsidR="000E0668">
        <w:rPr>
          <w:rFonts w:ascii="Arial" w:hAnsi="Arial" w:cs="Arial"/>
        </w:rPr>
        <w:t xml:space="preserve">y incident involving an 87 years </w:t>
      </w:r>
      <w:r w:rsidRPr="00F20175">
        <w:rPr>
          <w:rFonts w:ascii="Arial" w:hAnsi="Arial" w:cs="Arial"/>
        </w:rPr>
        <w:t>old patient. It examines why the patient did not receive essential anticoagulant medication before and after a scheduled procedure, and how systemic factors inherent in an NHS hospital contributed to this failure</w:t>
      </w:r>
      <w:r>
        <w:rPr>
          <w:rFonts w:ascii="Arial" w:hAnsi="Arial" w:cs="Arial"/>
        </w:rPr>
        <w:t xml:space="preserve"> </w:t>
      </w:r>
      <w:r w:rsidRPr="00584313">
        <w:rPr>
          <w:rFonts w:ascii="Arial" w:eastAsia="Times New Roman" w:hAnsi="Arial" w:cs="Arial"/>
          <w:lang w:eastAsia="en-GB"/>
        </w:rPr>
        <w:t>(Dresti, 2025)</w:t>
      </w:r>
      <w:r w:rsidRPr="00BF7922">
        <w:rPr>
          <w:rFonts w:ascii="Arial" w:hAnsi="Arial" w:cs="Arial"/>
        </w:rPr>
        <w:t>.</w:t>
      </w:r>
      <w:r w:rsidR="0051711F">
        <w:rPr>
          <w:rFonts w:ascii="Arial" w:hAnsi="Arial" w:cs="Arial"/>
        </w:rPr>
        <w:t xml:space="preserve"> However, t</w:t>
      </w:r>
      <w:r w:rsidRPr="00F20175">
        <w:rPr>
          <w:rFonts w:ascii="Arial" w:hAnsi="Arial" w:cs="Arial"/>
        </w:rPr>
        <w:t xml:space="preserve">he patient was regularly taking apixaban, an anticoagulant used to prevent strokes in people with atrial fibrillation. Administration of the drug had been suspended due to concerns about bleeding risk and the patient's pending pleural procedure. The investigation draws on the patient's experience to derive broader lessons for acute care hospitals, particularly regarding anticoagulation management, communication, and electronic prescribing </w:t>
      </w:r>
      <w:r w:rsidR="004D7609" w:rsidRPr="00F20175">
        <w:rPr>
          <w:rFonts w:ascii="Arial" w:hAnsi="Arial" w:cs="Arial"/>
        </w:rPr>
        <w:t>systems</w:t>
      </w:r>
      <w:r w:rsidR="004D7609" w:rsidRPr="006809A8">
        <w:rPr>
          <w:rFonts w:ascii="Arial" w:eastAsia="Times New Roman" w:hAnsi="Arial" w:cs="Arial"/>
          <w:lang w:eastAsia="en-GB"/>
        </w:rPr>
        <w:t xml:space="preserve"> (</w:t>
      </w:r>
      <w:r w:rsidRPr="006809A8">
        <w:rPr>
          <w:rFonts w:ascii="Arial" w:eastAsia="Times New Roman" w:hAnsi="Arial" w:cs="Arial"/>
          <w:lang w:eastAsia="en-GB"/>
        </w:rPr>
        <w:t>NHS, 2021)</w:t>
      </w:r>
      <w:r w:rsidR="00B44C48">
        <w:rPr>
          <w:rFonts w:ascii="Arial" w:hAnsi="Arial" w:cs="Arial"/>
        </w:rPr>
        <w:t>.</w:t>
      </w:r>
    </w:p>
    <w:p w:rsidR="00B44C48" w:rsidRDefault="00C8619F" w:rsidP="00B44C48">
      <w:pPr>
        <w:spacing w:line="360" w:lineRule="auto"/>
        <w:jc w:val="both"/>
        <w:rPr>
          <w:rFonts w:ascii="Arial" w:eastAsia="Times New Roman" w:hAnsi="Arial" w:cs="Arial"/>
          <w:lang w:eastAsia="en-GB"/>
        </w:rPr>
      </w:pPr>
      <w:r w:rsidRPr="00362911">
        <w:rPr>
          <w:rFonts w:ascii="Arial" w:eastAsia="Times New Roman" w:hAnsi="Arial" w:cs="Arial"/>
          <w:lang w:eastAsia="en-GB"/>
        </w:rPr>
        <w:t>Leadership in the healthcare system, as described by De Brún and McAuliffe (2022), involves the ability to influence, inspire, and guide others toward shared goals while fostering an environment that promotes collective success and effective organizational functioning. This influence is built on empathy, professionalism, and a c</w:t>
      </w:r>
      <w:r w:rsidR="008C1912">
        <w:rPr>
          <w:rFonts w:ascii="Arial" w:eastAsia="Times New Roman" w:hAnsi="Arial" w:cs="Arial"/>
          <w:lang w:eastAsia="en-GB"/>
        </w:rPr>
        <w:t>ommitment to safe, person-centr</w:t>
      </w:r>
      <w:r w:rsidRPr="00362911">
        <w:rPr>
          <w:rFonts w:ascii="Arial" w:eastAsia="Times New Roman" w:hAnsi="Arial" w:cs="Arial"/>
          <w:lang w:eastAsia="en-GB"/>
        </w:rPr>
        <w:t xml:space="preserve">ed practices. </w:t>
      </w:r>
      <w:r w:rsidR="00362911" w:rsidRPr="00362911">
        <w:rPr>
          <w:rFonts w:ascii="Arial" w:eastAsia="Times New Roman" w:hAnsi="Arial" w:cs="Arial"/>
          <w:lang w:eastAsia="en-GB"/>
        </w:rPr>
        <w:t>For instant, c</w:t>
      </w:r>
      <w:r w:rsidRPr="00362911">
        <w:rPr>
          <w:rFonts w:ascii="Arial" w:eastAsia="Times New Roman" w:hAnsi="Arial" w:cs="Arial"/>
          <w:lang w:eastAsia="en-GB"/>
        </w:rPr>
        <w:t>entralization and decentralization refer to how decision-making authority is distributed within an organization. In contrast, leadership theories explain how leaders can motivate others to achieve common goals. In the fields of health and social care, these concepts significantly impact teamwork and communication. For example, situational leadership is a flexible and adaptive approach where the leader adjusts their style according to the needs, skills, and confidence levels of the team (Peak Frameworks Team, 2026).</w:t>
      </w:r>
    </w:p>
    <w:p w:rsidR="00B44C48" w:rsidRPr="0003360F" w:rsidRDefault="0003360F" w:rsidP="0003360F">
      <w:pPr>
        <w:spacing w:line="360" w:lineRule="auto"/>
        <w:jc w:val="both"/>
        <w:rPr>
          <w:rFonts w:ascii="Arial" w:eastAsia="Times New Roman" w:hAnsi="Arial" w:cs="Arial"/>
          <w:lang w:eastAsia="en-GB"/>
        </w:rPr>
      </w:pPr>
      <w:r w:rsidRPr="0003360F">
        <w:rPr>
          <w:rFonts w:ascii="Arial" w:eastAsia="Times New Roman" w:hAnsi="Arial" w:cs="Arial"/>
          <w:lang w:eastAsia="en-GB"/>
        </w:rPr>
        <w:t>Effective leadership is essential during crises or complex care situations, as it ensures clear decision-making, coordinated teamwork, and safe patient care. In this case, inadequate leadership regarding clinical oversight, communication, and organizational systems contributed to the anticoagulation error that led to the patient’s death</w:t>
      </w:r>
      <w:r w:rsidR="00964A09" w:rsidRPr="00964A09">
        <w:rPr>
          <w:rFonts w:ascii="Arial" w:eastAsia="Times New Roman" w:hAnsi="Arial" w:cs="Arial"/>
          <w:lang w:eastAsia="en-GB"/>
        </w:rPr>
        <w:t xml:space="preserve"> (De Brún and McAuliffe, 2022)</w:t>
      </w:r>
      <w:r w:rsidRPr="0003360F">
        <w:rPr>
          <w:rFonts w:ascii="Arial" w:eastAsia="Times New Roman" w:hAnsi="Arial" w:cs="Arial"/>
          <w:lang w:eastAsia="en-GB"/>
        </w:rPr>
        <w:t>. The investigation found that the patient did not receive apixaban for 10 days, and the medication was not resumed after a procedure, which ultimately resulted in a fatal stroke. While the report emphasizes systems, processes, and the design of the electronic prescribing and medicines administration (ePMA) system, the core issue lies in the failure of leadership at various levels: clinical, organizational, and strategic</w:t>
      </w:r>
      <w:r w:rsidR="00F7679D" w:rsidRPr="00F7679D">
        <w:rPr>
          <w:rFonts w:ascii="Arial" w:eastAsia="Times New Roman" w:hAnsi="Arial" w:cs="Arial"/>
          <w:lang w:eastAsia="en-GB"/>
        </w:rPr>
        <w:t xml:space="preserve"> (Tone Hosmer, 1982)</w:t>
      </w:r>
      <w:r w:rsidR="006F419C">
        <w:rPr>
          <w:rFonts w:ascii="Arial" w:eastAsia="Times New Roman" w:hAnsi="Arial" w:cs="Arial"/>
          <w:lang w:eastAsia="en-GB"/>
        </w:rPr>
        <w:t>.</w:t>
      </w:r>
    </w:p>
    <w:p w:rsidR="0003360F" w:rsidRDefault="006F419C" w:rsidP="006F419C">
      <w:pPr>
        <w:spacing w:line="360" w:lineRule="auto"/>
        <w:jc w:val="both"/>
        <w:rPr>
          <w:rFonts w:ascii="Arial" w:eastAsia="Times New Roman" w:hAnsi="Arial" w:cs="Arial"/>
          <w:lang w:eastAsia="en-GB"/>
        </w:rPr>
      </w:pPr>
      <w:r w:rsidRPr="006F419C">
        <w:rPr>
          <w:rFonts w:ascii="Arial" w:eastAsia="Times New Roman" w:hAnsi="Arial" w:cs="Arial"/>
          <w:lang w:eastAsia="en-GB"/>
        </w:rPr>
        <w:t xml:space="preserve">The leadership style explored in this study is </w:t>
      </w:r>
      <w:r>
        <w:rPr>
          <w:rFonts w:ascii="Arial" w:eastAsia="Times New Roman" w:hAnsi="Arial" w:cs="Arial"/>
          <w:lang w:eastAsia="en-GB"/>
        </w:rPr>
        <w:t>laissez-faire, commonly recognis</w:t>
      </w:r>
      <w:r w:rsidRPr="006F419C">
        <w:rPr>
          <w:rFonts w:ascii="Arial" w:eastAsia="Times New Roman" w:hAnsi="Arial" w:cs="Arial"/>
          <w:lang w:eastAsia="en-GB"/>
        </w:rPr>
        <w:t xml:space="preserve">ed as a non-interventionist approach (Wong and Giessner, 2016). This style is characterized by minimal supervision, unclear accountability, poor coordination, and a reactive decision-making process. Furthermore, elements of transactional leadership emerge, as </w:t>
      </w:r>
      <w:r w:rsidR="004D7609" w:rsidRPr="006F419C">
        <w:rPr>
          <w:rFonts w:ascii="Arial" w:eastAsia="Times New Roman" w:hAnsi="Arial" w:cs="Arial"/>
          <w:lang w:eastAsia="en-GB"/>
        </w:rPr>
        <w:t>staffs tend</w:t>
      </w:r>
      <w:r w:rsidRPr="006F419C">
        <w:rPr>
          <w:rFonts w:ascii="Arial" w:eastAsia="Times New Roman" w:hAnsi="Arial" w:cs="Arial"/>
          <w:lang w:eastAsia="en-GB"/>
        </w:rPr>
        <w:t xml:space="preserve"> to adhere to established routines in the absence of proactive clinical leadership.</w:t>
      </w:r>
      <w:r>
        <w:rPr>
          <w:rFonts w:ascii="Arial" w:eastAsia="Times New Roman" w:hAnsi="Arial" w:cs="Arial"/>
          <w:lang w:eastAsia="en-GB"/>
        </w:rPr>
        <w:t xml:space="preserve"> </w:t>
      </w:r>
      <w:r w:rsidRPr="006F419C">
        <w:rPr>
          <w:rFonts w:ascii="Arial" w:eastAsia="Times New Roman" w:hAnsi="Arial" w:cs="Arial"/>
          <w:lang w:eastAsia="en-GB"/>
        </w:rPr>
        <w:t>This report will focus on a detailed analysis of the identified issues. It will define the problem and the system configuration, employing systems thinking and a complex situation diagram for clarity. The analysis will consider the dynamics of centralization versus decentralization within the case study, alongside relevant leadership theories and their practical applications. Lastly, the report will discuss additional considerations, improvements, and lessons learned, followed by recommendations and a concluding summary.</w:t>
      </w:r>
    </w:p>
    <w:p w:rsidR="00E27DFA" w:rsidRDefault="00E27DFA" w:rsidP="00E27DFA">
      <w:pPr>
        <w:pStyle w:val="Heading1"/>
        <w:rPr>
          <w:rFonts w:ascii="Arial" w:hAnsi="Arial" w:cs="Arial"/>
        </w:rPr>
      </w:pPr>
      <w:bookmarkStart w:id="1" w:name="_Toc236773902"/>
      <w:r w:rsidRPr="00E27DFA">
        <w:rPr>
          <w:rFonts w:ascii="Arial" w:hAnsi="Arial" w:cs="Arial"/>
        </w:rPr>
        <w:t>Analysis of the case study</w:t>
      </w:r>
      <w:bookmarkEnd w:id="1"/>
    </w:p>
    <w:p w:rsidR="006809A8" w:rsidRDefault="00084FBE" w:rsidP="00084FBE">
      <w:pPr>
        <w:spacing w:line="360" w:lineRule="auto"/>
        <w:jc w:val="both"/>
        <w:rPr>
          <w:rFonts w:ascii="Arial" w:hAnsi="Arial" w:cs="Arial"/>
        </w:rPr>
      </w:pPr>
      <w:r w:rsidRPr="00084FBE">
        <w:rPr>
          <w:rFonts w:ascii="Arial" w:hAnsi="Arial" w:cs="Arial"/>
        </w:rPr>
        <w:t xml:space="preserve">The report highlights a fragmented and misaligned system that failed to detect, </w:t>
      </w:r>
      <w:r w:rsidR="004D7609" w:rsidRPr="00084FBE">
        <w:rPr>
          <w:rFonts w:ascii="Arial" w:hAnsi="Arial" w:cs="Arial"/>
        </w:rPr>
        <w:t>revaluate</w:t>
      </w:r>
      <w:r w:rsidRPr="00084FBE">
        <w:rPr>
          <w:rFonts w:ascii="Arial" w:hAnsi="Arial" w:cs="Arial"/>
        </w:rPr>
        <w:t>, or take appropriate action regarding a medication suspension</w:t>
      </w:r>
      <w:r w:rsidR="00C224B7" w:rsidRPr="00C224B7">
        <w:rPr>
          <w:rFonts w:ascii="Arial" w:eastAsia="Times New Roman" w:hAnsi="Arial" w:cs="Arial"/>
          <w:lang w:eastAsia="en-GB"/>
        </w:rPr>
        <w:t xml:space="preserve"> </w:t>
      </w:r>
      <w:r w:rsidR="00C224B7" w:rsidRPr="00C224B7">
        <w:rPr>
          <w:rFonts w:ascii="Arial" w:hAnsi="Arial" w:cs="Arial"/>
        </w:rPr>
        <w:t>(Arnold and Wade, 2015)</w:t>
      </w:r>
      <w:r w:rsidRPr="00084FBE">
        <w:rPr>
          <w:rFonts w:ascii="Arial" w:hAnsi="Arial" w:cs="Arial"/>
        </w:rPr>
        <w:t>. This incident involved an 87-year-old man who suffered a fatal stroke after h</w:t>
      </w:r>
      <w:r w:rsidR="00A76FCE">
        <w:rPr>
          <w:rFonts w:ascii="Arial" w:hAnsi="Arial" w:cs="Arial"/>
        </w:rPr>
        <w:t>is usual anticoagulant</w:t>
      </w:r>
      <w:r w:rsidRPr="00084FBE">
        <w:rPr>
          <w:rFonts w:ascii="Arial" w:hAnsi="Arial" w:cs="Arial"/>
        </w:rPr>
        <w:t xml:space="preserve">, </w:t>
      </w:r>
      <w:r w:rsidR="00A76FCE">
        <w:rPr>
          <w:rFonts w:ascii="Arial" w:hAnsi="Arial" w:cs="Arial"/>
        </w:rPr>
        <w:t xml:space="preserve">the medication it </w:t>
      </w:r>
      <w:r w:rsidRPr="00084FBE">
        <w:rPr>
          <w:rFonts w:ascii="Arial" w:hAnsi="Arial" w:cs="Arial"/>
        </w:rPr>
        <w:t>was withheld for 10 days and not resumed after a medical procedure</w:t>
      </w:r>
      <w:r w:rsidR="00C224B7" w:rsidRPr="00C224B7">
        <w:rPr>
          <w:rFonts w:ascii="Arial" w:eastAsia="Times New Roman" w:hAnsi="Arial" w:cs="Arial"/>
          <w:lang w:eastAsia="en-GB"/>
        </w:rPr>
        <w:t xml:space="preserve"> </w:t>
      </w:r>
      <w:r w:rsidR="00C224B7" w:rsidRPr="00C224B7">
        <w:rPr>
          <w:rFonts w:ascii="Arial" w:hAnsi="Arial" w:cs="Arial"/>
        </w:rPr>
        <w:t>(Buchholz et al., 2018)</w:t>
      </w:r>
      <w:r w:rsidR="004B2F72">
        <w:rPr>
          <w:rFonts w:ascii="Arial" w:hAnsi="Arial" w:cs="Arial"/>
        </w:rPr>
        <w:t>. By applying the Care</w:t>
      </w:r>
      <w:r w:rsidRPr="00084FBE">
        <w:rPr>
          <w:rFonts w:ascii="Arial" w:hAnsi="Arial" w:cs="Arial"/>
        </w:rPr>
        <w:t xml:space="preserve"> model of resilient healthcare, a systems-based approach reveals that this tragedy was not the result of a single, isolated human error but rather due to significant mismatches between demand and capacity, which forced staff to make unsafe adaptations</w:t>
      </w:r>
      <w:r w:rsidR="009770D0" w:rsidRPr="009770D0">
        <w:rPr>
          <w:rFonts w:ascii="Arial" w:eastAsia="Times New Roman" w:hAnsi="Arial" w:cs="Arial"/>
          <w:lang w:eastAsia="en-GB"/>
        </w:rPr>
        <w:t xml:space="preserve"> </w:t>
      </w:r>
      <w:r w:rsidR="009770D0" w:rsidRPr="009770D0">
        <w:rPr>
          <w:rFonts w:ascii="Arial" w:hAnsi="Arial" w:cs="Arial"/>
        </w:rPr>
        <w:t>(Anderson et al., 2016)</w:t>
      </w:r>
      <w:r w:rsidRPr="00084FBE">
        <w:rPr>
          <w:rFonts w:ascii="Arial" w:hAnsi="Arial" w:cs="Arial"/>
        </w:rPr>
        <w:t xml:space="preserve">. Although staff </w:t>
      </w:r>
      <w:r w:rsidR="00A76FCE">
        <w:rPr>
          <w:rFonts w:ascii="Arial" w:hAnsi="Arial" w:cs="Arial"/>
        </w:rPr>
        <w:t>members were aware that drug</w:t>
      </w:r>
      <w:r w:rsidRPr="00084FBE">
        <w:rPr>
          <w:rFonts w:ascii="Arial" w:hAnsi="Arial" w:cs="Arial"/>
        </w:rPr>
        <w:t xml:space="preserve"> had been suspended within the system, this did not trigger a review of the medication suspension</w:t>
      </w:r>
      <w:r w:rsidR="00C224B7" w:rsidRPr="00C224B7">
        <w:rPr>
          <w:rFonts w:ascii="Arial" w:eastAsia="Times New Roman" w:hAnsi="Arial" w:cs="Arial"/>
          <w:lang w:eastAsia="en-GB"/>
        </w:rPr>
        <w:t xml:space="preserve"> </w:t>
      </w:r>
      <w:r w:rsidR="00C224B7" w:rsidRPr="00C224B7">
        <w:rPr>
          <w:rFonts w:ascii="Arial" w:hAnsi="Arial" w:cs="Arial"/>
        </w:rPr>
        <w:t>(Healey, Alings and et. al, 2023)</w:t>
      </w:r>
      <w:r w:rsidRPr="00084FBE">
        <w:rPr>
          <w:rFonts w:ascii="Arial" w:hAnsi="Arial" w:cs="Arial"/>
        </w:rPr>
        <w:t>. This situation clearly illustrates a systemic failure rather than an individual one.</w:t>
      </w:r>
    </w:p>
    <w:p w:rsidR="009770D0" w:rsidRDefault="00C5014D" w:rsidP="00C5014D">
      <w:pPr>
        <w:pStyle w:val="Heading2"/>
      </w:pPr>
      <w:bookmarkStart w:id="2" w:name="_Toc236773903"/>
      <w:r>
        <w:t>National and International statistics</w:t>
      </w:r>
      <w:bookmarkEnd w:id="2"/>
    </w:p>
    <w:p w:rsidR="00695C67" w:rsidRDefault="00EF6F6B" w:rsidP="00EF6F6B">
      <w:pPr>
        <w:spacing w:line="360" w:lineRule="auto"/>
        <w:jc w:val="both"/>
        <w:rPr>
          <w:rFonts w:ascii="Arial" w:hAnsi="Arial" w:cs="Arial"/>
        </w:rPr>
      </w:pPr>
      <w:r w:rsidRPr="00EF6F6B">
        <w:rPr>
          <w:rFonts w:ascii="Arial" w:hAnsi="Arial" w:cs="Arial"/>
        </w:rPr>
        <w:t>Global Prevalence of Atrial Fib</w:t>
      </w:r>
      <w:r>
        <w:rPr>
          <w:rFonts w:ascii="Arial" w:hAnsi="Arial" w:cs="Arial"/>
        </w:rPr>
        <w:t>rillation (AF):</w:t>
      </w:r>
      <w:r w:rsidRPr="00EF6F6B">
        <w:rPr>
          <w:rFonts w:ascii="Arial" w:hAnsi="Arial" w:cs="Arial"/>
        </w:rPr>
        <w:t xml:space="preserve"> As of 2023, approximately 59 million people worldwide are affected by atrial fibrillation and atrial flutter, with over 5 million new cases diagnosed each year</w:t>
      </w:r>
      <w:r>
        <w:rPr>
          <w:rFonts w:ascii="Arial" w:hAnsi="Arial" w:cs="Arial"/>
        </w:rPr>
        <w:t xml:space="preserve"> </w:t>
      </w:r>
      <w:r w:rsidRPr="00EF6F6B">
        <w:rPr>
          <w:rFonts w:ascii="Arial" w:hAnsi="Arial" w:cs="Arial"/>
        </w:rPr>
        <w:t>(Sanchis-Gomar, Lavie and Lippi, 2026). Research indicates that AF is associated with around 377,000 deaths annually and contributes to more than 9 million disability-adjusted life-years (DALYs), particularly affecting older adults, such as the 87-year-old patient referenced in the case study</w:t>
      </w:r>
      <w:r w:rsidR="00CC4B4A">
        <w:rPr>
          <w:rFonts w:ascii="Arial" w:hAnsi="Arial" w:cs="Arial"/>
        </w:rPr>
        <w:t xml:space="preserve"> </w:t>
      </w:r>
      <w:r w:rsidR="00CC4B4A" w:rsidRPr="00CC4B4A">
        <w:rPr>
          <w:rFonts w:ascii="Arial" w:hAnsi="Arial" w:cs="Arial"/>
        </w:rPr>
        <w:t>(WHO, 2025)</w:t>
      </w:r>
      <w:r w:rsidRPr="00EF6F6B">
        <w:rPr>
          <w:rFonts w:ascii="Arial" w:hAnsi="Arial" w:cs="Arial"/>
        </w:rPr>
        <w:t>. From 1990 to 2021, the age-standardized global prevalence of AF increased to about 620 cases per 100,000 inhabitants, especially in high-income countries, highlighting the urgent need for improved management strategies</w:t>
      </w:r>
      <w:r w:rsidR="00CC4B4A">
        <w:rPr>
          <w:rFonts w:ascii="Arial" w:hAnsi="Arial" w:cs="Arial"/>
        </w:rPr>
        <w:t xml:space="preserve"> </w:t>
      </w:r>
      <w:r w:rsidRPr="00EF6F6B">
        <w:rPr>
          <w:rFonts w:ascii="Arial" w:hAnsi="Arial" w:cs="Arial"/>
        </w:rPr>
        <w:t xml:space="preserve">(Safiri et al., 2025). </w:t>
      </w:r>
    </w:p>
    <w:p w:rsidR="009770D0" w:rsidRDefault="00EF6F6B" w:rsidP="00EF6F6B">
      <w:pPr>
        <w:spacing w:line="360" w:lineRule="auto"/>
        <w:jc w:val="both"/>
        <w:rPr>
          <w:rFonts w:ascii="Arial" w:hAnsi="Arial" w:cs="Arial"/>
        </w:rPr>
      </w:pPr>
      <w:r w:rsidRPr="00EF6F6B">
        <w:rPr>
          <w:rFonts w:ascii="Arial" w:hAnsi="Arial" w:cs="Arial"/>
        </w:rPr>
        <w:t>In the UK, approximately 1.4 million individuals live with AF, with prevalence increasing sharply with age</w:t>
      </w:r>
      <w:r w:rsidR="00CC4B4A">
        <w:rPr>
          <w:rFonts w:ascii="Arial" w:hAnsi="Arial" w:cs="Arial"/>
        </w:rPr>
        <w:t xml:space="preserve"> </w:t>
      </w:r>
      <w:r w:rsidR="00CC4B4A" w:rsidRPr="00CC4B4A">
        <w:rPr>
          <w:rFonts w:ascii="Arial" w:hAnsi="Arial" w:cs="Arial"/>
        </w:rPr>
        <w:t>(GOV.UK, 2025)</w:t>
      </w:r>
      <w:r w:rsidRPr="00EF6F6B">
        <w:rPr>
          <w:rFonts w:ascii="Arial" w:hAnsi="Arial" w:cs="Arial"/>
        </w:rPr>
        <w:t>. This necessitates immediate attention from healthcare systems. AF is responsible for around 100,000 strokes each year, making it a leading cause of death and disability, which underscores the critical need for effective interventions. This situation emphasizes why the National Institute for Health and Care Excellence (NICE) and British guidelines advocate for consistent and well-managed anticoagulation therapy to protect at-risk individuals.</w:t>
      </w:r>
      <w:r w:rsidR="002E3273" w:rsidRPr="002E3273">
        <w:t xml:space="preserve"> </w:t>
      </w:r>
      <w:r w:rsidR="002E3273" w:rsidRPr="002E3273">
        <w:rPr>
          <w:rFonts w:ascii="Arial" w:hAnsi="Arial" w:cs="Arial"/>
        </w:rPr>
        <w:t>Medication errors and omissions are a significant issue in healthcare, with the World Health Organization (WHO) estimating that they harm one in ten patients and cost around $42 billion annually. National patient safety data reveal that anticoagulants are among the highest-risk medications, often involved in incidents of incorrect dosages, timing errors, or omissions, especially during procedures and care transitions</w:t>
      </w:r>
      <w:r w:rsidR="002E3273">
        <w:rPr>
          <w:rFonts w:ascii="Arial" w:hAnsi="Arial" w:cs="Arial"/>
        </w:rPr>
        <w:t xml:space="preserve"> </w:t>
      </w:r>
      <w:r w:rsidR="002E3273" w:rsidRPr="002E3273">
        <w:rPr>
          <w:rFonts w:ascii="Arial" w:hAnsi="Arial" w:cs="Arial"/>
        </w:rPr>
        <w:t>(BMJ, 2020)</w:t>
      </w:r>
      <w:r w:rsidR="002E3273">
        <w:rPr>
          <w:rFonts w:ascii="Arial" w:hAnsi="Arial" w:cs="Arial"/>
        </w:rPr>
        <w:t>.</w:t>
      </w:r>
    </w:p>
    <w:p w:rsidR="00213948" w:rsidRPr="000A7A13" w:rsidRDefault="00213948" w:rsidP="00213948">
      <w:pPr>
        <w:pStyle w:val="Heading2"/>
        <w:rPr>
          <w:rFonts w:ascii="Arial" w:hAnsi="Arial" w:cs="Arial"/>
        </w:rPr>
      </w:pPr>
      <w:bookmarkStart w:id="3" w:name="_Toc236773904"/>
      <w:r w:rsidRPr="000A7A13">
        <w:rPr>
          <w:rFonts w:ascii="Arial" w:hAnsi="Arial" w:cs="Arial"/>
        </w:rPr>
        <w:t>Weaknesses</w:t>
      </w:r>
      <w:bookmarkEnd w:id="3"/>
    </w:p>
    <w:p w:rsidR="00276743" w:rsidRPr="00C2005F" w:rsidRDefault="00276743" w:rsidP="008577CC">
      <w:pPr>
        <w:spacing w:line="360" w:lineRule="auto"/>
        <w:jc w:val="both"/>
        <w:rPr>
          <w:rFonts w:ascii="Arial" w:hAnsi="Arial" w:cs="Arial"/>
        </w:rPr>
      </w:pPr>
      <w:r w:rsidRPr="00C2005F">
        <w:rPr>
          <w:rFonts w:ascii="Arial" w:hAnsi="Arial" w:cs="Arial"/>
        </w:rPr>
        <w:t>The incident highlights significant weaknesses in communication, accountability, and leadership. There was no single person or team responsible for overseeing the anticoagulation plan, resulting in fragmented information across various systems. Additionally, the leadership structure failed to ensure continuity, proper escalation, or safe decision-making. As a result, a critical medication remained suspended for 10 days without re-evaluation, indicating an organizational failure rather than an individual one. An analysis of this issue reveals that patient safety was structurally at high risk</w:t>
      </w:r>
      <w:r w:rsidR="008577CC" w:rsidRPr="008577CC">
        <w:rPr>
          <w:rFonts w:ascii="Arial" w:eastAsia="Times New Roman" w:hAnsi="Arial" w:cs="Arial"/>
          <w:lang w:eastAsia="en-GB"/>
        </w:rPr>
        <w:t xml:space="preserve"> </w:t>
      </w:r>
      <w:r w:rsidR="008577CC" w:rsidRPr="008577CC">
        <w:rPr>
          <w:rFonts w:ascii="Arial" w:hAnsi="Arial" w:cs="Arial"/>
        </w:rPr>
        <w:t>(Burke, 2006)</w:t>
      </w:r>
      <w:r w:rsidRPr="00C2005F">
        <w:rPr>
          <w:rFonts w:ascii="Arial" w:hAnsi="Arial" w:cs="Arial"/>
        </w:rPr>
        <w:t>.</w:t>
      </w:r>
    </w:p>
    <w:p w:rsidR="000F54BE" w:rsidRPr="00C2005F" w:rsidRDefault="000F54BE" w:rsidP="008577CC">
      <w:pPr>
        <w:spacing w:line="360" w:lineRule="auto"/>
        <w:jc w:val="both"/>
        <w:rPr>
          <w:rFonts w:ascii="Arial" w:hAnsi="Arial" w:cs="Arial"/>
        </w:rPr>
      </w:pPr>
      <w:bookmarkStart w:id="4" w:name="_Toc236773905"/>
      <w:r w:rsidRPr="00C2005F">
        <w:rPr>
          <w:rStyle w:val="Heading3Char"/>
          <w:rFonts w:ascii="Arial" w:hAnsi="Arial" w:cs="Arial"/>
        </w:rPr>
        <w:t>The examination of communication</w:t>
      </w:r>
      <w:bookmarkEnd w:id="4"/>
      <w:r w:rsidR="00C0738B" w:rsidRPr="00C2005F">
        <w:rPr>
          <w:rFonts w:ascii="Arial" w:hAnsi="Arial" w:cs="Arial"/>
        </w:rPr>
        <w:t xml:space="preserve">: </w:t>
      </w:r>
      <w:r w:rsidRPr="00C2005F">
        <w:rPr>
          <w:rFonts w:ascii="Arial" w:hAnsi="Arial" w:cs="Arial"/>
        </w:rPr>
        <w:t>Failures across teams and systems have revealed critical shortcomings in the dissemination of information. Communication was characterized by fragmentation and inconsistency, relying predominantly on individual efforts instead of robust, standardized processes. This reliance hindered the accessibility of vital information, such as the patient's prior stroke history. The anticoagulation management plan was inadequately documented, obstructing other teams from understanding the rationale behind treatment decisions. Furthermore, the electronic Prescribing and Medicines Administration (ePMA) system was ineffective in facilitating communication, as it required staf</w:t>
      </w:r>
      <w:r w:rsidR="004B2F72">
        <w:rPr>
          <w:rFonts w:ascii="Arial" w:hAnsi="Arial" w:cs="Arial"/>
        </w:rPr>
        <w:t>f to re-evaluate paused the drug</w:t>
      </w:r>
      <w:r w:rsidRPr="00C2005F">
        <w:rPr>
          <w:rFonts w:ascii="Arial" w:hAnsi="Arial" w:cs="Arial"/>
        </w:rPr>
        <w:t xml:space="preserve"> without prompts for potential follow-up. There was also a significant breakdown in referral communication; although the respiratory team accepted the patient, they were unable to carry out necessary follow-up actions due to the system's dependence on re-referral processes</w:t>
      </w:r>
      <w:r w:rsidR="00F26DB4" w:rsidRPr="00F26DB4">
        <w:rPr>
          <w:rFonts w:ascii="Arial" w:eastAsia="Times New Roman" w:hAnsi="Arial" w:cs="Arial"/>
          <w:lang w:eastAsia="en-GB"/>
        </w:rPr>
        <w:t xml:space="preserve"> </w:t>
      </w:r>
      <w:r w:rsidR="00F26DB4" w:rsidRPr="00F26DB4">
        <w:rPr>
          <w:rFonts w:ascii="Arial" w:hAnsi="Arial" w:cs="Arial"/>
        </w:rPr>
        <w:t>(Castillo, Khalid and Salas, 2024)</w:t>
      </w:r>
      <w:r w:rsidRPr="00C2005F">
        <w:rPr>
          <w:rFonts w:ascii="Arial" w:hAnsi="Arial" w:cs="Arial"/>
        </w:rPr>
        <w:t>.</w:t>
      </w:r>
    </w:p>
    <w:p w:rsidR="000F54BE" w:rsidRPr="00C2005F" w:rsidRDefault="000F54BE" w:rsidP="008577CC">
      <w:pPr>
        <w:spacing w:line="360" w:lineRule="auto"/>
        <w:jc w:val="both"/>
        <w:rPr>
          <w:rFonts w:ascii="Arial" w:hAnsi="Arial" w:cs="Arial"/>
        </w:rPr>
      </w:pPr>
      <w:r w:rsidRPr="00C2005F">
        <w:rPr>
          <w:rFonts w:ascii="Arial" w:hAnsi="Arial" w:cs="Arial"/>
        </w:rPr>
        <w:t>This lack of cohesion highlighted major barriers to effective interdisciplinary collaboration and patient care, illustrating that no one had a complete picture of the patient’s anticoagulation status. Additionally, there was no system in place to ensure that essential information was surfaced at the right time.</w:t>
      </w:r>
    </w:p>
    <w:p w:rsidR="00500FBC" w:rsidRPr="00C2005F" w:rsidRDefault="00500FBC" w:rsidP="008577CC">
      <w:pPr>
        <w:spacing w:line="360" w:lineRule="auto"/>
        <w:jc w:val="both"/>
        <w:rPr>
          <w:rFonts w:ascii="Arial" w:hAnsi="Arial" w:cs="Arial"/>
        </w:rPr>
      </w:pPr>
      <w:bookmarkStart w:id="5" w:name="_Toc236773906"/>
      <w:r w:rsidRPr="00C2005F">
        <w:rPr>
          <w:rStyle w:val="Heading3Char"/>
          <w:rFonts w:ascii="Arial" w:hAnsi="Arial" w:cs="Arial"/>
        </w:rPr>
        <w:t xml:space="preserve">The accountability for reviewing apixaban: </w:t>
      </w:r>
      <w:r w:rsidRPr="00C2005F">
        <w:rPr>
          <w:rStyle w:val="Heading3Char"/>
          <w:rFonts w:ascii="Arial" w:hAnsi="Arial" w:cs="Arial"/>
          <w:b w:val="0"/>
          <w:color w:val="auto"/>
        </w:rPr>
        <w:t>It</w:t>
      </w:r>
      <w:bookmarkEnd w:id="5"/>
      <w:r w:rsidRPr="00C2005F">
        <w:rPr>
          <w:rStyle w:val="Heading3Char"/>
          <w:rFonts w:ascii="Arial" w:hAnsi="Arial" w:cs="Arial"/>
        </w:rPr>
        <w:t xml:space="preserve"> </w:t>
      </w:r>
      <w:r w:rsidRPr="00C2005F">
        <w:rPr>
          <w:rFonts w:ascii="Arial" w:hAnsi="Arial" w:cs="Arial"/>
        </w:rPr>
        <w:t>was notably inadequate and dispersed among various teams. After the respiratory team accepted the referral, they did not assume responsibility for the anticoagulation plan review, as clinical oversight remained with the consultant on the ward. The absence of routine medical reviews over the weekend, due to staffing shortages, created a situation in which no personnel were accountable for assessing the paused medications</w:t>
      </w:r>
      <w:r w:rsidR="00F26DB4" w:rsidRPr="00F26DB4">
        <w:rPr>
          <w:rFonts w:ascii="Arial" w:eastAsia="Times New Roman" w:hAnsi="Arial" w:cs="Arial"/>
          <w:lang w:eastAsia="en-GB"/>
        </w:rPr>
        <w:t xml:space="preserve"> </w:t>
      </w:r>
      <w:r w:rsidR="00F26DB4" w:rsidRPr="00F26DB4">
        <w:rPr>
          <w:rFonts w:ascii="Arial" w:hAnsi="Arial" w:cs="Arial"/>
        </w:rPr>
        <w:t>(Wachter, 2012)</w:t>
      </w:r>
      <w:r w:rsidRPr="00C2005F">
        <w:rPr>
          <w:rFonts w:ascii="Arial" w:hAnsi="Arial" w:cs="Arial"/>
        </w:rPr>
        <w:t>. Additionally, the post-procedure documentation failed to include prompts for restarting anticoagulation, lacking cues that would remind staff to reconsider the initiation of the patient’s therapy. This absence of a clear accountability structure for time-critical medic</w:t>
      </w:r>
      <w:r w:rsidR="00A76FCE">
        <w:rPr>
          <w:rFonts w:ascii="Arial" w:hAnsi="Arial" w:cs="Arial"/>
        </w:rPr>
        <w:t xml:space="preserve">ation decisions allowed </w:t>
      </w:r>
      <w:r w:rsidRPr="00C2005F">
        <w:rPr>
          <w:rFonts w:ascii="Arial" w:hAnsi="Arial" w:cs="Arial"/>
        </w:rPr>
        <w:t>to re</w:t>
      </w:r>
      <w:r w:rsidR="00A76FCE">
        <w:rPr>
          <w:rFonts w:ascii="Arial" w:hAnsi="Arial" w:cs="Arial"/>
        </w:rPr>
        <w:t xml:space="preserve">main paused for </w:t>
      </w:r>
      <w:r w:rsidR="004D7609">
        <w:rPr>
          <w:rFonts w:ascii="Arial" w:hAnsi="Arial" w:cs="Arial"/>
        </w:rPr>
        <w:t>duration</w:t>
      </w:r>
      <w:r w:rsidR="00A76FCE">
        <w:rPr>
          <w:rFonts w:ascii="Arial" w:hAnsi="Arial" w:cs="Arial"/>
        </w:rPr>
        <w:t xml:space="preserve"> </w:t>
      </w:r>
      <w:r w:rsidR="004D7609">
        <w:rPr>
          <w:rFonts w:ascii="Arial" w:hAnsi="Arial" w:cs="Arial"/>
        </w:rPr>
        <w:t xml:space="preserve">of </w:t>
      </w:r>
      <w:r w:rsidR="004D7609" w:rsidRPr="00C2005F">
        <w:rPr>
          <w:rFonts w:ascii="Arial" w:hAnsi="Arial" w:cs="Arial"/>
        </w:rPr>
        <w:t>days</w:t>
      </w:r>
      <w:r w:rsidRPr="00C2005F">
        <w:rPr>
          <w:rFonts w:ascii="Arial" w:hAnsi="Arial" w:cs="Arial"/>
        </w:rPr>
        <w:t xml:space="preserve"> without any review, thereby impacting patient care and safety significantly.</w:t>
      </w:r>
    </w:p>
    <w:p w:rsidR="00944048" w:rsidRDefault="00500FBC" w:rsidP="00944048">
      <w:pPr>
        <w:spacing w:line="360" w:lineRule="auto"/>
        <w:jc w:val="both"/>
        <w:rPr>
          <w:rFonts w:ascii="Arial" w:hAnsi="Arial" w:cs="Arial"/>
        </w:rPr>
      </w:pPr>
      <w:bookmarkStart w:id="6" w:name="_Toc236773907"/>
      <w:r w:rsidRPr="00C2005F">
        <w:rPr>
          <w:rStyle w:val="Heading3Char"/>
          <w:rFonts w:ascii="Arial" w:hAnsi="Arial" w:cs="Arial"/>
        </w:rPr>
        <w:t>Leadership deficiencies</w:t>
      </w:r>
      <w:bookmarkEnd w:id="6"/>
      <w:r w:rsidR="008577CC">
        <w:rPr>
          <w:rFonts w:ascii="Arial" w:hAnsi="Arial" w:cs="Arial"/>
        </w:rPr>
        <w:t xml:space="preserve">: </w:t>
      </w:r>
      <w:r w:rsidR="000A7A13" w:rsidRPr="00C2005F">
        <w:rPr>
          <w:rFonts w:ascii="Arial" w:hAnsi="Arial" w:cs="Arial"/>
        </w:rPr>
        <w:t>W</w:t>
      </w:r>
      <w:r w:rsidRPr="00C2005F">
        <w:rPr>
          <w:rFonts w:ascii="Arial" w:hAnsi="Arial" w:cs="Arial"/>
        </w:rPr>
        <w:t>ithin healthcare settings can significantly</w:t>
      </w:r>
      <w:r w:rsidR="004B2F72">
        <w:rPr>
          <w:rFonts w:ascii="Arial" w:hAnsi="Arial" w:cs="Arial"/>
        </w:rPr>
        <w:t xml:space="preserve"> hinder effective decision </w:t>
      </w:r>
      <w:r w:rsidRPr="00C2005F">
        <w:rPr>
          <w:rFonts w:ascii="Arial" w:hAnsi="Arial" w:cs="Arial"/>
        </w:rPr>
        <w:t>making and disrupt continuity of care. In the current context, inadequate support structures have been identified, with staff expressing concerns over the absence of robust senior medical leadership. A notable gap exists wherein the specialist physician is unable to manage all the requisite tasks effectively, while the strategic clinical leadership in bed management remains lacking</w:t>
      </w:r>
      <w:r w:rsidR="008577CC" w:rsidRPr="008577CC">
        <w:rPr>
          <w:rFonts w:ascii="Arial" w:eastAsia="Times New Roman" w:hAnsi="Arial" w:cs="Arial"/>
          <w:lang w:eastAsia="en-GB"/>
        </w:rPr>
        <w:t xml:space="preserve"> </w:t>
      </w:r>
      <w:r w:rsidR="008577CC" w:rsidRPr="008577CC">
        <w:rPr>
          <w:rFonts w:ascii="Arial" w:hAnsi="Arial" w:cs="Arial"/>
        </w:rPr>
        <w:t>(Burke, 2006)</w:t>
      </w:r>
      <w:r w:rsidRPr="00C2005F">
        <w:rPr>
          <w:rFonts w:ascii="Arial" w:hAnsi="Arial" w:cs="Arial"/>
        </w:rPr>
        <w:t>. Furthermore, management's failure to ensure the timely access and updating of clinical guidelines has exacerbated these issues. The local clinical protocols are reported to be outdated and challenging to consult, further compromising safe practices. Collectively, these factors create an environment that is not conducive to safe anticoagulation management</w:t>
      </w:r>
      <w:r w:rsidR="00F26DB4">
        <w:rPr>
          <w:rFonts w:ascii="Arial" w:eastAsia="Times New Roman" w:hAnsi="Arial" w:cs="Arial"/>
          <w:lang w:eastAsia="en-GB"/>
        </w:rPr>
        <w:t xml:space="preserve">. </w:t>
      </w:r>
      <w:r w:rsidRPr="00C2005F">
        <w:rPr>
          <w:rFonts w:ascii="Arial" w:hAnsi="Arial" w:cs="Arial"/>
        </w:rPr>
        <w:t xml:space="preserve">Consequently, healthcare </w:t>
      </w:r>
      <w:r w:rsidR="004D7609" w:rsidRPr="00C2005F">
        <w:rPr>
          <w:rFonts w:ascii="Arial" w:hAnsi="Arial" w:cs="Arial"/>
        </w:rPr>
        <w:t>staff finds</w:t>
      </w:r>
      <w:r w:rsidRPr="00C2005F">
        <w:rPr>
          <w:rFonts w:ascii="Arial" w:hAnsi="Arial" w:cs="Arial"/>
        </w:rPr>
        <w:t xml:space="preserve"> themselves operating within a framework that lacks the essential oversight, clarity, and support necessary for optimal patient care. This situation underscores the critical need for strategic improvements in leadership and resource allocation to enhance safety and efficacy in clini</w:t>
      </w:r>
      <w:r w:rsidR="00F26DB4">
        <w:rPr>
          <w:rFonts w:ascii="Arial" w:hAnsi="Arial" w:cs="Arial"/>
        </w:rPr>
        <w:t xml:space="preserve">cal practice </w:t>
      </w:r>
      <w:r w:rsidR="00F26DB4" w:rsidRPr="008577CC">
        <w:rPr>
          <w:rFonts w:ascii="Arial" w:hAnsi="Arial" w:cs="Arial"/>
        </w:rPr>
        <w:t>(Allio, 2007)</w:t>
      </w:r>
      <w:r w:rsidR="00F26DB4" w:rsidRPr="00C2005F">
        <w:rPr>
          <w:rFonts w:ascii="Arial" w:hAnsi="Arial" w:cs="Arial"/>
        </w:rPr>
        <w:t>.</w:t>
      </w:r>
    </w:p>
    <w:p w:rsidR="00944048" w:rsidRPr="00944048" w:rsidRDefault="008C5B02" w:rsidP="00944048">
      <w:pPr>
        <w:pStyle w:val="Heading3"/>
        <w:rPr>
          <w:rFonts w:ascii="Arial" w:hAnsi="Arial" w:cs="Arial"/>
        </w:rPr>
      </w:pPr>
      <w:bookmarkStart w:id="7" w:name="_Toc236773908"/>
      <w:r w:rsidRPr="00944048">
        <w:rPr>
          <w:rFonts w:ascii="Arial" w:hAnsi="Arial" w:cs="Arial"/>
        </w:rPr>
        <w:t>Governance</w:t>
      </w:r>
      <w:bookmarkEnd w:id="7"/>
    </w:p>
    <w:p w:rsidR="008C5B02" w:rsidRPr="008C5B02" w:rsidRDefault="008C5B02" w:rsidP="00944048">
      <w:pPr>
        <w:spacing w:line="360" w:lineRule="auto"/>
        <w:jc w:val="both"/>
        <w:rPr>
          <w:rFonts w:ascii="Arial" w:hAnsi="Arial" w:cs="Arial"/>
        </w:rPr>
      </w:pPr>
      <w:r w:rsidRPr="008C5B02">
        <w:rPr>
          <w:rFonts w:ascii="Arial" w:hAnsi="Arial" w:cs="Arial"/>
          <w:b/>
        </w:rPr>
        <w:t xml:space="preserve"> </w:t>
      </w:r>
      <w:r w:rsidRPr="008C5B02">
        <w:rPr>
          <w:rFonts w:ascii="Arial" w:hAnsi="Arial" w:cs="Arial"/>
        </w:rPr>
        <w:t>Based on the structural gaps identified in the investigation, the issue was not the result of a single tier of oversight. Instead, it stemmed from a cumulative failure across all three levels of governance, local, regional, and national, each of which created vulnerabilities that directly contributed to the tragic outcome.</w:t>
      </w:r>
    </w:p>
    <w:p w:rsidR="008C5B02" w:rsidRPr="008C5B02" w:rsidRDefault="008C5B02" w:rsidP="009C7990">
      <w:pPr>
        <w:pStyle w:val="Heading3"/>
        <w:spacing w:line="360" w:lineRule="auto"/>
        <w:rPr>
          <w:rFonts w:ascii="Arial" w:hAnsi="Arial" w:cs="Arial"/>
          <w:b w:val="0"/>
          <w:color w:val="auto"/>
        </w:rPr>
      </w:pPr>
      <w:bookmarkStart w:id="8" w:name="_Toc236773909"/>
      <w:r w:rsidRPr="008C5B02">
        <w:rPr>
          <w:rStyle w:val="Heading4Char"/>
          <w:rFonts w:ascii="Arial" w:hAnsi="Arial" w:cs="Arial"/>
        </w:rPr>
        <w:t>Local Governance (The Hospital Trust):</w:t>
      </w:r>
      <w:r w:rsidRPr="008C5B02">
        <w:rPr>
          <w:rFonts w:ascii="Arial" w:hAnsi="Arial" w:cs="Arial"/>
          <w:b w:val="0"/>
          <w:color w:val="auto"/>
        </w:rPr>
        <w:t xml:space="preserve"> The most significant operational failures occurred at this level, where the local infrastructure failed to provide safe, actionable clinical tools.</w:t>
      </w:r>
      <w:bookmarkEnd w:id="8"/>
    </w:p>
    <w:p w:rsidR="008C5B02" w:rsidRPr="008C5B02" w:rsidRDefault="008C5B02" w:rsidP="009C7990">
      <w:pPr>
        <w:pStyle w:val="Heading3"/>
        <w:spacing w:line="360" w:lineRule="auto"/>
        <w:jc w:val="both"/>
        <w:rPr>
          <w:rFonts w:ascii="Arial" w:hAnsi="Arial" w:cs="Arial"/>
          <w:b w:val="0"/>
          <w:color w:val="auto"/>
        </w:rPr>
      </w:pPr>
      <w:bookmarkStart w:id="9" w:name="_Toc236773910"/>
      <w:r w:rsidRPr="008C5B02">
        <w:rPr>
          <w:rStyle w:val="Heading4Char"/>
          <w:rFonts w:ascii="Arial" w:hAnsi="Arial" w:cs="Arial"/>
        </w:rPr>
        <w:t>Regional Governance (Integrated Care Systems / Healthcare Networks):</w:t>
      </w:r>
      <w:r w:rsidRPr="008C5B02">
        <w:rPr>
          <w:rFonts w:ascii="Arial" w:hAnsi="Arial" w:cs="Arial"/>
          <w:b w:val="0"/>
          <w:color w:val="auto"/>
        </w:rPr>
        <w:t xml:space="preserve"> Regional pressures imposed resource constraints and physical bottlenecks that prolonged the patient's vulnerable state.</w:t>
      </w:r>
      <w:bookmarkEnd w:id="9"/>
    </w:p>
    <w:p w:rsidR="0054238E" w:rsidRPr="0054238E" w:rsidRDefault="008C5B02" w:rsidP="009C7990">
      <w:pPr>
        <w:pStyle w:val="Heading3"/>
        <w:spacing w:line="360" w:lineRule="auto"/>
        <w:rPr>
          <w:rFonts w:ascii="Arial" w:hAnsi="Arial" w:cs="Arial"/>
        </w:rPr>
      </w:pPr>
      <w:bookmarkStart w:id="10" w:name="_Toc236773911"/>
      <w:r w:rsidRPr="008C5B02">
        <w:rPr>
          <w:rStyle w:val="Heading4Char"/>
          <w:rFonts w:ascii="Arial" w:hAnsi="Arial" w:cs="Arial"/>
        </w:rPr>
        <w:t>National Governance (The NHS / Royal Colleges / National Guidelines):</w:t>
      </w:r>
      <w:r w:rsidRPr="008C5B02">
        <w:rPr>
          <w:rFonts w:ascii="Arial" w:hAnsi="Arial" w:cs="Arial"/>
          <w:b w:val="0"/>
          <w:color w:val="auto"/>
        </w:rPr>
        <w:t xml:space="preserve"> National frameworks established the broader context for staffing standards, safety alerts, and software procurement</w:t>
      </w:r>
      <w:r w:rsidR="00036F61" w:rsidRPr="00036F61">
        <w:rPr>
          <w:rFonts w:ascii="Arial" w:eastAsia="Times New Roman" w:hAnsi="Arial" w:cs="Arial"/>
          <w:lang w:eastAsia="en-GB"/>
        </w:rPr>
        <w:t xml:space="preserve"> </w:t>
      </w:r>
      <w:r w:rsidR="00036F61" w:rsidRPr="00036F61">
        <w:rPr>
          <w:rFonts w:ascii="Arial" w:hAnsi="Arial" w:cs="Arial"/>
          <w:b w:val="0"/>
          <w:color w:val="auto"/>
        </w:rPr>
        <w:t>(Jones, 2023)</w:t>
      </w:r>
      <w:r w:rsidRPr="00036F61">
        <w:rPr>
          <w:rFonts w:ascii="Arial" w:hAnsi="Arial" w:cs="Arial"/>
          <w:b w:val="0"/>
          <w:color w:val="auto"/>
        </w:rPr>
        <w:t>.</w:t>
      </w:r>
      <w:bookmarkEnd w:id="10"/>
    </w:p>
    <w:p w:rsidR="008C5B02" w:rsidRDefault="0054238E" w:rsidP="00036F61">
      <w:pPr>
        <w:spacing w:line="360" w:lineRule="auto"/>
        <w:jc w:val="both"/>
        <w:rPr>
          <w:rFonts w:ascii="Arial" w:hAnsi="Arial" w:cs="Arial"/>
        </w:rPr>
      </w:pPr>
      <w:r w:rsidRPr="00036F61">
        <w:rPr>
          <w:rFonts w:ascii="Arial" w:hAnsi="Arial" w:cs="Arial"/>
        </w:rPr>
        <w:t>Across the National Health Service (NHS), vacancy rates for secondary care medical positions remain critically high. According to data compiled by the British Medical Association (BMA</w:t>
      </w:r>
      <w:r w:rsidR="00EC44FF">
        <w:rPr>
          <w:rFonts w:ascii="Arial" w:hAnsi="Arial" w:cs="Arial"/>
        </w:rPr>
        <w:t>, 2022</w:t>
      </w:r>
      <w:r w:rsidRPr="00036F61">
        <w:rPr>
          <w:rFonts w:ascii="Arial" w:hAnsi="Arial" w:cs="Arial"/>
        </w:rPr>
        <w:t>), there are currently 7,474 secondary care medical vacancies in England. This persistent shortage has a direct impact on the functionality of ward teams, evidenced by scenarios where a single consultant is responsible for managing 28 patient beds without the support of middle-grade staff. Consequently, healthcare professionals are compelled to prioritize immediate, acute crises, which often results in the neglect of routine medication safety checks. Furthermore, the World Health Organization (WHO</w:t>
      </w:r>
      <w:r w:rsidR="00036F61" w:rsidRPr="00036F61">
        <w:rPr>
          <w:rFonts w:ascii="Arial" w:hAnsi="Arial" w:cs="Arial"/>
        </w:rPr>
        <w:t>, 2025</w:t>
      </w:r>
      <w:r w:rsidRPr="00036F61">
        <w:rPr>
          <w:rFonts w:ascii="Arial" w:hAnsi="Arial" w:cs="Arial"/>
        </w:rPr>
        <w:t>) anticipates a substantial global shortfall of 11 million healthcare workers by the year 2030. NHS trusts continue to operate under significant financial constraints, with numerous institutions reporting ongoing deficits.</w:t>
      </w:r>
    </w:p>
    <w:p w:rsidR="007F311A" w:rsidRDefault="002F23E0" w:rsidP="00036F61">
      <w:pPr>
        <w:spacing w:line="360" w:lineRule="auto"/>
        <w:jc w:val="both"/>
        <w:rPr>
          <w:rFonts w:ascii="Arial" w:hAnsi="Arial" w:cs="Arial"/>
        </w:rPr>
      </w:pPr>
      <w:r>
        <w:rPr>
          <w:noProof/>
          <w:lang w:eastAsia="en-GB"/>
        </w:rPr>
        <w:drawing>
          <wp:inline distT="0" distB="0" distL="0" distR="0">
            <wp:extent cx="5572125" cy="2847975"/>
            <wp:effectExtent l="0" t="0" r="276225" b="161925"/>
            <wp:docPr id="5" name="Picture 1" descr="Workflow Mapping Tips and Example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flow Mapping Tips and Examples | Smartsheet"/>
                    <pic:cNvPicPr>
                      <a:picLocks noChangeAspect="1" noChangeArrowheads="1"/>
                    </pic:cNvPicPr>
                  </pic:nvPicPr>
                  <pic:blipFill>
                    <a:blip r:embed="rId9" cstate="print"/>
                    <a:srcRect/>
                    <a:stretch>
                      <a:fillRect/>
                    </a:stretch>
                  </pic:blipFill>
                  <pic:spPr bwMode="auto">
                    <a:xfrm>
                      <a:off x="0" y="0"/>
                      <a:ext cx="5572769" cy="2848304"/>
                    </a:xfrm>
                    <a:prstGeom prst="rect">
                      <a:avLst/>
                    </a:prstGeom>
                    <a:ln>
                      <a:noFill/>
                    </a:ln>
                    <a:effectLst>
                      <a:outerShdw blurRad="292100" dist="139700" dir="2700000" algn="tl" rotWithShape="0">
                        <a:srgbClr val="333333">
                          <a:alpha val="65000"/>
                        </a:srgbClr>
                      </a:outerShdw>
                    </a:effectLst>
                  </pic:spPr>
                </pic:pic>
              </a:graphicData>
            </a:graphic>
          </wp:inline>
        </w:drawing>
      </w:r>
    </w:p>
    <w:p w:rsidR="007F311A" w:rsidRDefault="00963562" w:rsidP="00963562">
      <w:pPr>
        <w:pStyle w:val="Heading2"/>
      </w:pPr>
      <w:bookmarkStart w:id="11" w:name="_Toc236773912"/>
      <w:r w:rsidRPr="00963562">
        <w:t>Centralisation or Decentralisation</w:t>
      </w:r>
      <w:bookmarkEnd w:id="11"/>
    </w:p>
    <w:p w:rsidR="00963562" w:rsidRPr="00131AA3" w:rsidRDefault="00963562" w:rsidP="00131AA3">
      <w:pPr>
        <w:spacing w:line="360" w:lineRule="auto"/>
        <w:jc w:val="both"/>
        <w:rPr>
          <w:rFonts w:ascii="Times New Roman" w:eastAsia="Times New Roman" w:hAnsi="Times New Roman" w:cs="Times New Roman"/>
          <w:sz w:val="24"/>
          <w:szCs w:val="24"/>
          <w:lang w:eastAsia="en-GB"/>
        </w:rPr>
      </w:pPr>
      <w:bookmarkStart w:id="12" w:name="_Toc236773913"/>
      <w:r w:rsidRPr="00131AA3">
        <w:rPr>
          <w:rStyle w:val="Heading3Char"/>
        </w:rPr>
        <w:t>Centralised systems</w:t>
      </w:r>
      <w:bookmarkEnd w:id="12"/>
      <w:r>
        <w:rPr>
          <w:rFonts w:ascii="Arial" w:hAnsi="Arial" w:cs="Arial"/>
          <w:b/>
        </w:rPr>
        <w:t xml:space="preserve">: </w:t>
      </w:r>
      <w:r w:rsidR="00957754" w:rsidRPr="00957754">
        <w:rPr>
          <w:rFonts w:ascii="Arial" w:hAnsi="Arial" w:cs="Arial"/>
        </w:rPr>
        <w:t>Centraliz</w:t>
      </w:r>
      <w:r w:rsidR="004B2F72">
        <w:rPr>
          <w:rFonts w:ascii="Arial" w:hAnsi="Arial" w:cs="Arial"/>
        </w:rPr>
        <w:t xml:space="preserve">ed systems concentrate decision </w:t>
      </w:r>
      <w:r w:rsidR="00957754" w:rsidRPr="00957754">
        <w:rPr>
          <w:rFonts w:ascii="Arial" w:hAnsi="Arial" w:cs="Arial"/>
        </w:rPr>
        <w:t>making power in a small number of roles, teams, or digital checkpoints, rather than distributing responsibility across the entire care pathway. In healthcare, this means that critical decisions rely on a single point in the system, and if that point fails, the entire process fails as well. A clear example from the case study illustrates this: the decision to pause apixaban was centralized</w:t>
      </w:r>
      <w:r w:rsidR="00131AA3">
        <w:rPr>
          <w:rFonts w:ascii="Arial" w:hAnsi="Arial" w:cs="Arial"/>
        </w:rPr>
        <w:t xml:space="preserve"> </w:t>
      </w:r>
      <w:r w:rsidR="00131AA3" w:rsidRPr="00131AA3">
        <w:rPr>
          <w:rFonts w:ascii="Arial" w:eastAsia="Times New Roman" w:hAnsi="Arial" w:cs="Arial"/>
          <w:lang w:eastAsia="en-GB"/>
        </w:rPr>
        <w:t>(Cosh, Fu and Hughes, 2012)</w:t>
      </w:r>
      <w:r w:rsidR="004B2F72">
        <w:rPr>
          <w:rFonts w:ascii="Arial" w:hAnsi="Arial" w:cs="Arial"/>
        </w:rPr>
        <w:t>. "The drug</w:t>
      </w:r>
      <w:r w:rsidR="00957754" w:rsidRPr="00957754">
        <w:rPr>
          <w:rFonts w:ascii="Arial" w:hAnsi="Arial" w:cs="Arial"/>
        </w:rPr>
        <w:t xml:space="preserve"> continued to be paused while the patient was waiting for his procedure. However, there was no reassessment of the ongoing decision</w:t>
      </w:r>
      <w:r w:rsidR="004B2F72">
        <w:rPr>
          <w:rFonts w:ascii="Arial" w:hAnsi="Arial" w:cs="Arial"/>
        </w:rPr>
        <w:t xml:space="preserve"> to pause the patient’s </w:t>
      </w:r>
      <w:r w:rsidR="004D7609">
        <w:rPr>
          <w:rFonts w:ascii="Arial" w:hAnsi="Arial" w:cs="Arial"/>
        </w:rPr>
        <w:t>medication</w:t>
      </w:r>
      <w:r w:rsidR="00957754" w:rsidRPr="00957754">
        <w:rPr>
          <w:rFonts w:ascii="Arial" w:hAnsi="Arial" w:cs="Arial"/>
        </w:rPr>
        <w:t xml:space="preserve"> when the procedure did not happen as expected."</w:t>
      </w:r>
    </w:p>
    <w:p w:rsidR="00C765E1" w:rsidRDefault="00514454" w:rsidP="00C765E1">
      <w:pPr>
        <w:spacing w:line="360" w:lineRule="auto"/>
        <w:jc w:val="both"/>
        <w:rPr>
          <w:rFonts w:ascii="Arial" w:hAnsi="Arial" w:cs="Arial"/>
        </w:rPr>
      </w:pPr>
      <w:r w:rsidRPr="00514454">
        <w:rPr>
          <w:rFonts w:ascii="Arial" w:hAnsi="Arial" w:cs="Arial"/>
        </w:rPr>
        <w:t>Advantages:</w:t>
      </w:r>
      <w:r>
        <w:rPr>
          <w:rFonts w:ascii="Arial" w:hAnsi="Arial" w:cs="Arial"/>
        </w:rPr>
        <w:t xml:space="preserve"> </w:t>
      </w:r>
      <w:r w:rsidRPr="00514454">
        <w:rPr>
          <w:rFonts w:ascii="Arial" w:hAnsi="Arial" w:cs="Arial"/>
        </w:rPr>
        <w:t>Centralized systems can significantly improve healthcare outcomes by facilitating consist</w:t>
      </w:r>
      <w:r w:rsidR="004B2F72">
        <w:rPr>
          <w:rFonts w:ascii="Arial" w:hAnsi="Arial" w:cs="Arial"/>
        </w:rPr>
        <w:t xml:space="preserve">ent and specialist-led decision </w:t>
      </w:r>
      <w:r w:rsidRPr="00514454">
        <w:rPr>
          <w:rFonts w:ascii="Arial" w:hAnsi="Arial" w:cs="Arial"/>
        </w:rPr>
        <w:t>making. However, in this case study, the anticipated benefits were compromised due to inherent design flaws.</w:t>
      </w:r>
      <w:r>
        <w:rPr>
          <w:rFonts w:ascii="Arial" w:hAnsi="Arial" w:cs="Arial"/>
        </w:rPr>
        <w:t xml:space="preserve"> Disadvantages:</w:t>
      </w:r>
      <w:r w:rsidRPr="00514454">
        <w:rPr>
          <w:rFonts w:ascii="Arial" w:hAnsi="Arial" w:cs="Arial"/>
        </w:rPr>
        <w:t xml:space="preserve"> These flaws contributed to the patient’s apixaban being pau</w:t>
      </w:r>
      <w:r w:rsidR="004B2F72">
        <w:rPr>
          <w:rFonts w:ascii="Arial" w:hAnsi="Arial" w:cs="Arial"/>
        </w:rPr>
        <w:t>sed for a prolonged period of</w:t>
      </w:r>
      <w:r w:rsidRPr="00514454">
        <w:rPr>
          <w:rFonts w:ascii="Arial" w:hAnsi="Arial" w:cs="Arial"/>
        </w:rPr>
        <w:t xml:space="preserve"> days. The unavailability or unaw</w:t>
      </w:r>
      <w:r w:rsidR="004B2F72">
        <w:rPr>
          <w:rFonts w:ascii="Arial" w:hAnsi="Arial" w:cs="Arial"/>
        </w:rPr>
        <w:t xml:space="preserve">areness of the central </w:t>
      </w:r>
      <w:r w:rsidR="004D7609">
        <w:rPr>
          <w:rFonts w:ascii="Arial" w:hAnsi="Arial" w:cs="Arial"/>
        </w:rPr>
        <w:t xml:space="preserve">decision </w:t>
      </w:r>
      <w:r w:rsidR="004D7609" w:rsidRPr="00514454">
        <w:rPr>
          <w:rFonts w:ascii="Arial" w:hAnsi="Arial" w:cs="Arial"/>
        </w:rPr>
        <w:t>can</w:t>
      </w:r>
      <w:r w:rsidRPr="00514454">
        <w:rPr>
          <w:rFonts w:ascii="Arial" w:hAnsi="Arial" w:cs="Arial"/>
        </w:rPr>
        <w:t xml:space="preserve"> lead to the breakdown of the entire treatment plan. It is noteworthy that in the UK, anticoagulants rank among the top 10 highest-risk medications associated with serious harm incidents, emphasizing the urgent need for improved system design, as reported by NHS England and the National Patient Safety Agency</w:t>
      </w:r>
      <w:r w:rsidR="00131AA3">
        <w:rPr>
          <w:rFonts w:ascii="Arial" w:hAnsi="Arial" w:cs="Arial"/>
        </w:rPr>
        <w:t xml:space="preserve"> </w:t>
      </w:r>
      <w:r w:rsidR="00131AA3" w:rsidRPr="00131AA3">
        <w:rPr>
          <w:rFonts w:ascii="Arial" w:hAnsi="Arial" w:cs="Arial"/>
        </w:rPr>
        <w:t>(Crawford, 2020)</w:t>
      </w:r>
      <w:r w:rsidRPr="00514454">
        <w:rPr>
          <w:rFonts w:ascii="Arial" w:hAnsi="Arial" w:cs="Arial"/>
        </w:rPr>
        <w:t>.</w:t>
      </w:r>
    </w:p>
    <w:p w:rsidR="00C765E1" w:rsidRDefault="00514454" w:rsidP="00C765E1">
      <w:pPr>
        <w:spacing w:line="360" w:lineRule="auto"/>
        <w:jc w:val="both"/>
        <w:rPr>
          <w:rFonts w:ascii="Arial" w:hAnsi="Arial" w:cs="Arial"/>
        </w:rPr>
      </w:pPr>
      <w:bookmarkStart w:id="13" w:name="_Toc236773914"/>
      <w:r w:rsidRPr="00C765E1">
        <w:rPr>
          <w:rStyle w:val="Heading3Char"/>
          <w:rFonts w:ascii="Arial" w:hAnsi="Arial" w:cs="Arial"/>
        </w:rPr>
        <w:t>Decentralised systems</w:t>
      </w:r>
      <w:bookmarkEnd w:id="13"/>
      <w:r w:rsidR="00EB3E61">
        <w:rPr>
          <w:rFonts w:ascii="Arial" w:hAnsi="Arial" w:cs="Arial"/>
        </w:rPr>
        <w:t>:</w:t>
      </w:r>
      <w:r w:rsidR="00EB3E61" w:rsidRPr="00EB3E61">
        <w:t xml:space="preserve"> </w:t>
      </w:r>
      <w:r w:rsidR="0081443E" w:rsidRPr="0081443E">
        <w:rPr>
          <w:rFonts w:ascii="Arial" w:hAnsi="Arial" w:cs="Arial"/>
        </w:rPr>
        <w:t>In a</w:t>
      </w:r>
      <w:r w:rsidR="000942C0">
        <w:rPr>
          <w:rFonts w:ascii="Arial" w:hAnsi="Arial" w:cs="Arial"/>
        </w:rPr>
        <w:t xml:space="preserve"> decentralized system, decision </w:t>
      </w:r>
      <w:r w:rsidR="0081443E" w:rsidRPr="0081443E">
        <w:rPr>
          <w:rFonts w:ascii="Arial" w:hAnsi="Arial" w:cs="Arial"/>
        </w:rPr>
        <w:t>making authority is distributed among multiple teams and roles instead of being concentrated in a single individual or unit. This shared responsibility allows various staff members to review, update, or challenge decisions, thereby enhancing collaborative oversight and safety. Decentralization introduces multiple safety checks, creating redundancy and resilience that help reduce the risk of oversight. From a systems thinking perspective, it establishes feedback loops that facilitate ongoing evaluation and improvement, ultimately strengthening the integrity and safety of healthcare systems for both staff and patients</w:t>
      </w:r>
      <w:r w:rsidR="00EA71EC">
        <w:rPr>
          <w:rFonts w:ascii="Arial" w:hAnsi="Arial" w:cs="Arial"/>
        </w:rPr>
        <w:t xml:space="preserve"> </w:t>
      </w:r>
      <w:r w:rsidR="00EA71EC" w:rsidRPr="00131AA3">
        <w:rPr>
          <w:rFonts w:ascii="Arial" w:hAnsi="Arial" w:cs="Arial"/>
        </w:rPr>
        <w:t>(Bergh, 2004)</w:t>
      </w:r>
      <w:r w:rsidR="0081443E" w:rsidRPr="0081443E">
        <w:rPr>
          <w:rFonts w:ascii="Arial" w:hAnsi="Arial" w:cs="Arial"/>
        </w:rPr>
        <w:t>.</w:t>
      </w:r>
    </w:p>
    <w:p w:rsidR="0081443E" w:rsidRDefault="0081443E" w:rsidP="00C765E1">
      <w:pPr>
        <w:spacing w:line="360" w:lineRule="auto"/>
        <w:jc w:val="both"/>
        <w:rPr>
          <w:rFonts w:ascii="Arial" w:hAnsi="Arial" w:cs="Arial"/>
        </w:rPr>
      </w:pPr>
      <w:r w:rsidRPr="0081443E">
        <w:rPr>
          <w:rFonts w:ascii="Arial" w:hAnsi="Arial" w:cs="Arial"/>
        </w:rPr>
        <w:t>An illustrative example of decentralized anticoagulation management can be drawn from the previously discussed patient case study. In this system, the emergency team would initiate the suspension of apixaban administration in response to a patient experiencing nosebleeds. This suspension would then be reviewed by the Acute Medicine Unit team the following morning. Subsequently, the pulmonology team, upon accepting the referral, would further evaluate the patient's anticoagulation status. The ward team would conduct daily reviews of the anticoagulation regimen, including assessments during weekends. Nursing staff would be empowered to expedite the administration of critical medications that had previously been suspended. Additionally, the procedural team would be responsible for documenting decisions regarding the potential re-initiation of anticoagulation therapy.</w:t>
      </w:r>
      <w:r>
        <w:rPr>
          <w:rFonts w:ascii="Arial" w:hAnsi="Arial" w:cs="Arial"/>
          <w:b/>
        </w:rPr>
        <w:t xml:space="preserve"> </w:t>
      </w:r>
      <w:r w:rsidRPr="0081443E">
        <w:rPr>
          <w:rFonts w:ascii="Arial" w:hAnsi="Arial" w:cs="Arial"/>
        </w:rPr>
        <w:t>Such a decentralized framework could help prevent the issues described earlier and stands in stark contrast to the actual case, where a centralized decision-making process was implemented without opportunities for re-evaluation or review.</w:t>
      </w:r>
    </w:p>
    <w:p w:rsidR="0062333B" w:rsidRDefault="0062333B" w:rsidP="0062333B">
      <w:pPr>
        <w:spacing w:line="360" w:lineRule="auto"/>
        <w:jc w:val="both"/>
        <w:rPr>
          <w:rFonts w:ascii="Arial" w:hAnsi="Arial" w:cs="Arial"/>
        </w:rPr>
      </w:pPr>
      <w:r w:rsidRPr="0062333B">
        <w:rPr>
          <w:rFonts w:ascii="Arial" w:hAnsi="Arial" w:cs="Arial"/>
        </w:rPr>
        <w:t>The advantage of decentralization is that multiple safety checks help reduce the risk of omissions. When authority is distributed among clinicians, nurses, pharmacists, and digital systems, they can collaboratively review medications that have been paused. This leads to faster detection of changing clinical conditions and shared responsibility, which minimizes the likelihood of single-point failures.</w:t>
      </w:r>
      <w:r>
        <w:rPr>
          <w:rFonts w:ascii="Arial" w:hAnsi="Arial" w:cs="Arial"/>
        </w:rPr>
        <w:t xml:space="preserve"> </w:t>
      </w:r>
      <w:r w:rsidRPr="0062333B">
        <w:rPr>
          <w:rFonts w:ascii="Arial" w:hAnsi="Arial" w:cs="Arial"/>
        </w:rPr>
        <w:t>According to the World Health Organization (WHO</w:t>
      </w:r>
      <w:r>
        <w:rPr>
          <w:rFonts w:ascii="Arial" w:hAnsi="Arial" w:cs="Arial"/>
        </w:rPr>
        <w:t>, 2025</w:t>
      </w:r>
      <w:r w:rsidRPr="0062333B">
        <w:rPr>
          <w:rFonts w:ascii="Arial" w:hAnsi="Arial" w:cs="Arial"/>
        </w:rPr>
        <w:t>), medication errors affect 1 in 10 patients globally, with omissions being one of the most common types of errors. However, there are disadvantages to decentralized systems, including the risk of confusion or duplication, an increased need for coordination and communication, and the potential for inconsistent decisions across teams. Despite these challenges, decentralized systems provide significant safety advantages, especially for high-risk medications like apixaban, as they create multiple feedback loops and reduce reliance on a single decision-maker</w:t>
      </w:r>
      <w:r w:rsidR="00131AA3">
        <w:rPr>
          <w:rFonts w:ascii="Arial" w:hAnsi="Arial" w:cs="Arial"/>
        </w:rPr>
        <w:t xml:space="preserve"> </w:t>
      </w:r>
      <w:r w:rsidR="00131AA3" w:rsidRPr="00131AA3">
        <w:rPr>
          <w:rFonts w:ascii="Arial" w:hAnsi="Arial" w:cs="Arial"/>
        </w:rPr>
        <w:t>(Bergh, 2004)</w:t>
      </w:r>
      <w:r w:rsidRPr="0062333B">
        <w:rPr>
          <w:rFonts w:ascii="Arial" w:hAnsi="Arial" w:cs="Arial"/>
        </w:rPr>
        <w:t>.</w:t>
      </w:r>
    </w:p>
    <w:p w:rsidR="009664D0" w:rsidRPr="009664D0" w:rsidRDefault="009664D0" w:rsidP="009664D0">
      <w:pPr>
        <w:pStyle w:val="Heading3"/>
        <w:rPr>
          <w:rFonts w:ascii="Arial" w:hAnsi="Arial" w:cs="Arial"/>
        </w:rPr>
      </w:pPr>
      <w:bookmarkStart w:id="14" w:name="_Toc236773915"/>
      <w:r>
        <w:rPr>
          <w:rFonts w:ascii="Arial" w:hAnsi="Arial" w:cs="Arial"/>
        </w:rPr>
        <w:t>A</w:t>
      </w:r>
      <w:r w:rsidRPr="009664D0">
        <w:rPr>
          <w:rFonts w:ascii="Arial" w:hAnsi="Arial" w:cs="Arial"/>
        </w:rPr>
        <w:t>nalysis</w:t>
      </w:r>
      <w:bookmarkEnd w:id="14"/>
    </w:p>
    <w:p w:rsidR="009664D0" w:rsidRDefault="009664D0" w:rsidP="0062333B">
      <w:pPr>
        <w:spacing w:line="360" w:lineRule="auto"/>
        <w:jc w:val="both"/>
        <w:rPr>
          <w:rFonts w:ascii="Arial" w:hAnsi="Arial" w:cs="Arial"/>
        </w:rPr>
      </w:pPr>
      <w:r>
        <w:rPr>
          <w:rFonts w:ascii="Arial" w:hAnsi="Arial" w:cs="Arial"/>
        </w:rPr>
        <w:t>T</w:t>
      </w:r>
      <w:r w:rsidRPr="009664D0">
        <w:rPr>
          <w:rFonts w:ascii="Arial" w:hAnsi="Arial" w:cs="Arial"/>
        </w:rPr>
        <w:t>he centralized system exhibited strengths in facilitating rapid initial decision-making. However, this advantage was undermined by its inability to withstand pressure, resulting in a</w:t>
      </w:r>
      <w:r w:rsidR="008D5CDD">
        <w:rPr>
          <w:rFonts w:ascii="Arial" w:hAnsi="Arial" w:cs="Arial"/>
        </w:rPr>
        <w:t xml:space="preserve"> significant 10 </w:t>
      </w:r>
      <w:r w:rsidRPr="009664D0">
        <w:rPr>
          <w:rFonts w:ascii="Arial" w:hAnsi="Arial" w:cs="Arial"/>
        </w:rPr>
        <w:t>day</w:t>
      </w:r>
      <w:r w:rsidR="008D5CDD">
        <w:rPr>
          <w:rFonts w:ascii="Arial" w:hAnsi="Arial" w:cs="Arial"/>
        </w:rPr>
        <w:t>s</w:t>
      </w:r>
      <w:r w:rsidRPr="009664D0">
        <w:rPr>
          <w:rFonts w:ascii="Arial" w:hAnsi="Arial" w:cs="Arial"/>
        </w:rPr>
        <w:t xml:space="preserve"> pause in anticoagulant therapy. In contrast, the implementation of a decentralized system could have introduced multiple safety checkpoints. This structure would likely decrease the risk of critical omissions through enhanced oversight. Nevertheless, it is essential to recognize that a decentralized approach necessitates improved coordination among personnel and the establishment of clearer protocols to prevent confusion and ensure effective communication throughout the process. Ultimately, the trade-offs between centralized and decentralized systems underscore the importance of adaptability and system design in high-pressure medical environments</w:t>
      </w:r>
      <w:r w:rsidR="0061214D" w:rsidRPr="0061214D">
        <w:rPr>
          <w:rFonts w:ascii="Arial" w:hAnsi="Arial" w:cs="Arial"/>
        </w:rPr>
        <w:t xml:space="preserve"> </w:t>
      </w:r>
      <w:r w:rsidR="0061214D" w:rsidRPr="00194800">
        <w:rPr>
          <w:rFonts w:ascii="Arial" w:hAnsi="Arial" w:cs="Arial"/>
        </w:rPr>
        <w:t>(Francis, 2013)</w:t>
      </w:r>
      <w:r w:rsidRPr="009664D0">
        <w:rPr>
          <w:rFonts w:ascii="Arial" w:hAnsi="Arial" w:cs="Arial"/>
        </w:rPr>
        <w:t>.</w:t>
      </w:r>
    </w:p>
    <w:p w:rsidR="0061214D" w:rsidRPr="0061214D" w:rsidRDefault="00715EAE" w:rsidP="0061214D">
      <w:pPr>
        <w:spacing w:line="360" w:lineRule="auto"/>
        <w:jc w:val="both"/>
        <w:rPr>
          <w:rFonts w:ascii="Arial" w:hAnsi="Arial" w:cs="Arial"/>
        </w:rPr>
      </w:pPr>
      <w:r w:rsidRPr="00715EAE">
        <w:rPr>
          <w:rFonts w:ascii="Arial" w:hAnsi="Arial" w:cs="Arial"/>
        </w:rPr>
        <w:t>Data published in The Lancet shows that hospitals with a nurse-to-patient ratio of 1:8 have a 26% higher patient mortality rate compared to units that are safely staffed at a ratio of 1:4. Additionally, a comprehensive analysis of the NHS workforce reveals that when general medical wards fall below recommended staffing levels, the time available for "indirect care" activities, such as medication reconciliation and chart audits, decreases by 43%</w:t>
      </w:r>
      <w:r w:rsidR="00E47EEB">
        <w:rPr>
          <w:rFonts w:ascii="Arial" w:hAnsi="Arial" w:cs="Arial"/>
        </w:rPr>
        <w:t xml:space="preserve"> </w:t>
      </w:r>
      <w:r w:rsidR="0061214D" w:rsidRPr="0061214D">
        <w:rPr>
          <w:rFonts w:ascii="Arial" w:hAnsi="Arial" w:cs="Arial"/>
        </w:rPr>
        <w:t>(Aiken, Sloane and Bruyneel, 2014)</w:t>
      </w:r>
    </w:p>
    <w:p w:rsidR="00E47EEB" w:rsidRPr="00DC24BD" w:rsidRDefault="00E47EEB" w:rsidP="00E47EEB">
      <w:pPr>
        <w:pStyle w:val="Heading2"/>
        <w:rPr>
          <w:rFonts w:ascii="Arial" w:hAnsi="Arial" w:cs="Arial"/>
        </w:rPr>
      </w:pPr>
      <w:bookmarkStart w:id="15" w:name="_Toc236773916"/>
      <w:r w:rsidRPr="00DC24BD">
        <w:rPr>
          <w:rFonts w:ascii="Arial" w:hAnsi="Arial" w:cs="Arial"/>
        </w:rPr>
        <w:t>Leadership Theory and Application</w:t>
      </w:r>
      <w:bookmarkEnd w:id="15"/>
      <w:r w:rsidRPr="00DC24BD">
        <w:rPr>
          <w:rFonts w:ascii="Arial" w:hAnsi="Arial" w:cs="Arial"/>
        </w:rPr>
        <w:t xml:space="preserve"> </w:t>
      </w:r>
    </w:p>
    <w:p w:rsidR="00DC24BD" w:rsidRPr="00DC24BD" w:rsidRDefault="00DC24BD" w:rsidP="00AB2916">
      <w:pPr>
        <w:spacing w:line="360" w:lineRule="auto"/>
        <w:jc w:val="both"/>
        <w:rPr>
          <w:rFonts w:ascii="Arial" w:hAnsi="Arial" w:cs="Arial"/>
        </w:rPr>
      </w:pPr>
      <w:bookmarkStart w:id="16" w:name="_Toc236773917"/>
      <w:r w:rsidRPr="00DC24BD">
        <w:rPr>
          <w:rStyle w:val="Heading3Char"/>
          <w:rFonts w:ascii="Arial" w:hAnsi="Arial" w:cs="Arial"/>
        </w:rPr>
        <w:t>Transformational leadership:</w:t>
      </w:r>
      <w:bookmarkEnd w:id="16"/>
      <w:r w:rsidR="00AB2916">
        <w:rPr>
          <w:rStyle w:val="Heading3Char"/>
          <w:rFonts w:ascii="Arial" w:hAnsi="Arial" w:cs="Arial"/>
        </w:rPr>
        <w:t xml:space="preserve"> </w:t>
      </w:r>
      <w:r w:rsidRPr="00DC24BD">
        <w:rPr>
          <w:rFonts w:ascii="Arial" w:hAnsi="Arial" w:cs="Arial"/>
        </w:rPr>
        <w:t>Is essential for establishing a culture of safety and accountability within healthcare settings. Leaders who embody transformational qualities are adept at creating a shared vision, inspiring their teams, and fostering an environment where psychological safety is prioritised. This allows team members to feel empowered to voice their concerns, challenge decisions, and escalate issues when necessary. Numerous systematic reviews have demonstrated that transformational leadership is positively correlated with improved medication safety outcomes, increased rates of error reporting, and enhanced adherence to clinical protocols.</w:t>
      </w:r>
      <w:r>
        <w:rPr>
          <w:rFonts w:ascii="Arial" w:hAnsi="Arial" w:cs="Arial"/>
        </w:rPr>
        <w:t xml:space="preserve"> </w:t>
      </w:r>
      <w:r w:rsidRPr="00DC24BD">
        <w:rPr>
          <w:rFonts w:ascii="Arial" w:hAnsi="Arial" w:cs="Arial"/>
        </w:rPr>
        <w:t>In analysing the case at hand, a notable deficiency emerges concerning the shared safety vision surrounding anticoagulation management. The report states that “an assessment of the risks and benefits of pausing the patient’s apixaban was not documented,” which ultimately obstructed the collective understanding of the decision among the staff involved in the patient’s care. A transformational leader would advocate for comprehensive documentation of risk-benefit assessments, ensuring that anticoagulant management is explicitly recognised as a safety priority</w:t>
      </w:r>
      <w:r w:rsidR="00E25393" w:rsidRPr="00E25393">
        <w:rPr>
          <w:rFonts w:ascii="Arial" w:eastAsia="Times New Roman" w:hAnsi="Arial" w:cs="Arial"/>
          <w:lang w:eastAsia="en-GB"/>
        </w:rPr>
        <w:t xml:space="preserve"> </w:t>
      </w:r>
      <w:r w:rsidR="00E25393" w:rsidRPr="00E25393">
        <w:rPr>
          <w:rFonts w:ascii="Arial" w:hAnsi="Arial" w:cs="Arial"/>
        </w:rPr>
        <w:t>(Bass, 1999)</w:t>
      </w:r>
      <w:r w:rsidRPr="00DC24BD">
        <w:rPr>
          <w:rFonts w:ascii="Arial" w:hAnsi="Arial" w:cs="Arial"/>
        </w:rPr>
        <w:t>.</w:t>
      </w:r>
    </w:p>
    <w:p w:rsidR="00DC24BD" w:rsidRDefault="00DC24BD" w:rsidP="00AB2916">
      <w:pPr>
        <w:spacing w:line="360" w:lineRule="auto"/>
        <w:jc w:val="both"/>
        <w:rPr>
          <w:rFonts w:ascii="Arial" w:hAnsi="Arial" w:cs="Arial"/>
        </w:rPr>
      </w:pPr>
      <w:r w:rsidRPr="00DC24BD">
        <w:rPr>
          <w:rFonts w:ascii="Arial" w:hAnsi="Arial" w:cs="Arial"/>
        </w:rPr>
        <w:t>Furthermore, the lack of a robust safet</w:t>
      </w:r>
      <w:r w:rsidR="00624948">
        <w:rPr>
          <w:rFonts w:ascii="Arial" w:hAnsi="Arial" w:cs="Arial"/>
        </w:rPr>
        <w:t xml:space="preserve">y culture across multiple teams </w:t>
      </w:r>
      <w:r w:rsidRPr="00DC24BD">
        <w:rPr>
          <w:rFonts w:ascii="Arial" w:hAnsi="Arial" w:cs="Arial"/>
        </w:rPr>
        <w:t>including the Emergency Department (ED), Acute Medical Unit (AMU), Anticoagulation Management Unit (AGM), re</w:t>
      </w:r>
      <w:r w:rsidR="00624948">
        <w:rPr>
          <w:rFonts w:ascii="Arial" w:hAnsi="Arial" w:cs="Arial"/>
        </w:rPr>
        <w:t xml:space="preserve">spiratory team, and stroke unit </w:t>
      </w:r>
      <w:r w:rsidRPr="00DC24BD">
        <w:rPr>
          <w:rFonts w:ascii="Arial" w:hAnsi="Arial" w:cs="Arial"/>
        </w:rPr>
        <w:t>highlights a critical gap in ownership regarding ongoing anticoagulation risks when the patient’s procedure was delayed. A transformational leadership approach could cultivate an atmosphere in which every clinician feels a sense of responsibility to inquire, “What are the implications of pausing this</w:t>
      </w:r>
      <w:r w:rsidR="000942C0">
        <w:rPr>
          <w:rFonts w:ascii="Arial" w:hAnsi="Arial" w:cs="Arial"/>
        </w:rPr>
        <w:t xml:space="preserve"> time-critical medication </w:t>
      </w:r>
      <w:r w:rsidR="004D7609">
        <w:rPr>
          <w:rFonts w:ascii="Arial" w:hAnsi="Arial" w:cs="Arial"/>
        </w:rPr>
        <w:t xml:space="preserve">for </w:t>
      </w:r>
      <w:r w:rsidR="004D7609" w:rsidRPr="00DC24BD">
        <w:rPr>
          <w:rFonts w:ascii="Arial" w:hAnsi="Arial" w:cs="Arial"/>
        </w:rPr>
        <w:t>days</w:t>
      </w:r>
      <w:r w:rsidRPr="00DC24BD">
        <w:rPr>
          <w:rFonts w:ascii="Arial" w:hAnsi="Arial" w:cs="Arial"/>
        </w:rPr>
        <w:t>?” Through such proactive engagement, the potential for adverse outcomes may be significantly mitigated, ultimately enhancing patient safety and care quality.</w:t>
      </w:r>
    </w:p>
    <w:p w:rsidR="00624948" w:rsidRPr="00624948" w:rsidRDefault="00347C1A" w:rsidP="00AB2916">
      <w:pPr>
        <w:spacing w:line="360" w:lineRule="auto"/>
        <w:jc w:val="both"/>
        <w:rPr>
          <w:rFonts w:ascii="Arial" w:hAnsi="Arial" w:cs="Arial"/>
        </w:rPr>
      </w:pPr>
      <w:r w:rsidRPr="00347C1A">
        <w:rPr>
          <w:rFonts w:ascii="Arial" w:hAnsi="Arial" w:cs="Arial"/>
        </w:rPr>
        <w:t xml:space="preserve"> </w:t>
      </w:r>
      <w:bookmarkStart w:id="17" w:name="_Toc236773918"/>
      <w:r w:rsidRPr="00624948">
        <w:rPr>
          <w:rStyle w:val="Heading3Char"/>
          <w:rFonts w:ascii="Arial" w:hAnsi="Arial" w:cs="Arial"/>
        </w:rPr>
        <w:t>Situational leadership</w:t>
      </w:r>
      <w:r w:rsidR="00624948">
        <w:rPr>
          <w:rStyle w:val="Heading3Char"/>
          <w:rFonts w:ascii="Arial" w:hAnsi="Arial" w:cs="Arial"/>
        </w:rPr>
        <w:t>:</w:t>
      </w:r>
      <w:bookmarkEnd w:id="17"/>
      <w:r w:rsidRPr="00347C1A">
        <w:rPr>
          <w:rFonts w:ascii="Arial" w:hAnsi="Arial" w:cs="Arial"/>
        </w:rPr>
        <w:t xml:space="preserve"> </w:t>
      </w:r>
      <w:r w:rsidR="00624948" w:rsidRPr="00624948">
        <w:rPr>
          <w:rFonts w:ascii="Arial" w:hAnsi="Arial" w:cs="Arial"/>
        </w:rPr>
        <w:t>Situational leadership requires leaders to adjust their styles by balancing directive and supportive actions based on task requirements and contextual complexities. Research shows that situational leadership positively influences self-reported medication errors and helps align behavio</w:t>
      </w:r>
      <w:r w:rsidR="00AB2916">
        <w:rPr>
          <w:rFonts w:ascii="Arial" w:hAnsi="Arial" w:cs="Arial"/>
        </w:rPr>
        <w:t>u</w:t>
      </w:r>
      <w:r w:rsidR="00624948" w:rsidRPr="00624948">
        <w:rPr>
          <w:rFonts w:ascii="Arial" w:hAnsi="Arial" w:cs="Arial"/>
        </w:rPr>
        <w:t>rs with changing clinical risks</w:t>
      </w:r>
      <w:r w:rsidR="00E25393" w:rsidRPr="00E25393">
        <w:rPr>
          <w:rFonts w:ascii="Arial" w:eastAsia="Times New Roman" w:hAnsi="Arial" w:cs="Arial"/>
          <w:lang w:eastAsia="en-GB"/>
        </w:rPr>
        <w:t xml:space="preserve"> </w:t>
      </w:r>
      <w:r w:rsidR="00E25393" w:rsidRPr="00E25393">
        <w:rPr>
          <w:rFonts w:ascii="Arial" w:hAnsi="Arial" w:cs="Arial"/>
        </w:rPr>
        <w:t>(Vecchio, 1987)</w:t>
      </w:r>
      <w:r w:rsidR="00624948" w:rsidRPr="00624948">
        <w:rPr>
          <w:rFonts w:ascii="Arial" w:hAnsi="Arial" w:cs="Arial"/>
        </w:rPr>
        <w:t>. Leaders who adapt their strategies can minimize the risks associated with operational delays.</w:t>
      </w:r>
      <w:r w:rsidR="00AB2916">
        <w:rPr>
          <w:rFonts w:ascii="Arial" w:hAnsi="Arial" w:cs="Arial"/>
        </w:rPr>
        <w:t xml:space="preserve"> </w:t>
      </w:r>
      <w:r w:rsidR="00624948" w:rsidRPr="00624948">
        <w:rPr>
          <w:rFonts w:ascii="Arial" w:hAnsi="Arial" w:cs="Arial"/>
        </w:rPr>
        <w:t>For example, consider a patient whos</w:t>
      </w:r>
      <w:r w:rsidR="000942C0">
        <w:rPr>
          <w:rFonts w:ascii="Arial" w:hAnsi="Arial" w:cs="Arial"/>
        </w:rPr>
        <w:t>e nosebleeds resolved while the</w:t>
      </w:r>
      <w:r w:rsidR="00624948" w:rsidRPr="00624948">
        <w:rPr>
          <w:rFonts w:ascii="Arial" w:hAnsi="Arial" w:cs="Arial"/>
        </w:rPr>
        <w:t xml:space="preserve"> scan was delayed and the anticoagulation plan remained unchanged. A situational leader would shift from a “hold anticoagulant” stance to a “reassess daily” approach as circumstances evolve. Challenges such as weekend and bed management issues, along with workforce shortages, complicate medication monitoring and hinder timely discussions about patient care. Limited resources on weekends significantly impact follow-up actions</w:t>
      </w:r>
      <w:r w:rsidR="00B83715" w:rsidRPr="00B83715">
        <w:rPr>
          <w:rFonts w:ascii="Arial" w:eastAsia="Times New Roman" w:hAnsi="Arial" w:cs="Arial"/>
          <w:lang w:eastAsia="en-GB"/>
        </w:rPr>
        <w:t xml:space="preserve"> </w:t>
      </w:r>
      <w:r w:rsidR="00B83715" w:rsidRPr="00B83715">
        <w:rPr>
          <w:rFonts w:ascii="Arial" w:hAnsi="Arial" w:cs="Arial"/>
        </w:rPr>
        <w:t>(Johansen, 1990)</w:t>
      </w:r>
      <w:r w:rsidR="00624948" w:rsidRPr="00624948">
        <w:rPr>
          <w:rFonts w:ascii="Arial" w:hAnsi="Arial" w:cs="Arial"/>
        </w:rPr>
        <w:t>.</w:t>
      </w:r>
    </w:p>
    <w:p w:rsidR="00CD6635" w:rsidRDefault="00624948" w:rsidP="00AB2916">
      <w:pPr>
        <w:spacing w:line="360" w:lineRule="auto"/>
        <w:jc w:val="both"/>
        <w:rPr>
          <w:rFonts w:ascii="Arial" w:hAnsi="Arial" w:cs="Arial"/>
        </w:rPr>
      </w:pPr>
      <w:r w:rsidRPr="00624948">
        <w:rPr>
          <w:rFonts w:ascii="Arial" w:hAnsi="Arial" w:cs="Arial"/>
        </w:rPr>
        <w:t>To mitigate these challenges, situational leaders should implement weekend review triggers for high-risk medications and prioritize patients with paused anticoagulants during bed management meetings. While situational leadership encourages flexibility, it can become inconsistent without established safety protocols. Therefore, healthcare leaders must balance adaptability with clear guidelines, ensuring that any anticoagulant paused for over 48 hours is reviewed and documented. This balance is essential for effective patient care in complex environments.</w:t>
      </w:r>
    </w:p>
    <w:p w:rsidR="00CD6635" w:rsidRPr="00CD6635" w:rsidRDefault="00CD6635" w:rsidP="00CD6635">
      <w:pPr>
        <w:spacing w:line="360" w:lineRule="auto"/>
        <w:jc w:val="both"/>
        <w:rPr>
          <w:rFonts w:ascii="Arial" w:hAnsi="Arial" w:cs="Arial"/>
        </w:rPr>
      </w:pPr>
      <w:bookmarkStart w:id="18" w:name="_Toc236773919"/>
      <w:r w:rsidRPr="00CD6635">
        <w:rPr>
          <w:rStyle w:val="Heading3Char"/>
        </w:rPr>
        <w:t>Transactional leadership</w:t>
      </w:r>
      <w:bookmarkEnd w:id="18"/>
      <w:r w:rsidRPr="00CD6635">
        <w:rPr>
          <w:rFonts w:ascii="Arial" w:hAnsi="Arial" w:cs="Arial"/>
        </w:rPr>
        <w:t xml:space="preserve">: Focuses on rules, monitoring, and rewards/punishments, useful for ensuring compliance with protocols, but can become rigid and narrow. The effects of that leadership are mixed, as it can support guideline adherence, but when overemphasised, it may not foster open reporting or proactive risk management. </w:t>
      </w:r>
    </w:p>
    <w:p w:rsidR="002F23E0" w:rsidRDefault="00CD6635" w:rsidP="00036F61">
      <w:pPr>
        <w:spacing w:line="360" w:lineRule="auto"/>
        <w:jc w:val="both"/>
        <w:rPr>
          <w:rFonts w:ascii="Arial" w:eastAsia="Times New Roman" w:hAnsi="Arial" w:cs="Arial"/>
          <w:lang w:eastAsia="en-GB"/>
        </w:rPr>
      </w:pPr>
      <w:r w:rsidRPr="00CD6635">
        <w:rPr>
          <w:rFonts w:ascii="Arial" w:hAnsi="Arial" w:cs="Arial"/>
        </w:rPr>
        <w:t>In the case at hand, the protocol was clear, but there was no follo</w:t>
      </w:r>
      <w:r w:rsidR="000942C0">
        <w:rPr>
          <w:rFonts w:ascii="Arial" w:hAnsi="Arial" w:cs="Arial"/>
        </w:rPr>
        <w:t xml:space="preserve">w </w:t>
      </w:r>
      <w:r w:rsidRPr="00CD6635">
        <w:rPr>
          <w:rFonts w:ascii="Arial" w:hAnsi="Arial" w:cs="Arial"/>
        </w:rPr>
        <w:t>through. The Trust had guidelines, but some were “overdue for a review and did not reflect updat</w:t>
      </w:r>
      <w:r w:rsidR="000942C0">
        <w:rPr>
          <w:rFonts w:ascii="Arial" w:hAnsi="Arial" w:cs="Arial"/>
        </w:rPr>
        <w:t>ed national guidance” and were sometimes hard to access.</w:t>
      </w:r>
      <w:r w:rsidR="000406EE">
        <w:rPr>
          <w:rFonts w:ascii="Arial" w:hAnsi="Arial" w:cs="Arial"/>
        </w:rPr>
        <w:t xml:space="preserve"> </w:t>
      </w:r>
      <w:r w:rsidRPr="00CD6635">
        <w:rPr>
          <w:rFonts w:ascii="Arial" w:hAnsi="Arial" w:cs="Arial"/>
        </w:rPr>
        <w:t xml:space="preserve">This is classic transactional territory, where rules exist but are outdated and poorly embedded. An example is </w:t>
      </w:r>
      <w:r w:rsidR="000406EE">
        <w:rPr>
          <w:rFonts w:ascii="Arial" w:hAnsi="Arial" w:cs="Arial"/>
        </w:rPr>
        <w:t>the missed post-procedure cue.</w:t>
      </w:r>
      <w:r w:rsidRPr="00CD6635">
        <w:rPr>
          <w:rFonts w:ascii="Arial" w:hAnsi="Arial" w:cs="Arial"/>
        </w:rPr>
        <w:t xml:space="preserve"> A strong transactional approach could have ensured that restarting anticoagulation was a mandatory checklist item after pleural procedures. Critically, overreliance on transactional leadership may have contributed to staff “following the plan” (continue to hold apixaban) without questioning it when circumstances changed. Without transformational and situational elements, transactional leadership risks </w:t>
      </w:r>
      <w:r w:rsidR="00215237">
        <w:rPr>
          <w:rFonts w:ascii="Arial" w:hAnsi="Arial" w:cs="Arial"/>
        </w:rPr>
        <w:t xml:space="preserve">turning safety into box </w:t>
      </w:r>
      <w:r>
        <w:rPr>
          <w:rFonts w:ascii="Arial" w:hAnsi="Arial" w:cs="Arial"/>
        </w:rPr>
        <w:t xml:space="preserve">ticking </w:t>
      </w:r>
      <w:r w:rsidR="00491A2A" w:rsidRPr="00CD6635">
        <w:rPr>
          <w:rFonts w:ascii="Arial" w:eastAsia="Times New Roman" w:hAnsi="Arial" w:cs="Arial"/>
          <w:lang w:eastAsia="en-GB"/>
        </w:rPr>
        <w:t>(Campos, 1971)</w:t>
      </w:r>
      <w:r>
        <w:rPr>
          <w:rFonts w:ascii="Arial" w:eastAsia="Times New Roman" w:hAnsi="Arial" w:cs="Arial"/>
          <w:lang w:eastAsia="en-GB"/>
        </w:rPr>
        <w:t xml:space="preserve">. </w:t>
      </w:r>
    </w:p>
    <w:p w:rsidR="00215237" w:rsidRDefault="00215237" w:rsidP="008D5CDD">
      <w:pPr>
        <w:pStyle w:val="Heading2"/>
        <w:rPr>
          <w:rFonts w:ascii="Arial" w:hAnsi="Arial" w:cs="Arial"/>
        </w:rPr>
      </w:pPr>
      <w:bookmarkStart w:id="19" w:name="_Toc236773920"/>
      <w:r w:rsidRPr="00215237">
        <w:rPr>
          <w:rFonts w:ascii="Arial" w:hAnsi="Arial" w:cs="Arial"/>
        </w:rPr>
        <w:t>Improvement, and Lessons Learned</w:t>
      </w:r>
      <w:bookmarkEnd w:id="19"/>
    </w:p>
    <w:p w:rsidR="008D5CDD" w:rsidRDefault="00381395" w:rsidP="008D5CDD">
      <w:pPr>
        <w:spacing w:line="360" w:lineRule="auto"/>
        <w:jc w:val="both"/>
        <w:rPr>
          <w:rFonts w:ascii="Arial" w:hAnsi="Arial" w:cs="Arial"/>
          <w:b/>
        </w:rPr>
      </w:pPr>
      <w:r w:rsidRPr="00381395">
        <w:rPr>
          <w:rFonts w:ascii="Arial" w:hAnsi="Arial" w:cs="Arial"/>
          <w:b/>
        </w:rPr>
        <w:t>1. Digital system failures</w:t>
      </w:r>
    </w:p>
    <w:p w:rsidR="00381395" w:rsidRPr="008D5CDD" w:rsidRDefault="00381395" w:rsidP="008D5CDD">
      <w:pPr>
        <w:spacing w:line="360" w:lineRule="auto"/>
        <w:jc w:val="both"/>
        <w:rPr>
          <w:rFonts w:ascii="Arial" w:hAnsi="Arial" w:cs="Arial"/>
          <w:b/>
        </w:rPr>
      </w:pPr>
      <w:r w:rsidRPr="00381395">
        <w:rPr>
          <w:rFonts w:ascii="Arial" w:hAnsi="Arial" w:cs="Arial"/>
        </w:rPr>
        <w:t>The ePMA system's limitations created a structural blind spot for high-risk medications and those requiring precise timing of administration. Although apixaban appeared visually as "paused," the system lacked mechanisms to prompt healthcare professionals to review the suspension. There were no fields to specify the intended duration or the clinical condition required to resume treatment; furthermore, hardware limitations, specifically the lack of portable bedside devices, prevented professionals from updating the ePMA at the patient's side. Instead, they relied on paper handover sheets, where the task of resuming the medication was often overlooked. Consequently, implementing mandatory review alerts for suspended high-risk medications (e.g., anticoagulants, insulin) after 24 to 48 hours, along with pause reason fields that required documentation of an end time or specific condition (e.g., resume after the procedure), together with investment in mobile digital hardware to eliminate retrospective transcription and ensure real-time prescribing, would have been effective strategies to prevent these failures</w:t>
      </w:r>
      <w:r w:rsidR="00A35DF4" w:rsidRPr="00A35DF4">
        <w:rPr>
          <w:rFonts w:ascii="Arial" w:eastAsia="Times New Roman" w:hAnsi="Arial" w:cs="Arial"/>
          <w:lang w:eastAsia="en-GB"/>
        </w:rPr>
        <w:t xml:space="preserve"> </w:t>
      </w:r>
      <w:r w:rsidR="00A35DF4" w:rsidRPr="00A35DF4">
        <w:rPr>
          <w:rFonts w:ascii="Arial" w:hAnsi="Arial" w:cs="Arial"/>
        </w:rPr>
        <w:t>(Ramadass, Sambasivan and Xavier, 2018)</w:t>
      </w:r>
      <w:r w:rsidRPr="00381395">
        <w:rPr>
          <w:rFonts w:ascii="Arial" w:hAnsi="Arial" w:cs="Arial"/>
        </w:rPr>
        <w:t>.</w:t>
      </w:r>
    </w:p>
    <w:p w:rsidR="00381395" w:rsidRPr="009302D6" w:rsidRDefault="00381395" w:rsidP="00381395">
      <w:pPr>
        <w:spacing w:line="360" w:lineRule="auto"/>
        <w:jc w:val="both"/>
        <w:rPr>
          <w:rFonts w:ascii="Arial" w:hAnsi="Arial" w:cs="Arial"/>
          <w:b/>
        </w:rPr>
      </w:pPr>
      <w:r w:rsidRPr="009302D6">
        <w:rPr>
          <w:rFonts w:ascii="Arial" w:hAnsi="Arial" w:cs="Arial"/>
          <w:b/>
        </w:rPr>
        <w:t>2. Documentation and communication failures</w:t>
      </w:r>
    </w:p>
    <w:p w:rsidR="000D4C34" w:rsidRPr="000D4C34" w:rsidRDefault="00381395" w:rsidP="000D4C34">
      <w:pPr>
        <w:spacing w:line="360" w:lineRule="auto"/>
        <w:jc w:val="both"/>
        <w:rPr>
          <w:rFonts w:ascii="Arial" w:hAnsi="Arial" w:cs="Arial"/>
        </w:rPr>
      </w:pPr>
      <w:r w:rsidRPr="00381395">
        <w:rPr>
          <w:rFonts w:ascii="Arial" w:hAnsi="Arial" w:cs="Arial"/>
        </w:rPr>
        <w:t>Documentation processes were fragmented and inconsistent</w:t>
      </w:r>
      <w:r w:rsidR="000D4C34">
        <w:rPr>
          <w:rFonts w:ascii="Arial" w:hAnsi="Arial" w:cs="Arial"/>
        </w:rPr>
        <w:t>, i</w:t>
      </w:r>
      <w:r w:rsidR="000D4C34" w:rsidRPr="000D4C34">
        <w:rPr>
          <w:rFonts w:ascii="Arial" w:hAnsi="Arial" w:cs="Arial"/>
        </w:rPr>
        <w:t xml:space="preserve">ncomplete communication between hospital information systems and electronic health records frequently results in compromised data quality within Ministry of Health databases, which diminishes the future utility of this information. Therefore, identifying barriers to effective interaction between hospitals and the Ministry of Health is essential for optimising the use of patient data at the national level. Although limited research has addressed information exchange between health information systems and electronic health records, existing studies primarily focus on solutions to mitigate systemic </w:t>
      </w:r>
      <w:r w:rsidR="006C43F5" w:rsidRPr="000D4C34">
        <w:rPr>
          <w:rFonts w:ascii="Arial" w:hAnsi="Arial" w:cs="Arial"/>
        </w:rPr>
        <w:t>failures (</w:t>
      </w:r>
      <w:r w:rsidR="000D4C34" w:rsidRPr="000D4C34">
        <w:rPr>
          <w:rFonts w:ascii="Arial" w:hAnsi="Arial" w:cs="Arial"/>
        </w:rPr>
        <w:t>Khajouei, Abbasi and Mirzaee, 2018).</w:t>
      </w:r>
    </w:p>
    <w:p w:rsidR="00EE34AB" w:rsidRDefault="00EE34AB" w:rsidP="00381395">
      <w:pPr>
        <w:spacing w:line="360" w:lineRule="auto"/>
        <w:jc w:val="both"/>
        <w:rPr>
          <w:rFonts w:ascii="Arial" w:hAnsi="Arial" w:cs="Arial"/>
        </w:rPr>
      </w:pPr>
      <w:r w:rsidRPr="00EE34AB">
        <w:rPr>
          <w:rFonts w:ascii="Arial" w:hAnsi="Arial" w:cs="Arial"/>
        </w:rPr>
        <w:t>Reducing medical errors is a matter of national and international significance, as implementing these systems is key</w:t>
      </w:r>
      <w:r>
        <w:rPr>
          <w:rFonts w:ascii="Arial" w:hAnsi="Arial" w:cs="Arial"/>
        </w:rPr>
        <w:t>s</w:t>
      </w:r>
      <w:r w:rsidRPr="00EE34AB">
        <w:rPr>
          <w:rFonts w:ascii="Arial" w:hAnsi="Arial" w:cs="Arial"/>
        </w:rPr>
        <w:t xml:space="preserve"> to achieving optimal patient care. However, researchers have observed numerous instances where such systems foster errors rather than reducing them. Consequently, these are described as "silent errors," f</w:t>
      </w:r>
      <w:r>
        <w:rPr>
          <w:rFonts w:ascii="Arial" w:hAnsi="Arial" w:cs="Arial"/>
        </w:rPr>
        <w:t>alling into two main categories which is</w:t>
      </w:r>
      <w:r w:rsidRPr="00EE34AB">
        <w:rPr>
          <w:rFonts w:ascii="Arial" w:hAnsi="Arial" w:cs="Arial"/>
        </w:rPr>
        <w:t xml:space="preserve"> those related to data retrieval and those related to data entry. Informatics specialists can undertake training, design, implementation, and research activities to help prevent the unforeseen consequences of these subtle, silent errors.</w:t>
      </w:r>
      <w:r>
        <w:rPr>
          <w:rFonts w:ascii="Arial" w:hAnsi="Arial" w:cs="Arial"/>
        </w:rPr>
        <w:t xml:space="preserve"> </w:t>
      </w:r>
      <w:r w:rsidR="00381395" w:rsidRPr="00381395">
        <w:rPr>
          <w:rFonts w:ascii="Arial" w:hAnsi="Arial" w:cs="Arial"/>
        </w:rPr>
        <w:t>A lack of structured guidance meant that the patient's coagulation risk was not visible to the various teams involved</w:t>
      </w:r>
      <w:r w:rsidR="00112ED6">
        <w:rPr>
          <w:rFonts w:ascii="Arial" w:hAnsi="Arial" w:cs="Arial"/>
        </w:rPr>
        <w:t xml:space="preserve"> </w:t>
      </w:r>
      <w:r w:rsidR="00112ED6" w:rsidRPr="000D4C34">
        <w:rPr>
          <w:rFonts w:ascii="Arial" w:hAnsi="Arial" w:cs="Arial"/>
        </w:rPr>
        <w:t>(Ash, 2003)</w:t>
      </w:r>
      <w:r w:rsidR="00381395" w:rsidRPr="00381395">
        <w:rPr>
          <w:rFonts w:ascii="Arial" w:hAnsi="Arial" w:cs="Arial"/>
        </w:rPr>
        <w:t>.</w:t>
      </w:r>
    </w:p>
    <w:p w:rsidR="00381395" w:rsidRDefault="00381395" w:rsidP="00381395">
      <w:pPr>
        <w:spacing w:line="360" w:lineRule="auto"/>
        <w:jc w:val="both"/>
        <w:rPr>
          <w:rFonts w:ascii="Arial" w:hAnsi="Arial" w:cs="Arial"/>
        </w:rPr>
      </w:pPr>
      <w:r w:rsidRPr="00381395">
        <w:rPr>
          <w:rFonts w:ascii="Arial" w:hAnsi="Arial" w:cs="Arial"/>
        </w:rPr>
        <w:t xml:space="preserve"> Key issues included the absence of documentation regarding the risk-benefit ratio justifying the prolonged interruption of treatment; critical medical history (e.g., a 2009 stroke) buried in a hard to access cardiology module; and post procedure notes that lacked fields for reviewing anticoagulation status. There was also an over reliance on uncoordinated information handoff processes, making it easy for essential tasks to be overlooked. Implementing improvement strategies such as post-procedure checklists with mandatory fields for anticoagulation management (e.g., "Restart," "Continue holding," or "Bridge therapy"), prominent display of high risk history on the electronic health record dashboard (e.g., prior strokes, valvular disease), and weekend review protocols or pharmacist led audits for patients with temporarily suspended high risk medications would greatly assist professionals in managing their daily workload and avoiding potential difficulties</w:t>
      </w:r>
      <w:r w:rsidR="000D4C34">
        <w:rPr>
          <w:rFonts w:ascii="Arial" w:hAnsi="Arial" w:cs="Arial"/>
        </w:rPr>
        <w:t xml:space="preserve"> </w:t>
      </w:r>
      <w:r w:rsidR="000D4C34" w:rsidRPr="000D4C34">
        <w:rPr>
          <w:rFonts w:ascii="Arial" w:hAnsi="Arial" w:cs="Arial"/>
        </w:rPr>
        <w:t>(Ash, 2003)</w:t>
      </w:r>
      <w:r w:rsidRPr="00381395">
        <w:rPr>
          <w:rFonts w:ascii="Arial" w:hAnsi="Arial" w:cs="Arial"/>
        </w:rPr>
        <w:t>.</w:t>
      </w:r>
    </w:p>
    <w:p w:rsidR="009302D6" w:rsidRPr="004E1A10" w:rsidRDefault="009302D6" w:rsidP="009302D6">
      <w:pPr>
        <w:spacing w:line="360" w:lineRule="auto"/>
        <w:jc w:val="both"/>
        <w:rPr>
          <w:rFonts w:ascii="Arial" w:hAnsi="Arial" w:cs="Arial"/>
          <w:b/>
        </w:rPr>
      </w:pPr>
      <w:r w:rsidRPr="004E1A10">
        <w:rPr>
          <w:rFonts w:ascii="Arial" w:hAnsi="Arial" w:cs="Arial"/>
          <w:b/>
        </w:rPr>
        <w:t>3. Service capacity and staffing limitations</w:t>
      </w:r>
    </w:p>
    <w:p w:rsidR="00F30B44" w:rsidRPr="00F30B44" w:rsidRDefault="00F30B44" w:rsidP="00F30B44">
      <w:pPr>
        <w:spacing w:line="360" w:lineRule="auto"/>
        <w:jc w:val="both"/>
        <w:rPr>
          <w:rFonts w:ascii="Arial" w:hAnsi="Arial" w:cs="Arial"/>
        </w:rPr>
      </w:pPr>
      <w:r w:rsidRPr="00F30B44">
        <w:rPr>
          <w:rFonts w:ascii="Arial" w:hAnsi="Arial" w:cs="Arial"/>
        </w:rPr>
        <w:t>A stylised queuing model of a centralised service system is employed to develop a staffing strategy that integrates varying degrees of flexibility across operational stages, explicitly accounting for uncertainty in both demand and staff availability. The model facilitates dynamic decision-making for long-term baseline staffing, short-term recruitment of external agency personnel, and real-time allocation of staff resources. These approximate solutions are subsequently applied to quantify the benefits of flexible capacity in mitigating staff shortages, with a focused analysis on server utilisation and cost reduction</w:t>
      </w:r>
      <w:r w:rsidR="0044789C" w:rsidRPr="0044789C">
        <w:rPr>
          <w:rFonts w:ascii="Arial" w:eastAsia="Times New Roman" w:hAnsi="Arial" w:cs="Arial"/>
          <w:lang w:eastAsia="en-GB"/>
        </w:rPr>
        <w:t xml:space="preserve"> </w:t>
      </w:r>
      <w:r w:rsidR="0044789C" w:rsidRPr="0044789C">
        <w:rPr>
          <w:rFonts w:ascii="Arial" w:hAnsi="Arial" w:cs="Arial"/>
        </w:rPr>
        <w:t>(Pourat et al., 2020)</w:t>
      </w:r>
      <w:r w:rsidRPr="00F30B44">
        <w:rPr>
          <w:rFonts w:ascii="Arial" w:hAnsi="Arial" w:cs="Arial"/>
        </w:rPr>
        <w:t>.</w:t>
      </w:r>
    </w:p>
    <w:p w:rsidR="009302D6" w:rsidRPr="009302D6" w:rsidRDefault="009302D6" w:rsidP="009302D6">
      <w:pPr>
        <w:spacing w:line="360" w:lineRule="auto"/>
        <w:jc w:val="both"/>
        <w:rPr>
          <w:rFonts w:ascii="Arial" w:hAnsi="Arial" w:cs="Arial"/>
        </w:rPr>
      </w:pPr>
      <w:r w:rsidRPr="009302D6">
        <w:rPr>
          <w:rFonts w:ascii="Arial" w:hAnsi="Arial" w:cs="Arial"/>
        </w:rPr>
        <w:t>Systemic capacity mismatches led to prolonged procedural delays and weakened clinical oversight. Key deficiencies included a shortage of beds for patients with respiratory conditions preventing transfer to specialised units and rigid organisational barriers that prevented the pulmonology team from assessing patients while they remained admitted to general medical wards. Additionally, there was an absence of a coordinator or specialist nurse in pleural disease to track referrals, alongside a heavy workload on the acute internal medicine ward, which lacke</w:t>
      </w:r>
      <w:r w:rsidR="004E1A10">
        <w:rPr>
          <w:rFonts w:ascii="Arial" w:hAnsi="Arial" w:cs="Arial"/>
        </w:rPr>
        <w:t>d a nursing coordinator for 5 out of 6</w:t>
      </w:r>
      <w:r w:rsidRPr="009302D6">
        <w:rPr>
          <w:rFonts w:ascii="Arial" w:hAnsi="Arial" w:cs="Arial"/>
        </w:rPr>
        <w:t xml:space="preserve"> days</w:t>
      </w:r>
      <w:r w:rsidR="00112ED6" w:rsidRPr="00112ED6">
        <w:rPr>
          <w:rFonts w:ascii="Arial" w:eastAsia="Times New Roman" w:hAnsi="Arial" w:cs="Arial"/>
          <w:lang w:eastAsia="en-GB"/>
        </w:rPr>
        <w:t xml:space="preserve"> </w:t>
      </w:r>
      <w:r w:rsidR="00112ED6" w:rsidRPr="00112ED6">
        <w:rPr>
          <w:rFonts w:ascii="Arial" w:hAnsi="Arial" w:cs="Arial"/>
        </w:rPr>
        <w:t>(Yuan, 2025)</w:t>
      </w:r>
      <w:r w:rsidRPr="009302D6">
        <w:rPr>
          <w:rFonts w:ascii="Arial" w:hAnsi="Arial" w:cs="Arial"/>
        </w:rPr>
        <w:t>.</w:t>
      </w:r>
    </w:p>
    <w:p w:rsidR="009302D6" w:rsidRDefault="009302D6" w:rsidP="009302D6">
      <w:pPr>
        <w:spacing w:line="360" w:lineRule="auto"/>
        <w:jc w:val="both"/>
        <w:rPr>
          <w:rFonts w:ascii="Arial" w:hAnsi="Arial" w:cs="Arial"/>
        </w:rPr>
      </w:pPr>
      <w:r w:rsidRPr="009302D6">
        <w:rPr>
          <w:rFonts w:ascii="Arial" w:hAnsi="Arial" w:cs="Arial"/>
        </w:rPr>
        <w:t>Implementing effective impro</w:t>
      </w:r>
      <w:r w:rsidR="00BA4184">
        <w:rPr>
          <w:rFonts w:ascii="Arial" w:hAnsi="Arial" w:cs="Arial"/>
        </w:rPr>
        <w:t xml:space="preserve">vement strategies such as cross </w:t>
      </w:r>
      <w:r w:rsidRPr="009302D6">
        <w:rPr>
          <w:rFonts w:ascii="Arial" w:hAnsi="Arial" w:cs="Arial"/>
        </w:rPr>
        <w:t>cutting specialist assessments for patients accepted by specialist teams (regardless of physical location), the designation of clinical leads for pleural disease to manage care pathways and set priorities, and dedicated coordination roles to oversee patient flow, diagnostic testing, and procedure scheduling would have minimised the risk of these failures</w:t>
      </w:r>
      <w:r w:rsidR="0044789C" w:rsidRPr="0044789C">
        <w:rPr>
          <w:rFonts w:ascii="Arial" w:eastAsia="Times New Roman" w:hAnsi="Arial" w:cs="Arial"/>
          <w:lang w:eastAsia="en-GB"/>
        </w:rPr>
        <w:t xml:space="preserve"> </w:t>
      </w:r>
      <w:r w:rsidR="0044789C" w:rsidRPr="0044789C">
        <w:rPr>
          <w:rFonts w:ascii="Arial" w:hAnsi="Arial" w:cs="Arial"/>
        </w:rPr>
        <w:t>(Pourat et al., 2020)</w:t>
      </w:r>
      <w:r w:rsidRPr="009302D6">
        <w:rPr>
          <w:rFonts w:ascii="Arial" w:hAnsi="Arial" w:cs="Arial"/>
        </w:rPr>
        <w:t>.</w:t>
      </w:r>
    </w:p>
    <w:p w:rsidR="00A16D1A" w:rsidRPr="00A16D1A" w:rsidRDefault="00A16D1A" w:rsidP="00A16D1A">
      <w:pPr>
        <w:spacing w:line="360" w:lineRule="auto"/>
        <w:jc w:val="both"/>
        <w:rPr>
          <w:rFonts w:ascii="Arial" w:hAnsi="Arial" w:cs="Arial"/>
          <w:b/>
        </w:rPr>
      </w:pPr>
      <w:r w:rsidRPr="00A16D1A">
        <w:rPr>
          <w:rFonts w:ascii="Arial" w:hAnsi="Arial" w:cs="Arial"/>
          <w:b/>
        </w:rPr>
        <w:t>4. Deficie</w:t>
      </w:r>
      <w:r w:rsidR="00BA4184">
        <w:rPr>
          <w:rFonts w:ascii="Arial" w:hAnsi="Arial" w:cs="Arial"/>
          <w:b/>
        </w:rPr>
        <w:t xml:space="preserve">ncies in governance </w:t>
      </w:r>
    </w:p>
    <w:p w:rsidR="00A16D1A" w:rsidRDefault="00A16D1A" w:rsidP="00A16D1A">
      <w:pPr>
        <w:spacing w:line="360" w:lineRule="auto"/>
        <w:jc w:val="both"/>
        <w:rPr>
          <w:rFonts w:ascii="Arial" w:hAnsi="Arial" w:cs="Arial"/>
        </w:rPr>
      </w:pPr>
      <w:r w:rsidRPr="00A16D1A">
        <w:rPr>
          <w:rFonts w:ascii="Arial" w:hAnsi="Arial" w:cs="Arial"/>
        </w:rPr>
        <w:t>The report identifies issues such as outdated, inconsistent, and inaccessible local clinical governance.</w:t>
      </w:r>
      <w:r w:rsidR="00BA4184">
        <w:rPr>
          <w:rFonts w:ascii="Arial" w:hAnsi="Arial" w:cs="Arial"/>
        </w:rPr>
        <w:t xml:space="preserve"> </w:t>
      </w:r>
      <w:r w:rsidRPr="00A16D1A">
        <w:rPr>
          <w:rFonts w:ascii="Arial" w:hAnsi="Arial" w:cs="Arial"/>
        </w:rPr>
        <w:t>Other issues included contradictory guidance on pleural procedures, which mentioned apixaban twice with conflicting instructions and guidelines developed without input from haematology or pharmacy, leading to dangerous omissions. Additionally, the bridging therapy guideline was over seven years old, did not include apixaban, and wa</w:t>
      </w:r>
      <w:r>
        <w:rPr>
          <w:rFonts w:ascii="Arial" w:hAnsi="Arial" w:cs="Arial"/>
        </w:rPr>
        <w:t xml:space="preserve">s inaccessible on the intranet. </w:t>
      </w:r>
      <w:r w:rsidRPr="00A16D1A">
        <w:rPr>
          <w:rFonts w:ascii="Arial" w:hAnsi="Arial" w:cs="Arial"/>
        </w:rPr>
        <w:t>To ensure effective governance in this case, improvement strategies would have included:</w:t>
      </w:r>
      <w:r>
        <w:rPr>
          <w:rFonts w:ascii="Arial" w:hAnsi="Arial" w:cs="Arial"/>
        </w:rPr>
        <w:t xml:space="preserve"> </w:t>
      </w:r>
      <w:r w:rsidRPr="00A16D1A">
        <w:rPr>
          <w:rFonts w:ascii="Arial" w:hAnsi="Arial" w:cs="Arial"/>
        </w:rPr>
        <w:t xml:space="preserve">multidisciplinary harmonisation of guidelines involving pharmacy and haematology for all high risk medication protocols; improved intranet accessibility to ensure critical guidelines can be located within three clicks; and dynamic lifecycle management featuring automated expiration dates and rapid updates aligned with national </w:t>
      </w:r>
      <w:r w:rsidR="006C43F5" w:rsidRPr="00A16D1A">
        <w:rPr>
          <w:rFonts w:ascii="Arial" w:hAnsi="Arial" w:cs="Arial"/>
        </w:rPr>
        <w:t>guidelines</w:t>
      </w:r>
      <w:r w:rsidR="006C43F5" w:rsidRPr="0044789C">
        <w:rPr>
          <w:rFonts w:ascii="Arial" w:hAnsi="Arial" w:cs="Arial"/>
        </w:rPr>
        <w:t xml:space="preserve"> (</w:t>
      </w:r>
      <w:r w:rsidR="0044789C" w:rsidRPr="0044789C">
        <w:rPr>
          <w:rFonts w:ascii="Arial" w:hAnsi="Arial" w:cs="Arial"/>
        </w:rPr>
        <w:t>Krishnan and Visvanathan, 2007)</w:t>
      </w:r>
      <w:r w:rsidRPr="00A16D1A">
        <w:rPr>
          <w:rFonts w:ascii="Arial" w:hAnsi="Arial" w:cs="Arial"/>
        </w:rPr>
        <w:t>.</w:t>
      </w:r>
    </w:p>
    <w:p w:rsidR="0044789C" w:rsidRDefault="00975082" w:rsidP="0044789C">
      <w:pPr>
        <w:spacing w:line="360" w:lineRule="auto"/>
        <w:jc w:val="both"/>
        <w:rPr>
          <w:rFonts w:ascii="Arial" w:hAnsi="Arial" w:cs="Arial"/>
        </w:rPr>
      </w:pPr>
      <w:r w:rsidRPr="00975082">
        <w:rPr>
          <w:rFonts w:ascii="Arial" w:hAnsi="Arial" w:cs="Arial"/>
        </w:rPr>
        <w:t>The case demonstrates that patient safety depends on resilient systems, not heroic individuals. Organisations must build environments where Health systems must embed safety into everyday practice by ensuring digital prescribing platforms actively prevent omissions through automated alerts and reliable bedside access</w:t>
      </w:r>
      <w:r w:rsidR="008D5CDD">
        <w:rPr>
          <w:rFonts w:ascii="Arial" w:hAnsi="Arial" w:cs="Arial"/>
        </w:rPr>
        <w:t xml:space="preserve"> </w:t>
      </w:r>
      <w:r w:rsidR="008D5CDD" w:rsidRPr="008D5CDD">
        <w:rPr>
          <w:rFonts w:ascii="Arial" w:hAnsi="Arial" w:cs="Arial"/>
        </w:rPr>
        <w:t xml:space="preserve">(Parand, Benn and </w:t>
      </w:r>
      <w:r w:rsidR="006C43F5" w:rsidRPr="008D5CDD">
        <w:rPr>
          <w:rFonts w:ascii="Arial" w:hAnsi="Arial" w:cs="Arial"/>
        </w:rPr>
        <w:t>Burnett,</w:t>
      </w:r>
      <w:r w:rsidR="008D5CDD" w:rsidRPr="008D5CDD">
        <w:rPr>
          <w:rFonts w:ascii="Arial" w:hAnsi="Arial" w:cs="Arial"/>
        </w:rPr>
        <w:t xml:space="preserve"> 2026)</w:t>
      </w:r>
      <w:r w:rsidRPr="00975082">
        <w:rPr>
          <w:rFonts w:ascii="Arial" w:hAnsi="Arial" w:cs="Arial"/>
        </w:rPr>
        <w:t>. Documentation should promote shared situational awareness by automatically surfacing critical clinical information and using structured templates that make safe actions the default. Clinical ownership must remain uninterrupted despite capacity pressures, with specialist teams maintaining oversight even when patients are off</w:t>
      </w:r>
      <w:r w:rsidR="004D7609">
        <w:rPr>
          <w:rFonts w:ascii="Cambria Math" w:hAnsi="Cambria Math" w:cs="Cambria Math"/>
        </w:rPr>
        <w:t xml:space="preserve"> </w:t>
      </w:r>
      <w:r w:rsidRPr="00975082">
        <w:rPr>
          <w:rFonts w:ascii="Arial" w:hAnsi="Arial" w:cs="Arial"/>
        </w:rPr>
        <w:t xml:space="preserve">ward and coordination roles protected to prevent delays. Governance must be dynamic, accessible, and multidisciplinary, with regular review cycles to eliminate outdated or contradictory guidance that increases risk. This incident was not caused by a single error but by the alignment of multiple system weaknesses. Other organisations can learn that safety emerges from principles that </w:t>
      </w:r>
      <w:r w:rsidR="004C652E" w:rsidRPr="00975082">
        <w:rPr>
          <w:rFonts w:ascii="Arial" w:hAnsi="Arial" w:cs="Arial"/>
        </w:rPr>
        <w:t>highlight</w:t>
      </w:r>
      <w:r w:rsidR="004C652E">
        <w:rPr>
          <w:rFonts w:ascii="Arial" w:hAnsi="Arial" w:cs="Arial"/>
        </w:rPr>
        <w:t xml:space="preserve"> </w:t>
      </w:r>
      <w:r w:rsidRPr="00975082">
        <w:rPr>
          <w:rFonts w:ascii="Arial" w:hAnsi="Arial" w:cs="Arial"/>
        </w:rPr>
        <w:t>resilient systems to prevent harm</w:t>
      </w:r>
      <w:r w:rsidR="0044789C">
        <w:rPr>
          <w:rFonts w:ascii="Arial" w:hAnsi="Arial" w:cs="Arial"/>
        </w:rPr>
        <w:t xml:space="preserve"> </w:t>
      </w:r>
      <w:r w:rsidR="0044789C" w:rsidRPr="0044789C">
        <w:rPr>
          <w:rFonts w:ascii="Arial" w:hAnsi="Arial" w:cs="Arial"/>
        </w:rPr>
        <w:t>(Rao, 2021)</w:t>
      </w:r>
      <w:r w:rsidRPr="00975082">
        <w:rPr>
          <w:rFonts w:ascii="Arial" w:hAnsi="Arial" w:cs="Arial"/>
        </w:rPr>
        <w:t>.</w:t>
      </w:r>
    </w:p>
    <w:p w:rsidR="004C652E" w:rsidRPr="0044789C" w:rsidRDefault="004C652E" w:rsidP="0044789C">
      <w:pPr>
        <w:pStyle w:val="Heading1"/>
        <w:rPr>
          <w:rFonts w:ascii="Arial" w:hAnsi="Arial" w:cs="Arial"/>
        </w:rPr>
      </w:pPr>
      <w:bookmarkStart w:id="20" w:name="_Toc236773921"/>
      <w:r w:rsidRPr="0044789C">
        <w:rPr>
          <w:rFonts w:ascii="Arial" w:hAnsi="Arial" w:cs="Arial"/>
        </w:rPr>
        <w:t>Recommendations</w:t>
      </w:r>
      <w:bookmarkEnd w:id="20"/>
    </w:p>
    <w:p w:rsidR="00A16D1A" w:rsidRDefault="003D51B6" w:rsidP="003D51B6">
      <w:pPr>
        <w:spacing w:line="360" w:lineRule="auto"/>
        <w:jc w:val="both"/>
        <w:rPr>
          <w:rFonts w:ascii="Arial" w:hAnsi="Arial" w:cs="Arial"/>
        </w:rPr>
      </w:pPr>
      <w:r w:rsidRPr="003D51B6">
        <w:rPr>
          <w:rFonts w:ascii="Arial" w:hAnsi="Arial" w:cs="Arial"/>
        </w:rPr>
        <w:t>The chosen organisation must establish a standardised protocol for pausing, reviewing, and restarting anticoagulation therapy. This protocol must include mandatory documentation of the rationale for pausing the medication, reminders for daily review, and clear accountability for decision making. Incorporating a "pause expiry" function into the electronic prescribing and medicines administration (ePMA) system whereby paused critical medications automatically trigger alerts would directly address the deficiency identified in the report.</w:t>
      </w:r>
      <w:r>
        <w:rPr>
          <w:rFonts w:ascii="Arial" w:hAnsi="Arial" w:cs="Arial"/>
        </w:rPr>
        <w:t xml:space="preserve"> </w:t>
      </w:r>
      <w:r w:rsidRPr="003D51B6">
        <w:rPr>
          <w:rFonts w:ascii="Arial" w:hAnsi="Arial" w:cs="Arial"/>
        </w:rPr>
        <w:t>Care processes must also be redesigned to ensure specialist oversight, even when beds are unavailable. The report highlights that patients accepted by the respiratory service but awaiting transfer received no specialist review. A daily "specialist review for atypical cases" model should be implemented, supported by a pleural nurse or coordinator a role that, according to the report, was previously lost due to financial constraints. Finally, the organization must conduct a comprehensive review and update of local guidelines regarding anticoagulation and pleural care, ensuring alignment with the 2024 British Society for Haematology (BSH) recommendations and eliminating conflicting instructions, such as inconsistent administration t</w:t>
      </w:r>
      <w:r w:rsidR="00BA4184">
        <w:rPr>
          <w:rFonts w:ascii="Arial" w:hAnsi="Arial" w:cs="Arial"/>
        </w:rPr>
        <w:t>imings for apixaban (</w:t>
      </w:r>
      <w:r w:rsidRPr="003D51B6">
        <w:rPr>
          <w:rFonts w:ascii="Arial" w:hAnsi="Arial" w:cs="Arial"/>
        </w:rPr>
        <w:t xml:space="preserve">usually withheld for </w:t>
      </w:r>
      <w:r w:rsidR="00BA4184">
        <w:rPr>
          <w:rFonts w:ascii="Arial" w:hAnsi="Arial" w:cs="Arial"/>
        </w:rPr>
        <w:t>2 full days versus 1 full day</w:t>
      </w:r>
      <w:r w:rsidRPr="003D51B6">
        <w:rPr>
          <w:rFonts w:ascii="Arial" w:hAnsi="Arial" w:cs="Arial"/>
        </w:rPr>
        <w:t>).</w:t>
      </w:r>
    </w:p>
    <w:p w:rsidR="003D51B6" w:rsidRDefault="003D51B6" w:rsidP="003D51B6">
      <w:pPr>
        <w:spacing w:line="360" w:lineRule="auto"/>
        <w:jc w:val="both"/>
        <w:rPr>
          <w:rFonts w:ascii="Arial" w:hAnsi="Arial" w:cs="Arial"/>
        </w:rPr>
      </w:pPr>
      <w:r w:rsidRPr="003D51B6">
        <w:rPr>
          <w:rFonts w:ascii="Arial" w:hAnsi="Arial" w:cs="Arial"/>
        </w:rPr>
        <w:t>A Team Leadership</w:t>
      </w:r>
      <w:r w:rsidR="008D7D2C">
        <w:rPr>
          <w:rFonts w:ascii="Arial" w:hAnsi="Arial" w:cs="Arial"/>
        </w:rPr>
        <w:t xml:space="preserve"> such us</w:t>
      </w:r>
      <w:r w:rsidRPr="003D51B6">
        <w:rPr>
          <w:rFonts w:ascii="Arial" w:hAnsi="Arial" w:cs="Arial"/>
        </w:rPr>
        <w:t xml:space="preserve"> (high task, high people) approach is the most effective for sustaining improvement. This style supports clear expectations, shared decision</w:t>
      </w:r>
      <w:r w:rsidR="008E1781">
        <w:rPr>
          <w:rFonts w:ascii="Cambria Math" w:hAnsi="Cambria Math" w:cs="Cambria Math"/>
        </w:rPr>
        <w:t xml:space="preserve"> </w:t>
      </w:r>
      <w:r w:rsidRPr="003D51B6">
        <w:rPr>
          <w:rFonts w:ascii="Arial" w:hAnsi="Arial" w:cs="Arial"/>
        </w:rPr>
        <w:t xml:space="preserve">making, and psychological safety critical in environments where staff must escalate concerns and challenge assumptions. Leaders should model collaborative governance, ensuring multidisciplinary involvement in guideline reviews and digital system redesign. Elements of Adaptive Leadership are also essential. The case study shows staff making local adaptations to cope with misalignments between demand and capacity. Leaders should support safe adaptation while removing structural barriers that force unsafe </w:t>
      </w:r>
      <w:r w:rsidR="006C43F5" w:rsidRPr="003D51B6">
        <w:rPr>
          <w:rFonts w:ascii="Arial" w:hAnsi="Arial" w:cs="Arial"/>
        </w:rPr>
        <w:t>workarounds</w:t>
      </w:r>
      <w:r w:rsidR="006C43F5" w:rsidRPr="008D5CDD">
        <w:rPr>
          <w:rFonts w:ascii="Arial" w:hAnsi="Arial" w:cs="Arial"/>
        </w:rPr>
        <w:t xml:space="preserve"> (</w:t>
      </w:r>
      <w:r w:rsidR="008D5CDD" w:rsidRPr="008D5CDD">
        <w:rPr>
          <w:rFonts w:ascii="Arial" w:hAnsi="Arial" w:cs="Arial"/>
        </w:rPr>
        <w:t xml:space="preserve">Parand, Benn and </w:t>
      </w:r>
      <w:r w:rsidR="006C43F5" w:rsidRPr="008D5CDD">
        <w:rPr>
          <w:rFonts w:ascii="Arial" w:hAnsi="Arial" w:cs="Arial"/>
        </w:rPr>
        <w:t>Burnett,</w:t>
      </w:r>
      <w:r w:rsidR="008D5CDD" w:rsidRPr="008D5CDD">
        <w:rPr>
          <w:rFonts w:ascii="Arial" w:hAnsi="Arial" w:cs="Arial"/>
        </w:rPr>
        <w:t xml:space="preserve"> 2026)</w:t>
      </w:r>
      <w:r w:rsidRPr="003D51B6">
        <w:rPr>
          <w:rFonts w:ascii="Arial" w:hAnsi="Arial" w:cs="Arial"/>
        </w:rPr>
        <w:t>.</w:t>
      </w:r>
    </w:p>
    <w:p w:rsidR="008E1781" w:rsidRDefault="008E1781" w:rsidP="003D51B6">
      <w:pPr>
        <w:spacing w:line="360" w:lineRule="auto"/>
        <w:jc w:val="both"/>
        <w:rPr>
          <w:rFonts w:ascii="Arial" w:hAnsi="Arial" w:cs="Arial"/>
        </w:rPr>
      </w:pPr>
      <w:r w:rsidRPr="008E1781">
        <w:rPr>
          <w:rFonts w:ascii="Arial" w:hAnsi="Arial" w:cs="Arial"/>
        </w:rPr>
        <w:t>Governance must evolve from the reactive review of incidents toward proactive risk visibi</w:t>
      </w:r>
      <w:r w:rsidR="00A433CE">
        <w:rPr>
          <w:rFonts w:ascii="Arial" w:hAnsi="Arial" w:cs="Arial"/>
        </w:rPr>
        <w:t xml:space="preserve">lity, including an organization </w:t>
      </w:r>
      <w:r w:rsidRPr="008E1781">
        <w:rPr>
          <w:rFonts w:ascii="Arial" w:hAnsi="Arial" w:cs="Arial"/>
        </w:rPr>
        <w:t>wide dashboard that identifies all patients with suspended anticoa</w:t>
      </w:r>
      <w:r w:rsidR="00A433CE">
        <w:rPr>
          <w:rFonts w:ascii="Arial" w:hAnsi="Arial" w:cs="Arial"/>
        </w:rPr>
        <w:t>gulant therapy</w:t>
      </w:r>
      <w:r w:rsidR="00572C54">
        <w:rPr>
          <w:rFonts w:ascii="Arial" w:hAnsi="Arial" w:cs="Arial"/>
        </w:rPr>
        <w:t xml:space="preserve"> </w:t>
      </w:r>
      <w:r w:rsidR="00572C54" w:rsidRPr="00572C54">
        <w:rPr>
          <w:rFonts w:ascii="Arial" w:hAnsi="Arial" w:cs="Arial"/>
        </w:rPr>
        <w:t>(Osseo</w:t>
      </w:r>
      <w:r w:rsidR="00572C54" w:rsidRPr="00572C54">
        <w:rPr>
          <w:rFonts w:ascii="Cambria Math" w:hAnsi="Cambria Math" w:cs="Cambria Math"/>
        </w:rPr>
        <w:t>‐</w:t>
      </w:r>
      <w:r w:rsidR="00572C54" w:rsidRPr="00572C54">
        <w:rPr>
          <w:rFonts w:ascii="Arial" w:hAnsi="Arial" w:cs="Arial"/>
        </w:rPr>
        <w:t xml:space="preserve">Asare, </w:t>
      </w:r>
      <w:proofErr w:type="spellStart"/>
      <w:r w:rsidR="00572C54" w:rsidRPr="00572C54">
        <w:rPr>
          <w:rFonts w:ascii="Arial" w:hAnsi="Arial" w:cs="Arial"/>
        </w:rPr>
        <w:t>Longbottom</w:t>
      </w:r>
      <w:proofErr w:type="spellEnd"/>
      <w:r w:rsidR="00572C54" w:rsidRPr="00572C54">
        <w:rPr>
          <w:rFonts w:ascii="Arial" w:hAnsi="Arial" w:cs="Arial"/>
        </w:rPr>
        <w:t xml:space="preserve"> and Murphy, 2005)</w:t>
      </w:r>
      <w:r w:rsidR="00572C54" w:rsidRPr="006C7C20">
        <w:rPr>
          <w:rFonts w:ascii="Arial" w:hAnsi="Arial" w:cs="Arial"/>
        </w:rPr>
        <w:t>.</w:t>
      </w:r>
      <w:r w:rsidR="0075418A">
        <w:rPr>
          <w:rFonts w:ascii="Arial" w:hAnsi="Arial" w:cs="Arial"/>
        </w:rPr>
        <w:t xml:space="preserve"> </w:t>
      </w:r>
      <w:r w:rsidR="00A433CE">
        <w:rPr>
          <w:rFonts w:ascii="Arial" w:hAnsi="Arial" w:cs="Arial"/>
        </w:rPr>
        <w:t xml:space="preserve">Mandatory cross </w:t>
      </w:r>
      <w:r w:rsidRPr="008E1781">
        <w:rPr>
          <w:rFonts w:ascii="Arial" w:hAnsi="Arial" w:cs="Arial"/>
        </w:rPr>
        <w:t>verification of anticoagulation status during clinical rounds is required. Integrated digital workflows should ensure that electronic patient record (EPR), electronic prescribing (ePMA), diagnostic imaging, and referral systems display critical information without requiring staff to search across multiple modules. Communication must be standardized through structured handover processes and escalation protocols. The report notes that the paper handover sheet was an "overloaded document, carrying the risk of information being overlooked." Replacing it with a unified digital task management system will reduce omissions.</w:t>
      </w:r>
    </w:p>
    <w:p w:rsidR="006C7C20" w:rsidRDefault="006C7C20" w:rsidP="006C7C20">
      <w:pPr>
        <w:spacing w:line="360" w:lineRule="auto"/>
        <w:jc w:val="both"/>
        <w:rPr>
          <w:rFonts w:ascii="Arial" w:hAnsi="Arial" w:cs="Arial"/>
        </w:rPr>
      </w:pPr>
      <w:r w:rsidRPr="006C7C20">
        <w:rPr>
          <w:rFonts w:ascii="Arial" w:hAnsi="Arial" w:cs="Arial"/>
        </w:rPr>
        <w:t>The technical efficiency can be improved by increasing the availability of mobile devices to allow contemporaneous documentation, streamlining CT</w:t>
      </w:r>
      <w:r w:rsidR="00F64C17">
        <w:rPr>
          <w:rFonts w:ascii="Arial" w:hAnsi="Arial" w:cs="Arial"/>
        </w:rPr>
        <w:t xml:space="preserve"> scan </w:t>
      </w:r>
      <w:r w:rsidRPr="006C7C20">
        <w:rPr>
          <w:rFonts w:ascii="Arial" w:hAnsi="Arial" w:cs="Arial"/>
        </w:rPr>
        <w:t>prioritisation processes so anticoagulation risk is considered when categorising urgency, including training AGM nurses in post</w:t>
      </w:r>
      <w:r>
        <w:rPr>
          <w:rFonts w:ascii="Cambria Math" w:hAnsi="Cambria Math" w:cs="Cambria Math"/>
        </w:rPr>
        <w:t xml:space="preserve"> </w:t>
      </w:r>
      <w:r w:rsidRPr="006C7C20">
        <w:rPr>
          <w:rFonts w:ascii="Arial" w:hAnsi="Arial" w:cs="Arial"/>
        </w:rPr>
        <w:t>pleural</w:t>
      </w:r>
      <w:r>
        <w:rPr>
          <w:rFonts w:ascii="Cambria Math" w:hAnsi="Cambria Math" w:cs="Cambria Math"/>
        </w:rPr>
        <w:t xml:space="preserve"> </w:t>
      </w:r>
      <w:r w:rsidRPr="006C7C20">
        <w:rPr>
          <w:rFonts w:ascii="Arial" w:hAnsi="Arial" w:cs="Arial"/>
        </w:rPr>
        <w:t xml:space="preserve">procedure care to reduce dependency on respiratory beds.  </w:t>
      </w:r>
      <w:r w:rsidR="004D7609">
        <w:rPr>
          <w:rFonts w:ascii="Arial" w:hAnsi="Arial" w:cs="Arial"/>
        </w:rPr>
        <w:t xml:space="preserve">However, </w:t>
      </w:r>
      <w:r w:rsidR="004D7609" w:rsidRPr="006C7C20">
        <w:rPr>
          <w:rFonts w:ascii="Arial" w:hAnsi="Arial" w:cs="Arial"/>
        </w:rPr>
        <w:t xml:space="preserve"> locative</w:t>
      </w:r>
      <w:r w:rsidR="004D7609">
        <w:rPr>
          <w:rFonts w:ascii="Arial" w:hAnsi="Arial" w:cs="Arial"/>
        </w:rPr>
        <w:t>s</w:t>
      </w:r>
      <w:r w:rsidR="004D7609" w:rsidRPr="006C7C20">
        <w:rPr>
          <w:rFonts w:ascii="Arial" w:hAnsi="Arial" w:cs="Arial"/>
        </w:rPr>
        <w:t xml:space="preserve"> efficiency requires investment in roles that prevent downstream harm, particularly a pleural nurse and administrative coordinator. </w:t>
      </w:r>
      <w:r w:rsidRPr="006C7C20">
        <w:rPr>
          <w:rFonts w:ascii="Arial" w:hAnsi="Arial" w:cs="Arial"/>
        </w:rPr>
        <w:t>These roles reduce delays, improve flow, and prevent costly adverse events such as stroke.</w:t>
      </w:r>
      <w:r>
        <w:rPr>
          <w:rFonts w:ascii="Arial" w:hAnsi="Arial" w:cs="Arial"/>
        </w:rPr>
        <w:t xml:space="preserve"> Therefore, t</w:t>
      </w:r>
      <w:r w:rsidRPr="006C7C20">
        <w:rPr>
          <w:rFonts w:ascii="Arial" w:hAnsi="Arial" w:cs="Arial"/>
        </w:rPr>
        <w:t>he organisation should embed continuous learning with regular multidisciplinary morbidity and mortality reviews focused on anticoagulation safety as well as Co</w:t>
      </w:r>
      <w:r w:rsidRPr="006C7C20">
        <w:rPr>
          <w:rFonts w:ascii="Cambria Math" w:hAnsi="Cambria Math" w:cs="Cambria Math"/>
        </w:rPr>
        <w:t>‑</w:t>
      </w:r>
      <w:r w:rsidRPr="006C7C20">
        <w:rPr>
          <w:rFonts w:ascii="Arial" w:hAnsi="Arial" w:cs="Arial"/>
        </w:rPr>
        <w:t>production workshops with respiratory, haematology, pharmacy, digital teams, and patients.</w:t>
      </w:r>
      <w:r w:rsidR="00F64C17">
        <w:rPr>
          <w:rFonts w:ascii="Arial" w:hAnsi="Arial" w:cs="Arial"/>
        </w:rPr>
        <w:t xml:space="preserve"> </w:t>
      </w:r>
      <w:r w:rsidRPr="006C7C20">
        <w:rPr>
          <w:rFonts w:ascii="Arial" w:hAnsi="Arial" w:cs="Arial"/>
        </w:rPr>
        <w:t xml:space="preserve">With real time </w:t>
      </w:r>
      <w:r w:rsidR="004D7609" w:rsidRPr="006C7C20">
        <w:rPr>
          <w:rFonts w:ascii="Arial" w:hAnsi="Arial" w:cs="Arial"/>
        </w:rPr>
        <w:t>feedback loops where staff can report digital system frustrations and proposes</w:t>
      </w:r>
      <w:r w:rsidRPr="006C7C20">
        <w:rPr>
          <w:rFonts w:ascii="Arial" w:hAnsi="Arial" w:cs="Arial"/>
        </w:rPr>
        <w:t xml:space="preserve"> improvements. Finally, this approach aligns with the CARe model described in the report, supporting safe adaptation and organisational resilience</w:t>
      </w:r>
      <w:r w:rsidR="00572C54" w:rsidRPr="00572C54">
        <w:rPr>
          <w:rFonts w:ascii="Arial" w:eastAsia="Times New Roman" w:hAnsi="Arial" w:cs="Arial"/>
          <w:lang w:eastAsia="en-GB"/>
        </w:rPr>
        <w:t xml:space="preserve"> </w:t>
      </w:r>
      <w:r w:rsidR="00572C54" w:rsidRPr="00572C54">
        <w:rPr>
          <w:rFonts w:ascii="Arial" w:hAnsi="Arial" w:cs="Arial"/>
        </w:rPr>
        <w:t>(Osseo</w:t>
      </w:r>
      <w:r w:rsidR="00572C54" w:rsidRPr="00572C54">
        <w:rPr>
          <w:rFonts w:ascii="Cambria Math" w:hAnsi="Cambria Math" w:cs="Cambria Math"/>
        </w:rPr>
        <w:t>‐</w:t>
      </w:r>
      <w:r w:rsidR="00572C54" w:rsidRPr="00572C54">
        <w:rPr>
          <w:rFonts w:ascii="Arial" w:hAnsi="Arial" w:cs="Arial"/>
        </w:rPr>
        <w:t>Asare, Longbottom and Murphy, 2005)</w:t>
      </w:r>
      <w:r w:rsidRPr="006C7C20">
        <w:rPr>
          <w:rFonts w:ascii="Arial" w:hAnsi="Arial" w:cs="Arial"/>
        </w:rPr>
        <w:t>.</w:t>
      </w:r>
    </w:p>
    <w:p w:rsidR="00A16D1A" w:rsidRDefault="004D7609" w:rsidP="004D7609">
      <w:pPr>
        <w:pStyle w:val="Heading1"/>
      </w:pPr>
      <w:bookmarkStart w:id="21" w:name="_Toc236773922"/>
      <w:r>
        <w:t>Conclusion</w:t>
      </w:r>
      <w:bookmarkEnd w:id="21"/>
    </w:p>
    <w:p w:rsidR="004D7609" w:rsidRDefault="0075418A" w:rsidP="004D7609">
      <w:pPr>
        <w:spacing w:after="120" w:line="360" w:lineRule="auto"/>
        <w:jc w:val="both"/>
        <w:rPr>
          <w:rFonts w:ascii="Arial" w:eastAsia="Times New Roman" w:hAnsi="Arial" w:cs="Arial"/>
          <w:lang w:eastAsia="en-GB"/>
        </w:rPr>
      </w:pPr>
      <w:r>
        <w:rPr>
          <w:rFonts w:ascii="Arial" w:eastAsia="Times New Roman" w:hAnsi="Arial" w:cs="Arial"/>
          <w:lang w:eastAsia="en-GB"/>
        </w:rPr>
        <w:t xml:space="preserve"> T</w:t>
      </w:r>
      <w:r w:rsidR="004D7609">
        <w:rPr>
          <w:rFonts w:ascii="Arial" w:eastAsia="Times New Roman" w:hAnsi="Arial" w:cs="Arial"/>
          <w:lang w:eastAsia="en-GB"/>
        </w:rPr>
        <w:t>his case</w:t>
      </w:r>
      <w:r>
        <w:rPr>
          <w:rFonts w:ascii="Arial" w:eastAsia="Times New Roman" w:hAnsi="Arial" w:cs="Arial"/>
          <w:lang w:eastAsia="en-GB"/>
        </w:rPr>
        <w:t>,</w:t>
      </w:r>
      <w:r w:rsidR="004D7609" w:rsidRPr="00DF1CAC">
        <w:rPr>
          <w:rFonts w:ascii="Arial" w:eastAsia="Times New Roman" w:hAnsi="Arial" w:cs="Arial"/>
          <w:lang w:eastAsia="en-GB"/>
        </w:rPr>
        <w:t xml:space="preserve"> which describes a significant patient safety </w:t>
      </w:r>
      <w:proofErr w:type="gramStart"/>
      <w:r w:rsidR="004D7609" w:rsidRPr="00DF1CAC">
        <w:rPr>
          <w:rFonts w:ascii="Arial" w:eastAsia="Times New Roman" w:hAnsi="Arial" w:cs="Arial"/>
          <w:lang w:eastAsia="en-GB"/>
        </w:rPr>
        <w:t>failure</w:t>
      </w:r>
      <w:proofErr w:type="gramEnd"/>
      <w:r w:rsidR="004D7609" w:rsidRPr="00DF1CAC">
        <w:rPr>
          <w:rFonts w:ascii="Arial" w:eastAsia="Times New Roman" w:hAnsi="Arial" w:cs="Arial"/>
          <w:lang w:eastAsia="en-GB"/>
        </w:rPr>
        <w:t xml:space="preserve"> focuses on the interruption of anticoagulant therapy resulting from a procedural delay in treating a pleural effusion. After the procedure, insufficient communication and the omission to restart the prescription contributed to the patient experiencing a fatal stroke. The investigation identified systemic failures at several operational levels. Notably, elect</w:t>
      </w:r>
      <w:r w:rsidR="004D7609">
        <w:rPr>
          <w:rFonts w:ascii="Arial" w:eastAsia="Times New Roman" w:hAnsi="Arial" w:cs="Arial"/>
          <w:lang w:eastAsia="en-GB"/>
        </w:rPr>
        <w:t>ronic monitoring it was inadequate also</w:t>
      </w:r>
      <w:r w:rsidR="004D7609" w:rsidRPr="00DF1CAC">
        <w:rPr>
          <w:rFonts w:ascii="Arial" w:eastAsia="Times New Roman" w:hAnsi="Arial" w:cs="Arial"/>
          <w:lang w:eastAsia="en-GB"/>
        </w:rPr>
        <w:t xml:space="preserve"> the electronic prescribing and medicines administration (ePMA) system indicated the medication was suspended but did not include an integrated mechanism or automated alert to prompt clinical review. Additionally, the investigation found that information and guidelines were fragmented; essential historical patient data, such as a previous stroke, remained inaccessible</w:t>
      </w:r>
      <w:r w:rsidR="00F12DFF">
        <w:rPr>
          <w:rFonts w:ascii="Arial" w:eastAsia="Times New Roman" w:hAnsi="Arial" w:cs="Arial"/>
          <w:lang w:eastAsia="en-GB"/>
        </w:rPr>
        <w:t xml:space="preserve"> </w:t>
      </w:r>
      <w:r w:rsidR="00F12DFF" w:rsidRPr="00131AA3">
        <w:rPr>
          <w:rFonts w:ascii="Arial" w:hAnsi="Arial" w:cs="Arial"/>
        </w:rPr>
        <w:t>(Bergh, 2004)</w:t>
      </w:r>
      <w:r w:rsidR="00F12DFF" w:rsidRPr="0081443E">
        <w:rPr>
          <w:rFonts w:ascii="Arial" w:hAnsi="Arial" w:cs="Arial"/>
        </w:rPr>
        <w:t>.</w:t>
      </w:r>
    </w:p>
    <w:p w:rsidR="004D7609" w:rsidRDefault="004D7609" w:rsidP="004D7609">
      <w:pPr>
        <w:spacing w:after="120" w:line="360" w:lineRule="auto"/>
        <w:jc w:val="both"/>
        <w:rPr>
          <w:rFonts w:ascii="Arial" w:eastAsia="Times New Roman" w:hAnsi="Arial" w:cs="Arial"/>
          <w:lang w:eastAsia="en-GB"/>
        </w:rPr>
      </w:pPr>
      <w:r w:rsidRPr="00DF1CAC">
        <w:rPr>
          <w:rFonts w:ascii="Arial" w:eastAsia="Times New Roman" w:hAnsi="Arial" w:cs="Arial"/>
          <w:lang w:eastAsia="en-GB"/>
        </w:rPr>
        <w:t>Local clinical protocols for anticoagulation management were significantly outdated, ambiguous, and ineffectively communicated. Resource and process mismatches intensified a critical bed shortage in the respiratory unit, resulting in the patient remaining in a general medical ward. Uncertainty regarding team responsibility during the delay led to the absence of specialised supervision. Leadership and governance are essential in such scenarios, as they can identify that patient safety incidents typically result from systemic vulnerabilities rather than individual negligence. Addressing these issues requires a comprehensive redesign of clinical environments and the adoption of systems thinking, which shifts the focus from attributing blame to frontline staff to evaluating the overall infrastructure</w:t>
      </w:r>
      <w:r w:rsidR="008D5CDD">
        <w:rPr>
          <w:rFonts w:ascii="Arial" w:eastAsia="Times New Roman" w:hAnsi="Arial" w:cs="Arial"/>
          <w:lang w:eastAsia="en-GB"/>
        </w:rPr>
        <w:t xml:space="preserve"> </w:t>
      </w:r>
      <w:r w:rsidR="008D5CDD" w:rsidRPr="00A35DF4">
        <w:rPr>
          <w:rFonts w:ascii="Arial" w:hAnsi="Arial" w:cs="Arial"/>
        </w:rPr>
        <w:t>(Ramadass, Sambasivan and Xavier, 2018)</w:t>
      </w:r>
      <w:r w:rsidR="008D5CDD" w:rsidRPr="00381395">
        <w:rPr>
          <w:rFonts w:ascii="Arial" w:hAnsi="Arial" w:cs="Arial"/>
        </w:rPr>
        <w:t>.</w:t>
      </w:r>
      <w:r w:rsidRPr="00DF1CAC">
        <w:rPr>
          <w:rFonts w:ascii="Arial" w:eastAsia="Times New Roman" w:hAnsi="Arial" w:cs="Arial"/>
          <w:lang w:eastAsia="en-GB"/>
        </w:rPr>
        <w:t xml:space="preserve"> </w:t>
      </w:r>
    </w:p>
    <w:p w:rsidR="004D7609" w:rsidRDefault="004D7609" w:rsidP="004D7609">
      <w:pPr>
        <w:spacing w:after="120" w:line="360" w:lineRule="auto"/>
        <w:jc w:val="both"/>
        <w:rPr>
          <w:rFonts w:ascii="Arial" w:eastAsia="Times New Roman" w:hAnsi="Arial" w:cs="Arial"/>
          <w:lang w:eastAsia="en-GB"/>
        </w:rPr>
      </w:pPr>
      <w:r w:rsidRPr="00DF1CAC">
        <w:rPr>
          <w:rFonts w:ascii="Arial" w:eastAsia="Times New Roman" w:hAnsi="Arial" w:cs="Arial"/>
          <w:lang w:eastAsia="en-GB"/>
        </w:rPr>
        <w:t xml:space="preserve">In this case, clinicians relied on fragmented technological systems; electronic tasks were manually recorded on paper due to the lack of mobile devices, despite the need for closed-loop feedback processes. Robust governance frameworks are necessary to ensure that safety guidelines are developed with appropriate oversight. </w:t>
      </w:r>
      <w:r w:rsidR="006C43F5" w:rsidRPr="00DF1CAC">
        <w:rPr>
          <w:rFonts w:ascii="Arial" w:eastAsia="Times New Roman" w:hAnsi="Arial" w:cs="Arial"/>
          <w:lang w:eastAsia="en-GB"/>
        </w:rPr>
        <w:t>Research indicated that local pulmonology guidelines did not involve consultation with haematology or pharmacy specialists, leading to conflicting instructions</w:t>
      </w:r>
      <w:r w:rsidR="006C43F5">
        <w:rPr>
          <w:rFonts w:ascii="Arial" w:eastAsia="Times New Roman" w:hAnsi="Arial" w:cs="Arial"/>
          <w:lang w:eastAsia="en-GB"/>
        </w:rPr>
        <w:t xml:space="preserve"> </w:t>
      </w:r>
      <w:r w:rsidR="006C43F5" w:rsidRPr="00E25393">
        <w:rPr>
          <w:rFonts w:ascii="Arial" w:hAnsi="Arial" w:cs="Arial"/>
        </w:rPr>
        <w:t>(Bass, 1999)</w:t>
      </w:r>
      <w:r w:rsidR="006C43F5" w:rsidRPr="00DC24BD">
        <w:rPr>
          <w:rFonts w:ascii="Arial" w:hAnsi="Arial" w:cs="Arial"/>
        </w:rPr>
        <w:t>.</w:t>
      </w:r>
      <w:r w:rsidR="006C43F5" w:rsidRPr="00DF1CAC">
        <w:rPr>
          <w:rFonts w:ascii="Arial" w:eastAsia="Times New Roman" w:hAnsi="Arial" w:cs="Arial"/>
          <w:lang w:eastAsia="en-GB"/>
        </w:rPr>
        <w:t xml:space="preserve"> </w:t>
      </w:r>
      <w:r w:rsidRPr="00DF1CAC">
        <w:rPr>
          <w:rFonts w:ascii="Arial" w:eastAsia="Times New Roman" w:hAnsi="Arial" w:cs="Arial"/>
          <w:lang w:eastAsia="en-GB"/>
        </w:rPr>
        <w:t>Effective governance establishes clear multidisciplinary protocols, enforces strict deadlines for policy updates, and mandates post-procedure checklists that address the status of suspended medications before patient transfer. Leadership is also vital to ensure that staffing capacity meets clinical demand. On the general medicine ward, severe staffin</w:t>
      </w:r>
      <w:r>
        <w:rPr>
          <w:rFonts w:ascii="Arial" w:eastAsia="Times New Roman" w:hAnsi="Arial" w:cs="Arial"/>
          <w:lang w:eastAsia="en-GB"/>
        </w:rPr>
        <w:t xml:space="preserve">g shortages and the lack of mid </w:t>
      </w:r>
      <w:r w:rsidRPr="00DF1CAC">
        <w:rPr>
          <w:rFonts w:ascii="Arial" w:eastAsia="Times New Roman" w:hAnsi="Arial" w:cs="Arial"/>
          <w:lang w:eastAsia="en-GB"/>
        </w:rPr>
        <w:t>level medical leadership compromised clinical monitoring and task completion. Leaders should advocate for safe staffing models, prioritize cross-functional training for ward nurses to care for specialty patients, and address structural bottlenecks during periods of high occupa</w:t>
      </w:r>
      <w:r>
        <w:rPr>
          <w:rFonts w:ascii="Arial" w:eastAsia="Times New Roman" w:hAnsi="Arial" w:cs="Arial"/>
          <w:lang w:eastAsia="en-GB"/>
        </w:rPr>
        <w:t>ncy</w:t>
      </w:r>
      <w:r w:rsidR="008D5CDD">
        <w:rPr>
          <w:rFonts w:ascii="Arial" w:eastAsia="Times New Roman" w:hAnsi="Arial" w:cs="Arial"/>
          <w:lang w:eastAsia="en-GB"/>
        </w:rPr>
        <w:t>.</w:t>
      </w:r>
    </w:p>
    <w:p w:rsidR="000A7327" w:rsidRPr="000A7327" w:rsidRDefault="000A7327" w:rsidP="000A7327">
      <w:pPr>
        <w:pStyle w:val="Heading1"/>
        <w:rPr>
          <w:rFonts w:ascii="Arial" w:eastAsia="Times New Roman" w:hAnsi="Arial" w:cs="Arial"/>
          <w:sz w:val="22"/>
          <w:szCs w:val="22"/>
          <w:lang w:eastAsia="en-GB"/>
        </w:rPr>
      </w:pPr>
      <w:bookmarkStart w:id="22" w:name="_Toc236773923"/>
      <w:r w:rsidRPr="000A7327">
        <w:rPr>
          <w:rFonts w:ascii="Arial" w:eastAsia="Times New Roman" w:hAnsi="Arial" w:cs="Arial"/>
          <w:lang w:eastAsia="en-GB"/>
        </w:rPr>
        <w:t>References</w:t>
      </w:r>
      <w:bookmarkEnd w:id="22"/>
      <w:r w:rsidRPr="000A7327">
        <w:rPr>
          <w:rFonts w:ascii="Arial" w:eastAsia="Times New Roman" w:hAnsi="Arial" w:cs="Arial"/>
          <w:lang w:eastAsia="en-GB"/>
        </w:rPr>
        <w:t xml:space="preserve"> </w:t>
      </w:r>
    </w:p>
    <w:p w:rsidR="005A2AB7" w:rsidRPr="0081443E" w:rsidRDefault="005A2AB7" w:rsidP="00215237">
      <w:pPr>
        <w:rPr>
          <w:rFonts w:ascii="Arial" w:hAnsi="Arial" w:cs="Arial"/>
        </w:rPr>
      </w:pPr>
    </w:p>
    <w:p w:rsidR="000F54BE" w:rsidRPr="0081443E" w:rsidRDefault="000F54BE" w:rsidP="00276743">
      <w:pPr>
        <w:rPr>
          <w:rFonts w:ascii="Arial" w:hAnsi="Arial" w:cs="Arial"/>
        </w:rPr>
      </w:pPr>
    </w:p>
    <w:p w:rsidR="003A48DE" w:rsidRPr="0081443E" w:rsidRDefault="003A48DE" w:rsidP="00D90B86">
      <w:pPr>
        <w:rPr>
          <w:rFonts w:ascii="Arial" w:hAnsi="Arial" w:cs="Arial"/>
        </w:rPr>
      </w:pPr>
    </w:p>
    <w:sectPr w:rsidR="003A48DE" w:rsidRPr="0081443E" w:rsidSect="00637FEC">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EC3499"/>
    <w:multiLevelType w:val="multilevel"/>
    <w:tmpl w:val="3CD07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EF01769"/>
    <w:multiLevelType w:val="multilevel"/>
    <w:tmpl w:val="7A36D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4235525"/>
    <w:multiLevelType w:val="multilevel"/>
    <w:tmpl w:val="5DFCF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4E37987"/>
    <w:multiLevelType w:val="multilevel"/>
    <w:tmpl w:val="00E49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savePreviewPicture/>
  <w:compat/>
  <w:rsids>
    <w:rsidRoot w:val="00D90B86"/>
    <w:rsid w:val="0003360F"/>
    <w:rsid w:val="00036F61"/>
    <w:rsid w:val="000406EE"/>
    <w:rsid w:val="00084FBE"/>
    <w:rsid w:val="000942C0"/>
    <w:rsid w:val="000A6946"/>
    <w:rsid w:val="000A7327"/>
    <w:rsid w:val="000A7A13"/>
    <w:rsid w:val="000D4C34"/>
    <w:rsid w:val="000E0668"/>
    <w:rsid w:val="000F54BE"/>
    <w:rsid w:val="00112ED6"/>
    <w:rsid w:val="00131AA3"/>
    <w:rsid w:val="00134164"/>
    <w:rsid w:val="00170B07"/>
    <w:rsid w:val="00194800"/>
    <w:rsid w:val="001D506F"/>
    <w:rsid w:val="00213948"/>
    <w:rsid w:val="00215237"/>
    <w:rsid w:val="00276743"/>
    <w:rsid w:val="002E3273"/>
    <w:rsid w:val="002F23E0"/>
    <w:rsid w:val="002F6841"/>
    <w:rsid w:val="00327D2E"/>
    <w:rsid w:val="003315C2"/>
    <w:rsid w:val="00347C1A"/>
    <w:rsid w:val="00362911"/>
    <w:rsid w:val="00381395"/>
    <w:rsid w:val="003A48DE"/>
    <w:rsid w:val="003D51B6"/>
    <w:rsid w:val="003F3478"/>
    <w:rsid w:val="00400F2B"/>
    <w:rsid w:val="0044789C"/>
    <w:rsid w:val="00491A2A"/>
    <w:rsid w:val="004B2F72"/>
    <w:rsid w:val="004C652E"/>
    <w:rsid w:val="004D7609"/>
    <w:rsid w:val="004E1A10"/>
    <w:rsid w:val="004F232A"/>
    <w:rsid w:val="00500FBC"/>
    <w:rsid w:val="00513644"/>
    <w:rsid w:val="00514454"/>
    <w:rsid w:val="0051711F"/>
    <w:rsid w:val="0054238E"/>
    <w:rsid w:val="00572C54"/>
    <w:rsid w:val="00584313"/>
    <w:rsid w:val="0059334C"/>
    <w:rsid w:val="005A2AB7"/>
    <w:rsid w:val="0061214D"/>
    <w:rsid w:val="0062333B"/>
    <w:rsid w:val="00624948"/>
    <w:rsid w:val="00637FEC"/>
    <w:rsid w:val="006809A8"/>
    <w:rsid w:val="00695C67"/>
    <w:rsid w:val="006A42ED"/>
    <w:rsid w:val="006C43F5"/>
    <w:rsid w:val="006C7C20"/>
    <w:rsid w:val="006F419C"/>
    <w:rsid w:val="00715EAE"/>
    <w:rsid w:val="0075418A"/>
    <w:rsid w:val="00764C62"/>
    <w:rsid w:val="007F2299"/>
    <w:rsid w:val="007F311A"/>
    <w:rsid w:val="007F50BA"/>
    <w:rsid w:val="0081443E"/>
    <w:rsid w:val="008577CC"/>
    <w:rsid w:val="008C1912"/>
    <w:rsid w:val="008C5B02"/>
    <w:rsid w:val="008D5CDD"/>
    <w:rsid w:val="008D7D2C"/>
    <w:rsid w:val="008E1781"/>
    <w:rsid w:val="008F0377"/>
    <w:rsid w:val="009302D6"/>
    <w:rsid w:val="00944048"/>
    <w:rsid w:val="00957754"/>
    <w:rsid w:val="00963562"/>
    <w:rsid w:val="00964A09"/>
    <w:rsid w:val="009664D0"/>
    <w:rsid w:val="00975082"/>
    <w:rsid w:val="009770D0"/>
    <w:rsid w:val="00992DCB"/>
    <w:rsid w:val="009962A5"/>
    <w:rsid w:val="009C7990"/>
    <w:rsid w:val="00A16D1A"/>
    <w:rsid w:val="00A21C9D"/>
    <w:rsid w:val="00A35DF4"/>
    <w:rsid w:val="00A433CE"/>
    <w:rsid w:val="00A6169B"/>
    <w:rsid w:val="00A76FCE"/>
    <w:rsid w:val="00AA6CF0"/>
    <w:rsid w:val="00AB08E1"/>
    <w:rsid w:val="00AB2916"/>
    <w:rsid w:val="00AE25FB"/>
    <w:rsid w:val="00AF6C0D"/>
    <w:rsid w:val="00B44C48"/>
    <w:rsid w:val="00B8244D"/>
    <w:rsid w:val="00B83715"/>
    <w:rsid w:val="00BA4184"/>
    <w:rsid w:val="00BF7922"/>
    <w:rsid w:val="00C0738B"/>
    <w:rsid w:val="00C2005F"/>
    <w:rsid w:val="00C224B7"/>
    <w:rsid w:val="00C5014D"/>
    <w:rsid w:val="00C50B76"/>
    <w:rsid w:val="00C72EAB"/>
    <w:rsid w:val="00C765E1"/>
    <w:rsid w:val="00C8619F"/>
    <w:rsid w:val="00C8681D"/>
    <w:rsid w:val="00CC4B4A"/>
    <w:rsid w:val="00CD6635"/>
    <w:rsid w:val="00D212B3"/>
    <w:rsid w:val="00D274CF"/>
    <w:rsid w:val="00D90B86"/>
    <w:rsid w:val="00DC24BD"/>
    <w:rsid w:val="00E25393"/>
    <w:rsid w:val="00E272C7"/>
    <w:rsid w:val="00E27DFA"/>
    <w:rsid w:val="00E47EEB"/>
    <w:rsid w:val="00EA71EC"/>
    <w:rsid w:val="00EB3E61"/>
    <w:rsid w:val="00EC44FF"/>
    <w:rsid w:val="00EE34AB"/>
    <w:rsid w:val="00EF6F6B"/>
    <w:rsid w:val="00F12DFF"/>
    <w:rsid w:val="00F20175"/>
    <w:rsid w:val="00F26DB4"/>
    <w:rsid w:val="00F30B44"/>
    <w:rsid w:val="00F64C17"/>
    <w:rsid w:val="00F737FC"/>
    <w:rsid w:val="00F766CA"/>
    <w:rsid w:val="00F7679D"/>
    <w:rsid w:val="00FA755A"/>
    <w:rsid w:val="00FD6DE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48DE"/>
  </w:style>
  <w:style w:type="paragraph" w:styleId="Heading1">
    <w:name w:val="heading 1"/>
    <w:basedOn w:val="Normal"/>
    <w:next w:val="Normal"/>
    <w:link w:val="Heading1Char"/>
    <w:uiPriority w:val="9"/>
    <w:qFormat/>
    <w:rsid w:val="00D90B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014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F54B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C5B0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B86"/>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C8619F"/>
    <w:rPr>
      <w:b/>
      <w:bCs/>
    </w:rPr>
  </w:style>
  <w:style w:type="character" w:customStyle="1" w:styleId="Heading2Char">
    <w:name w:val="Heading 2 Char"/>
    <w:basedOn w:val="DefaultParagraphFont"/>
    <w:link w:val="Heading2"/>
    <w:uiPriority w:val="9"/>
    <w:rsid w:val="00C5014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F54B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8C5B02"/>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2F68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6841"/>
    <w:rPr>
      <w:rFonts w:ascii="Tahoma" w:hAnsi="Tahoma" w:cs="Tahoma"/>
      <w:sz w:val="16"/>
      <w:szCs w:val="16"/>
    </w:rPr>
  </w:style>
  <w:style w:type="paragraph" w:styleId="NormalWeb">
    <w:name w:val="Normal (Web)"/>
    <w:basedOn w:val="Normal"/>
    <w:uiPriority w:val="99"/>
    <w:semiHidden/>
    <w:unhideWhenUsed/>
    <w:rsid w:val="00491A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1A2A"/>
    <w:pPr>
      <w:ind w:left="720"/>
      <w:contextualSpacing/>
    </w:pPr>
  </w:style>
  <w:style w:type="paragraph" w:styleId="TOCHeading">
    <w:name w:val="TOC Heading"/>
    <w:basedOn w:val="Heading1"/>
    <w:next w:val="Normal"/>
    <w:uiPriority w:val="39"/>
    <w:unhideWhenUsed/>
    <w:qFormat/>
    <w:rsid w:val="000A7327"/>
    <w:pPr>
      <w:outlineLvl w:val="9"/>
    </w:pPr>
    <w:rPr>
      <w:lang w:val="en-US"/>
    </w:rPr>
  </w:style>
  <w:style w:type="paragraph" w:styleId="TOC1">
    <w:name w:val="toc 1"/>
    <w:basedOn w:val="Normal"/>
    <w:next w:val="Normal"/>
    <w:autoRedefine/>
    <w:uiPriority w:val="39"/>
    <w:unhideWhenUsed/>
    <w:qFormat/>
    <w:rsid w:val="000A7327"/>
    <w:pPr>
      <w:spacing w:after="100"/>
    </w:pPr>
  </w:style>
  <w:style w:type="paragraph" w:styleId="TOC2">
    <w:name w:val="toc 2"/>
    <w:basedOn w:val="Normal"/>
    <w:next w:val="Normal"/>
    <w:autoRedefine/>
    <w:uiPriority w:val="39"/>
    <w:unhideWhenUsed/>
    <w:qFormat/>
    <w:rsid w:val="000A7327"/>
    <w:pPr>
      <w:spacing w:after="100"/>
      <w:ind w:left="220"/>
    </w:pPr>
  </w:style>
  <w:style w:type="paragraph" w:styleId="TOC3">
    <w:name w:val="toc 3"/>
    <w:basedOn w:val="Normal"/>
    <w:next w:val="Normal"/>
    <w:autoRedefine/>
    <w:uiPriority w:val="39"/>
    <w:unhideWhenUsed/>
    <w:qFormat/>
    <w:rsid w:val="000A7327"/>
    <w:pPr>
      <w:spacing w:after="100"/>
      <w:ind w:left="440"/>
    </w:pPr>
  </w:style>
  <w:style w:type="character" w:styleId="Hyperlink">
    <w:name w:val="Hyperlink"/>
    <w:basedOn w:val="DefaultParagraphFont"/>
    <w:uiPriority w:val="99"/>
    <w:unhideWhenUsed/>
    <w:rsid w:val="000A7327"/>
    <w:rPr>
      <w:color w:val="0000FF" w:themeColor="hyperlink"/>
      <w:u w:val="single"/>
    </w:rPr>
  </w:style>
  <w:style w:type="paragraph" w:styleId="NoSpacing">
    <w:name w:val="No Spacing"/>
    <w:link w:val="NoSpacingChar"/>
    <w:uiPriority w:val="1"/>
    <w:qFormat/>
    <w:rsid w:val="00637F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7FEC"/>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3096268">
      <w:bodyDiv w:val="1"/>
      <w:marLeft w:val="0"/>
      <w:marRight w:val="0"/>
      <w:marTop w:val="0"/>
      <w:marBottom w:val="0"/>
      <w:divBdr>
        <w:top w:val="none" w:sz="0" w:space="0" w:color="auto"/>
        <w:left w:val="none" w:sz="0" w:space="0" w:color="auto"/>
        <w:bottom w:val="none" w:sz="0" w:space="0" w:color="auto"/>
        <w:right w:val="none" w:sz="0" w:space="0" w:color="auto"/>
      </w:divBdr>
    </w:div>
    <w:div w:id="15542334">
      <w:bodyDiv w:val="1"/>
      <w:marLeft w:val="0"/>
      <w:marRight w:val="0"/>
      <w:marTop w:val="0"/>
      <w:marBottom w:val="0"/>
      <w:divBdr>
        <w:top w:val="none" w:sz="0" w:space="0" w:color="auto"/>
        <w:left w:val="none" w:sz="0" w:space="0" w:color="auto"/>
        <w:bottom w:val="none" w:sz="0" w:space="0" w:color="auto"/>
        <w:right w:val="none" w:sz="0" w:space="0" w:color="auto"/>
      </w:divBdr>
    </w:div>
    <w:div w:id="81537604">
      <w:bodyDiv w:val="1"/>
      <w:marLeft w:val="0"/>
      <w:marRight w:val="0"/>
      <w:marTop w:val="0"/>
      <w:marBottom w:val="0"/>
      <w:divBdr>
        <w:top w:val="none" w:sz="0" w:space="0" w:color="auto"/>
        <w:left w:val="none" w:sz="0" w:space="0" w:color="auto"/>
        <w:bottom w:val="none" w:sz="0" w:space="0" w:color="auto"/>
        <w:right w:val="none" w:sz="0" w:space="0" w:color="auto"/>
      </w:divBdr>
    </w:div>
    <w:div w:id="88087376">
      <w:bodyDiv w:val="1"/>
      <w:marLeft w:val="0"/>
      <w:marRight w:val="0"/>
      <w:marTop w:val="0"/>
      <w:marBottom w:val="0"/>
      <w:divBdr>
        <w:top w:val="none" w:sz="0" w:space="0" w:color="auto"/>
        <w:left w:val="none" w:sz="0" w:space="0" w:color="auto"/>
        <w:bottom w:val="none" w:sz="0" w:space="0" w:color="auto"/>
        <w:right w:val="none" w:sz="0" w:space="0" w:color="auto"/>
      </w:divBdr>
    </w:div>
    <w:div w:id="90707010">
      <w:bodyDiv w:val="1"/>
      <w:marLeft w:val="0"/>
      <w:marRight w:val="0"/>
      <w:marTop w:val="0"/>
      <w:marBottom w:val="0"/>
      <w:divBdr>
        <w:top w:val="none" w:sz="0" w:space="0" w:color="auto"/>
        <w:left w:val="none" w:sz="0" w:space="0" w:color="auto"/>
        <w:bottom w:val="none" w:sz="0" w:space="0" w:color="auto"/>
        <w:right w:val="none" w:sz="0" w:space="0" w:color="auto"/>
      </w:divBdr>
    </w:div>
    <w:div w:id="131023949">
      <w:bodyDiv w:val="1"/>
      <w:marLeft w:val="0"/>
      <w:marRight w:val="0"/>
      <w:marTop w:val="0"/>
      <w:marBottom w:val="0"/>
      <w:divBdr>
        <w:top w:val="none" w:sz="0" w:space="0" w:color="auto"/>
        <w:left w:val="none" w:sz="0" w:space="0" w:color="auto"/>
        <w:bottom w:val="none" w:sz="0" w:space="0" w:color="auto"/>
        <w:right w:val="none" w:sz="0" w:space="0" w:color="auto"/>
      </w:divBdr>
      <w:divsChild>
        <w:div w:id="1500579160">
          <w:marLeft w:val="0"/>
          <w:marRight w:val="0"/>
          <w:marTop w:val="120"/>
          <w:marBottom w:val="120"/>
          <w:divBdr>
            <w:top w:val="none" w:sz="0" w:space="0" w:color="auto"/>
            <w:left w:val="none" w:sz="0" w:space="0" w:color="auto"/>
            <w:bottom w:val="none" w:sz="0" w:space="0" w:color="auto"/>
            <w:right w:val="none" w:sz="0" w:space="0" w:color="auto"/>
          </w:divBdr>
        </w:div>
      </w:divsChild>
    </w:div>
    <w:div w:id="133186432">
      <w:bodyDiv w:val="1"/>
      <w:marLeft w:val="0"/>
      <w:marRight w:val="0"/>
      <w:marTop w:val="0"/>
      <w:marBottom w:val="0"/>
      <w:divBdr>
        <w:top w:val="none" w:sz="0" w:space="0" w:color="auto"/>
        <w:left w:val="none" w:sz="0" w:space="0" w:color="auto"/>
        <w:bottom w:val="none" w:sz="0" w:space="0" w:color="auto"/>
        <w:right w:val="none" w:sz="0" w:space="0" w:color="auto"/>
      </w:divBdr>
    </w:div>
    <w:div w:id="134763919">
      <w:bodyDiv w:val="1"/>
      <w:marLeft w:val="0"/>
      <w:marRight w:val="0"/>
      <w:marTop w:val="0"/>
      <w:marBottom w:val="0"/>
      <w:divBdr>
        <w:top w:val="none" w:sz="0" w:space="0" w:color="auto"/>
        <w:left w:val="none" w:sz="0" w:space="0" w:color="auto"/>
        <w:bottom w:val="none" w:sz="0" w:space="0" w:color="auto"/>
        <w:right w:val="none" w:sz="0" w:space="0" w:color="auto"/>
      </w:divBdr>
    </w:div>
    <w:div w:id="176888362">
      <w:bodyDiv w:val="1"/>
      <w:marLeft w:val="0"/>
      <w:marRight w:val="0"/>
      <w:marTop w:val="0"/>
      <w:marBottom w:val="0"/>
      <w:divBdr>
        <w:top w:val="none" w:sz="0" w:space="0" w:color="auto"/>
        <w:left w:val="none" w:sz="0" w:space="0" w:color="auto"/>
        <w:bottom w:val="none" w:sz="0" w:space="0" w:color="auto"/>
        <w:right w:val="none" w:sz="0" w:space="0" w:color="auto"/>
      </w:divBdr>
    </w:div>
    <w:div w:id="228226181">
      <w:bodyDiv w:val="1"/>
      <w:marLeft w:val="0"/>
      <w:marRight w:val="0"/>
      <w:marTop w:val="0"/>
      <w:marBottom w:val="0"/>
      <w:divBdr>
        <w:top w:val="none" w:sz="0" w:space="0" w:color="auto"/>
        <w:left w:val="none" w:sz="0" w:space="0" w:color="auto"/>
        <w:bottom w:val="none" w:sz="0" w:space="0" w:color="auto"/>
        <w:right w:val="none" w:sz="0" w:space="0" w:color="auto"/>
      </w:divBdr>
    </w:div>
    <w:div w:id="275450366">
      <w:bodyDiv w:val="1"/>
      <w:marLeft w:val="0"/>
      <w:marRight w:val="0"/>
      <w:marTop w:val="0"/>
      <w:marBottom w:val="0"/>
      <w:divBdr>
        <w:top w:val="none" w:sz="0" w:space="0" w:color="auto"/>
        <w:left w:val="none" w:sz="0" w:space="0" w:color="auto"/>
        <w:bottom w:val="none" w:sz="0" w:space="0" w:color="auto"/>
        <w:right w:val="none" w:sz="0" w:space="0" w:color="auto"/>
      </w:divBdr>
    </w:div>
    <w:div w:id="279142442">
      <w:bodyDiv w:val="1"/>
      <w:marLeft w:val="0"/>
      <w:marRight w:val="0"/>
      <w:marTop w:val="0"/>
      <w:marBottom w:val="0"/>
      <w:divBdr>
        <w:top w:val="none" w:sz="0" w:space="0" w:color="auto"/>
        <w:left w:val="none" w:sz="0" w:space="0" w:color="auto"/>
        <w:bottom w:val="none" w:sz="0" w:space="0" w:color="auto"/>
        <w:right w:val="none" w:sz="0" w:space="0" w:color="auto"/>
      </w:divBdr>
    </w:div>
    <w:div w:id="299845426">
      <w:bodyDiv w:val="1"/>
      <w:marLeft w:val="0"/>
      <w:marRight w:val="0"/>
      <w:marTop w:val="0"/>
      <w:marBottom w:val="0"/>
      <w:divBdr>
        <w:top w:val="none" w:sz="0" w:space="0" w:color="auto"/>
        <w:left w:val="none" w:sz="0" w:space="0" w:color="auto"/>
        <w:bottom w:val="none" w:sz="0" w:space="0" w:color="auto"/>
        <w:right w:val="none" w:sz="0" w:space="0" w:color="auto"/>
      </w:divBdr>
    </w:div>
    <w:div w:id="305163152">
      <w:bodyDiv w:val="1"/>
      <w:marLeft w:val="0"/>
      <w:marRight w:val="0"/>
      <w:marTop w:val="0"/>
      <w:marBottom w:val="0"/>
      <w:divBdr>
        <w:top w:val="none" w:sz="0" w:space="0" w:color="auto"/>
        <w:left w:val="none" w:sz="0" w:space="0" w:color="auto"/>
        <w:bottom w:val="none" w:sz="0" w:space="0" w:color="auto"/>
        <w:right w:val="none" w:sz="0" w:space="0" w:color="auto"/>
      </w:divBdr>
      <w:divsChild>
        <w:div w:id="1278682865">
          <w:marLeft w:val="0"/>
          <w:marRight w:val="0"/>
          <w:marTop w:val="120"/>
          <w:marBottom w:val="120"/>
          <w:divBdr>
            <w:top w:val="none" w:sz="0" w:space="0" w:color="auto"/>
            <w:left w:val="none" w:sz="0" w:space="0" w:color="auto"/>
            <w:bottom w:val="none" w:sz="0" w:space="0" w:color="auto"/>
            <w:right w:val="none" w:sz="0" w:space="0" w:color="auto"/>
          </w:divBdr>
        </w:div>
      </w:divsChild>
    </w:div>
    <w:div w:id="314452774">
      <w:bodyDiv w:val="1"/>
      <w:marLeft w:val="0"/>
      <w:marRight w:val="0"/>
      <w:marTop w:val="0"/>
      <w:marBottom w:val="0"/>
      <w:divBdr>
        <w:top w:val="none" w:sz="0" w:space="0" w:color="auto"/>
        <w:left w:val="none" w:sz="0" w:space="0" w:color="auto"/>
        <w:bottom w:val="none" w:sz="0" w:space="0" w:color="auto"/>
        <w:right w:val="none" w:sz="0" w:space="0" w:color="auto"/>
      </w:divBdr>
    </w:div>
    <w:div w:id="323438015">
      <w:bodyDiv w:val="1"/>
      <w:marLeft w:val="0"/>
      <w:marRight w:val="0"/>
      <w:marTop w:val="0"/>
      <w:marBottom w:val="0"/>
      <w:divBdr>
        <w:top w:val="none" w:sz="0" w:space="0" w:color="auto"/>
        <w:left w:val="none" w:sz="0" w:space="0" w:color="auto"/>
        <w:bottom w:val="none" w:sz="0" w:space="0" w:color="auto"/>
        <w:right w:val="none" w:sz="0" w:space="0" w:color="auto"/>
      </w:divBdr>
    </w:div>
    <w:div w:id="341008421">
      <w:bodyDiv w:val="1"/>
      <w:marLeft w:val="0"/>
      <w:marRight w:val="0"/>
      <w:marTop w:val="0"/>
      <w:marBottom w:val="0"/>
      <w:divBdr>
        <w:top w:val="none" w:sz="0" w:space="0" w:color="auto"/>
        <w:left w:val="none" w:sz="0" w:space="0" w:color="auto"/>
        <w:bottom w:val="none" w:sz="0" w:space="0" w:color="auto"/>
        <w:right w:val="none" w:sz="0" w:space="0" w:color="auto"/>
      </w:divBdr>
      <w:divsChild>
        <w:div w:id="1467120222">
          <w:marLeft w:val="0"/>
          <w:marRight w:val="0"/>
          <w:marTop w:val="120"/>
          <w:marBottom w:val="120"/>
          <w:divBdr>
            <w:top w:val="none" w:sz="0" w:space="0" w:color="auto"/>
            <w:left w:val="none" w:sz="0" w:space="0" w:color="auto"/>
            <w:bottom w:val="none" w:sz="0" w:space="0" w:color="auto"/>
            <w:right w:val="none" w:sz="0" w:space="0" w:color="auto"/>
          </w:divBdr>
        </w:div>
      </w:divsChild>
    </w:div>
    <w:div w:id="372772623">
      <w:bodyDiv w:val="1"/>
      <w:marLeft w:val="0"/>
      <w:marRight w:val="0"/>
      <w:marTop w:val="0"/>
      <w:marBottom w:val="0"/>
      <w:divBdr>
        <w:top w:val="none" w:sz="0" w:space="0" w:color="auto"/>
        <w:left w:val="none" w:sz="0" w:space="0" w:color="auto"/>
        <w:bottom w:val="none" w:sz="0" w:space="0" w:color="auto"/>
        <w:right w:val="none" w:sz="0" w:space="0" w:color="auto"/>
      </w:divBdr>
    </w:div>
    <w:div w:id="399640288">
      <w:bodyDiv w:val="1"/>
      <w:marLeft w:val="0"/>
      <w:marRight w:val="0"/>
      <w:marTop w:val="0"/>
      <w:marBottom w:val="0"/>
      <w:divBdr>
        <w:top w:val="none" w:sz="0" w:space="0" w:color="auto"/>
        <w:left w:val="none" w:sz="0" w:space="0" w:color="auto"/>
        <w:bottom w:val="none" w:sz="0" w:space="0" w:color="auto"/>
        <w:right w:val="none" w:sz="0" w:space="0" w:color="auto"/>
      </w:divBdr>
    </w:div>
    <w:div w:id="443616200">
      <w:bodyDiv w:val="1"/>
      <w:marLeft w:val="0"/>
      <w:marRight w:val="0"/>
      <w:marTop w:val="0"/>
      <w:marBottom w:val="0"/>
      <w:divBdr>
        <w:top w:val="none" w:sz="0" w:space="0" w:color="auto"/>
        <w:left w:val="none" w:sz="0" w:space="0" w:color="auto"/>
        <w:bottom w:val="none" w:sz="0" w:space="0" w:color="auto"/>
        <w:right w:val="none" w:sz="0" w:space="0" w:color="auto"/>
      </w:divBdr>
    </w:div>
    <w:div w:id="457913465">
      <w:bodyDiv w:val="1"/>
      <w:marLeft w:val="0"/>
      <w:marRight w:val="0"/>
      <w:marTop w:val="0"/>
      <w:marBottom w:val="0"/>
      <w:divBdr>
        <w:top w:val="none" w:sz="0" w:space="0" w:color="auto"/>
        <w:left w:val="none" w:sz="0" w:space="0" w:color="auto"/>
        <w:bottom w:val="none" w:sz="0" w:space="0" w:color="auto"/>
        <w:right w:val="none" w:sz="0" w:space="0" w:color="auto"/>
      </w:divBdr>
    </w:div>
    <w:div w:id="470561746">
      <w:bodyDiv w:val="1"/>
      <w:marLeft w:val="0"/>
      <w:marRight w:val="0"/>
      <w:marTop w:val="0"/>
      <w:marBottom w:val="0"/>
      <w:divBdr>
        <w:top w:val="none" w:sz="0" w:space="0" w:color="auto"/>
        <w:left w:val="none" w:sz="0" w:space="0" w:color="auto"/>
        <w:bottom w:val="none" w:sz="0" w:space="0" w:color="auto"/>
        <w:right w:val="none" w:sz="0" w:space="0" w:color="auto"/>
      </w:divBdr>
    </w:div>
    <w:div w:id="472139737">
      <w:bodyDiv w:val="1"/>
      <w:marLeft w:val="0"/>
      <w:marRight w:val="0"/>
      <w:marTop w:val="0"/>
      <w:marBottom w:val="0"/>
      <w:divBdr>
        <w:top w:val="none" w:sz="0" w:space="0" w:color="auto"/>
        <w:left w:val="none" w:sz="0" w:space="0" w:color="auto"/>
        <w:bottom w:val="none" w:sz="0" w:space="0" w:color="auto"/>
        <w:right w:val="none" w:sz="0" w:space="0" w:color="auto"/>
      </w:divBdr>
    </w:div>
    <w:div w:id="489828009">
      <w:bodyDiv w:val="1"/>
      <w:marLeft w:val="0"/>
      <w:marRight w:val="0"/>
      <w:marTop w:val="0"/>
      <w:marBottom w:val="0"/>
      <w:divBdr>
        <w:top w:val="none" w:sz="0" w:space="0" w:color="auto"/>
        <w:left w:val="none" w:sz="0" w:space="0" w:color="auto"/>
        <w:bottom w:val="none" w:sz="0" w:space="0" w:color="auto"/>
        <w:right w:val="none" w:sz="0" w:space="0" w:color="auto"/>
      </w:divBdr>
    </w:div>
    <w:div w:id="502742765">
      <w:bodyDiv w:val="1"/>
      <w:marLeft w:val="0"/>
      <w:marRight w:val="0"/>
      <w:marTop w:val="0"/>
      <w:marBottom w:val="0"/>
      <w:divBdr>
        <w:top w:val="none" w:sz="0" w:space="0" w:color="auto"/>
        <w:left w:val="none" w:sz="0" w:space="0" w:color="auto"/>
        <w:bottom w:val="none" w:sz="0" w:space="0" w:color="auto"/>
        <w:right w:val="none" w:sz="0" w:space="0" w:color="auto"/>
      </w:divBdr>
    </w:div>
    <w:div w:id="539899333">
      <w:bodyDiv w:val="1"/>
      <w:marLeft w:val="0"/>
      <w:marRight w:val="0"/>
      <w:marTop w:val="0"/>
      <w:marBottom w:val="0"/>
      <w:divBdr>
        <w:top w:val="none" w:sz="0" w:space="0" w:color="auto"/>
        <w:left w:val="none" w:sz="0" w:space="0" w:color="auto"/>
        <w:bottom w:val="none" w:sz="0" w:space="0" w:color="auto"/>
        <w:right w:val="none" w:sz="0" w:space="0" w:color="auto"/>
      </w:divBdr>
    </w:div>
    <w:div w:id="562326807">
      <w:bodyDiv w:val="1"/>
      <w:marLeft w:val="0"/>
      <w:marRight w:val="0"/>
      <w:marTop w:val="0"/>
      <w:marBottom w:val="0"/>
      <w:divBdr>
        <w:top w:val="none" w:sz="0" w:space="0" w:color="auto"/>
        <w:left w:val="none" w:sz="0" w:space="0" w:color="auto"/>
        <w:bottom w:val="none" w:sz="0" w:space="0" w:color="auto"/>
        <w:right w:val="none" w:sz="0" w:space="0" w:color="auto"/>
      </w:divBdr>
    </w:div>
    <w:div w:id="564144361">
      <w:bodyDiv w:val="1"/>
      <w:marLeft w:val="0"/>
      <w:marRight w:val="0"/>
      <w:marTop w:val="0"/>
      <w:marBottom w:val="0"/>
      <w:divBdr>
        <w:top w:val="none" w:sz="0" w:space="0" w:color="auto"/>
        <w:left w:val="none" w:sz="0" w:space="0" w:color="auto"/>
        <w:bottom w:val="none" w:sz="0" w:space="0" w:color="auto"/>
        <w:right w:val="none" w:sz="0" w:space="0" w:color="auto"/>
      </w:divBdr>
    </w:div>
    <w:div w:id="586764790">
      <w:bodyDiv w:val="1"/>
      <w:marLeft w:val="0"/>
      <w:marRight w:val="0"/>
      <w:marTop w:val="0"/>
      <w:marBottom w:val="0"/>
      <w:divBdr>
        <w:top w:val="none" w:sz="0" w:space="0" w:color="auto"/>
        <w:left w:val="none" w:sz="0" w:space="0" w:color="auto"/>
        <w:bottom w:val="none" w:sz="0" w:space="0" w:color="auto"/>
        <w:right w:val="none" w:sz="0" w:space="0" w:color="auto"/>
      </w:divBdr>
    </w:div>
    <w:div w:id="600996190">
      <w:bodyDiv w:val="1"/>
      <w:marLeft w:val="0"/>
      <w:marRight w:val="0"/>
      <w:marTop w:val="0"/>
      <w:marBottom w:val="0"/>
      <w:divBdr>
        <w:top w:val="none" w:sz="0" w:space="0" w:color="auto"/>
        <w:left w:val="none" w:sz="0" w:space="0" w:color="auto"/>
        <w:bottom w:val="none" w:sz="0" w:space="0" w:color="auto"/>
        <w:right w:val="none" w:sz="0" w:space="0" w:color="auto"/>
      </w:divBdr>
    </w:div>
    <w:div w:id="621881903">
      <w:bodyDiv w:val="1"/>
      <w:marLeft w:val="0"/>
      <w:marRight w:val="0"/>
      <w:marTop w:val="0"/>
      <w:marBottom w:val="0"/>
      <w:divBdr>
        <w:top w:val="none" w:sz="0" w:space="0" w:color="auto"/>
        <w:left w:val="none" w:sz="0" w:space="0" w:color="auto"/>
        <w:bottom w:val="none" w:sz="0" w:space="0" w:color="auto"/>
        <w:right w:val="none" w:sz="0" w:space="0" w:color="auto"/>
      </w:divBdr>
    </w:div>
    <w:div w:id="656612158">
      <w:bodyDiv w:val="1"/>
      <w:marLeft w:val="0"/>
      <w:marRight w:val="0"/>
      <w:marTop w:val="0"/>
      <w:marBottom w:val="0"/>
      <w:divBdr>
        <w:top w:val="none" w:sz="0" w:space="0" w:color="auto"/>
        <w:left w:val="none" w:sz="0" w:space="0" w:color="auto"/>
        <w:bottom w:val="none" w:sz="0" w:space="0" w:color="auto"/>
        <w:right w:val="none" w:sz="0" w:space="0" w:color="auto"/>
      </w:divBdr>
    </w:div>
    <w:div w:id="686911938">
      <w:bodyDiv w:val="1"/>
      <w:marLeft w:val="0"/>
      <w:marRight w:val="0"/>
      <w:marTop w:val="0"/>
      <w:marBottom w:val="0"/>
      <w:divBdr>
        <w:top w:val="none" w:sz="0" w:space="0" w:color="auto"/>
        <w:left w:val="none" w:sz="0" w:space="0" w:color="auto"/>
        <w:bottom w:val="none" w:sz="0" w:space="0" w:color="auto"/>
        <w:right w:val="none" w:sz="0" w:space="0" w:color="auto"/>
      </w:divBdr>
    </w:div>
    <w:div w:id="695542258">
      <w:bodyDiv w:val="1"/>
      <w:marLeft w:val="0"/>
      <w:marRight w:val="0"/>
      <w:marTop w:val="0"/>
      <w:marBottom w:val="0"/>
      <w:divBdr>
        <w:top w:val="none" w:sz="0" w:space="0" w:color="auto"/>
        <w:left w:val="none" w:sz="0" w:space="0" w:color="auto"/>
        <w:bottom w:val="none" w:sz="0" w:space="0" w:color="auto"/>
        <w:right w:val="none" w:sz="0" w:space="0" w:color="auto"/>
      </w:divBdr>
    </w:div>
    <w:div w:id="703142983">
      <w:bodyDiv w:val="1"/>
      <w:marLeft w:val="0"/>
      <w:marRight w:val="0"/>
      <w:marTop w:val="0"/>
      <w:marBottom w:val="0"/>
      <w:divBdr>
        <w:top w:val="none" w:sz="0" w:space="0" w:color="auto"/>
        <w:left w:val="none" w:sz="0" w:space="0" w:color="auto"/>
        <w:bottom w:val="none" w:sz="0" w:space="0" w:color="auto"/>
        <w:right w:val="none" w:sz="0" w:space="0" w:color="auto"/>
      </w:divBdr>
    </w:div>
    <w:div w:id="735711741">
      <w:bodyDiv w:val="1"/>
      <w:marLeft w:val="0"/>
      <w:marRight w:val="0"/>
      <w:marTop w:val="0"/>
      <w:marBottom w:val="0"/>
      <w:divBdr>
        <w:top w:val="none" w:sz="0" w:space="0" w:color="auto"/>
        <w:left w:val="none" w:sz="0" w:space="0" w:color="auto"/>
        <w:bottom w:val="none" w:sz="0" w:space="0" w:color="auto"/>
        <w:right w:val="none" w:sz="0" w:space="0" w:color="auto"/>
      </w:divBdr>
    </w:div>
    <w:div w:id="807629900">
      <w:bodyDiv w:val="1"/>
      <w:marLeft w:val="0"/>
      <w:marRight w:val="0"/>
      <w:marTop w:val="0"/>
      <w:marBottom w:val="0"/>
      <w:divBdr>
        <w:top w:val="none" w:sz="0" w:space="0" w:color="auto"/>
        <w:left w:val="none" w:sz="0" w:space="0" w:color="auto"/>
        <w:bottom w:val="none" w:sz="0" w:space="0" w:color="auto"/>
        <w:right w:val="none" w:sz="0" w:space="0" w:color="auto"/>
      </w:divBdr>
      <w:divsChild>
        <w:div w:id="1689790731">
          <w:marLeft w:val="0"/>
          <w:marRight w:val="0"/>
          <w:marTop w:val="0"/>
          <w:marBottom w:val="0"/>
          <w:divBdr>
            <w:top w:val="none" w:sz="0" w:space="0" w:color="auto"/>
            <w:left w:val="none" w:sz="0" w:space="0" w:color="auto"/>
            <w:bottom w:val="none" w:sz="0" w:space="0" w:color="auto"/>
            <w:right w:val="none" w:sz="0" w:space="0" w:color="auto"/>
          </w:divBdr>
          <w:divsChild>
            <w:div w:id="1704404013">
              <w:marLeft w:val="0"/>
              <w:marRight w:val="0"/>
              <w:marTop w:val="0"/>
              <w:marBottom w:val="0"/>
              <w:divBdr>
                <w:top w:val="none" w:sz="0" w:space="0" w:color="auto"/>
                <w:left w:val="none" w:sz="0" w:space="0" w:color="auto"/>
                <w:bottom w:val="none" w:sz="0" w:space="0" w:color="auto"/>
                <w:right w:val="none" w:sz="0" w:space="0" w:color="auto"/>
              </w:divBdr>
              <w:divsChild>
                <w:div w:id="1125539626">
                  <w:marLeft w:val="0"/>
                  <w:marRight w:val="0"/>
                  <w:marTop w:val="0"/>
                  <w:marBottom w:val="0"/>
                  <w:divBdr>
                    <w:top w:val="none" w:sz="0" w:space="0" w:color="auto"/>
                    <w:left w:val="none" w:sz="0" w:space="0" w:color="auto"/>
                    <w:bottom w:val="none" w:sz="0" w:space="0" w:color="auto"/>
                    <w:right w:val="none" w:sz="0" w:space="0" w:color="auto"/>
                  </w:divBdr>
                  <w:divsChild>
                    <w:div w:id="1090127260">
                      <w:marLeft w:val="0"/>
                      <w:marRight w:val="0"/>
                      <w:marTop w:val="0"/>
                      <w:marBottom w:val="0"/>
                      <w:divBdr>
                        <w:top w:val="none" w:sz="0" w:space="0" w:color="auto"/>
                        <w:left w:val="none" w:sz="0" w:space="0" w:color="auto"/>
                        <w:bottom w:val="none" w:sz="0" w:space="0" w:color="auto"/>
                        <w:right w:val="none" w:sz="0" w:space="0" w:color="auto"/>
                      </w:divBdr>
                      <w:divsChild>
                        <w:div w:id="1991639926">
                          <w:marLeft w:val="0"/>
                          <w:marRight w:val="0"/>
                          <w:marTop w:val="0"/>
                          <w:marBottom w:val="0"/>
                          <w:divBdr>
                            <w:top w:val="none" w:sz="0" w:space="0" w:color="auto"/>
                            <w:left w:val="none" w:sz="0" w:space="0" w:color="auto"/>
                            <w:bottom w:val="none" w:sz="0" w:space="0" w:color="auto"/>
                            <w:right w:val="none" w:sz="0" w:space="0" w:color="auto"/>
                          </w:divBdr>
                          <w:divsChild>
                            <w:div w:id="690499510">
                              <w:marLeft w:val="0"/>
                              <w:marRight w:val="0"/>
                              <w:marTop w:val="0"/>
                              <w:marBottom w:val="0"/>
                              <w:divBdr>
                                <w:top w:val="none" w:sz="0" w:space="0" w:color="auto"/>
                                <w:left w:val="none" w:sz="0" w:space="0" w:color="auto"/>
                                <w:bottom w:val="none" w:sz="0" w:space="0" w:color="auto"/>
                                <w:right w:val="none" w:sz="0" w:space="0" w:color="auto"/>
                              </w:divBdr>
                              <w:divsChild>
                                <w:div w:id="2013800932">
                                  <w:marLeft w:val="0"/>
                                  <w:marRight w:val="0"/>
                                  <w:marTop w:val="0"/>
                                  <w:marBottom w:val="0"/>
                                  <w:divBdr>
                                    <w:top w:val="none" w:sz="0" w:space="0" w:color="auto"/>
                                    <w:left w:val="none" w:sz="0" w:space="0" w:color="auto"/>
                                    <w:bottom w:val="none" w:sz="0" w:space="0" w:color="auto"/>
                                    <w:right w:val="none" w:sz="0" w:space="0" w:color="auto"/>
                                  </w:divBdr>
                                  <w:divsChild>
                                    <w:div w:id="482431245">
                                      <w:marLeft w:val="0"/>
                                      <w:marRight w:val="0"/>
                                      <w:marTop w:val="0"/>
                                      <w:marBottom w:val="0"/>
                                      <w:divBdr>
                                        <w:top w:val="none" w:sz="0" w:space="0" w:color="auto"/>
                                        <w:left w:val="none" w:sz="0" w:space="0" w:color="auto"/>
                                        <w:bottom w:val="none" w:sz="0" w:space="0" w:color="auto"/>
                                        <w:right w:val="none" w:sz="0" w:space="0" w:color="auto"/>
                                      </w:divBdr>
                                      <w:divsChild>
                                        <w:div w:id="674112535">
                                          <w:marLeft w:val="0"/>
                                          <w:marRight w:val="0"/>
                                          <w:marTop w:val="0"/>
                                          <w:marBottom w:val="0"/>
                                          <w:divBdr>
                                            <w:top w:val="none" w:sz="0" w:space="0" w:color="auto"/>
                                            <w:left w:val="none" w:sz="0" w:space="0" w:color="auto"/>
                                            <w:bottom w:val="none" w:sz="0" w:space="0" w:color="auto"/>
                                            <w:right w:val="none" w:sz="0" w:space="0" w:color="auto"/>
                                          </w:divBdr>
                                          <w:divsChild>
                                            <w:div w:id="1237130757">
                                              <w:marLeft w:val="0"/>
                                              <w:marRight w:val="0"/>
                                              <w:marTop w:val="0"/>
                                              <w:marBottom w:val="0"/>
                                              <w:divBdr>
                                                <w:top w:val="none" w:sz="0" w:space="0" w:color="auto"/>
                                                <w:left w:val="none" w:sz="0" w:space="0" w:color="auto"/>
                                                <w:bottom w:val="none" w:sz="0" w:space="0" w:color="auto"/>
                                                <w:right w:val="none" w:sz="0" w:space="0" w:color="auto"/>
                                              </w:divBdr>
                                              <w:divsChild>
                                                <w:div w:id="876087252">
                                                  <w:marLeft w:val="0"/>
                                                  <w:marRight w:val="0"/>
                                                  <w:marTop w:val="0"/>
                                                  <w:marBottom w:val="0"/>
                                                  <w:divBdr>
                                                    <w:top w:val="none" w:sz="0" w:space="0" w:color="auto"/>
                                                    <w:left w:val="none" w:sz="0" w:space="0" w:color="auto"/>
                                                    <w:bottom w:val="none" w:sz="0" w:space="0" w:color="auto"/>
                                                    <w:right w:val="none" w:sz="0" w:space="0" w:color="auto"/>
                                                  </w:divBdr>
                                                  <w:divsChild>
                                                    <w:div w:id="1455714029">
                                                      <w:marLeft w:val="0"/>
                                                      <w:marRight w:val="0"/>
                                                      <w:marTop w:val="0"/>
                                                      <w:marBottom w:val="0"/>
                                                      <w:divBdr>
                                                        <w:top w:val="none" w:sz="0" w:space="0" w:color="auto"/>
                                                        <w:left w:val="none" w:sz="0" w:space="0" w:color="auto"/>
                                                        <w:bottom w:val="none" w:sz="0" w:space="0" w:color="auto"/>
                                                        <w:right w:val="none" w:sz="0" w:space="0" w:color="auto"/>
                                                      </w:divBdr>
                                                      <w:divsChild>
                                                        <w:div w:id="22022363">
                                                          <w:marLeft w:val="0"/>
                                                          <w:marRight w:val="0"/>
                                                          <w:marTop w:val="0"/>
                                                          <w:marBottom w:val="0"/>
                                                          <w:divBdr>
                                                            <w:top w:val="none" w:sz="0" w:space="0" w:color="auto"/>
                                                            <w:left w:val="none" w:sz="0" w:space="0" w:color="auto"/>
                                                            <w:bottom w:val="none" w:sz="0" w:space="0" w:color="auto"/>
                                                            <w:right w:val="none" w:sz="0" w:space="0" w:color="auto"/>
                                                          </w:divBdr>
                                                          <w:divsChild>
                                                            <w:div w:id="1002701380">
                                                              <w:marLeft w:val="0"/>
                                                              <w:marRight w:val="0"/>
                                                              <w:marTop w:val="0"/>
                                                              <w:marBottom w:val="0"/>
                                                              <w:divBdr>
                                                                <w:top w:val="none" w:sz="0" w:space="0" w:color="auto"/>
                                                                <w:left w:val="none" w:sz="0" w:space="0" w:color="auto"/>
                                                                <w:bottom w:val="none" w:sz="0" w:space="0" w:color="auto"/>
                                                                <w:right w:val="none" w:sz="0" w:space="0" w:color="auto"/>
                                                              </w:divBdr>
                                                              <w:divsChild>
                                                                <w:div w:id="1157847151">
                                                                  <w:marLeft w:val="0"/>
                                                                  <w:marRight w:val="0"/>
                                                                  <w:marTop w:val="0"/>
                                                                  <w:marBottom w:val="0"/>
                                                                  <w:divBdr>
                                                                    <w:top w:val="none" w:sz="0" w:space="0" w:color="auto"/>
                                                                    <w:left w:val="none" w:sz="0" w:space="0" w:color="auto"/>
                                                                    <w:bottom w:val="none" w:sz="0" w:space="0" w:color="auto"/>
                                                                    <w:right w:val="none" w:sz="0" w:space="0" w:color="auto"/>
                                                                  </w:divBdr>
                                                                  <w:divsChild>
                                                                    <w:div w:id="1094743040">
                                                                      <w:marLeft w:val="0"/>
                                                                      <w:marRight w:val="0"/>
                                                                      <w:marTop w:val="0"/>
                                                                      <w:marBottom w:val="0"/>
                                                                      <w:divBdr>
                                                                        <w:top w:val="none" w:sz="0" w:space="0" w:color="auto"/>
                                                                        <w:left w:val="none" w:sz="0" w:space="0" w:color="auto"/>
                                                                        <w:bottom w:val="none" w:sz="0" w:space="0" w:color="auto"/>
                                                                        <w:right w:val="none" w:sz="0" w:space="0" w:color="auto"/>
                                                                      </w:divBdr>
                                                                      <w:divsChild>
                                                                        <w:div w:id="1387993735">
                                                                          <w:marLeft w:val="0"/>
                                                                          <w:marRight w:val="0"/>
                                                                          <w:marTop w:val="0"/>
                                                                          <w:marBottom w:val="0"/>
                                                                          <w:divBdr>
                                                                            <w:top w:val="none" w:sz="0" w:space="0" w:color="auto"/>
                                                                            <w:left w:val="none" w:sz="0" w:space="0" w:color="auto"/>
                                                                            <w:bottom w:val="none" w:sz="0" w:space="0" w:color="auto"/>
                                                                            <w:right w:val="none" w:sz="0" w:space="0" w:color="auto"/>
                                                                          </w:divBdr>
                                                                          <w:divsChild>
                                                                            <w:div w:id="2049720026">
                                                                              <w:marLeft w:val="0"/>
                                                                              <w:marRight w:val="0"/>
                                                                              <w:marTop w:val="0"/>
                                                                              <w:marBottom w:val="0"/>
                                                                              <w:divBdr>
                                                                                <w:top w:val="none" w:sz="0" w:space="0" w:color="auto"/>
                                                                                <w:left w:val="none" w:sz="0" w:space="0" w:color="auto"/>
                                                                                <w:bottom w:val="none" w:sz="0" w:space="0" w:color="auto"/>
                                                                                <w:right w:val="none" w:sz="0" w:space="0" w:color="auto"/>
                                                                              </w:divBdr>
                                                                              <w:divsChild>
                                                                                <w:div w:id="194125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8356750">
                                                      <w:marLeft w:val="0"/>
                                                      <w:marRight w:val="0"/>
                                                      <w:marTop w:val="0"/>
                                                      <w:marBottom w:val="0"/>
                                                      <w:divBdr>
                                                        <w:top w:val="none" w:sz="0" w:space="0" w:color="auto"/>
                                                        <w:left w:val="none" w:sz="0" w:space="0" w:color="auto"/>
                                                        <w:bottom w:val="none" w:sz="0" w:space="0" w:color="auto"/>
                                                        <w:right w:val="none" w:sz="0" w:space="0" w:color="auto"/>
                                                      </w:divBdr>
                                                      <w:divsChild>
                                                        <w:div w:id="1944610501">
                                                          <w:marLeft w:val="0"/>
                                                          <w:marRight w:val="0"/>
                                                          <w:marTop w:val="0"/>
                                                          <w:marBottom w:val="0"/>
                                                          <w:divBdr>
                                                            <w:top w:val="none" w:sz="0" w:space="0" w:color="auto"/>
                                                            <w:left w:val="none" w:sz="0" w:space="0" w:color="auto"/>
                                                            <w:bottom w:val="none" w:sz="0" w:space="0" w:color="auto"/>
                                                            <w:right w:val="none" w:sz="0" w:space="0" w:color="auto"/>
                                                          </w:divBdr>
                                                          <w:divsChild>
                                                            <w:div w:id="63094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42282372">
      <w:bodyDiv w:val="1"/>
      <w:marLeft w:val="0"/>
      <w:marRight w:val="0"/>
      <w:marTop w:val="0"/>
      <w:marBottom w:val="0"/>
      <w:divBdr>
        <w:top w:val="none" w:sz="0" w:space="0" w:color="auto"/>
        <w:left w:val="none" w:sz="0" w:space="0" w:color="auto"/>
        <w:bottom w:val="none" w:sz="0" w:space="0" w:color="auto"/>
        <w:right w:val="none" w:sz="0" w:space="0" w:color="auto"/>
      </w:divBdr>
    </w:div>
    <w:div w:id="864827910">
      <w:bodyDiv w:val="1"/>
      <w:marLeft w:val="0"/>
      <w:marRight w:val="0"/>
      <w:marTop w:val="0"/>
      <w:marBottom w:val="0"/>
      <w:divBdr>
        <w:top w:val="none" w:sz="0" w:space="0" w:color="auto"/>
        <w:left w:val="none" w:sz="0" w:space="0" w:color="auto"/>
        <w:bottom w:val="none" w:sz="0" w:space="0" w:color="auto"/>
        <w:right w:val="none" w:sz="0" w:space="0" w:color="auto"/>
      </w:divBdr>
    </w:div>
    <w:div w:id="874073824">
      <w:bodyDiv w:val="1"/>
      <w:marLeft w:val="0"/>
      <w:marRight w:val="0"/>
      <w:marTop w:val="0"/>
      <w:marBottom w:val="0"/>
      <w:divBdr>
        <w:top w:val="none" w:sz="0" w:space="0" w:color="auto"/>
        <w:left w:val="none" w:sz="0" w:space="0" w:color="auto"/>
        <w:bottom w:val="none" w:sz="0" w:space="0" w:color="auto"/>
        <w:right w:val="none" w:sz="0" w:space="0" w:color="auto"/>
      </w:divBdr>
    </w:div>
    <w:div w:id="878859530">
      <w:bodyDiv w:val="1"/>
      <w:marLeft w:val="0"/>
      <w:marRight w:val="0"/>
      <w:marTop w:val="0"/>
      <w:marBottom w:val="0"/>
      <w:divBdr>
        <w:top w:val="none" w:sz="0" w:space="0" w:color="auto"/>
        <w:left w:val="none" w:sz="0" w:space="0" w:color="auto"/>
        <w:bottom w:val="none" w:sz="0" w:space="0" w:color="auto"/>
        <w:right w:val="none" w:sz="0" w:space="0" w:color="auto"/>
      </w:divBdr>
    </w:div>
    <w:div w:id="900169409">
      <w:bodyDiv w:val="1"/>
      <w:marLeft w:val="0"/>
      <w:marRight w:val="0"/>
      <w:marTop w:val="0"/>
      <w:marBottom w:val="0"/>
      <w:divBdr>
        <w:top w:val="none" w:sz="0" w:space="0" w:color="auto"/>
        <w:left w:val="none" w:sz="0" w:space="0" w:color="auto"/>
        <w:bottom w:val="none" w:sz="0" w:space="0" w:color="auto"/>
        <w:right w:val="none" w:sz="0" w:space="0" w:color="auto"/>
      </w:divBdr>
    </w:div>
    <w:div w:id="913900127">
      <w:bodyDiv w:val="1"/>
      <w:marLeft w:val="0"/>
      <w:marRight w:val="0"/>
      <w:marTop w:val="0"/>
      <w:marBottom w:val="0"/>
      <w:divBdr>
        <w:top w:val="none" w:sz="0" w:space="0" w:color="auto"/>
        <w:left w:val="none" w:sz="0" w:space="0" w:color="auto"/>
        <w:bottom w:val="none" w:sz="0" w:space="0" w:color="auto"/>
        <w:right w:val="none" w:sz="0" w:space="0" w:color="auto"/>
      </w:divBdr>
    </w:div>
    <w:div w:id="920258064">
      <w:bodyDiv w:val="1"/>
      <w:marLeft w:val="0"/>
      <w:marRight w:val="0"/>
      <w:marTop w:val="0"/>
      <w:marBottom w:val="0"/>
      <w:divBdr>
        <w:top w:val="none" w:sz="0" w:space="0" w:color="auto"/>
        <w:left w:val="none" w:sz="0" w:space="0" w:color="auto"/>
        <w:bottom w:val="none" w:sz="0" w:space="0" w:color="auto"/>
        <w:right w:val="none" w:sz="0" w:space="0" w:color="auto"/>
      </w:divBdr>
    </w:div>
    <w:div w:id="984624573">
      <w:bodyDiv w:val="1"/>
      <w:marLeft w:val="0"/>
      <w:marRight w:val="0"/>
      <w:marTop w:val="0"/>
      <w:marBottom w:val="0"/>
      <w:divBdr>
        <w:top w:val="none" w:sz="0" w:space="0" w:color="auto"/>
        <w:left w:val="none" w:sz="0" w:space="0" w:color="auto"/>
        <w:bottom w:val="none" w:sz="0" w:space="0" w:color="auto"/>
        <w:right w:val="none" w:sz="0" w:space="0" w:color="auto"/>
      </w:divBdr>
    </w:div>
    <w:div w:id="1004745122">
      <w:bodyDiv w:val="1"/>
      <w:marLeft w:val="0"/>
      <w:marRight w:val="0"/>
      <w:marTop w:val="0"/>
      <w:marBottom w:val="0"/>
      <w:divBdr>
        <w:top w:val="none" w:sz="0" w:space="0" w:color="auto"/>
        <w:left w:val="none" w:sz="0" w:space="0" w:color="auto"/>
        <w:bottom w:val="none" w:sz="0" w:space="0" w:color="auto"/>
        <w:right w:val="none" w:sz="0" w:space="0" w:color="auto"/>
      </w:divBdr>
    </w:div>
    <w:div w:id="1048072559">
      <w:bodyDiv w:val="1"/>
      <w:marLeft w:val="0"/>
      <w:marRight w:val="0"/>
      <w:marTop w:val="0"/>
      <w:marBottom w:val="0"/>
      <w:divBdr>
        <w:top w:val="none" w:sz="0" w:space="0" w:color="auto"/>
        <w:left w:val="none" w:sz="0" w:space="0" w:color="auto"/>
        <w:bottom w:val="none" w:sz="0" w:space="0" w:color="auto"/>
        <w:right w:val="none" w:sz="0" w:space="0" w:color="auto"/>
      </w:divBdr>
    </w:div>
    <w:div w:id="1069351890">
      <w:bodyDiv w:val="1"/>
      <w:marLeft w:val="0"/>
      <w:marRight w:val="0"/>
      <w:marTop w:val="0"/>
      <w:marBottom w:val="0"/>
      <w:divBdr>
        <w:top w:val="none" w:sz="0" w:space="0" w:color="auto"/>
        <w:left w:val="none" w:sz="0" w:space="0" w:color="auto"/>
        <w:bottom w:val="none" w:sz="0" w:space="0" w:color="auto"/>
        <w:right w:val="none" w:sz="0" w:space="0" w:color="auto"/>
      </w:divBdr>
    </w:div>
    <w:div w:id="1080368386">
      <w:bodyDiv w:val="1"/>
      <w:marLeft w:val="0"/>
      <w:marRight w:val="0"/>
      <w:marTop w:val="0"/>
      <w:marBottom w:val="0"/>
      <w:divBdr>
        <w:top w:val="none" w:sz="0" w:space="0" w:color="auto"/>
        <w:left w:val="none" w:sz="0" w:space="0" w:color="auto"/>
        <w:bottom w:val="none" w:sz="0" w:space="0" w:color="auto"/>
        <w:right w:val="none" w:sz="0" w:space="0" w:color="auto"/>
      </w:divBdr>
    </w:div>
    <w:div w:id="1135416151">
      <w:bodyDiv w:val="1"/>
      <w:marLeft w:val="0"/>
      <w:marRight w:val="0"/>
      <w:marTop w:val="0"/>
      <w:marBottom w:val="0"/>
      <w:divBdr>
        <w:top w:val="none" w:sz="0" w:space="0" w:color="auto"/>
        <w:left w:val="none" w:sz="0" w:space="0" w:color="auto"/>
        <w:bottom w:val="none" w:sz="0" w:space="0" w:color="auto"/>
        <w:right w:val="none" w:sz="0" w:space="0" w:color="auto"/>
      </w:divBdr>
    </w:div>
    <w:div w:id="1159537459">
      <w:bodyDiv w:val="1"/>
      <w:marLeft w:val="0"/>
      <w:marRight w:val="0"/>
      <w:marTop w:val="0"/>
      <w:marBottom w:val="0"/>
      <w:divBdr>
        <w:top w:val="none" w:sz="0" w:space="0" w:color="auto"/>
        <w:left w:val="none" w:sz="0" w:space="0" w:color="auto"/>
        <w:bottom w:val="none" w:sz="0" w:space="0" w:color="auto"/>
        <w:right w:val="none" w:sz="0" w:space="0" w:color="auto"/>
      </w:divBdr>
    </w:div>
    <w:div w:id="1188635539">
      <w:bodyDiv w:val="1"/>
      <w:marLeft w:val="0"/>
      <w:marRight w:val="0"/>
      <w:marTop w:val="0"/>
      <w:marBottom w:val="0"/>
      <w:divBdr>
        <w:top w:val="none" w:sz="0" w:space="0" w:color="auto"/>
        <w:left w:val="none" w:sz="0" w:space="0" w:color="auto"/>
        <w:bottom w:val="none" w:sz="0" w:space="0" w:color="auto"/>
        <w:right w:val="none" w:sz="0" w:space="0" w:color="auto"/>
      </w:divBdr>
    </w:div>
    <w:div w:id="1202552409">
      <w:bodyDiv w:val="1"/>
      <w:marLeft w:val="0"/>
      <w:marRight w:val="0"/>
      <w:marTop w:val="0"/>
      <w:marBottom w:val="0"/>
      <w:divBdr>
        <w:top w:val="none" w:sz="0" w:space="0" w:color="auto"/>
        <w:left w:val="none" w:sz="0" w:space="0" w:color="auto"/>
        <w:bottom w:val="none" w:sz="0" w:space="0" w:color="auto"/>
        <w:right w:val="none" w:sz="0" w:space="0" w:color="auto"/>
      </w:divBdr>
    </w:div>
    <w:div w:id="1206064961">
      <w:bodyDiv w:val="1"/>
      <w:marLeft w:val="0"/>
      <w:marRight w:val="0"/>
      <w:marTop w:val="0"/>
      <w:marBottom w:val="0"/>
      <w:divBdr>
        <w:top w:val="none" w:sz="0" w:space="0" w:color="auto"/>
        <w:left w:val="none" w:sz="0" w:space="0" w:color="auto"/>
        <w:bottom w:val="none" w:sz="0" w:space="0" w:color="auto"/>
        <w:right w:val="none" w:sz="0" w:space="0" w:color="auto"/>
      </w:divBdr>
    </w:div>
    <w:div w:id="1214660813">
      <w:bodyDiv w:val="1"/>
      <w:marLeft w:val="0"/>
      <w:marRight w:val="0"/>
      <w:marTop w:val="0"/>
      <w:marBottom w:val="0"/>
      <w:divBdr>
        <w:top w:val="none" w:sz="0" w:space="0" w:color="auto"/>
        <w:left w:val="none" w:sz="0" w:space="0" w:color="auto"/>
        <w:bottom w:val="none" w:sz="0" w:space="0" w:color="auto"/>
        <w:right w:val="none" w:sz="0" w:space="0" w:color="auto"/>
      </w:divBdr>
    </w:div>
    <w:div w:id="1218515575">
      <w:bodyDiv w:val="1"/>
      <w:marLeft w:val="0"/>
      <w:marRight w:val="0"/>
      <w:marTop w:val="0"/>
      <w:marBottom w:val="0"/>
      <w:divBdr>
        <w:top w:val="none" w:sz="0" w:space="0" w:color="auto"/>
        <w:left w:val="none" w:sz="0" w:space="0" w:color="auto"/>
        <w:bottom w:val="none" w:sz="0" w:space="0" w:color="auto"/>
        <w:right w:val="none" w:sz="0" w:space="0" w:color="auto"/>
      </w:divBdr>
    </w:div>
    <w:div w:id="1261446507">
      <w:bodyDiv w:val="1"/>
      <w:marLeft w:val="0"/>
      <w:marRight w:val="0"/>
      <w:marTop w:val="0"/>
      <w:marBottom w:val="0"/>
      <w:divBdr>
        <w:top w:val="none" w:sz="0" w:space="0" w:color="auto"/>
        <w:left w:val="none" w:sz="0" w:space="0" w:color="auto"/>
        <w:bottom w:val="none" w:sz="0" w:space="0" w:color="auto"/>
        <w:right w:val="none" w:sz="0" w:space="0" w:color="auto"/>
      </w:divBdr>
    </w:div>
    <w:div w:id="1292977105">
      <w:bodyDiv w:val="1"/>
      <w:marLeft w:val="0"/>
      <w:marRight w:val="0"/>
      <w:marTop w:val="0"/>
      <w:marBottom w:val="0"/>
      <w:divBdr>
        <w:top w:val="none" w:sz="0" w:space="0" w:color="auto"/>
        <w:left w:val="none" w:sz="0" w:space="0" w:color="auto"/>
        <w:bottom w:val="none" w:sz="0" w:space="0" w:color="auto"/>
        <w:right w:val="none" w:sz="0" w:space="0" w:color="auto"/>
      </w:divBdr>
    </w:div>
    <w:div w:id="1318070637">
      <w:bodyDiv w:val="1"/>
      <w:marLeft w:val="0"/>
      <w:marRight w:val="0"/>
      <w:marTop w:val="0"/>
      <w:marBottom w:val="0"/>
      <w:divBdr>
        <w:top w:val="none" w:sz="0" w:space="0" w:color="auto"/>
        <w:left w:val="none" w:sz="0" w:space="0" w:color="auto"/>
        <w:bottom w:val="none" w:sz="0" w:space="0" w:color="auto"/>
        <w:right w:val="none" w:sz="0" w:space="0" w:color="auto"/>
      </w:divBdr>
      <w:divsChild>
        <w:div w:id="158543390">
          <w:marLeft w:val="0"/>
          <w:marRight w:val="0"/>
          <w:marTop w:val="120"/>
          <w:marBottom w:val="120"/>
          <w:divBdr>
            <w:top w:val="none" w:sz="0" w:space="0" w:color="auto"/>
            <w:left w:val="none" w:sz="0" w:space="0" w:color="auto"/>
            <w:bottom w:val="none" w:sz="0" w:space="0" w:color="auto"/>
            <w:right w:val="none" w:sz="0" w:space="0" w:color="auto"/>
          </w:divBdr>
        </w:div>
      </w:divsChild>
    </w:div>
    <w:div w:id="1333098732">
      <w:bodyDiv w:val="1"/>
      <w:marLeft w:val="0"/>
      <w:marRight w:val="0"/>
      <w:marTop w:val="0"/>
      <w:marBottom w:val="0"/>
      <w:divBdr>
        <w:top w:val="none" w:sz="0" w:space="0" w:color="auto"/>
        <w:left w:val="none" w:sz="0" w:space="0" w:color="auto"/>
        <w:bottom w:val="none" w:sz="0" w:space="0" w:color="auto"/>
        <w:right w:val="none" w:sz="0" w:space="0" w:color="auto"/>
      </w:divBdr>
    </w:div>
    <w:div w:id="1355498582">
      <w:bodyDiv w:val="1"/>
      <w:marLeft w:val="0"/>
      <w:marRight w:val="0"/>
      <w:marTop w:val="0"/>
      <w:marBottom w:val="0"/>
      <w:divBdr>
        <w:top w:val="none" w:sz="0" w:space="0" w:color="auto"/>
        <w:left w:val="none" w:sz="0" w:space="0" w:color="auto"/>
        <w:bottom w:val="none" w:sz="0" w:space="0" w:color="auto"/>
        <w:right w:val="none" w:sz="0" w:space="0" w:color="auto"/>
      </w:divBdr>
    </w:div>
    <w:div w:id="1370375908">
      <w:bodyDiv w:val="1"/>
      <w:marLeft w:val="0"/>
      <w:marRight w:val="0"/>
      <w:marTop w:val="0"/>
      <w:marBottom w:val="0"/>
      <w:divBdr>
        <w:top w:val="none" w:sz="0" w:space="0" w:color="auto"/>
        <w:left w:val="none" w:sz="0" w:space="0" w:color="auto"/>
        <w:bottom w:val="none" w:sz="0" w:space="0" w:color="auto"/>
        <w:right w:val="none" w:sz="0" w:space="0" w:color="auto"/>
      </w:divBdr>
    </w:div>
    <w:div w:id="1413117894">
      <w:bodyDiv w:val="1"/>
      <w:marLeft w:val="0"/>
      <w:marRight w:val="0"/>
      <w:marTop w:val="0"/>
      <w:marBottom w:val="0"/>
      <w:divBdr>
        <w:top w:val="none" w:sz="0" w:space="0" w:color="auto"/>
        <w:left w:val="none" w:sz="0" w:space="0" w:color="auto"/>
        <w:bottom w:val="none" w:sz="0" w:space="0" w:color="auto"/>
        <w:right w:val="none" w:sz="0" w:space="0" w:color="auto"/>
      </w:divBdr>
      <w:divsChild>
        <w:div w:id="1107580749">
          <w:marLeft w:val="0"/>
          <w:marRight w:val="0"/>
          <w:marTop w:val="120"/>
          <w:marBottom w:val="120"/>
          <w:divBdr>
            <w:top w:val="none" w:sz="0" w:space="0" w:color="auto"/>
            <w:left w:val="none" w:sz="0" w:space="0" w:color="auto"/>
            <w:bottom w:val="none" w:sz="0" w:space="0" w:color="auto"/>
            <w:right w:val="none" w:sz="0" w:space="0" w:color="auto"/>
          </w:divBdr>
        </w:div>
      </w:divsChild>
    </w:div>
    <w:div w:id="1447311829">
      <w:bodyDiv w:val="1"/>
      <w:marLeft w:val="0"/>
      <w:marRight w:val="0"/>
      <w:marTop w:val="0"/>
      <w:marBottom w:val="0"/>
      <w:divBdr>
        <w:top w:val="none" w:sz="0" w:space="0" w:color="auto"/>
        <w:left w:val="none" w:sz="0" w:space="0" w:color="auto"/>
        <w:bottom w:val="none" w:sz="0" w:space="0" w:color="auto"/>
        <w:right w:val="none" w:sz="0" w:space="0" w:color="auto"/>
      </w:divBdr>
    </w:div>
    <w:div w:id="1511263271">
      <w:bodyDiv w:val="1"/>
      <w:marLeft w:val="0"/>
      <w:marRight w:val="0"/>
      <w:marTop w:val="0"/>
      <w:marBottom w:val="0"/>
      <w:divBdr>
        <w:top w:val="none" w:sz="0" w:space="0" w:color="auto"/>
        <w:left w:val="none" w:sz="0" w:space="0" w:color="auto"/>
        <w:bottom w:val="none" w:sz="0" w:space="0" w:color="auto"/>
        <w:right w:val="none" w:sz="0" w:space="0" w:color="auto"/>
      </w:divBdr>
    </w:div>
    <w:div w:id="1528448768">
      <w:bodyDiv w:val="1"/>
      <w:marLeft w:val="0"/>
      <w:marRight w:val="0"/>
      <w:marTop w:val="0"/>
      <w:marBottom w:val="0"/>
      <w:divBdr>
        <w:top w:val="none" w:sz="0" w:space="0" w:color="auto"/>
        <w:left w:val="none" w:sz="0" w:space="0" w:color="auto"/>
        <w:bottom w:val="none" w:sz="0" w:space="0" w:color="auto"/>
        <w:right w:val="none" w:sz="0" w:space="0" w:color="auto"/>
      </w:divBdr>
    </w:div>
    <w:div w:id="1559243022">
      <w:bodyDiv w:val="1"/>
      <w:marLeft w:val="0"/>
      <w:marRight w:val="0"/>
      <w:marTop w:val="0"/>
      <w:marBottom w:val="0"/>
      <w:divBdr>
        <w:top w:val="none" w:sz="0" w:space="0" w:color="auto"/>
        <w:left w:val="none" w:sz="0" w:space="0" w:color="auto"/>
        <w:bottom w:val="none" w:sz="0" w:space="0" w:color="auto"/>
        <w:right w:val="none" w:sz="0" w:space="0" w:color="auto"/>
      </w:divBdr>
    </w:div>
    <w:div w:id="1613249548">
      <w:bodyDiv w:val="1"/>
      <w:marLeft w:val="0"/>
      <w:marRight w:val="0"/>
      <w:marTop w:val="0"/>
      <w:marBottom w:val="0"/>
      <w:divBdr>
        <w:top w:val="none" w:sz="0" w:space="0" w:color="auto"/>
        <w:left w:val="none" w:sz="0" w:space="0" w:color="auto"/>
        <w:bottom w:val="none" w:sz="0" w:space="0" w:color="auto"/>
        <w:right w:val="none" w:sz="0" w:space="0" w:color="auto"/>
      </w:divBdr>
    </w:div>
    <w:div w:id="1624850492">
      <w:bodyDiv w:val="1"/>
      <w:marLeft w:val="0"/>
      <w:marRight w:val="0"/>
      <w:marTop w:val="0"/>
      <w:marBottom w:val="0"/>
      <w:divBdr>
        <w:top w:val="none" w:sz="0" w:space="0" w:color="auto"/>
        <w:left w:val="none" w:sz="0" w:space="0" w:color="auto"/>
        <w:bottom w:val="none" w:sz="0" w:space="0" w:color="auto"/>
        <w:right w:val="none" w:sz="0" w:space="0" w:color="auto"/>
      </w:divBdr>
    </w:div>
    <w:div w:id="1637299535">
      <w:bodyDiv w:val="1"/>
      <w:marLeft w:val="0"/>
      <w:marRight w:val="0"/>
      <w:marTop w:val="0"/>
      <w:marBottom w:val="0"/>
      <w:divBdr>
        <w:top w:val="none" w:sz="0" w:space="0" w:color="auto"/>
        <w:left w:val="none" w:sz="0" w:space="0" w:color="auto"/>
        <w:bottom w:val="none" w:sz="0" w:space="0" w:color="auto"/>
        <w:right w:val="none" w:sz="0" w:space="0" w:color="auto"/>
      </w:divBdr>
    </w:div>
    <w:div w:id="1658143222">
      <w:bodyDiv w:val="1"/>
      <w:marLeft w:val="0"/>
      <w:marRight w:val="0"/>
      <w:marTop w:val="0"/>
      <w:marBottom w:val="0"/>
      <w:divBdr>
        <w:top w:val="none" w:sz="0" w:space="0" w:color="auto"/>
        <w:left w:val="none" w:sz="0" w:space="0" w:color="auto"/>
        <w:bottom w:val="none" w:sz="0" w:space="0" w:color="auto"/>
        <w:right w:val="none" w:sz="0" w:space="0" w:color="auto"/>
      </w:divBdr>
    </w:div>
    <w:div w:id="1671447488">
      <w:bodyDiv w:val="1"/>
      <w:marLeft w:val="0"/>
      <w:marRight w:val="0"/>
      <w:marTop w:val="0"/>
      <w:marBottom w:val="0"/>
      <w:divBdr>
        <w:top w:val="none" w:sz="0" w:space="0" w:color="auto"/>
        <w:left w:val="none" w:sz="0" w:space="0" w:color="auto"/>
        <w:bottom w:val="none" w:sz="0" w:space="0" w:color="auto"/>
        <w:right w:val="none" w:sz="0" w:space="0" w:color="auto"/>
      </w:divBdr>
    </w:div>
    <w:div w:id="1694262967">
      <w:bodyDiv w:val="1"/>
      <w:marLeft w:val="0"/>
      <w:marRight w:val="0"/>
      <w:marTop w:val="0"/>
      <w:marBottom w:val="0"/>
      <w:divBdr>
        <w:top w:val="none" w:sz="0" w:space="0" w:color="auto"/>
        <w:left w:val="none" w:sz="0" w:space="0" w:color="auto"/>
        <w:bottom w:val="none" w:sz="0" w:space="0" w:color="auto"/>
        <w:right w:val="none" w:sz="0" w:space="0" w:color="auto"/>
      </w:divBdr>
    </w:div>
    <w:div w:id="1709600017">
      <w:bodyDiv w:val="1"/>
      <w:marLeft w:val="0"/>
      <w:marRight w:val="0"/>
      <w:marTop w:val="0"/>
      <w:marBottom w:val="0"/>
      <w:divBdr>
        <w:top w:val="none" w:sz="0" w:space="0" w:color="auto"/>
        <w:left w:val="none" w:sz="0" w:space="0" w:color="auto"/>
        <w:bottom w:val="none" w:sz="0" w:space="0" w:color="auto"/>
        <w:right w:val="none" w:sz="0" w:space="0" w:color="auto"/>
      </w:divBdr>
    </w:div>
    <w:div w:id="1730032815">
      <w:bodyDiv w:val="1"/>
      <w:marLeft w:val="0"/>
      <w:marRight w:val="0"/>
      <w:marTop w:val="0"/>
      <w:marBottom w:val="0"/>
      <w:divBdr>
        <w:top w:val="none" w:sz="0" w:space="0" w:color="auto"/>
        <w:left w:val="none" w:sz="0" w:space="0" w:color="auto"/>
        <w:bottom w:val="none" w:sz="0" w:space="0" w:color="auto"/>
        <w:right w:val="none" w:sz="0" w:space="0" w:color="auto"/>
      </w:divBdr>
    </w:div>
    <w:div w:id="1733769445">
      <w:bodyDiv w:val="1"/>
      <w:marLeft w:val="0"/>
      <w:marRight w:val="0"/>
      <w:marTop w:val="0"/>
      <w:marBottom w:val="0"/>
      <w:divBdr>
        <w:top w:val="none" w:sz="0" w:space="0" w:color="auto"/>
        <w:left w:val="none" w:sz="0" w:space="0" w:color="auto"/>
        <w:bottom w:val="none" w:sz="0" w:space="0" w:color="auto"/>
        <w:right w:val="none" w:sz="0" w:space="0" w:color="auto"/>
      </w:divBdr>
    </w:div>
    <w:div w:id="1756393457">
      <w:bodyDiv w:val="1"/>
      <w:marLeft w:val="0"/>
      <w:marRight w:val="0"/>
      <w:marTop w:val="0"/>
      <w:marBottom w:val="0"/>
      <w:divBdr>
        <w:top w:val="none" w:sz="0" w:space="0" w:color="auto"/>
        <w:left w:val="none" w:sz="0" w:space="0" w:color="auto"/>
        <w:bottom w:val="none" w:sz="0" w:space="0" w:color="auto"/>
        <w:right w:val="none" w:sz="0" w:space="0" w:color="auto"/>
      </w:divBdr>
    </w:div>
    <w:div w:id="1756439732">
      <w:bodyDiv w:val="1"/>
      <w:marLeft w:val="0"/>
      <w:marRight w:val="0"/>
      <w:marTop w:val="0"/>
      <w:marBottom w:val="0"/>
      <w:divBdr>
        <w:top w:val="none" w:sz="0" w:space="0" w:color="auto"/>
        <w:left w:val="none" w:sz="0" w:space="0" w:color="auto"/>
        <w:bottom w:val="none" w:sz="0" w:space="0" w:color="auto"/>
        <w:right w:val="none" w:sz="0" w:space="0" w:color="auto"/>
      </w:divBdr>
    </w:div>
    <w:div w:id="1757750665">
      <w:bodyDiv w:val="1"/>
      <w:marLeft w:val="0"/>
      <w:marRight w:val="0"/>
      <w:marTop w:val="0"/>
      <w:marBottom w:val="0"/>
      <w:divBdr>
        <w:top w:val="none" w:sz="0" w:space="0" w:color="auto"/>
        <w:left w:val="none" w:sz="0" w:space="0" w:color="auto"/>
        <w:bottom w:val="none" w:sz="0" w:space="0" w:color="auto"/>
        <w:right w:val="none" w:sz="0" w:space="0" w:color="auto"/>
      </w:divBdr>
    </w:div>
    <w:div w:id="1779595870">
      <w:bodyDiv w:val="1"/>
      <w:marLeft w:val="0"/>
      <w:marRight w:val="0"/>
      <w:marTop w:val="0"/>
      <w:marBottom w:val="0"/>
      <w:divBdr>
        <w:top w:val="none" w:sz="0" w:space="0" w:color="auto"/>
        <w:left w:val="none" w:sz="0" w:space="0" w:color="auto"/>
        <w:bottom w:val="none" w:sz="0" w:space="0" w:color="auto"/>
        <w:right w:val="none" w:sz="0" w:space="0" w:color="auto"/>
      </w:divBdr>
    </w:div>
    <w:div w:id="1785421914">
      <w:bodyDiv w:val="1"/>
      <w:marLeft w:val="0"/>
      <w:marRight w:val="0"/>
      <w:marTop w:val="0"/>
      <w:marBottom w:val="0"/>
      <w:divBdr>
        <w:top w:val="none" w:sz="0" w:space="0" w:color="auto"/>
        <w:left w:val="none" w:sz="0" w:space="0" w:color="auto"/>
        <w:bottom w:val="none" w:sz="0" w:space="0" w:color="auto"/>
        <w:right w:val="none" w:sz="0" w:space="0" w:color="auto"/>
      </w:divBdr>
    </w:div>
    <w:div w:id="1794980799">
      <w:bodyDiv w:val="1"/>
      <w:marLeft w:val="0"/>
      <w:marRight w:val="0"/>
      <w:marTop w:val="0"/>
      <w:marBottom w:val="0"/>
      <w:divBdr>
        <w:top w:val="none" w:sz="0" w:space="0" w:color="auto"/>
        <w:left w:val="none" w:sz="0" w:space="0" w:color="auto"/>
        <w:bottom w:val="none" w:sz="0" w:space="0" w:color="auto"/>
        <w:right w:val="none" w:sz="0" w:space="0" w:color="auto"/>
      </w:divBdr>
    </w:div>
    <w:div w:id="1856576490">
      <w:bodyDiv w:val="1"/>
      <w:marLeft w:val="0"/>
      <w:marRight w:val="0"/>
      <w:marTop w:val="0"/>
      <w:marBottom w:val="0"/>
      <w:divBdr>
        <w:top w:val="none" w:sz="0" w:space="0" w:color="auto"/>
        <w:left w:val="none" w:sz="0" w:space="0" w:color="auto"/>
        <w:bottom w:val="none" w:sz="0" w:space="0" w:color="auto"/>
        <w:right w:val="none" w:sz="0" w:space="0" w:color="auto"/>
      </w:divBdr>
    </w:div>
    <w:div w:id="1866863599">
      <w:bodyDiv w:val="1"/>
      <w:marLeft w:val="0"/>
      <w:marRight w:val="0"/>
      <w:marTop w:val="0"/>
      <w:marBottom w:val="0"/>
      <w:divBdr>
        <w:top w:val="none" w:sz="0" w:space="0" w:color="auto"/>
        <w:left w:val="none" w:sz="0" w:space="0" w:color="auto"/>
        <w:bottom w:val="none" w:sz="0" w:space="0" w:color="auto"/>
        <w:right w:val="none" w:sz="0" w:space="0" w:color="auto"/>
      </w:divBdr>
    </w:div>
    <w:div w:id="1915503127">
      <w:bodyDiv w:val="1"/>
      <w:marLeft w:val="0"/>
      <w:marRight w:val="0"/>
      <w:marTop w:val="0"/>
      <w:marBottom w:val="0"/>
      <w:divBdr>
        <w:top w:val="none" w:sz="0" w:space="0" w:color="auto"/>
        <w:left w:val="none" w:sz="0" w:space="0" w:color="auto"/>
        <w:bottom w:val="none" w:sz="0" w:space="0" w:color="auto"/>
        <w:right w:val="none" w:sz="0" w:space="0" w:color="auto"/>
      </w:divBdr>
    </w:div>
    <w:div w:id="1938172815">
      <w:bodyDiv w:val="1"/>
      <w:marLeft w:val="0"/>
      <w:marRight w:val="0"/>
      <w:marTop w:val="0"/>
      <w:marBottom w:val="0"/>
      <w:divBdr>
        <w:top w:val="none" w:sz="0" w:space="0" w:color="auto"/>
        <w:left w:val="none" w:sz="0" w:space="0" w:color="auto"/>
        <w:bottom w:val="none" w:sz="0" w:space="0" w:color="auto"/>
        <w:right w:val="none" w:sz="0" w:space="0" w:color="auto"/>
      </w:divBdr>
    </w:div>
    <w:div w:id="1996104435">
      <w:bodyDiv w:val="1"/>
      <w:marLeft w:val="0"/>
      <w:marRight w:val="0"/>
      <w:marTop w:val="0"/>
      <w:marBottom w:val="0"/>
      <w:divBdr>
        <w:top w:val="none" w:sz="0" w:space="0" w:color="auto"/>
        <w:left w:val="none" w:sz="0" w:space="0" w:color="auto"/>
        <w:bottom w:val="none" w:sz="0" w:space="0" w:color="auto"/>
        <w:right w:val="none" w:sz="0" w:space="0" w:color="auto"/>
      </w:divBdr>
    </w:div>
    <w:div w:id="2022193421">
      <w:bodyDiv w:val="1"/>
      <w:marLeft w:val="0"/>
      <w:marRight w:val="0"/>
      <w:marTop w:val="0"/>
      <w:marBottom w:val="0"/>
      <w:divBdr>
        <w:top w:val="none" w:sz="0" w:space="0" w:color="auto"/>
        <w:left w:val="none" w:sz="0" w:space="0" w:color="auto"/>
        <w:bottom w:val="none" w:sz="0" w:space="0" w:color="auto"/>
        <w:right w:val="none" w:sz="0" w:space="0" w:color="auto"/>
      </w:divBdr>
    </w:div>
    <w:div w:id="2025202540">
      <w:bodyDiv w:val="1"/>
      <w:marLeft w:val="0"/>
      <w:marRight w:val="0"/>
      <w:marTop w:val="0"/>
      <w:marBottom w:val="0"/>
      <w:divBdr>
        <w:top w:val="none" w:sz="0" w:space="0" w:color="auto"/>
        <w:left w:val="none" w:sz="0" w:space="0" w:color="auto"/>
        <w:bottom w:val="none" w:sz="0" w:space="0" w:color="auto"/>
        <w:right w:val="none" w:sz="0" w:space="0" w:color="auto"/>
      </w:divBdr>
    </w:div>
    <w:div w:id="2030135784">
      <w:bodyDiv w:val="1"/>
      <w:marLeft w:val="0"/>
      <w:marRight w:val="0"/>
      <w:marTop w:val="0"/>
      <w:marBottom w:val="0"/>
      <w:divBdr>
        <w:top w:val="none" w:sz="0" w:space="0" w:color="auto"/>
        <w:left w:val="none" w:sz="0" w:space="0" w:color="auto"/>
        <w:bottom w:val="none" w:sz="0" w:space="0" w:color="auto"/>
        <w:right w:val="none" w:sz="0" w:space="0" w:color="auto"/>
      </w:divBdr>
      <w:divsChild>
        <w:div w:id="730738024">
          <w:marLeft w:val="0"/>
          <w:marRight w:val="0"/>
          <w:marTop w:val="120"/>
          <w:marBottom w:val="120"/>
          <w:divBdr>
            <w:top w:val="none" w:sz="0" w:space="0" w:color="auto"/>
            <w:left w:val="none" w:sz="0" w:space="0" w:color="auto"/>
            <w:bottom w:val="none" w:sz="0" w:space="0" w:color="auto"/>
            <w:right w:val="none" w:sz="0" w:space="0" w:color="auto"/>
          </w:divBdr>
        </w:div>
      </w:divsChild>
    </w:div>
    <w:div w:id="2030372475">
      <w:bodyDiv w:val="1"/>
      <w:marLeft w:val="0"/>
      <w:marRight w:val="0"/>
      <w:marTop w:val="0"/>
      <w:marBottom w:val="0"/>
      <w:divBdr>
        <w:top w:val="none" w:sz="0" w:space="0" w:color="auto"/>
        <w:left w:val="none" w:sz="0" w:space="0" w:color="auto"/>
        <w:bottom w:val="none" w:sz="0" w:space="0" w:color="auto"/>
        <w:right w:val="none" w:sz="0" w:space="0" w:color="auto"/>
      </w:divBdr>
    </w:div>
    <w:div w:id="2072075174">
      <w:bodyDiv w:val="1"/>
      <w:marLeft w:val="0"/>
      <w:marRight w:val="0"/>
      <w:marTop w:val="0"/>
      <w:marBottom w:val="0"/>
      <w:divBdr>
        <w:top w:val="none" w:sz="0" w:space="0" w:color="auto"/>
        <w:left w:val="none" w:sz="0" w:space="0" w:color="auto"/>
        <w:bottom w:val="none" w:sz="0" w:space="0" w:color="auto"/>
        <w:right w:val="none" w:sz="0" w:space="0" w:color="auto"/>
      </w:divBdr>
    </w:div>
    <w:div w:id="2073699011">
      <w:bodyDiv w:val="1"/>
      <w:marLeft w:val="0"/>
      <w:marRight w:val="0"/>
      <w:marTop w:val="0"/>
      <w:marBottom w:val="0"/>
      <w:divBdr>
        <w:top w:val="none" w:sz="0" w:space="0" w:color="auto"/>
        <w:left w:val="none" w:sz="0" w:space="0" w:color="auto"/>
        <w:bottom w:val="none" w:sz="0" w:space="0" w:color="auto"/>
        <w:right w:val="none" w:sz="0" w:space="0" w:color="auto"/>
      </w:divBdr>
    </w:div>
    <w:div w:id="2079286054">
      <w:bodyDiv w:val="1"/>
      <w:marLeft w:val="0"/>
      <w:marRight w:val="0"/>
      <w:marTop w:val="0"/>
      <w:marBottom w:val="0"/>
      <w:divBdr>
        <w:top w:val="none" w:sz="0" w:space="0" w:color="auto"/>
        <w:left w:val="none" w:sz="0" w:space="0" w:color="auto"/>
        <w:bottom w:val="none" w:sz="0" w:space="0" w:color="auto"/>
        <w:right w:val="none" w:sz="0" w:space="0" w:color="auto"/>
      </w:divBdr>
    </w:div>
    <w:div w:id="2100709592">
      <w:bodyDiv w:val="1"/>
      <w:marLeft w:val="0"/>
      <w:marRight w:val="0"/>
      <w:marTop w:val="0"/>
      <w:marBottom w:val="0"/>
      <w:divBdr>
        <w:top w:val="none" w:sz="0" w:space="0" w:color="auto"/>
        <w:left w:val="none" w:sz="0" w:space="0" w:color="auto"/>
        <w:bottom w:val="none" w:sz="0" w:space="0" w:color="auto"/>
        <w:right w:val="none" w:sz="0" w:space="0" w:color="auto"/>
      </w:divBdr>
    </w:div>
    <w:div w:id="2121801426">
      <w:bodyDiv w:val="1"/>
      <w:marLeft w:val="0"/>
      <w:marRight w:val="0"/>
      <w:marTop w:val="0"/>
      <w:marBottom w:val="0"/>
      <w:divBdr>
        <w:top w:val="none" w:sz="0" w:space="0" w:color="auto"/>
        <w:left w:val="none" w:sz="0" w:space="0" w:color="auto"/>
        <w:bottom w:val="none" w:sz="0" w:space="0" w:color="auto"/>
        <w:right w:val="none" w:sz="0" w:space="0" w:color="auto"/>
      </w:divBdr>
    </w:div>
    <w:div w:id="212260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FCED750B580453D8A7C12EB332C62CC"/>
        <w:category>
          <w:name w:val="General"/>
          <w:gallery w:val="placeholder"/>
        </w:category>
        <w:types>
          <w:type w:val="bbPlcHdr"/>
        </w:types>
        <w:behaviors>
          <w:behavior w:val="content"/>
        </w:behaviors>
        <w:guid w:val="{C62767B4-FB82-4103-8914-64922EA3B0D4}"/>
      </w:docPartPr>
      <w:docPartBody>
        <w:p w:rsidR="00053F5E" w:rsidRDefault="008203DF" w:rsidP="008203DF">
          <w:pPr>
            <w:pStyle w:val="AFCED750B580453D8A7C12EB332C62CC"/>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203DF"/>
    <w:rsid w:val="00053F5E"/>
    <w:rsid w:val="008203DF"/>
    <w:rsid w:val="0092409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3F5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A0929D093843DCA7BBEAFF55C36D5D">
    <w:name w:val="15A0929D093843DCA7BBEAFF55C36D5D"/>
    <w:rsid w:val="008203DF"/>
  </w:style>
  <w:style w:type="paragraph" w:customStyle="1" w:styleId="658A6658B55F4383A725DB1A55277589">
    <w:name w:val="658A6658B55F4383A725DB1A55277589"/>
    <w:rsid w:val="008203DF"/>
  </w:style>
  <w:style w:type="paragraph" w:customStyle="1" w:styleId="BCDACC17426C44E4A26DEEEF4AEE657E">
    <w:name w:val="BCDACC17426C44E4A26DEEEF4AEE657E"/>
    <w:rsid w:val="008203DF"/>
  </w:style>
  <w:style w:type="paragraph" w:customStyle="1" w:styleId="777A6A4621FC480497991F1D4E1A288A">
    <w:name w:val="777A6A4621FC480497991F1D4E1A288A"/>
    <w:rsid w:val="008203DF"/>
  </w:style>
  <w:style w:type="paragraph" w:customStyle="1" w:styleId="0C336E5CB8FA48B9BEA14516317C8EB5">
    <w:name w:val="0C336E5CB8FA48B9BEA14516317C8EB5"/>
    <w:rsid w:val="008203DF"/>
  </w:style>
  <w:style w:type="paragraph" w:customStyle="1" w:styleId="7792D049FFA64AC080307612BB404EA6">
    <w:name w:val="7792D049FFA64AC080307612BB404EA6"/>
    <w:rsid w:val="008203DF"/>
  </w:style>
  <w:style w:type="paragraph" w:customStyle="1" w:styleId="D3BA847011E14A64ABAB80780E10953B">
    <w:name w:val="D3BA847011E14A64ABAB80780E10953B"/>
    <w:rsid w:val="008203DF"/>
  </w:style>
  <w:style w:type="paragraph" w:customStyle="1" w:styleId="33A20D15451142DF8A39330C2D45D509">
    <w:name w:val="33A20D15451142DF8A39330C2D45D509"/>
    <w:rsid w:val="008203DF"/>
  </w:style>
  <w:style w:type="paragraph" w:customStyle="1" w:styleId="EB13152DEACE40AC89A387A658E3C467">
    <w:name w:val="EB13152DEACE40AC89A387A658E3C467"/>
    <w:rsid w:val="008203DF"/>
  </w:style>
  <w:style w:type="paragraph" w:customStyle="1" w:styleId="E97F605AF69E4AA79F866338725C354F">
    <w:name w:val="E97F605AF69E4AA79F866338725C354F"/>
    <w:rsid w:val="008203DF"/>
  </w:style>
  <w:style w:type="paragraph" w:customStyle="1" w:styleId="A5AA5062036B49BFADB868D375EF86E3">
    <w:name w:val="A5AA5062036B49BFADB868D375EF86E3"/>
    <w:rsid w:val="008203DF"/>
  </w:style>
  <w:style w:type="paragraph" w:customStyle="1" w:styleId="6CA643BFB0F0405BA31D1280D519B6D7">
    <w:name w:val="6CA643BFB0F0405BA31D1280D519B6D7"/>
    <w:rsid w:val="008203DF"/>
  </w:style>
  <w:style w:type="paragraph" w:customStyle="1" w:styleId="688E2FC6C355485DA593DA80A5794701">
    <w:name w:val="688E2FC6C355485DA593DA80A5794701"/>
    <w:rsid w:val="008203DF"/>
  </w:style>
  <w:style w:type="paragraph" w:customStyle="1" w:styleId="0A6CBEE8008442C2AD484E16B2D1AC28">
    <w:name w:val="0A6CBEE8008442C2AD484E16B2D1AC28"/>
    <w:rsid w:val="008203DF"/>
  </w:style>
  <w:style w:type="paragraph" w:customStyle="1" w:styleId="2F7C3ABE05E449B3A81EFD703B8F5816">
    <w:name w:val="2F7C3ABE05E449B3A81EFD703B8F5816"/>
    <w:rsid w:val="008203DF"/>
  </w:style>
  <w:style w:type="paragraph" w:customStyle="1" w:styleId="E5571A33D5144953BDA895490F241DAD">
    <w:name w:val="E5571A33D5144953BDA895490F241DAD"/>
    <w:rsid w:val="008203DF"/>
  </w:style>
  <w:style w:type="paragraph" w:customStyle="1" w:styleId="6C12E7ECECBB4D9B93EE97A01A9603A3">
    <w:name w:val="6C12E7ECECBB4D9B93EE97A01A9603A3"/>
    <w:rsid w:val="008203DF"/>
  </w:style>
  <w:style w:type="paragraph" w:customStyle="1" w:styleId="0846B7B9E10740D89A4C3D91F005C0A5">
    <w:name w:val="0846B7B9E10740D89A4C3D91F005C0A5"/>
    <w:rsid w:val="008203DF"/>
  </w:style>
  <w:style w:type="paragraph" w:customStyle="1" w:styleId="BD4EA78E60AE4E18BEC4EC88CA432584">
    <w:name w:val="BD4EA78E60AE4E18BEC4EC88CA432584"/>
    <w:rsid w:val="008203DF"/>
  </w:style>
  <w:style w:type="paragraph" w:customStyle="1" w:styleId="33D2038B4F13428E987D013BA1BC754D">
    <w:name w:val="33D2038B4F13428E987D013BA1BC754D"/>
    <w:rsid w:val="008203DF"/>
  </w:style>
  <w:style w:type="paragraph" w:customStyle="1" w:styleId="FD5B3DB21B3C4898B554EB1F5DB7EBF4">
    <w:name w:val="FD5B3DB21B3C4898B554EB1F5DB7EBF4"/>
    <w:rsid w:val="008203DF"/>
  </w:style>
  <w:style w:type="paragraph" w:customStyle="1" w:styleId="4697C0762BE043E591088CDF48B868BC">
    <w:name w:val="4697C0762BE043E591088CDF48B868BC"/>
    <w:rsid w:val="008203DF"/>
  </w:style>
  <w:style w:type="paragraph" w:customStyle="1" w:styleId="12CA24837DF84A81808ABF7B96AE49B6">
    <w:name w:val="12CA24837DF84A81808ABF7B96AE49B6"/>
    <w:rsid w:val="008203DF"/>
  </w:style>
  <w:style w:type="paragraph" w:customStyle="1" w:styleId="2059AE09F5DF4369980EB0573EDCAFF2">
    <w:name w:val="2059AE09F5DF4369980EB0573EDCAFF2"/>
    <w:rsid w:val="008203DF"/>
  </w:style>
  <w:style w:type="paragraph" w:customStyle="1" w:styleId="3D07DB4F2EF44D8B88C3D2C068A7EC01">
    <w:name w:val="3D07DB4F2EF44D8B88C3D2C068A7EC01"/>
    <w:rsid w:val="008203DF"/>
  </w:style>
  <w:style w:type="paragraph" w:customStyle="1" w:styleId="79F9328E2ED54F05A6869DD2AA9FDA58">
    <w:name w:val="79F9328E2ED54F05A6869DD2AA9FDA58"/>
    <w:rsid w:val="008203DF"/>
  </w:style>
  <w:style w:type="paragraph" w:customStyle="1" w:styleId="5017019E2E5A436496CEE84A8E865DC8">
    <w:name w:val="5017019E2E5A436496CEE84A8E865DC8"/>
    <w:rsid w:val="008203DF"/>
  </w:style>
  <w:style w:type="paragraph" w:customStyle="1" w:styleId="3AF07B87407F44D8BE079C36EFA21537">
    <w:name w:val="3AF07B87407F44D8BE079C36EFA21537"/>
    <w:rsid w:val="008203DF"/>
  </w:style>
  <w:style w:type="paragraph" w:customStyle="1" w:styleId="700172D549D04F7CA912C0C246F208BD">
    <w:name w:val="700172D549D04F7CA912C0C246F208BD"/>
    <w:rsid w:val="008203DF"/>
  </w:style>
  <w:style w:type="paragraph" w:customStyle="1" w:styleId="F1D2A048F4694439871E25EAE7507985">
    <w:name w:val="F1D2A048F4694439871E25EAE7507985"/>
    <w:rsid w:val="008203DF"/>
  </w:style>
  <w:style w:type="paragraph" w:customStyle="1" w:styleId="5004A678B5AC47C6B054FC49D85FD31C">
    <w:name w:val="5004A678B5AC47C6B054FC49D85FD31C"/>
    <w:rsid w:val="008203DF"/>
  </w:style>
  <w:style w:type="paragraph" w:customStyle="1" w:styleId="57F91E92AE0C4744ADB2D170EFF36703">
    <w:name w:val="57F91E92AE0C4744ADB2D170EFF36703"/>
    <w:rsid w:val="008203DF"/>
  </w:style>
  <w:style w:type="paragraph" w:customStyle="1" w:styleId="6502D6C01C7B451082927D9970A7D5FA">
    <w:name w:val="6502D6C01C7B451082927D9970A7D5FA"/>
    <w:rsid w:val="008203DF"/>
  </w:style>
  <w:style w:type="paragraph" w:customStyle="1" w:styleId="AFCED750B580453D8A7C12EB332C62CC">
    <w:name w:val="AFCED750B580453D8A7C12EB332C62CC"/>
    <w:rsid w:val="008203DF"/>
  </w:style>
  <w:style w:type="paragraph" w:customStyle="1" w:styleId="FDE76EA6E65C47FCA72D10C28E3CC27F">
    <w:name w:val="FDE76EA6E65C47FCA72D10C28E3CC27F"/>
    <w:rsid w:val="008203DF"/>
  </w:style>
  <w:style w:type="paragraph" w:customStyle="1" w:styleId="701989EA91A941FCA992B00EC05C20F4">
    <w:name w:val="701989EA91A941FCA992B00EC05C20F4"/>
    <w:rsid w:val="008203DF"/>
  </w:style>
  <w:style w:type="paragraph" w:customStyle="1" w:styleId="B1E4296AF76547EFA69A4706F198AC38">
    <w:name w:val="B1E4296AF76547EFA69A4706F198AC38"/>
    <w:rsid w:val="008203DF"/>
  </w:style>
  <w:style w:type="paragraph" w:customStyle="1" w:styleId="A6840604AF47437D92C2E9426CB1F8A2">
    <w:name w:val="A6840604AF47437D92C2E9426CB1F8A2"/>
    <w:rsid w:val="008203DF"/>
  </w:style>
  <w:style w:type="paragraph" w:customStyle="1" w:styleId="870B12340C6A4BE0AD372C763F220030">
    <w:name w:val="870B12340C6A4BE0AD372C763F220030"/>
    <w:rsid w:val="008203D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TURABIAN.XSL" StyleName="Turabian Six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F250DF-D33A-4A4F-B574-72373C165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1679</TotalTime>
  <Pages>16</Pages>
  <Words>5930</Words>
  <Characters>33806</Characters>
  <Application>Microsoft Office Word</Application>
  <DocSecurity>0</DocSecurity>
  <Lines>281</Lines>
  <Paragraphs>79</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Introduction</vt:lpstr>
      <vt:lpstr>Analysis of the case study</vt:lpstr>
      <vt:lpstr>    National and International statistics</vt:lpstr>
      <vt:lpstr>    Weaknesses</vt:lpstr>
      <vt:lpstr>        Governance</vt:lpstr>
      <vt:lpstr>        Local Governance (The Hospital Trust): The most significant operational failures</vt:lpstr>
      <vt:lpstr>        Regional Governance (Integrated Care Systems / Healthcare Networks): Regional pr</vt:lpstr>
      <vt:lpstr>        National Governance (The NHS / Royal Colleges / National Guidelines): National f</vt:lpstr>
      <vt:lpstr>    Centralisation or Decentralisation</vt:lpstr>
      <vt:lpstr>        Analysis</vt:lpstr>
      <vt:lpstr>    Leadership Theory and Application </vt:lpstr>
      <vt:lpstr>    Improvement, and Lessons Learned</vt:lpstr>
      <vt:lpstr>Recommendations</vt:lpstr>
      <vt:lpstr>Conclusion</vt:lpstr>
      <vt:lpstr>References </vt:lpstr>
    </vt:vector>
  </TitlesOfParts>
  <Company/>
  <LinksUpToDate>false</LinksUpToDate>
  <CharactersWithSpaces>39657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Health Care System Organisation and Leadership LCHS7002_LON</dc:title>
  <dc:creator>Maria Fatima Mangue Mbomio -2230098</dc:creator>
  <cp:lastModifiedBy>Oumar Souu</cp:lastModifiedBy>
  <cp:revision>32</cp:revision>
  <dcterms:created xsi:type="dcterms:W3CDTF">2026-07-31T14:22:00Z</dcterms:created>
  <dcterms:modified xsi:type="dcterms:W3CDTF">2026-08-04T21:52:00Z</dcterms:modified>
</cp:coreProperties>
</file>