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D1B48" w14:textId="77777777" w:rsidR="007F5809" w:rsidRDefault="007F5809" w:rsidP="0039258F">
      <w:pPr>
        <w:jc w:val="center"/>
        <w:rPr>
          <w:rFonts w:cs="Times New Roman"/>
          <w:b/>
          <w:bCs/>
          <w:color w:val="000000"/>
          <w:sz w:val="40"/>
          <w:szCs w:val="40"/>
        </w:rPr>
      </w:pPr>
    </w:p>
    <w:p w14:paraId="3EC27665" w14:textId="77777777" w:rsidR="007F5809" w:rsidRDefault="007F5809" w:rsidP="0039258F">
      <w:pPr>
        <w:jc w:val="center"/>
        <w:rPr>
          <w:rFonts w:cs="Times New Roman"/>
          <w:b/>
          <w:bCs/>
          <w:color w:val="000000"/>
          <w:sz w:val="40"/>
          <w:szCs w:val="40"/>
        </w:rPr>
      </w:pPr>
    </w:p>
    <w:p w14:paraId="0FF8F282" w14:textId="77777777" w:rsidR="007F5809" w:rsidRDefault="007F5809" w:rsidP="0039258F">
      <w:pPr>
        <w:jc w:val="center"/>
        <w:rPr>
          <w:rFonts w:cs="Times New Roman"/>
          <w:b/>
          <w:bCs/>
          <w:color w:val="000000"/>
          <w:sz w:val="40"/>
          <w:szCs w:val="40"/>
        </w:rPr>
      </w:pPr>
    </w:p>
    <w:p w14:paraId="0C912648" w14:textId="67890E5D" w:rsidR="0039258F" w:rsidRPr="0039258F" w:rsidRDefault="0039258F" w:rsidP="0039258F">
      <w:pPr>
        <w:jc w:val="center"/>
        <w:rPr>
          <w:rFonts w:cs="Times New Roman"/>
          <w:b/>
          <w:bCs/>
          <w:color w:val="000000"/>
          <w:sz w:val="40"/>
          <w:szCs w:val="40"/>
        </w:rPr>
      </w:pPr>
      <w:r w:rsidRPr="0039258F">
        <w:rPr>
          <w:rFonts w:cs="Times New Roman"/>
          <w:b/>
          <w:bCs/>
          <w:color w:val="000000"/>
          <w:sz w:val="40"/>
          <w:szCs w:val="40"/>
        </w:rPr>
        <w:t>BA International Hotel Management</w:t>
      </w:r>
    </w:p>
    <w:p w14:paraId="6DC6DA45" w14:textId="141B3EA3" w:rsidR="0039258F" w:rsidRPr="0039258F" w:rsidRDefault="0039258F" w:rsidP="0039258F">
      <w:pPr>
        <w:jc w:val="center"/>
        <w:rPr>
          <w:rFonts w:cs="Times New Roman"/>
          <w:b/>
          <w:bCs/>
          <w:color w:val="000000"/>
          <w:sz w:val="40"/>
          <w:szCs w:val="40"/>
        </w:rPr>
      </w:pPr>
      <w:r w:rsidRPr="0039258F">
        <w:rPr>
          <w:rFonts w:cs="Times New Roman"/>
          <w:b/>
          <w:bCs/>
          <w:color w:val="000000"/>
          <w:sz w:val="32"/>
          <w:szCs w:val="32"/>
        </w:rPr>
        <w:t>Financial Management for the Hotel Industry</w:t>
      </w:r>
      <w:r w:rsidRPr="0039258F">
        <w:rPr>
          <w:rFonts w:cs="Times New Roman"/>
          <w:b/>
          <w:bCs/>
          <w:color w:val="000000"/>
          <w:sz w:val="32"/>
          <w:szCs w:val="32"/>
        </w:rPr>
        <w:t xml:space="preserve"> (</w:t>
      </w:r>
      <w:r w:rsidRPr="0039258F">
        <w:rPr>
          <w:rFonts w:cs="Times New Roman"/>
          <w:b/>
          <w:bCs/>
          <w:color w:val="000000"/>
          <w:sz w:val="32"/>
          <w:szCs w:val="32"/>
        </w:rPr>
        <w:t>BMIH5007</w:t>
      </w:r>
      <w:r w:rsidRPr="0039258F">
        <w:rPr>
          <w:rFonts w:cs="Times New Roman"/>
          <w:b/>
          <w:bCs/>
          <w:color w:val="000000"/>
          <w:sz w:val="32"/>
          <w:szCs w:val="32"/>
        </w:rPr>
        <w:t>)</w:t>
      </w:r>
    </w:p>
    <w:p w14:paraId="37765F6A" w14:textId="00B07B1D" w:rsidR="0039258F" w:rsidRDefault="0039258F" w:rsidP="0039258F">
      <w:pPr>
        <w:jc w:val="center"/>
        <w:rPr>
          <w:rFonts w:cs="Times New Roman"/>
          <w:b/>
          <w:bCs/>
          <w:color w:val="000000"/>
          <w:sz w:val="32"/>
          <w:szCs w:val="32"/>
        </w:rPr>
      </w:pPr>
    </w:p>
    <w:p w14:paraId="23057DF3" w14:textId="77777777" w:rsidR="007F5809" w:rsidRPr="0039258F" w:rsidRDefault="007F5809" w:rsidP="0039258F">
      <w:pPr>
        <w:jc w:val="center"/>
        <w:rPr>
          <w:rFonts w:cs="Times New Roman"/>
          <w:b/>
          <w:bCs/>
          <w:color w:val="000000"/>
          <w:sz w:val="32"/>
          <w:szCs w:val="32"/>
        </w:rPr>
      </w:pPr>
    </w:p>
    <w:p w14:paraId="2BCBFB4C" w14:textId="1AD30074" w:rsidR="0039258F" w:rsidRPr="004F5859" w:rsidRDefault="0039258F" w:rsidP="0039258F">
      <w:pPr>
        <w:spacing w:line="259" w:lineRule="auto"/>
        <w:jc w:val="center"/>
        <w:rPr>
          <w:b/>
          <w:bCs/>
          <w:sz w:val="32"/>
          <w:szCs w:val="32"/>
        </w:rPr>
      </w:pPr>
      <w:r w:rsidRPr="004F5859">
        <w:rPr>
          <w:b/>
          <w:bCs/>
          <w:sz w:val="32"/>
          <w:szCs w:val="32"/>
        </w:rPr>
        <w:t xml:space="preserve">Student Name: </w:t>
      </w:r>
      <w:r w:rsidRPr="004F5859">
        <w:rPr>
          <w:b/>
          <w:bCs/>
          <w:sz w:val="32"/>
          <w:szCs w:val="32"/>
        </w:rPr>
        <w:t>Samir Mohammed Abbas</w:t>
      </w:r>
    </w:p>
    <w:p w14:paraId="4B74555F" w14:textId="1A77B5D1" w:rsidR="0039258F" w:rsidRPr="004F5859" w:rsidRDefault="0039258F" w:rsidP="0039258F">
      <w:pPr>
        <w:jc w:val="center"/>
        <w:rPr>
          <w:b/>
          <w:bCs/>
          <w:sz w:val="32"/>
          <w:szCs w:val="32"/>
        </w:rPr>
      </w:pPr>
      <w:r w:rsidRPr="004F5859">
        <w:rPr>
          <w:b/>
          <w:bCs/>
          <w:sz w:val="32"/>
          <w:szCs w:val="32"/>
        </w:rPr>
        <w:t>Student ID: 21</w:t>
      </w:r>
      <w:r w:rsidRPr="004F5859">
        <w:rPr>
          <w:b/>
          <w:bCs/>
          <w:sz w:val="32"/>
          <w:szCs w:val="32"/>
        </w:rPr>
        <w:t>29296</w:t>
      </w:r>
    </w:p>
    <w:p w14:paraId="2C3AC379" w14:textId="77777777" w:rsidR="0039258F" w:rsidRPr="004F5859" w:rsidRDefault="0039258F" w:rsidP="0039258F">
      <w:pPr>
        <w:spacing w:line="259" w:lineRule="auto"/>
        <w:jc w:val="center"/>
        <w:rPr>
          <w:b/>
          <w:bCs/>
          <w:sz w:val="32"/>
          <w:szCs w:val="32"/>
        </w:rPr>
      </w:pPr>
      <w:r w:rsidRPr="004F5859">
        <w:rPr>
          <w:b/>
          <w:bCs/>
          <w:sz w:val="32"/>
          <w:szCs w:val="32"/>
        </w:rPr>
        <w:t>Lecturer Name: Tristan Hawkins</w:t>
      </w:r>
    </w:p>
    <w:p w14:paraId="4C672672" w14:textId="77777777" w:rsidR="0039258F" w:rsidRPr="0039258F" w:rsidRDefault="0039258F" w:rsidP="0039258F">
      <w:pPr>
        <w:jc w:val="center"/>
        <w:rPr>
          <w:sz w:val="32"/>
          <w:szCs w:val="32"/>
        </w:rPr>
      </w:pPr>
    </w:p>
    <w:p w14:paraId="2E3B52B9" w14:textId="77777777" w:rsidR="009B1F03" w:rsidRPr="0039258F" w:rsidRDefault="009B1F03">
      <w:pPr>
        <w:jc w:val="center"/>
        <w:rPr>
          <w:rFonts w:cs="Times New Roman"/>
          <w:b/>
          <w:bCs/>
          <w:sz w:val="56"/>
          <w:szCs w:val="56"/>
        </w:rPr>
      </w:pPr>
    </w:p>
    <w:p w14:paraId="34E161FE" w14:textId="77777777" w:rsidR="009B1F03" w:rsidRPr="0039258F" w:rsidRDefault="009B1F03">
      <w:pPr>
        <w:rPr>
          <w:rFonts w:cs="Times New Roman"/>
          <w:lang w:bidi="ar-SA"/>
        </w:rPr>
      </w:pPr>
    </w:p>
    <w:p w14:paraId="45791E7F" w14:textId="77777777" w:rsidR="009B1F03" w:rsidRPr="0039258F" w:rsidRDefault="00902217">
      <w:pPr>
        <w:rPr>
          <w:rFonts w:cs="Times New Roman"/>
          <w:szCs w:val="24"/>
          <w:lang w:bidi="ar-SA"/>
        </w:rPr>
      </w:pPr>
      <w:r w:rsidRPr="0039258F">
        <w:rPr>
          <w:rFonts w:cs="Times New Roman"/>
          <w:lang w:bidi="ar-SA"/>
        </w:rPr>
        <w:br w:type="page"/>
      </w:r>
    </w:p>
    <w:p w14:paraId="5293C414" w14:textId="77777777" w:rsidR="009B1F03" w:rsidRPr="0039258F" w:rsidRDefault="00902217">
      <w:pPr>
        <w:pStyle w:val="TOCHeading"/>
        <w:spacing w:line="360" w:lineRule="auto"/>
        <w:jc w:val="both"/>
        <w:rPr>
          <w:rFonts w:ascii="Times New Roman" w:hAnsi="Times New Roman" w:cs="Times New Roman"/>
          <w:sz w:val="24"/>
          <w:szCs w:val="24"/>
        </w:rPr>
      </w:pPr>
      <w:r w:rsidRPr="0039258F">
        <w:rPr>
          <w:rFonts w:ascii="Times New Roman" w:hAnsi="Times New Roman" w:cs="Times New Roman"/>
          <w:sz w:val="24"/>
          <w:szCs w:val="24"/>
        </w:rPr>
        <w:lastRenderedPageBreak/>
        <w:t>Table of Contents</w:t>
      </w:r>
    </w:p>
    <w:p w14:paraId="09D61A39" w14:textId="77777777" w:rsidR="00057558" w:rsidRPr="0039258F" w:rsidRDefault="00902217">
      <w:pPr>
        <w:pStyle w:val="TOC1"/>
        <w:tabs>
          <w:tab w:val="right" w:leader="dot" w:pos="9010"/>
        </w:tabs>
        <w:rPr>
          <w:rFonts w:asciiTheme="minorHAnsi" w:eastAsiaTheme="minorEastAsia" w:hAnsiTheme="minorHAnsi" w:cstheme="minorBidi"/>
          <w:kern w:val="0"/>
          <w:sz w:val="22"/>
          <w:szCs w:val="22"/>
          <w:lang w:eastAsia="en-GB" w:bidi="ar-SA"/>
        </w:rPr>
      </w:pPr>
      <w:r w:rsidRPr="0039258F">
        <w:rPr>
          <w:rFonts w:cs="Times New Roman"/>
          <w:szCs w:val="24"/>
        </w:rPr>
        <w:fldChar w:fldCharType="begin"/>
      </w:r>
      <w:r w:rsidRPr="0039258F">
        <w:rPr>
          <w:rFonts w:cs="Times New Roman"/>
          <w:szCs w:val="24"/>
        </w:rPr>
        <w:instrText xml:space="preserve"> TOC \o "1-3" \h \z \u </w:instrText>
      </w:r>
      <w:r w:rsidRPr="0039258F">
        <w:rPr>
          <w:rFonts w:cs="Times New Roman"/>
          <w:szCs w:val="24"/>
        </w:rPr>
        <w:fldChar w:fldCharType="separate"/>
      </w:r>
      <w:hyperlink w:anchor="_Toc148725147" w:history="1">
        <w:r w:rsidR="00057558" w:rsidRPr="0039258F">
          <w:rPr>
            <w:rStyle w:val="Hyperlink"/>
            <w:rFonts w:cs="Times New Roman"/>
          </w:rPr>
          <w:t>Introduction</w:t>
        </w:r>
        <w:r w:rsidR="00057558" w:rsidRPr="0039258F">
          <w:rPr>
            <w:webHidden/>
          </w:rPr>
          <w:tab/>
        </w:r>
        <w:r w:rsidR="00057558" w:rsidRPr="0039258F">
          <w:rPr>
            <w:webHidden/>
          </w:rPr>
          <w:fldChar w:fldCharType="begin"/>
        </w:r>
        <w:r w:rsidR="00057558" w:rsidRPr="0039258F">
          <w:rPr>
            <w:webHidden/>
          </w:rPr>
          <w:instrText xml:space="preserve"> PAGEREF _Toc148725147 \h </w:instrText>
        </w:r>
        <w:r w:rsidR="00057558" w:rsidRPr="0039258F">
          <w:rPr>
            <w:webHidden/>
          </w:rPr>
        </w:r>
        <w:r w:rsidR="00057558" w:rsidRPr="0039258F">
          <w:rPr>
            <w:webHidden/>
          </w:rPr>
          <w:fldChar w:fldCharType="separate"/>
        </w:r>
        <w:r w:rsidR="00057558" w:rsidRPr="0039258F">
          <w:rPr>
            <w:webHidden/>
          </w:rPr>
          <w:t>3</w:t>
        </w:r>
        <w:r w:rsidR="00057558" w:rsidRPr="0039258F">
          <w:rPr>
            <w:webHidden/>
          </w:rPr>
          <w:fldChar w:fldCharType="end"/>
        </w:r>
      </w:hyperlink>
    </w:p>
    <w:p w14:paraId="75B89FD8" w14:textId="77777777" w:rsidR="00057558" w:rsidRPr="0039258F" w:rsidRDefault="00000000">
      <w:pPr>
        <w:pStyle w:val="TOC1"/>
        <w:tabs>
          <w:tab w:val="right" w:leader="dot" w:pos="9010"/>
        </w:tabs>
        <w:rPr>
          <w:rFonts w:asciiTheme="minorHAnsi" w:eastAsiaTheme="minorEastAsia" w:hAnsiTheme="minorHAnsi" w:cstheme="minorBidi"/>
          <w:kern w:val="0"/>
          <w:sz w:val="22"/>
          <w:szCs w:val="22"/>
          <w:lang w:eastAsia="en-GB" w:bidi="ar-SA"/>
        </w:rPr>
      </w:pPr>
      <w:hyperlink w:anchor="_Toc148725148" w:history="1">
        <w:r w:rsidR="00057558" w:rsidRPr="0039258F">
          <w:rPr>
            <w:rStyle w:val="Hyperlink"/>
            <w:rFonts w:cs="Times New Roman"/>
            <w:lang w:bidi="bn-IN"/>
          </w:rPr>
          <w:t>Analysis and comparison of total reveneue</w:t>
        </w:r>
        <w:r w:rsidR="00057558" w:rsidRPr="0039258F">
          <w:rPr>
            <w:webHidden/>
          </w:rPr>
          <w:tab/>
        </w:r>
        <w:r w:rsidR="00057558" w:rsidRPr="0039258F">
          <w:rPr>
            <w:webHidden/>
          </w:rPr>
          <w:fldChar w:fldCharType="begin"/>
        </w:r>
        <w:r w:rsidR="00057558" w:rsidRPr="0039258F">
          <w:rPr>
            <w:webHidden/>
          </w:rPr>
          <w:instrText xml:space="preserve"> PAGEREF _Toc148725148 \h </w:instrText>
        </w:r>
        <w:r w:rsidR="00057558" w:rsidRPr="0039258F">
          <w:rPr>
            <w:webHidden/>
          </w:rPr>
        </w:r>
        <w:r w:rsidR="00057558" w:rsidRPr="0039258F">
          <w:rPr>
            <w:webHidden/>
          </w:rPr>
          <w:fldChar w:fldCharType="separate"/>
        </w:r>
        <w:r w:rsidR="00057558" w:rsidRPr="0039258F">
          <w:rPr>
            <w:webHidden/>
          </w:rPr>
          <w:t>4</w:t>
        </w:r>
        <w:r w:rsidR="00057558" w:rsidRPr="0039258F">
          <w:rPr>
            <w:webHidden/>
          </w:rPr>
          <w:fldChar w:fldCharType="end"/>
        </w:r>
      </w:hyperlink>
    </w:p>
    <w:p w14:paraId="46D928F0" w14:textId="77777777" w:rsidR="00057558" w:rsidRPr="0039258F" w:rsidRDefault="00000000">
      <w:pPr>
        <w:pStyle w:val="TOC1"/>
        <w:tabs>
          <w:tab w:val="right" w:leader="dot" w:pos="9010"/>
        </w:tabs>
        <w:rPr>
          <w:rFonts w:asciiTheme="minorHAnsi" w:eastAsiaTheme="minorEastAsia" w:hAnsiTheme="minorHAnsi" w:cstheme="minorBidi"/>
          <w:kern w:val="0"/>
          <w:sz w:val="22"/>
          <w:szCs w:val="22"/>
          <w:lang w:eastAsia="en-GB" w:bidi="ar-SA"/>
        </w:rPr>
      </w:pPr>
      <w:hyperlink w:anchor="_Toc148725149" w:history="1">
        <w:r w:rsidR="00057558" w:rsidRPr="0039258F">
          <w:rPr>
            <w:rStyle w:val="Hyperlink"/>
            <w:rFonts w:cs="Times New Roman"/>
            <w:lang w:bidi="bn-IN"/>
          </w:rPr>
          <w:t>The market positions</w:t>
        </w:r>
        <w:r w:rsidR="00057558" w:rsidRPr="0039258F">
          <w:rPr>
            <w:webHidden/>
          </w:rPr>
          <w:tab/>
        </w:r>
        <w:r w:rsidR="00057558" w:rsidRPr="0039258F">
          <w:rPr>
            <w:webHidden/>
          </w:rPr>
          <w:fldChar w:fldCharType="begin"/>
        </w:r>
        <w:r w:rsidR="00057558" w:rsidRPr="0039258F">
          <w:rPr>
            <w:webHidden/>
          </w:rPr>
          <w:instrText xml:space="preserve"> PAGEREF _Toc148725149 \h </w:instrText>
        </w:r>
        <w:r w:rsidR="00057558" w:rsidRPr="0039258F">
          <w:rPr>
            <w:webHidden/>
          </w:rPr>
        </w:r>
        <w:r w:rsidR="00057558" w:rsidRPr="0039258F">
          <w:rPr>
            <w:webHidden/>
          </w:rPr>
          <w:fldChar w:fldCharType="separate"/>
        </w:r>
        <w:r w:rsidR="00057558" w:rsidRPr="0039258F">
          <w:rPr>
            <w:webHidden/>
          </w:rPr>
          <w:t>6</w:t>
        </w:r>
        <w:r w:rsidR="00057558" w:rsidRPr="0039258F">
          <w:rPr>
            <w:webHidden/>
          </w:rPr>
          <w:fldChar w:fldCharType="end"/>
        </w:r>
      </w:hyperlink>
    </w:p>
    <w:p w14:paraId="1404689D" w14:textId="77777777" w:rsidR="00057558" w:rsidRPr="0039258F" w:rsidRDefault="00000000">
      <w:pPr>
        <w:pStyle w:val="TOC1"/>
        <w:tabs>
          <w:tab w:val="right" w:leader="dot" w:pos="9010"/>
        </w:tabs>
        <w:rPr>
          <w:rFonts w:asciiTheme="minorHAnsi" w:eastAsiaTheme="minorEastAsia" w:hAnsiTheme="minorHAnsi" w:cstheme="minorBidi"/>
          <w:kern w:val="0"/>
          <w:sz w:val="22"/>
          <w:szCs w:val="22"/>
          <w:lang w:eastAsia="en-GB" w:bidi="ar-SA"/>
        </w:rPr>
      </w:pPr>
      <w:hyperlink w:anchor="_Toc148725150" w:history="1">
        <w:r w:rsidR="00057558" w:rsidRPr="0039258F">
          <w:rPr>
            <w:rStyle w:val="Hyperlink"/>
            <w:rFonts w:cs="Times New Roman"/>
            <w:lang w:bidi="bn-IN"/>
          </w:rPr>
          <w:t>The growth potential of the two organisations</w:t>
        </w:r>
        <w:r w:rsidR="00057558" w:rsidRPr="0039258F">
          <w:rPr>
            <w:webHidden/>
          </w:rPr>
          <w:tab/>
        </w:r>
        <w:r w:rsidR="00057558" w:rsidRPr="0039258F">
          <w:rPr>
            <w:webHidden/>
          </w:rPr>
          <w:fldChar w:fldCharType="begin"/>
        </w:r>
        <w:r w:rsidR="00057558" w:rsidRPr="0039258F">
          <w:rPr>
            <w:webHidden/>
          </w:rPr>
          <w:instrText xml:space="preserve"> PAGEREF _Toc148725150 \h </w:instrText>
        </w:r>
        <w:r w:rsidR="00057558" w:rsidRPr="0039258F">
          <w:rPr>
            <w:webHidden/>
          </w:rPr>
        </w:r>
        <w:r w:rsidR="00057558" w:rsidRPr="0039258F">
          <w:rPr>
            <w:webHidden/>
          </w:rPr>
          <w:fldChar w:fldCharType="separate"/>
        </w:r>
        <w:r w:rsidR="00057558" w:rsidRPr="0039258F">
          <w:rPr>
            <w:webHidden/>
          </w:rPr>
          <w:t>8</w:t>
        </w:r>
        <w:r w:rsidR="00057558" w:rsidRPr="0039258F">
          <w:rPr>
            <w:webHidden/>
          </w:rPr>
          <w:fldChar w:fldCharType="end"/>
        </w:r>
      </w:hyperlink>
    </w:p>
    <w:p w14:paraId="082E1852" w14:textId="77777777" w:rsidR="00057558" w:rsidRPr="0039258F" w:rsidRDefault="00000000">
      <w:pPr>
        <w:pStyle w:val="TOC1"/>
        <w:tabs>
          <w:tab w:val="right" w:leader="dot" w:pos="9010"/>
        </w:tabs>
        <w:rPr>
          <w:rFonts w:asciiTheme="minorHAnsi" w:eastAsiaTheme="minorEastAsia" w:hAnsiTheme="minorHAnsi" w:cstheme="minorBidi"/>
          <w:kern w:val="0"/>
          <w:sz w:val="22"/>
          <w:szCs w:val="22"/>
          <w:lang w:eastAsia="en-GB" w:bidi="ar-SA"/>
        </w:rPr>
      </w:pPr>
      <w:hyperlink w:anchor="_Toc148725151" w:history="1">
        <w:r w:rsidR="00057558" w:rsidRPr="0039258F">
          <w:rPr>
            <w:rStyle w:val="Hyperlink"/>
            <w:rFonts w:cs="Times New Roman"/>
            <w:lang w:bidi="bn-IN"/>
          </w:rPr>
          <w:t>The financial commitment to CSR initiatives</w:t>
        </w:r>
        <w:r w:rsidR="00057558" w:rsidRPr="0039258F">
          <w:rPr>
            <w:webHidden/>
          </w:rPr>
          <w:tab/>
        </w:r>
        <w:r w:rsidR="00057558" w:rsidRPr="0039258F">
          <w:rPr>
            <w:webHidden/>
          </w:rPr>
          <w:fldChar w:fldCharType="begin"/>
        </w:r>
        <w:r w:rsidR="00057558" w:rsidRPr="0039258F">
          <w:rPr>
            <w:webHidden/>
          </w:rPr>
          <w:instrText xml:space="preserve"> PAGEREF _Toc148725151 \h </w:instrText>
        </w:r>
        <w:r w:rsidR="00057558" w:rsidRPr="0039258F">
          <w:rPr>
            <w:webHidden/>
          </w:rPr>
        </w:r>
        <w:r w:rsidR="00057558" w:rsidRPr="0039258F">
          <w:rPr>
            <w:webHidden/>
          </w:rPr>
          <w:fldChar w:fldCharType="separate"/>
        </w:r>
        <w:r w:rsidR="00057558" w:rsidRPr="0039258F">
          <w:rPr>
            <w:webHidden/>
          </w:rPr>
          <w:t>10</w:t>
        </w:r>
        <w:r w:rsidR="00057558" w:rsidRPr="0039258F">
          <w:rPr>
            <w:webHidden/>
          </w:rPr>
          <w:fldChar w:fldCharType="end"/>
        </w:r>
      </w:hyperlink>
    </w:p>
    <w:p w14:paraId="6B67A7A0" w14:textId="77777777" w:rsidR="00057558" w:rsidRPr="0039258F" w:rsidRDefault="00000000">
      <w:pPr>
        <w:pStyle w:val="TOC1"/>
        <w:tabs>
          <w:tab w:val="right" w:leader="dot" w:pos="9010"/>
        </w:tabs>
        <w:rPr>
          <w:rFonts w:asciiTheme="minorHAnsi" w:eastAsiaTheme="minorEastAsia" w:hAnsiTheme="minorHAnsi" w:cstheme="minorBidi"/>
          <w:kern w:val="0"/>
          <w:sz w:val="22"/>
          <w:szCs w:val="22"/>
          <w:lang w:eastAsia="en-GB" w:bidi="ar-SA"/>
        </w:rPr>
      </w:pPr>
      <w:hyperlink w:anchor="_Toc148725152" w:history="1">
        <w:r w:rsidR="00057558" w:rsidRPr="0039258F">
          <w:rPr>
            <w:rStyle w:val="Hyperlink"/>
            <w:rFonts w:cs="Times New Roman"/>
            <w:lang w:bidi="bn-IN"/>
          </w:rPr>
          <w:t>Recommendation</w:t>
        </w:r>
        <w:r w:rsidR="00057558" w:rsidRPr="0039258F">
          <w:rPr>
            <w:webHidden/>
          </w:rPr>
          <w:tab/>
        </w:r>
        <w:r w:rsidR="00057558" w:rsidRPr="0039258F">
          <w:rPr>
            <w:webHidden/>
          </w:rPr>
          <w:fldChar w:fldCharType="begin"/>
        </w:r>
        <w:r w:rsidR="00057558" w:rsidRPr="0039258F">
          <w:rPr>
            <w:webHidden/>
          </w:rPr>
          <w:instrText xml:space="preserve"> PAGEREF _Toc148725152 \h </w:instrText>
        </w:r>
        <w:r w:rsidR="00057558" w:rsidRPr="0039258F">
          <w:rPr>
            <w:webHidden/>
          </w:rPr>
        </w:r>
        <w:r w:rsidR="00057558" w:rsidRPr="0039258F">
          <w:rPr>
            <w:webHidden/>
          </w:rPr>
          <w:fldChar w:fldCharType="separate"/>
        </w:r>
        <w:r w:rsidR="00057558" w:rsidRPr="0039258F">
          <w:rPr>
            <w:webHidden/>
          </w:rPr>
          <w:t>12</w:t>
        </w:r>
        <w:r w:rsidR="00057558" w:rsidRPr="0039258F">
          <w:rPr>
            <w:webHidden/>
          </w:rPr>
          <w:fldChar w:fldCharType="end"/>
        </w:r>
      </w:hyperlink>
    </w:p>
    <w:p w14:paraId="02969AEB" w14:textId="77777777" w:rsidR="00057558" w:rsidRPr="0039258F" w:rsidRDefault="00000000">
      <w:pPr>
        <w:pStyle w:val="TOC1"/>
        <w:tabs>
          <w:tab w:val="right" w:leader="dot" w:pos="9010"/>
        </w:tabs>
        <w:rPr>
          <w:rFonts w:asciiTheme="minorHAnsi" w:eastAsiaTheme="minorEastAsia" w:hAnsiTheme="minorHAnsi" w:cstheme="minorBidi"/>
          <w:kern w:val="0"/>
          <w:sz w:val="22"/>
          <w:szCs w:val="22"/>
          <w:lang w:eastAsia="en-GB" w:bidi="ar-SA"/>
        </w:rPr>
      </w:pPr>
      <w:hyperlink w:anchor="_Toc148725153" w:history="1">
        <w:r w:rsidR="00057558" w:rsidRPr="0039258F">
          <w:rPr>
            <w:rStyle w:val="Hyperlink"/>
            <w:rFonts w:cs="Times New Roman"/>
            <w:lang w:bidi="bn-IN"/>
          </w:rPr>
          <w:t>Conclusion</w:t>
        </w:r>
        <w:r w:rsidR="00057558" w:rsidRPr="0039258F">
          <w:rPr>
            <w:webHidden/>
          </w:rPr>
          <w:tab/>
        </w:r>
        <w:r w:rsidR="00057558" w:rsidRPr="0039258F">
          <w:rPr>
            <w:webHidden/>
          </w:rPr>
          <w:fldChar w:fldCharType="begin"/>
        </w:r>
        <w:r w:rsidR="00057558" w:rsidRPr="0039258F">
          <w:rPr>
            <w:webHidden/>
          </w:rPr>
          <w:instrText xml:space="preserve"> PAGEREF _Toc148725153 \h </w:instrText>
        </w:r>
        <w:r w:rsidR="00057558" w:rsidRPr="0039258F">
          <w:rPr>
            <w:webHidden/>
          </w:rPr>
        </w:r>
        <w:r w:rsidR="00057558" w:rsidRPr="0039258F">
          <w:rPr>
            <w:webHidden/>
          </w:rPr>
          <w:fldChar w:fldCharType="separate"/>
        </w:r>
        <w:r w:rsidR="00057558" w:rsidRPr="0039258F">
          <w:rPr>
            <w:webHidden/>
          </w:rPr>
          <w:t>13</w:t>
        </w:r>
        <w:r w:rsidR="00057558" w:rsidRPr="0039258F">
          <w:rPr>
            <w:webHidden/>
          </w:rPr>
          <w:fldChar w:fldCharType="end"/>
        </w:r>
      </w:hyperlink>
    </w:p>
    <w:p w14:paraId="66C1CB29" w14:textId="77777777" w:rsidR="00057558" w:rsidRPr="0039258F" w:rsidRDefault="00000000">
      <w:pPr>
        <w:pStyle w:val="TOC1"/>
        <w:tabs>
          <w:tab w:val="right" w:leader="dot" w:pos="9010"/>
        </w:tabs>
        <w:rPr>
          <w:rFonts w:asciiTheme="minorHAnsi" w:eastAsiaTheme="minorEastAsia" w:hAnsiTheme="minorHAnsi" w:cstheme="minorBidi"/>
          <w:kern w:val="0"/>
          <w:sz w:val="22"/>
          <w:szCs w:val="22"/>
          <w:lang w:eastAsia="en-GB" w:bidi="ar-SA"/>
        </w:rPr>
      </w:pPr>
      <w:hyperlink w:anchor="_Toc148725154" w:history="1">
        <w:r w:rsidR="00057558" w:rsidRPr="0039258F">
          <w:rPr>
            <w:rStyle w:val="Hyperlink"/>
            <w:rFonts w:cs="Times New Roman"/>
            <w:lang w:bidi="bn-IN"/>
          </w:rPr>
          <w:t>References</w:t>
        </w:r>
        <w:r w:rsidR="00057558" w:rsidRPr="0039258F">
          <w:rPr>
            <w:webHidden/>
          </w:rPr>
          <w:tab/>
        </w:r>
        <w:r w:rsidR="00057558" w:rsidRPr="0039258F">
          <w:rPr>
            <w:webHidden/>
          </w:rPr>
          <w:fldChar w:fldCharType="begin"/>
        </w:r>
        <w:r w:rsidR="00057558" w:rsidRPr="0039258F">
          <w:rPr>
            <w:webHidden/>
          </w:rPr>
          <w:instrText xml:space="preserve"> PAGEREF _Toc148725154 \h </w:instrText>
        </w:r>
        <w:r w:rsidR="00057558" w:rsidRPr="0039258F">
          <w:rPr>
            <w:webHidden/>
          </w:rPr>
        </w:r>
        <w:r w:rsidR="00057558" w:rsidRPr="0039258F">
          <w:rPr>
            <w:webHidden/>
          </w:rPr>
          <w:fldChar w:fldCharType="separate"/>
        </w:r>
        <w:r w:rsidR="00057558" w:rsidRPr="0039258F">
          <w:rPr>
            <w:webHidden/>
          </w:rPr>
          <w:t>14</w:t>
        </w:r>
        <w:r w:rsidR="00057558" w:rsidRPr="0039258F">
          <w:rPr>
            <w:webHidden/>
          </w:rPr>
          <w:fldChar w:fldCharType="end"/>
        </w:r>
      </w:hyperlink>
    </w:p>
    <w:p w14:paraId="339BE107" w14:textId="77777777" w:rsidR="009B1F03" w:rsidRPr="0039258F" w:rsidRDefault="00902217">
      <w:pPr>
        <w:rPr>
          <w:rFonts w:cs="Times New Roman"/>
        </w:rPr>
      </w:pPr>
      <w:r w:rsidRPr="0039258F">
        <w:rPr>
          <w:rFonts w:cs="Times New Roman"/>
          <w:b/>
          <w:bCs/>
          <w:szCs w:val="24"/>
        </w:rPr>
        <w:fldChar w:fldCharType="end"/>
      </w:r>
    </w:p>
    <w:p w14:paraId="7E14A10E" w14:textId="77777777" w:rsidR="009B1F03" w:rsidRPr="0039258F" w:rsidRDefault="009B1F03">
      <w:pPr>
        <w:spacing w:line="480" w:lineRule="auto"/>
        <w:rPr>
          <w:rFonts w:cs="Times New Roman"/>
          <w:lang w:bidi="ar-SA"/>
        </w:rPr>
      </w:pPr>
    </w:p>
    <w:p w14:paraId="78739C48" w14:textId="77777777" w:rsidR="009B1F03" w:rsidRPr="0039258F" w:rsidRDefault="00902217">
      <w:pPr>
        <w:rPr>
          <w:rFonts w:eastAsia="SimSun" w:cs="Times New Roman"/>
          <w:sz w:val="32"/>
          <w:szCs w:val="32"/>
          <w:lang w:bidi="ar-SA"/>
        </w:rPr>
      </w:pPr>
      <w:r w:rsidRPr="0039258F">
        <w:rPr>
          <w:rFonts w:cs="Times New Roman"/>
          <w:lang w:bidi="ar-SA"/>
        </w:rPr>
        <w:br w:type="page"/>
      </w:r>
    </w:p>
    <w:p w14:paraId="063F5C4A" w14:textId="77777777" w:rsidR="009B1F03" w:rsidRPr="0039258F" w:rsidRDefault="00902217">
      <w:pPr>
        <w:pStyle w:val="Heading1"/>
        <w:rPr>
          <w:rFonts w:cs="Times New Roman"/>
          <w:lang w:bidi="ar-SA"/>
        </w:rPr>
      </w:pPr>
      <w:bookmarkStart w:id="0" w:name="_Toc148205848"/>
      <w:bookmarkStart w:id="1" w:name="_Toc148725147"/>
      <w:r w:rsidRPr="0039258F">
        <w:rPr>
          <w:rFonts w:cs="Times New Roman"/>
          <w:lang w:bidi="ar-SA"/>
        </w:rPr>
        <w:lastRenderedPageBreak/>
        <w:t>Introduction</w:t>
      </w:r>
      <w:bookmarkEnd w:id="0"/>
      <w:bookmarkEnd w:id="1"/>
      <w:r w:rsidRPr="0039258F">
        <w:rPr>
          <w:rFonts w:cs="Times New Roman"/>
          <w:lang w:bidi="ar-SA"/>
        </w:rPr>
        <w:t xml:space="preserve"> </w:t>
      </w:r>
    </w:p>
    <w:p w14:paraId="47C4262D" w14:textId="7C8B9371" w:rsidR="009B1F03" w:rsidRPr="0039258F" w:rsidRDefault="00902217">
      <w:pPr>
        <w:rPr>
          <w:rFonts w:cs="Times New Roman"/>
          <w:lang w:bidi="bn-IN"/>
        </w:rPr>
      </w:pPr>
      <w:r w:rsidRPr="0039258F">
        <w:rPr>
          <w:rFonts w:cs="Times New Roman"/>
          <w:lang w:bidi="bn-IN"/>
        </w:rPr>
        <w:t xml:space="preserve">In this detailed analysis, Mandarin Oriental Hotel Group and Premier Inn's financial strength, market position, and corporate social responsibility efforts are examined. The luxurious Mandarin Oriental and the budget-friendly Premier Inn exhibit strategic agility and ethical business practices. Mandarin Oriental is noted for its financial support to environmental and community causes. As hospitality evolves, each organization's strengths and expansion opportunities are </w:t>
      </w:r>
      <w:r w:rsidR="0039258F" w:rsidRPr="0039258F">
        <w:rPr>
          <w:rFonts w:cs="Times New Roman"/>
          <w:lang w:bidi="bn-IN"/>
        </w:rPr>
        <w:t>analysed</w:t>
      </w:r>
      <w:r w:rsidRPr="0039258F">
        <w:rPr>
          <w:rFonts w:cs="Times New Roman"/>
          <w:lang w:bidi="bn-IN"/>
        </w:rPr>
        <w:t>, resulting in rationally developed and adapted recommendations to their market positions and operational philosophies.</w:t>
      </w:r>
    </w:p>
    <w:p w14:paraId="4AF95507" w14:textId="77777777" w:rsidR="009B1F03" w:rsidRPr="0039258F" w:rsidRDefault="009B1F03">
      <w:pPr>
        <w:rPr>
          <w:rFonts w:cs="Times New Roman"/>
          <w:lang w:bidi="bn-IN"/>
        </w:rPr>
      </w:pPr>
    </w:p>
    <w:p w14:paraId="5A3FCEB9" w14:textId="77777777" w:rsidR="009B1F03" w:rsidRPr="0039258F" w:rsidRDefault="009B1F03">
      <w:pPr>
        <w:rPr>
          <w:rFonts w:cs="Times New Roman"/>
          <w:lang w:bidi="bn-IN"/>
        </w:rPr>
      </w:pPr>
    </w:p>
    <w:p w14:paraId="5CEA7F99" w14:textId="77777777" w:rsidR="009B1F03" w:rsidRPr="0039258F" w:rsidRDefault="009B1F03">
      <w:pPr>
        <w:rPr>
          <w:rFonts w:cs="Times New Roman"/>
          <w:lang w:bidi="bn-IN"/>
        </w:rPr>
      </w:pPr>
    </w:p>
    <w:p w14:paraId="2B2DFC1B" w14:textId="77777777" w:rsidR="009B1F03" w:rsidRPr="0039258F" w:rsidRDefault="009B1F03">
      <w:pPr>
        <w:rPr>
          <w:rFonts w:cs="Times New Roman"/>
          <w:lang w:bidi="bn-IN"/>
        </w:rPr>
      </w:pPr>
    </w:p>
    <w:p w14:paraId="1E2D6463" w14:textId="77777777" w:rsidR="009B1F03" w:rsidRPr="0039258F" w:rsidRDefault="009B1F03">
      <w:pPr>
        <w:rPr>
          <w:rFonts w:cs="Times New Roman"/>
          <w:lang w:bidi="bn-IN"/>
        </w:rPr>
      </w:pPr>
    </w:p>
    <w:p w14:paraId="4E70F5DE" w14:textId="77777777" w:rsidR="009B1F03" w:rsidRPr="0039258F" w:rsidRDefault="009B1F03">
      <w:pPr>
        <w:rPr>
          <w:rFonts w:cs="Times New Roman"/>
          <w:lang w:bidi="bn-IN"/>
        </w:rPr>
      </w:pPr>
    </w:p>
    <w:p w14:paraId="5E951F90" w14:textId="77777777" w:rsidR="009B1F03" w:rsidRPr="0039258F" w:rsidRDefault="009B1F03">
      <w:pPr>
        <w:rPr>
          <w:rFonts w:cs="Times New Roman"/>
          <w:lang w:bidi="bn-IN"/>
        </w:rPr>
      </w:pPr>
    </w:p>
    <w:p w14:paraId="19E8AFF5" w14:textId="77777777" w:rsidR="009B1F03" w:rsidRPr="0039258F" w:rsidRDefault="009B1F03">
      <w:pPr>
        <w:rPr>
          <w:rFonts w:cs="Times New Roman"/>
          <w:lang w:bidi="bn-IN"/>
        </w:rPr>
      </w:pPr>
    </w:p>
    <w:p w14:paraId="0EB2F8EA" w14:textId="77777777" w:rsidR="009B1F03" w:rsidRPr="0039258F" w:rsidRDefault="009B1F03">
      <w:pPr>
        <w:rPr>
          <w:rFonts w:cs="Times New Roman"/>
          <w:lang w:bidi="bn-IN"/>
        </w:rPr>
      </w:pPr>
    </w:p>
    <w:p w14:paraId="0303D140" w14:textId="77777777" w:rsidR="009B1F03" w:rsidRPr="0039258F" w:rsidRDefault="009B1F03">
      <w:pPr>
        <w:rPr>
          <w:rFonts w:cs="Times New Roman"/>
          <w:lang w:bidi="bn-IN"/>
        </w:rPr>
      </w:pPr>
    </w:p>
    <w:p w14:paraId="447F261E" w14:textId="77777777" w:rsidR="009B1F03" w:rsidRPr="0039258F" w:rsidRDefault="009B1F03">
      <w:pPr>
        <w:rPr>
          <w:rFonts w:cs="Times New Roman"/>
          <w:lang w:bidi="bn-IN"/>
        </w:rPr>
      </w:pPr>
    </w:p>
    <w:p w14:paraId="5CE62AA2" w14:textId="77777777" w:rsidR="009B1F03" w:rsidRPr="0039258F" w:rsidRDefault="009B1F03">
      <w:pPr>
        <w:rPr>
          <w:rFonts w:cs="Times New Roman"/>
          <w:lang w:bidi="bn-IN"/>
        </w:rPr>
      </w:pPr>
    </w:p>
    <w:p w14:paraId="04FE829D" w14:textId="77777777" w:rsidR="009B1F03" w:rsidRPr="0039258F" w:rsidRDefault="009B1F03">
      <w:pPr>
        <w:rPr>
          <w:rFonts w:cs="Times New Roman"/>
          <w:lang w:bidi="bn-IN"/>
        </w:rPr>
      </w:pPr>
    </w:p>
    <w:p w14:paraId="32E57AE2" w14:textId="77777777" w:rsidR="009B1F03" w:rsidRPr="0039258F" w:rsidRDefault="009B1F03">
      <w:pPr>
        <w:rPr>
          <w:rFonts w:cs="Times New Roman"/>
          <w:lang w:bidi="bn-IN"/>
        </w:rPr>
      </w:pPr>
    </w:p>
    <w:p w14:paraId="28A7EC45" w14:textId="77777777" w:rsidR="009B1F03" w:rsidRPr="0039258F" w:rsidRDefault="009B1F03">
      <w:pPr>
        <w:rPr>
          <w:rFonts w:cs="Times New Roman"/>
          <w:lang w:bidi="bn-IN"/>
        </w:rPr>
      </w:pPr>
    </w:p>
    <w:p w14:paraId="4D1FE76F" w14:textId="77777777" w:rsidR="009B1F03" w:rsidRPr="0039258F" w:rsidRDefault="009B1F03">
      <w:pPr>
        <w:pStyle w:val="Heading1"/>
        <w:rPr>
          <w:rFonts w:cs="Times New Roman"/>
          <w:lang w:bidi="bn-IN"/>
        </w:rPr>
      </w:pPr>
    </w:p>
    <w:p w14:paraId="5BFE7B64" w14:textId="3AFC9AF9" w:rsidR="009B1F03" w:rsidRPr="0039258F" w:rsidRDefault="00902217">
      <w:pPr>
        <w:pStyle w:val="Heading1"/>
        <w:rPr>
          <w:rFonts w:cs="Times New Roman"/>
          <w:lang w:bidi="bn-IN"/>
        </w:rPr>
      </w:pPr>
      <w:r w:rsidRPr="0039258F">
        <w:rPr>
          <w:rFonts w:cs="Times New Roman"/>
          <w:lang w:bidi="bn-IN"/>
        </w:rPr>
        <w:br w:type="page"/>
      </w:r>
      <w:bookmarkStart w:id="2" w:name="_Toc148725148"/>
      <w:r w:rsidR="004F720D" w:rsidRPr="0039258F">
        <w:rPr>
          <w:rFonts w:cs="Times New Roman"/>
          <w:lang w:bidi="bn-IN"/>
        </w:rPr>
        <w:lastRenderedPageBreak/>
        <w:t>Analysis and comparison of t</w:t>
      </w:r>
      <w:r w:rsidRPr="0039258F">
        <w:rPr>
          <w:rFonts w:cs="Times New Roman"/>
          <w:lang w:bidi="bn-IN"/>
        </w:rPr>
        <w:t xml:space="preserve">otal </w:t>
      </w:r>
      <w:bookmarkEnd w:id="2"/>
      <w:r w:rsidR="0039258F" w:rsidRPr="0039258F">
        <w:rPr>
          <w:rFonts w:cs="Times New Roman"/>
          <w:lang w:bidi="bn-IN"/>
        </w:rPr>
        <w:t>revenue</w:t>
      </w:r>
      <w:r w:rsidRPr="0039258F">
        <w:rPr>
          <w:rFonts w:cs="Times New Roman"/>
          <w:lang w:bidi="bn-IN"/>
        </w:rPr>
        <w:t xml:space="preserve"> </w:t>
      </w:r>
    </w:p>
    <w:p w14:paraId="4CD0A503" w14:textId="77777777" w:rsidR="009B1F03" w:rsidRPr="0039258F" w:rsidRDefault="00902217">
      <w:pPr>
        <w:rPr>
          <w:rFonts w:cs="Times New Roman"/>
          <w:b/>
          <w:bCs/>
          <w:u w:val="single"/>
          <w:lang w:bidi="bn-IN"/>
        </w:rPr>
      </w:pPr>
      <w:r w:rsidRPr="0039258F">
        <w:rPr>
          <w:rFonts w:cs="Times New Roman"/>
          <w:b/>
          <w:bCs/>
          <w:u w:val="single"/>
          <w:lang w:bidi="bn-IN"/>
        </w:rPr>
        <w:t>Mandarin Oriental Hotel Group Revenue Analysis:</w:t>
      </w:r>
    </w:p>
    <w:p w14:paraId="7B573D53" w14:textId="77777777" w:rsidR="009B1F03" w:rsidRPr="0039258F" w:rsidRDefault="00902217">
      <w:pPr>
        <w:rPr>
          <w:rFonts w:cs="Times New Roman"/>
          <w:b/>
          <w:bCs/>
          <w:lang w:bidi="bn-IN"/>
        </w:rPr>
      </w:pPr>
      <w:r w:rsidRPr="0039258F">
        <w:rPr>
          <w:rFonts w:cs="Times New Roman"/>
          <w:b/>
          <w:bCs/>
          <w:lang w:bidi="bn-IN"/>
        </w:rPr>
        <w:t>Revenue Overview:</w:t>
      </w:r>
    </w:p>
    <w:p w14:paraId="5CD8A62A" w14:textId="77777777" w:rsidR="009B1F03" w:rsidRPr="0039258F" w:rsidRDefault="00902217">
      <w:pPr>
        <w:rPr>
          <w:rFonts w:cs="Times New Roman"/>
          <w:lang w:bidi="bn-IN"/>
        </w:rPr>
      </w:pPr>
      <w:r w:rsidRPr="0039258F">
        <w:rPr>
          <w:rFonts w:cs="Times New Roman"/>
          <w:lang w:bidi="bn-IN"/>
        </w:rPr>
        <w:t>Overall revenue from hotels under administration rose to $1.6 billion in 2022 for the Mandarin Oriental Hotel Group. This is an 18% increase from pre-pandemic levels in 2019. Travel restrictions were eased worldwide, especially in Europe, the Middle East, and the US, helping the recovery. After the Group's strategic digital makeover and mandarinoriental.com relaunch, visitor experience and digital sales improved. Over 1.4 million people are now Fans of M.O. members, up 32% year over year. The launch of Mandarin Oriental Exclusive Homes also expanded the brand. The Group eliminated 99 percent of single-use plastics, demonstrating its commitment to sustainability (Mandarin Oriental Hotel Group, 2023).</w:t>
      </w:r>
    </w:p>
    <w:p w14:paraId="7E6B93C3" w14:textId="77777777" w:rsidR="009B1F03" w:rsidRPr="0039258F" w:rsidRDefault="00902217">
      <w:pPr>
        <w:rPr>
          <w:rFonts w:cs="Times New Roman"/>
          <w:b/>
          <w:bCs/>
          <w:lang w:bidi="bn-IN"/>
        </w:rPr>
      </w:pPr>
      <w:r w:rsidRPr="0039258F">
        <w:rPr>
          <w:rFonts w:cs="Times New Roman"/>
          <w:b/>
          <w:bCs/>
          <w:lang w:bidi="bn-IN"/>
        </w:rPr>
        <w:t>2022 Performance:</w:t>
      </w:r>
    </w:p>
    <w:p w14:paraId="00109F5F" w14:textId="77777777" w:rsidR="009B1F03" w:rsidRPr="0039258F" w:rsidRDefault="00902217">
      <w:pPr>
        <w:rPr>
          <w:rFonts w:cs="Times New Roman"/>
          <w:lang w:bidi="bn-IN"/>
        </w:rPr>
      </w:pPr>
      <w:r w:rsidRPr="0039258F">
        <w:rPr>
          <w:rFonts w:cs="Times New Roman"/>
          <w:lang w:bidi="bn-IN"/>
        </w:rPr>
        <w:t>Overall revenue rose 49% in 2022 compared to 2021, improving the Group's financial performance. This was due to several things. Consumer demand increased after travel restrictions were eliminated worldwide, which increased occupancy rates and helped the Group return to profitability. EBITDA rose to 111 million US dollars from 2021. The Americas and Europe, the Middle East, and Africa (EMEA) had the highest occupancy and ADR rates. In EMEA, RevPAR was 45% more than expected in 2021, and in America, 50% higher. The resurgence in China and Japan has been slower than predicted due to travel restrictions (Mandarin Oriental Hotel Group, 202</w:t>
      </w:r>
      <w:r w:rsidR="00060280" w:rsidRPr="0039258F">
        <w:rPr>
          <w:rFonts w:cs="Times New Roman"/>
          <w:lang w:bidi="bn-IN"/>
        </w:rPr>
        <w:t>2</w:t>
      </w:r>
      <w:r w:rsidRPr="0039258F">
        <w:rPr>
          <w:rFonts w:cs="Times New Roman"/>
          <w:lang w:bidi="bn-IN"/>
        </w:rPr>
        <w:t>).</w:t>
      </w:r>
    </w:p>
    <w:p w14:paraId="18BEB8FC" w14:textId="77777777" w:rsidR="009B1F03" w:rsidRPr="0039258F" w:rsidRDefault="00902217">
      <w:pPr>
        <w:rPr>
          <w:rFonts w:cs="Times New Roman"/>
          <w:b/>
          <w:bCs/>
          <w:lang w:bidi="bn-IN"/>
        </w:rPr>
      </w:pPr>
      <w:r w:rsidRPr="0039258F">
        <w:rPr>
          <w:rFonts w:cs="Times New Roman"/>
          <w:b/>
          <w:bCs/>
          <w:lang w:bidi="bn-IN"/>
        </w:rPr>
        <w:t>Sources of Revenue:</w:t>
      </w:r>
    </w:p>
    <w:p w14:paraId="67CB5B3C" w14:textId="77777777" w:rsidR="009B1F03" w:rsidRPr="0039258F" w:rsidRDefault="00902217">
      <w:pPr>
        <w:rPr>
          <w:rFonts w:cs="Times New Roman"/>
          <w:lang w:bidi="bn-IN"/>
        </w:rPr>
      </w:pPr>
      <w:r w:rsidRPr="0039258F">
        <w:rPr>
          <w:rFonts w:cs="Times New Roman"/>
          <w:lang w:bidi="bn-IN"/>
        </w:rPr>
        <w:t>Hotel ownership brought in US$400.9 million, while branding and management of hotels and flats brought in US$68.5 million. Analysis of firm activity yields these numbers. Mandarin Oriental Hotel Group earned $454,1 million in the US in 2022. The company's internal revenue is included in this statistic. Many revenue sources from hotel ownership and property management demonstrate the business model's longevity (Mandarin Oriental Hotel Group, 2023).</w:t>
      </w:r>
    </w:p>
    <w:p w14:paraId="7F78036C" w14:textId="77777777" w:rsidR="009B1F03" w:rsidRPr="0039258F" w:rsidRDefault="00902217">
      <w:pPr>
        <w:rPr>
          <w:rFonts w:cs="Times New Roman"/>
          <w:lang w:bidi="bn-IN"/>
        </w:rPr>
      </w:pPr>
      <w:r w:rsidRPr="0039258F">
        <w:rPr>
          <w:rFonts w:cs="Times New Roman"/>
          <w:b/>
          <w:bCs/>
          <w:u w:val="single"/>
          <w:lang w:bidi="bn-IN"/>
        </w:rPr>
        <w:t>Premier Inn Revenue Analysis:</w:t>
      </w:r>
    </w:p>
    <w:p w14:paraId="3A28532D" w14:textId="77777777" w:rsidR="009B1F03" w:rsidRPr="0039258F" w:rsidRDefault="00902217">
      <w:pPr>
        <w:rPr>
          <w:rFonts w:cs="Times New Roman"/>
          <w:b/>
          <w:bCs/>
          <w:lang w:bidi="bn-IN"/>
        </w:rPr>
      </w:pPr>
      <w:r w:rsidRPr="0039258F">
        <w:rPr>
          <w:rFonts w:cs="Times New Roman"/>
          <w:b/>
          <w:bCs/>
          <w:lang w:bidi="bn-IN"/>
        </w:rPr>
        <w:t>2021/22 Financial Performance:</w:t>
      </w:r>
    </w:p>
    <w:p w14:paraId="380BB273" w14:textId="77777777" w:rsidR="009B1F03" w:rsidRPr="0039258F" w:rsidRDefault="00902217">
      <w:pPr>
        <w:rPr>
          <w:rFonts w:cs="Times New Roman"/>
          <w:lang w:bidi="bn-IN"/>
        </w:rPr>
      </w:pPr>
      <w:r w:rsidRPr="0039258F">
        <w:rPr>
          <w:rFonts w:cs="Times New Roman"/>
          <w:lang w:bidi="bn-IN"/>
        </w:rPr>
        <w:lastRenderedPageBreak/>
        <w:t>The previous year, Premier Inn lost £635.1 million, but in 2021/22, it made £15.8 million in adjusted profit before tax. Premier Inn lost £635.1 million last year. Sales in the UK recovered strongly after the outbreak, causing this. In mid-May 2021, government restrictions were lifted, causing a revenue rebound that surpassed the midscale and economy markets. Premier Inn's 14.8 percentage point market-beating rise in UK accommodation sales shows its resilience (Premier Inn, 202</w:t>
      </w:r>
      <w:r w:rsidR="00060280" w:rsidRPr="0039258F">
        <w:rPr>
          <w:rFonts w:cs="Times New Roman"/>
          <w:lang w:bidi="bn-IN"/>
        </w:rPr>
        <w:t>2</w:t>
      </w:r>
      <w:r w:rsidRPr="0039258F">
        <w:rPr>
          <w:rFonts w:cs="Times New Roman"/>
          <w:lang w:bidi="bn-IN"/>
        </w:rPr>
        <w:t>).</w:t>
      </w:r>
    </w:p>
    <w:p w14:paraId="33C9BC19" w14:textId="77777777" w:rsidR="009B1F03" w:rsidRPr="0039258F" w:rsidRDefault="00902217">
      <w:pPr>
        <w:rPr>
          <w:rFonts w:cs="Times New Roman"/>
          <w:b/>
          <w:bCs/>
          <w:lang w:bidi="bn-IN"/>
        </w:rPr>
      </w:pPr>
      <w:r w:rsidRPr="0039258F">
        <w:rPr>
          <w:rFonts w:cs="Times New Roman"/>
          <w:b/>
          <w:bCs/>
          <w:lang w:bidi="bn-IN"/>
        </w:rPr>
        <w:t>Revenue Performance:</w:t>
      </w:r>
    </w:p>
    <w:p w14:paraId="5D41C826" w14:textId="77777777" w:rsidR="009B1F03" w:rsidRPr="0039258F" w:rsidRDefault="00902217">
      <w:pPr>
        <w:rPr>
          <w:rFonts w:cs="Times New Roman"/>
          <w:lang w:bidi="bn-IN"/>
        </w:rPr>
      </w:pPr>
      <w:r w:rsidRPr="0039258F">
        <w:rPr>
          <w:rFonts w:cs="Times New Roman"/>
          <w:lang w:bidi="bn-IN"/>
        </w:rPr>
        <w:t>Premier Inn earned £1,703.4 million in fiscal year 2021/22, with lodging contributing £1,186.9 million and food, beverage, and other items £516.5 million. Food and beverage sales in the UK recovered 163.4% from 2020/21 but were 32.7% behind 2019/20 owing to early-year closures. The difference was due to reduced 2019/20 sales. Despite further German market limitations, hotel room sales rose 176.5% from 2020/21. This was especially true in leisure-oriented Berlin, Freiburg, and Hamburg (Premier Inn, 202</w:t>
      </w:r>
      <w:r w:rsidR="00060280" w:rsidRPr="0039258F">
        <w:rPr>
          <w:rFonts w:cs="Times New Roman"/>
          <w:lang w:bidi="bn-IN"/>
        </w:rPr>
        <w:t>2</w:t>
      </w:r>
      <w:r w:rsidRPr="0039258F">
        <w:rPr>
          <w:rFonts w:cs="Times New Roman"/>
          <w:lang w:bidi="bn-IN"/>
        </w:rPr>
        <w:t>).</w:t>
      </w:r>
    </w:p>
    <w:p w14:paraId="3FA83511" w14:textId="77777777" w:rsidR="009B1F03" w:rsidRPr="0039258F" w:rsidRDefault="00902217">
      <w:pPr>
        <w:rPr>
          <w:rFonts w:cs="Times New Roman"/>
          <w:b/>
          <w:bCs/>
          <w:lang w:bidi="bn-IN"/>
        </w:rPr>
      </w:pPr>
      <w:r w:rsidRPr="0039258F">
        <w:rPr>
          <w:rFonts w:cs="Times New Roman"/>
          <w:b/>
          <w:bCs/>
          <w:lang w:bidi="bn-IN"/>
        </w:rPr>
        <w:t>Sources of Revenue:</w:t>
      </w:r>
    </w:p>
    <w:p w14:paraId="3308B028" w14:textId="77777777" w:rsidR="009B1F03" w:rsidRPr="0039258F" w:rsidRDefault="00902217">
      <w:pPr>
        <w:rPr>
          <w:rFonts w:cs="Times New Roman"/>
          <w:lang w:bidi="bn-IN"/>
        </w:rPr>
      </w:pPr>
      <w:r w:rsidRPr="0039258F">
        <w:rPr>
          <w:rFonts w:cs="Times New Roman"/>
          <w:lang w:bidi="bn-IN"/>
        </w:rPr>
        <w:t>Premier Inn makes £1,186.9 million from lodging and £516.5 million from food, beverages, and other services. Since the hospitality sector has many revenue streams, Premier Inn can profit from both lodging and other services (Premier Inn, 2023).</w:t>
      </w:r>
    </w:p>
    <w:p w14:paraId="6F5AC658" w14:textId="77777777" w:rsidR="009B1F03" w:rsidRPr="0039258F" w:rsidRDefault="00902217">
      <w:pPr>
        <w:rPr>
          <w:rFonts w:cs="Times New Roman"/>
          <w:lang w:bidi="bn-IN"/>
        </w:rPr>
      </w:pPr>
      <w:r w:rsidRPr="0039258F">
        <w:rPr>
          <w:rFonts w:cs="Times New Roman"/>
          <w:b/>
          <w:bCs/>
          <w:u w:val="single"/>
          <w:lang w:bidi="bn-IN"/>
        </w:rPr>
        <w:t>Comparison</w:t>
      </w:r>
      <w:r w:rsidRPr="0039258F">
        <w:rPr>
          <w:rFonts w:cs="Times New Roman"/>
          <w:lang w:bidi="bn-IN"/>
        </w:rPr>
        <w:t>:</w:t>
      </w:r>
    </w:p>
    <w:p w14:paraId="087819AE" w14:textId="77777777" w:rsidR="009B1F03" w:rsidRPr="0039258F" w:rsidRDefault="00902217">
      <w:pPr>
        <w:rPr>
          <w:rFonts w:cs="Times New Roman"/>
          <w:lang w:bidi="bn-IN"/>
        </w:rPr>
      </w:pPr>
      <w:r w:rsidRPr="0039258F">
        <w:rPr>
          <w:rFonts w:cs="Times New Roman"/>
          <w:lang w:bidi="bn-IN"/>
        </w:rPr>
        <w:t>Mandarin Oriental Hotel Group and Premier Inn showed revenue resilience. Mandarin Oriental saw considerable improvements in key places after travel restrictions were relaxed due to its global presence. Digital change, sustainability, and elite housing contributed to its revenue growth.</w:t>
      </w:r>
    </w:p>
    <w:p w14:paraId="027DD77F" w14:textId="77777777" w:rsidR="009B1F03" w:rsidRPr="0039258F" w:rsidRDefault="00902217">
      <w:pPr>
        <w:rPr>
          <w:rFonts w:cs="Times New Roman"/>
          <w:lang w:bidi="bn-IN"/>
        </w:rPr>
      </w:pPr>
      <w:r w:rsidRPr="0039258F">
        <w:rPr>
          <w:rFonts w:cs="Times New Roman"/>
          <w:lang w:bidi="bn-IN"/>
        </w:rPr>
        <w:t>Premier Inn smashed industry norms in the UK market with its astonishing turnaround. Strategic expansion in Germany and the brand's adaptability to changing market conditions helped recover revenue.</w:t>
      </w:r>
    </w:p>
    <w:p w14:paraId="30C0C7DA" w14:textId="77777777" w:rsidR="009B1F03" w:rsidRPr="0039258F" w:rsidRDefault="00902217">
      <w:pPr>
        <w:rPr>
          <w:rFonts w:cs="Times New Roman"/>
          <w:lang w:bidi="bn-IN"/>
        </w:rPr>
      </w:pPr>
      <w:r w:rsidRPr="0039258F">
        <w:rPr>
          <w:rFonts w:cs="Times New Roman"/>
          <w:lang w:bidi="bn-IN"/>
        </w:rPr>
        <w:t>Mandarin Oriental is supported by both hotel ownership and operation, although Premier Inn relies mainly on lodging. Strategic planning, diversification, and adaptation are needed in the hospitality industry's ever-changing environment, as both firms overcame the outbreak. Mandarin Oriental is optimistic about the future, whereas Premier Inn is confident that it can return to profitability after the epidemic, despite inflation.</w:t>
      </w:r>
    </w:p>
    <w:p w14:paraId="6EBFD02F" w14:textId="77777777" w:rsidR="009B1F03" w:rsidRPr="0039258F" w:rsidRDefault="00902217">
      <w:pPr>
        <w:pStyle w:val="Heading1"/>
        <w:rPr>
          <w:rFonts w:cs="Times New Roman"/>
          <w:lang w:bidi="bn-IN"/>
        </w:rPr>
      </w:pPr>
      <w:r w:rsidRPr="0039258F">
        <w:rPr>
          <w:rFonts w:cs="Times New Roman"/>
          <w:lang w:bidi="bn-IN"/>
        </w:rPr>
        <w:br w:type="page"/>
      </w:r>
      <w:bookmarkStart w:id="3" w:name="_Toc148725149"/>
      <w:r w:rsidR="00950D0E" w:rsidRPr="0039258F">
        <w:rPr>
          <w:rFonts w:cs="Times New Roman"/>
          <w:lang w:bidi="bn-IN"/>
        </w:rPr>
        <w:lastRenderedPageBreak/>
        <w:t>Th</w:t>
      </w:r>
      <w:r w:rsidRPr="0039258F">
        <w:rPr>
          <w:rFonts w:cs="Times New Roman"/>
          <w:lang w:bidi="bn-IN"/>
        </w:rPr>
        <w:t>e market position</w:t>
      </w:r>
      <w:r w:rsidR="00950D0E" w:rsidRPr="0039258F">
        <w:rPr>
          <w:rFonts w:cs="Times New Roman"/>
          <w:lang w:bidi="bn-IN"/>
        </w:rPr>
        <w:t>s</w:t>
      </w:r>
      <w:bookmarkEnd w:id="3"/>
    </w:p>
    <w:p w14:paraId="4FA291AF" w14:textId="77777777" w:rsidR="009B1F03" w:rsidRPr="0039258F" w:rsidRDefault="00902217">
      <w:pPr>
        <w:rPr>
          <w:rFonts w:cs="Times New Roman"/>
          <w:b/>
          <w:bCs/>
          <w:u w:val="single"/>
          <w:lang w:bidi="bn-IN"/>
        </w:rPr>
      </w:pPr>
      <w:r w:rsidRPr="0039258F">
        <w:rPr>
          <w:rFonts w:cs="Times New Roman"/>
          <w:b/>
          <w:bCs/>
          <w:u w:val="single"/>
          <w:lang w:bidi="bn-IN"/>
        </w:rPr>
        <w:t>Mandarin Oriental Hotel: Market Position</w:t>
      </w:r>
    </w:p>
    <w:p w14:paraId="2ABBD518" w14:textId="77777777" w:rsidR="009B1F03" w:rsidRPr="0039258F" w:rsidRDefault="00902217">
      <w:pPr>
        <w:rPr>
          <w:rFonts w:cs="Times New Roman"/>
          <w:lang w:bidi="bn-IN"/>
        </w:rPr>
      </w:pPr>
      <w:r w:rsidRPr="0039258F">
        <w:rPr>
          <w:rFonts w:cs="Times New Roman"/>
          <w:lang w:bidi="bn-IN"/>
        </w:rPr>
        <w:t>The Mandarin Oriental Hotel Group is a leading global premium hospitality brand with a rich Asian heritage. The company has 36 hotels and nine homes in 24 countries and territories after 60 years of growth. The brand is known for its great service and quality management because it emphasizes its eastern history, local cultural features, and unique designs in each property. Mandarin Oriental owns equity in multiple properties and about $4.9 billion in adjusted net assets as of December 2022, indicating its financial strength. The company portrays itself as an innovative luxury hotel leader and aggressively seeks brand expansion prospects while prioritizing profitability and shareholder value. Mandarin Oriental's global reach, dedication to quality, Jardine Matheson Group membership, and London Stock Exchange listing solidify its position as a luxury hotel market leader (Mandarin Oriental Hotel Group, 2023).</w:t>
      </w:r>
    </w:p>
    <w:p w14:paraId="02EAD07D" w14:textId="77777777" w:rsidR="009B1F03" w:rsidRPr="0039258F" w:rsidRDefault="00902217">
      <w:pPr>
        <w:rPr>
          <w:rFonts w:cs="Times New Roman"/>
          <w:b/>
          <w:bCs/>
          <w:u w:val="single"/>
          <w:lang w:bidi="bn-IN"/>
        </w:rPr>
      </w:pPr>
      <w:r w:rsidRPr="0039258F">
        <w:rPr>
          <w:rFonts w:cs="Times New Roman"/>
          <w:b/>
          <w:bCs/>
          <w:u w:val="single"/>
          <w:lang w:bidi="bn-IN"/>
        </w:rPr>
        <w:t>Premier Inn: Market Position</w:t>
      </w:r>
    </w:p>
    <w:p w14:paraId="054D0BED" w14:textId="77777777" w:rsidR="009B1F03" w:rsidRPr="0039258F" w:rsidRDefault="00902217">
      <w:pPr>
        <w:rPr>
          <w:rFonts w:cs="Times New Roman"/>
          <w:lang w:bidi="bn-IN"/>
        </w:rPr>
      </w:pPr>
      <w:r w:rsidRPr="0039258F">
        <w:rPr>
          <w:rFonts w:cs="Times New Roman"/>
          <w:lang w:bidi="bn-IN"/>
        </w:rPr>
        <w:t>Premier Inn dominates the mid-range hotel sector in the UK, with a 10% market share in 2020/21 (down from 11% the year before). Premier Inn targets the UK market, and its main competitive advantage is its wide hotel network to accommodate its diverse clientele. The brand's market share shows its importance and attraction to customers seeking affordable, high-quality accommodations. The fact that Premier Inn recovered its performance in the 2021/22 fiscal year with excellent sales growth that exceeded the market shows its resilience and capacity to overcome challenges. Premier Inn is crucial to the UK hospitality landscape despite facing external constraints including government limits and market dynamics. The brand's existence and impact in the mid-scale hotel industry are due to its flexibility to adapt to changing market conditions, scope of operations, and consistency of customer appeal (Premier Inn, 2023).</w:t>
      </w:r>
    </w:p>
    <w:p w14:paraId="77CF45A2" w14:textId="77777777" w:rsidR="009B1F03" w:rsidRPr="0039258F" w:rsidRDefault="00902217">
      <w:pPr>
        <w:rPr>
          <w:rFonts w:cs="Times New Roman"/>
          <w:u w:val="single"/>
          <w:lang w:bidi="bn-IN"/>
        </w:rPr>
      </w:pPr>
      <w:r w:rsidRPr="0039258F">
        <w:rPr>
          <w:rFonts w:cs="Times New Roman"/>
          <w:b/>
          <w:bCs/>
          <w:u w:val="single"/>
          <w:lang w:bidi="bn-IN"/>
        </w:rPr>
        <w:t>Critical Assessment:</w:t>
      </w:r>
    </w:p>
    <w:p w14:paraId="65AF5412" w14:textId="77777777" w:rsidR="009B1F03" w:rsidRPr="0039258F" w:rsidRDefault="00902217">
      <w:pPr>
        <w:rPr>
          <w:rFonts w:cs="Times New Roman"/>
          <w:lang w:bidi="bn-IN"/>
        </w:rPr>
      </w:pPr>
      <w:r w:rsidRPr="0039258F">
        <w:rPr>
          <w:rFonts w:cs="Times New Roman"/>
          <w:lang w:bidi="bn-IN"/>
        </w:rPr>
        <w:t xml:space="preserve">Mandarin Oriental's focus on superior service and global reach sets it apart in luxury hotels. For market entry, the corporation prioritizes exclusivity, cultural integration, and innovation. Premier Inn, on the other hand, touts itself as a leading UK mid-scale hotel by offering economical, high-quality rooms. Premier Inn caters to business and leisure </w:t>
      </w:r>
      <w:proofErr w:type="spellStart"/>
      <w:r w:rsidRPr="0039258F">
        <w:rPr>
          <w:rFonts w:cs="Times New Roman"/>
          <w:lang w:bidi="bn-IN"/>
        </w:rPr>
        <w:t>travelers</w:t>
      </w:r>
      <w:proofErr w:type="spellEnd"/>
      <w:r w:rsidRPr="0039258F">
        <w:rPr>
          <w:rFonts w:cs="Times New Roman"/>
          <w:lang w:bidi="bn-IN"/>
        </w:rPr>
        <w:t xml:space="preserve"> looking for reliable and affordable lodgings, while Mandarin Oriental only caters to high-end guests </w:t>
      </w:r>
      <w:r w:rsidRPr="0039258F">
        <w:rPr>
          <w:rFonts w:cs="Times New Roman"/>
          <w:lang w:bidi="bn-IN"/>
        </w:rPr>
        <w:lastRenderedPageBreak/>
        <w:t xml:space="preserve">seeking unique experiences. Mandarin Oriental leverages its global premium appeal, whereas Premier Inn leverages its UK market supremacy. Both brands have adapted to consumer tastes. </w:t>
      </w:r>
    </w:p>
    <w:p w14:paraId="12392DC1" w14:textId="77777777" w:rsidR="009B1F03" w:rsidRPr="0039258F" w:rsidRDefault="009B1F03">
      <w:pPr>
        <w:rPr>
          <w:rFonts w:cs="Times New Roman"/>
          <w:lang w:bidi="bn-IN"/>
        </w:rPr>
      </w:pPr>
    </w:p>
    <w:p w14:paraId="369CF837" w14:textId="77777777" w:rsidR="009B1F03" w:rsidRPr="0039258F" w:rsidRDefault="009B1F03">
      <w:pPr>
        <w:rPr>
          <w:rFonts w:cs="Times New Roman"/>
          <w:lang w:bidi="bn-IN"/>
        </w:rPr>
      </w:pPr>
    </w:p>
    <w:p w14:paraId="3EEB2B2D" w14:textId="77777777" w:rsidR="009B1F03" w:rsidRPr="0039258F" w:rsidRDefault="009B1F03">
      <w:pPr>
        <w:rPr>
          <w:rFonts w:cs="Times New Roman"/>
          <w:lang w:bidi="bn-IN"/>
        </w:rPr>
      </w:pPr>
    </w:p>
    <w:p w14:paraId="5EE424FA" w14:textId="77777777" w:rsidR="009B1F03" w:rsidRPr="0039258F" w:rsidRDefault="009B1F03">
      <w:pPr>
        <w:rPr>
          <w:rFonts w:cs="Times New Roman"/>
          <w:lang w:bidi="bn-IN"/>
        </w:rPr>
      </w:pPr>
    </w:p>
    <w:p w14:paraId="716B7D88" w14:textId="77777777" w:rsidR="009B1F03" w:rsidRPr="0039258F" w:rsidRDefault="009B1F03">
      <w:pPr>
        <w:rPr>
          <w:rFonts w:cs="Times New Roman"/>
          <w:lang w:bidi="bn-IN"/>
        </w:rPr>
      </w:pPr>
    </w:p>
    <w:p w14:paraId="43BBCE21" w14:textId="77777777" w:rsidR="009B1F03" w:rsidRPr="0039258F" w:rsidRDefault="009B1F03">
      <w:pPr>
        <w:rPr>
          <w:rFonts w:cs="Times New Roman"/>
          <w:lang w:bidi="bn-IN"/>
        </w:rPr>
      </w:pPr>
    </w:p>
    <w:p w14:paraId="16DFAE6B" w14:textId="77777777" w:rsidR="009B1F03" w:rsidRPr="0039258F" w:rsidRDefault="00902217">
      <w:pPr>
        <w:rPr>
          <w:rFonts w:cs="Times New Roman"/>
          <w:lang w:bidi="bn-IN"/>
        </w:rPr>
      </w:pPr>
      <w:r w:rsidRPr="0039258F">
        <w:rPr>
          <w:rFonts w:cs="Times New Roman"/>
          <w:lang w:bidi="bn-IN"/>
        </w:rPr>
        <w:br w:type="page"/>
      </w:r>
    </w:p>
    <w:p w14:paraId="1E32FDF7" w14:textId="6A3FD9E8" w:rsidR="009B1F03" w:rsidRPr="0039258F" w:rsidRDefault="00662506">
      <w:pPr>
        <w:pStyle w:val="Heading1"/>
        <w:rPr>
          <w:rFonts w:cs="Times New Roman"/>
          <w:lang w:bidi="bn-IN"/>
        </w:rPr>
      </w:pPr>
      <w:bookmarkStart w:id="4" w:name="_Toc148725150"/>
      <w:r w:rsidRPr="0039258F">
        <w:rPr>
          <w:rFonts w:cs="Times New Roman"/>
          <w:lang w:bidi="bn-IN"/>
        </w:rPr>
        <w:lastRenderedPageBreak/>
        <w:t>T</w:t>
      </w:r>
      <w:r w:rsidR="00902217" w:rsidRPr="0039258F">
        <w:rPr>
          <w:rFonts w:cs="Times New Roman"/>
          <w:lang w:bidi="bn-IN"/>
        </w:rPr>
        <w:t xml:space="preserve">he growth potential of </w:t>
      </w:r>
      <w:r w:rsidRPr="0039258F">
        <w:rPr>
          <w:rFonts w:cs="Times New Roman"/>
          <w:lang w:bidi="bn-IN"/>
        </w:rPr>
        <w:t xml:space="preserve">the two </w:t>
      </w:r>
      <w:bookmarkEnd w:id="4"/>
      <w:r w:rsidR="0039258F" w:rsidRPr="0039258F">
        <w:rPr>
          <w:rFonts w:cs="Times New Roman"/>
          <w:lang w:bidi="bn-IN"/>
        </w:rPr>
        <w:t>organi</w:t>
      </w:r>
      <w:r w:rsidR="0039258F">
        <w:rPr>
          <w:rFonts w:cs="Times New Roman"/>
          <w:lang w:bidi="bn-IN"/>
        </w:rPr>
        <w:t>s</w:t>
      </w:r>
      <w:r w:rsidR="0039258F" w:rsidRPr="0039258F">
        <w:rPr>
          <w:rFonts w:cs="Times New Roman"/>
          <w:lang w:bidi="bn-IN"/>
        </w:rPr>
        <w:t>ations</w:t>
      </w:r>
    </w:p>
    <w:p w14:paraId="25459DF6" w14:textId="77777777" w:rsidR="009B1F03" w:rsidRPr="0039258F" w:rsidRDefault="00902217">
      <w:pPr>
        <w:rPr>
          <w:rFonts w:cs="Times New Roman"/>
          <w:b/>
          <w:bCs/>
          <w:lang w:bidi="bn-IN"/>
        </w:rPr>
      </w:pPr>
      <w:r w:rsidRPr="0039258F">
        <w:rPr>
          <w:rFonts w:cs="Times New Roman"/>
          <w:b/>
          <w:bCs/>
          <w:u w:val="single"/>
          <w:lang w:bidi="bn-IN"/>
        </w:rPr>
        <w:t>Mandarin Oriental Hotel Group: Unveiling Luxurious Horizons</w:t>
      </w:r>
    </w:p>
    <w:p w14:paraId="7AC9A6CD" w14:textId="77777777" w:rsidR="009B1F03" w:rsidRPr="0039258F" w:rsidRDefault="00902217">
      <w:pPr>
        <w:rPr>
          <w:rFonts w:cs="Times New Roman"/>
          <w:b/>
          <w:bCs/>
          <w:lang w:bidi="bn-IN"/>
        </w:rPr>
      </w:pPr>
      <w:r w:rsidRPr="0039258F">
        <w:rPr>
          <w:rFonts w:cs="Times New Roman"/>
          <w:b/>
          <w:bCs/>
          <w:lang w:bidi="bn-IN"/>
        </w:rPr>
        <w:t>Expansion Strategies and Market Opportunities:</w:t>
      </w:r>
    </w:p>
    <w:p w14:paraId="25110EC5" w14:textId="77777777" w:rsidR="009B1F03" w:rsidRPr="0039258F" w:rsidRDefault="00902217">
      <w:pPr>
        <w:rPr>
          <w:rFonts w:cs="Times New Roman"/>
          <w:lang w:bidi="bn-IN"/>
        </w:rPr>
      </w:pPr>
      <w:r w:rsidRPr="0039258F">
        <w:rPr>
          <w:rFonts w:cs="Times New Roman"/>
          <w:lang w:bidi="bn-IN"/>
        </w:rPr>
        <w:t xml:space="preserve">Mandarin Oriental Hotels' expansion strategy exceeds industry standards. Mandarin Oriental Exclusive Homes shows the company's desire to enter luxury homes and meet the growing demand for personalized lifestyles. The group's aspirations to build several hotels and apartments worldwide demonstrate its commitment to global expansion. The company can enter high-growth Asia-Pacific markets by leveraging its Asian roots. Luxury travel continues to flourish here </w:t>
      </w:r>
      <w:r w:rsidR="0097779C" w:rsidRPr="0039258F">
        <w:rPr>
          <w:rFonts w:cs="Times New Roman"/>
          <w:lang w:bidi="bn-IN"/>
        </w:rPr>
        <w:t xml:space="preserve">(Kotler, Bowen, Makens, and </w:t>
      </w:r>
      <w:proofErr w:type="spellStart"/>
      <w:r w:rsidR="0097779C" w:rsidRPr="0039258F">
        <w:rPr>
          <w:rFonts w:cs="Times New Roman"/>
          <w:lang w:bidi="bn-IN"/>
        </w:rPr>
        <w:t>Baloglu</w:t>
      </w:r>
      <w:proofErr w:type="spellEnd"/>
      <w:r w:rsidR="0097779C" w:rsidRPr="0039258F">
        <w:rPr>
          <w:rFonts w:cs="Times New Roman"/>
          <w:lang w:bidi="bn-IN"/>
        </w:rPr>
        <w:t>, 2017).</w:t>
      </w:r>
    </w:p>
    <w:p w14:paraId="1A705EA1" w14:textId="77777777" w:rsidR="009B1F03" w:rsidRPr="0039258F" w:rsidRDefault="00902217">
      <w:pPr>
        <w:rPr>
          <w:rFonts w:cs="Times New Roman"/>
          <w:b/>
          <w:bCs/>
          <w:lang w:bidi="bn-IN"/>
        </w:rPr>
      </w:pPr>
      <w:r w:rsidRPr="0039258F">
        <w:rPr>
          <w:rFonts w:cs="Times New Roman"/>
          <w:b/>
          <w:bCs/>
          <w:lang w:bidi="bn-IN"/>
        </w:rPr>
        <w:t>Barriers to Growth and Mitigation Strategies:</w:t>
      </w:r>
    </w:p>
    <w:p w14:paraId="63EB0FC4" w14:textId="77777777" w:rsidR="009B1F03" w:rsidRPr="0039258F" w:rsidRDefault="00902217">
      <w:pPr>
        <w:rPr>
          <w:rFonts w:cs="Times New Roman"/>
          <w:lang w:bidi="bn-IN"/>
        </w:rPr>
      </w:pPr>
      <w:r w:rsidRPr="0039258F">
        <w:rPr>
          <w:rFonts w:cs="Times New Roman"/>
          <w:lang w:bidi="bn-IN"/>
        </w:rPr>
        <w:t xml:space="preserve">Travel restrictions in important markets like China and Japan have caused complications after the global pandemic. Business is harder due to these restrictions. However, the group's resilience across Europe, the Middle East, and Africa shows its versatility. Due to political and economic uncertainty, adaptable methods are needed. Mandarin Oriental's focus on taking advantage of opportunities strategically reduces its risk </w:t>
      </w:r>
      <w:r w:rsidR="0097779C" w:rsidRPr="0039258F">
        <w:rPr>
          <w:rFonts w:cs="Times New Roman"/>
          <w:lang w:bidi="bn-IN"/>
        </w:rPr>
        <w:t>(Enz, 2020).</w:t>
      </w:r>
    </w:p>
    <w:p w14:paraId="4BC8C4C5" w14:textId="77777777" w:rsidR="009B1F03" w:rsidRPr="0039258F" w:rsidRDefault="00902217">
      <w:pPr>
        <w:rPr>
          <w:rFonts w:cs="Times New Roman"/>
          <w:b/>
          <w:bCs/>
          <w:lang w:bidi="bn-IN"/>
        </w:rPr>
      </w:pPr>
      <w:r w:rsidRPr="0039258F">
        <w:rPr>
          <w:rFonts w:cs="Times New Roman"/>
          <w:b/>
          <w:bCs/>
          <w:lang w:bidi="bn-IN"/>
        </w:rPr>
        <w:t>Innovative Edge and Sustainability:</w:t>
      </w:r>
    </w:p>
    <w:p w14:paraId="703188FD" w14:textId="77777777" w:rsidR="009B1F03" w:rsidRPr="0039258F" w:rsidRDefault="00902217">
      <w:pPr>
        <w:rPr>
          <w:rFonts w:cs="Times New Roman"/>
          <w:lang w:bidi="bn-IN"/>
        </w:rPr>
      </w:pPr>
      <w:r w:rsidRPr="0039258F">
        <w:rPr>
          <w:rFonts w:cs="Times New Roman"/>
          <w:lang w:bidi="bn-IN"/>
        </w:rPr>
        <w:t>Mandarin Oriental's commitment to sustainability matches global trends and makes it a leader in responsible luxury. Mandarin Oriental gained this distinction by matching its sustainability efforts with gl</w:t>
      </w:r>
      <w:r w:rsidR="0097779C" w:rsidRPr="0039258F">
        <w:rPr>
          <w:rFonts w:cs="Times New Roman"/>
          <w:lang w:bidi="bn-IN"/>
        </w:rPr>
        <w:t>obal trends</w:t>
      </w:r>
      <w:r w:rsidR="006A67B8" w:rsidRPr="0039258F">
        <w:rPr>
          <w:rFonts w:cs="Times New Roman"/>
          <w:lang w:bidi="bn-IN"/>
        </w:rPr>
        <w:t xml:space="preserve"> (Volo, 2015)</w:t>
      </w:r>
      <w:r w:rsidR="0097779C" w:rsidRPr="0039258F">
        <w:rPr>
          <w:rFonts w:cs="Times New Roman"/>
          <w:lang w:bidi="bn-IN"/>
        </w:rPr>
        <w:t xml:space="preserve">. </w:t>
      </w:r>
      <w:r w:rsidRPr="0039258F">
        <w:rPr>
          <w:rFonts w:cs="Times New Roman"/>
          <w:lang w:bidi="bn-IN"/>
        </w:rPr>
        <w:t>The eradication of 99 percent of single-use plastics is forward-thinking and appeals to ecologically conscious tourists. This dedication boosts brand impression and opens the door to partnerships with environmentally conscious stakeholders, which could lea</w:t>
      </w:r>
      <w:r w:rsidR="0097779C" w:rsidRPr="0039258F">
        <w:rPr>
          <w:rFonts w:cs="Times New Roman"/>
          <w:lang w:bidi="bn-IN"/>
        </w:rPr>
        <w:t>d to new business opportunities (</w:t>
      </w:r>
      <w:proofErr w:type="spellStart"/>
      <w:r w:rsidR="0097779C" w:rsidRPr="0039258F">
        <w:rPr>
          <w:rFonts w:cs="Times New Roman"/>
          <w:lang w:bidi="bn-IN"/>
        </w:rPr>
        <w:t>Pizam</w:t>
      </w:r>
      <w:proofErr w:type="spellEnd"/>
      <w:r w:rsidR="0097779C" w:rsidRPr="0039258F">
        <w:rPr>
          <w:rFonts w:cs="Times New Roman"/>
          <w:lang w:bidi="bn-IN"/>
        </w:rPr>
        <w:t xml:space="preserve"> and Mansfeld, 2018).</w:t>
      </w:r>
    </w:p>
    <w:p w14:paraId="3761406E" w14:textId="77777777" w:rsidR="009B1F03" w:rsidRPr="0039258F" w:rsidRDefault="00902217">
      <w:pPr>
        <w:rPr>
          <w:rFonts w:cs="Times New Roman"/>
          <w:b/>
          <w:bCs/>
          <w:lang w:bidi="bn-IN"/>
        </w:rPr>
      </w:pPr>
      <w:r w:rsidRPr="0039258F">
        <w:rPr>
          <w:rFonts w:cs="Times New Roman"/>
          <w:b/>
          <w:bCs/>
          <w:lang w:bidi="bn-IN"/>
        </w:rPr>
        <w:t>Premier Inn: A Strategic Odyssey in Affordable Hospitality</w:t>
      </w:r>
    </w:p>
    <w:p w14:paraId="28F192CE" w14:textId="77777777" w:rsidR="009B1F03" w:rsidRPr="0039258F" w:rsidRDefault="00902217">
      <w:pPr>
        <w:rPr>
          <w:rFonts w:cs="Times New Roman"/>
          <w:b/>
          <w:bCs/>
          <w:lang w:bidi="bn-IN"/>
        </w:rPr>
      </w:pPr>
      <w:r w:rsidRPr="0039258F">
        <w:rPr>
          <w:rFonts w:cs="Times New Roman"/>
          <w:b/>
          <w:bCs/>
          <w:lang w:bidi="bn-IN"/>
        </w:rPr>
        <w:t>Expansion Strategies and Market Opportunities:</w:t>
      </w:r>
    </w:p>
    <w:p w14:paraId="5699B051" w14:textId="77777777" w:rsidR="0097779C" w:rsidRPr="0039258F" w:rsidRDefault="00902217">
      <w:pPr>
        <w:rPr>
          <w:rFonts w:cs="Times New Roman"/>
          <w:lang w:bidi="bn-IN"/>
        </w:rPr>
      </w:pPr>
      <w:r w:rsidRPr="0039258F">
        <w:rPr>
          <w:rFonts w:cs="Times New Roman"/>
          <w:lang w:bidi="bn-IN"/>
        </w:rPr>
        <w:t xml:space="preserve">Premier Inn has grown through domestic supremacy and deliberate foreign expansion. Its 10% market share in the UK provides stability. The brand's debut into Germany indicates a strategy to develop internationally by entering growth markets. Premier Inn's goal of offering affordable, high-quality hotels matches the growing need of budget-conscious travellers worldwide </w:t>
      </w:r>
      <w:r w:rsidR="0097779C" w:rsidRPr="0039258F">
        <w:rPr>
          <w:rFonts w:cs="Times New Roman"/>
          <w:lang w:bidi="bn-IN"/>
        </w:rPr>
        <w:t>(Middleton and Clarke, 2022).</w:t>
      </w:r>
    </w:p>
    <w:p w14:paraId="610DF834" w14:textId="77777777" w:rsidR="009B1F03" w:rsidRPr="0039258F" w:rsidRDefault="00902217">
      <w:pPr>
        <w:rPr>
          <w:rFonts w:cs="Times New Roman"/>
          <w:b/>
          <w:bCs/>
          <w:lang w:bidi="bn-IN"/>
        </w:rPr>
      </w:pPr>
      <w:r w:rsidRPr="0039258F">
        <w:rPr>
          <w:rFonts w:cs="Times New Roman"/>
          <w:b/>
          <w:bCs/>
          <w:lang w:bidi="bn-IN"/>
        </w:rPr>
        <w:lastRenderedPageBreak/>
        <w:t>Barriers to Growth and Mitigation Strategies:</w:t>
      </w:r>
    </w:p>
    <w:p w14:paraId="6FF7C87E" w14:textId="77777777" w:rsidR="009B1F03" w:rsidRPr="0039258F" w:rsidRDefault="00902217">
      <w:pPr>
        <w:rPr>
          <w:rFonts w:cs="Times New Roman"/>
          <w:lang w:bidi="bn-IN"/>
        </w:rPr>
      </w:pPr>
      <w:r w:rsidRPr="0039258F">
        <w:rPr>
          <w:rFonts w:cs="Times New Roman"/>
          <w:lang w:bidi="bn-IN"/>
        </w:rPr>
        <w:t xml:space="preserve">Despite the brand's strong market position, several problems may hinder expansion. This includes increased competition and economic uncertainty. Innovation is needed to keep ahead in the fast-paced hospitality industry. Along with its strong brand devotion, Premier Inn's digital strategy shields it from competitors. Data-driven and customer-focused strategies can assist offset economic fluctuations and sustain growth </w:t>
      </w:r>
      <w:r w:rsidR="0097779C" w:rsidRPr="0039258F">
        <w:rPr>
          <w:rFonts w:cs="Times New Roman"/>
          <w:lang w:bidi="bn-IN"/>
        </w:rPr>
        <w:t>(Witt and Witt, 2015).</w:t>
      </w:r>
    </w:p>
    <w:p w14:paraId="0FD36F4E" w14:textId="77777777" w:rsidR="009B1F03" w:rsidRPr="0039258F" w:rsidRDefault="00902217">
      <w:pPr>
        <w:rPr>
          <w:rFonts w:cs="Times New Roman"/>
          <w:b/>
          <w:bCs/>
          <w:lang w:bidi="bn-IN"/>
        </w:rPr>
      </w:pPr>
      <w:r w:rsidRPr="0039258F">
        <w:rPr>
          <w:rFonts w:cs="Times New Roman"/>
          <w:b/>
          <w:bCs/>
          <w:lang w:bidi="bn-IN"/>
        </w:rPr>
        <w:t>Adaptability and Innovation:</w:t>
      </w:r>
    </w:p>
    <w:p w14:paraId="3D61BB9C" w14:textId="77777777" w:rsidR="0097779C" w:rsidRPr="0039258F" w:rsidRDefault="00902217" w:rsidP="0097779C">
      <w:pPr>
        <w:rPr>
          <w:rFonts w:cs="Times New Roman"/>
          <w:lang w:bidi="bn-IN"/>
        </w:rPr>
      </w:pPr>
      <w:r w:rsidRPr="0039258F">
        <w:rPr>
          <w:rFonts w:cs="Times New Roman"/>
          <w:lang w:bidi="bn-IN"/>
        </w:rPr>
        <w:t xml:space="preserve">Premier Inn's growth potential is based on its ability to respond to customer trends. A strong revenue recovery after the pandemic shows the brand's ability to weather any storm. Premier Inn's digital activities show its commitment to innovation, positioning it to seize new opportunities. Hospitality is changing drastically </w:t>
      </w:r>
      <w:r w:rsidR="0097779C" w:rsidRPr="0039258F">
        <w:rPr>
          <w:rFonts w:cs="Times New Roman"/>
          <w:lang w:bidi="bn-IN"/>
        </w:rPr>
        <w:t>(Ritchie and Crouch, 2023).</w:t>
      </w:r>
    </w:p>
    <w:p w14:paraId="696712F5" w14:textId="77777777" w:rsidR="009B1F03" w:rsidRPr="0039258F" w:rsidRDefault="009B1F03">
      <w:pPr>
        <w:rPr>
          <w:rFonts w:cs="Times New Roman"/>
          <w:lang w:bidi="bn-IN"/>
        </w:rPr>
      </w:pPr>
    </w:p>
    <w:p w14:paraId="324F1F31" w14:textId="77777777" w:rsidR="009B1F03" w:rsidRPr="0039258F" w:rsidRDefault="009B1F03">
      <w:pPr>
        <w:rPr>
          <w:rFonts w:cs="Times New Roman"/>
          <w:lang w:bidi="bn-IN"/>
        </w:rPr>
      </w:pPr>
    </w:p>
    <w:p w14:paraId="206C5AA4" w14:textId="77777777" w:rsidR="009B1F03" w:rsidRPr="0039258F" w:rsidRDefault="009B1F03">
      <w:pPr>
        <w:rPr>
          <w:rFonts w:cs="Times New Roman"/>
          <w:lang w:bidi="bn-IN"/>
        </w:rPr>
      </w:pPr>
    </w:p>
    <w:p w14:paraId="77DE161F" w14:textId="77777777" w:rsidR="009B1F03" w:rsidRPr="0039258F" w:rsidRDefault="009B1F03">
      <w:pPr>
        <w:pStyle w:val="Heading1"/>
        <w:rPr>
          <w:rFonts w:cs="Times New Roman"/>
          <w:lang w:bidi="bn-IN"/>
        </w:rPr>
      </w:pPr>
    </w:p>
    <w:p w14:paraId="1E03AD95" w14:textId="77777777" w:rsidR="009B1F03" w:rsidRPr="0039258F" w:rsidRDefault="00902217">
      <w:pPr>
        <w:pStyle w:val="Heading1"/>
        <w:rPr>
          <w:rFonts w:cs="Times New Roman"/>
          <w:lang w:bidi="bn-IN"/>
        </w:rPr>
      </w:pPr>
      <w:r w:rsidRPr="0039258F">
        <w:rPr>
          <w:rFonts w:cs="Times New Roman"/>
          <w:lang w:bidi="bn-IN"/>
        </w:rPr>
        <w:br w:type="page"/>
      </w:r>
      <w:bookmarkStart w:id="5" w:name="_Toc148725151"/>
      <w:r w:rsidRPr="0039258F">
        <w:rPr>
          <w:rFonts w:cs="Times New Roman"/>
          <w:lang w:bidi="bn-IN"/>
        </w:rPr>
        <w:lastRenderedPageBreak/>
        <w:t>The financial commitment to CSR initiatives</w:t>
      </w:r>
      <w:bookmarkEnd w:id="5"/>
    </w:p>
    <w:p w14:paraId="0E26EC99" w14:textId="77777777" w:rsidR="009B1F03" w:rsidRPr="0039258F" w:rsidRDefault="00902217">
      <w:pPr>
        <w:rPr>
          <w:rFonts w:cs="Times New Roman"/>
          <w:lang w:bidi="bn-IN"/>
        </w:rPr>
      </w:pPr>
      <w:r w:rsidRPr="0039258F">
        <w:rPr>
          <w:rFonts w:cs="Times New Roman"/>
          <w:b/>
          <w:bCs/>
          <w:u w:val="single"/>
          <w:lang w:bidi="bn-IN"/>
        </w:rPr>
        <w:t>Mandarin Oriental Hotel Group: Pioneering Sustainability and Community Empowerment</w:t>
      </w:r>
    </w:p>
    <w:p w14:paraId="064F574B" w14:textId="77777777" w:rsidR="009B1F03" w:rsidRPr="0039258F" w:rsidRDefault="00902217">
      <w:pPr>
        <w:rPr>
          <w:rFonts w:cs="Times New Roman"/>
          <w:b/>
          <w:bCs/>
          <w:lang w:bidi="bn-IN"/>
        </w:rPr>
      </w:pPr>
      <w:r w:rsidRPr="0039258F">
        <w:rPr>
          <w:rFonts w:cs="Times New Roman"/>
          <w:b/>
          <w:bCs/>
          <w:lang w:bidi="bn-IN"/>
        </w:rPr>
        <w:t>Green Horizons: A Commitment to Sustainable Luxury</w:t>
      </w:r>
    </w:p>
    <w:p w14:paraId="2CD48415" w14:textId="77777777" w:rsidR="006A67B8" w:rsidRPr="0039258F" w:rsidRDefault="00902217" w:rsidP="006A67B8">
      <w:pPr>
        <w:rPr>
          <w:rFonts w:cs="Times New Roman"/>
          <w:lang w:bidi="bn-IN"/>
        </w:rPr>
      </w:pPr>
      <w:r w:rsidRPr="0039258F">
        <w:rPr>
          <w:rFonts w:cs="Times New Roman"/>
          <w:lang w:bidi="bn-IN"/>
        </w:rPr>
        <w:t xml:space="preserve">The Mandarin Oriental Hotel Group, a five-star hotel chain, invests heavily in green business practices. The corporation has eliminated 99% of its single-use plastics as proof of its environmental responsibility. Eco-friendly financial investments align with global sustainability goals and position the business as a luxury market pioneer devoted to reducing its environmental effect </w:t>
      </w:r>
      <w:r w:rsidR="006A67B8" w:rsidRPr="0039258F">
        <w:rPr>
          <w:rFonts w:cs="Times New Roman"/>
          <w:lang w:bidi="bn-IN"/>
        </w:rPr>
        <w:t>(Sigala, 2018</w:t>
      </w:r>
      <w:r w:rsidRPr="0039258F">
        <w:rPr>
          <w:rFonts w:cs="Times New Roman"/>
          <w:lang w:bidi="bn-IN"/>
        </w:rPr>
        <w:t xml:space="preserve">). This is because global environmental aims match luxury market goals. Mandarin Oriental's sustainability policies aim to green the sector. Energy-efficient operations and garbage minimization are examples </w:t>
      </w:r>
      <w:r w:rsidR="006A67B8" w:rsidRPr="0039258F">
        <w:rPr>
          <w:rFonts w:cs="Times New Roman"/>
          <w:lang w:bidi="bn-IN"/>
        </w:rPr>
        <w:t>(Morrison, 2018).</w:t>
      </w:r>
    </w:p>
    <w:p w14:paraId="6FDBD711" w14:textId="77777777" w:rsidR="009B1F03" w:rsidRPr="0039258F" w:rsidRDefault="00902217" w:rsidP="006A67B8">
      <w:pPr>
        <w:rPr>
          <w:rFonts w:cs="Times New Roman"/>
          <w:b/>
          <w:bCs/>
          <w:lang w:bidi="bn-IN"/>
        </w:rPr>
      </w:pPr>
      <w:r w:rsidRPr="0039258F">
        <w:rPr>
          <w:rFonts w:cs="Times New Roman"/>
          <w:b/>
          <w:bCs/>
          <w:lang w:bidi="bn-IN"/>
        </w:rPr>
        <w:t>Community-Centric Investments:</w:t>
      </w:r>
    </w:p>
    <w:p w14:paraId="5FD6A547" w14:textId="77777777" w:rsidR="009B1F03" w:rsidRPr="0039258F" w:rsidRDefault="00902217">
      <w:pPr>
        <w:rPr>
          <w:rFonts w:cs="Times New Roman"/>
          <w:lang w:bidi="bn-IN"/>
        </w:rPr>
      </w:pPr>
      <w:r w:rsidRPr="0039258F">
        <w:rPr>
          <w:rFonts w:cs="Times New Roman"/>
          <w:lang w:bidi="bn-IN"/>
        </w:rPr>
        <w:t>Outside of its luxury buildings, the Mandarin Oriental promotes community engagement through various programs. Financial support for community projects like education and local collaborations boosts social effect</w:t>
      </w:r>
      <w:r w:rsidR="006A67B8" w:rsidRPr="0039258F">
        <w:rPr>
          <w:rFonts w:cs="Times New Roman"/>
          <w:lang w:bidi="bn-IN"/>
        </w:rPr>
        <w:t xml:space="preserve"> (Tsai and Hsieh, 2014)</w:t>
      </w:r>
      <w:r w:rsidRPr="0039258F">
        <w:rPr>
          <w:rFonts w:cs="Times New Roman"/>
          <w:lang w:bidi="bn-IN"/>
        </w:rPr>
        <w:t xml:space="preserve">. These projects receive funding. Investing in local communities around its hotels improves the quality of life for locals and fosters a mutually beneficial relationship between the brand and the local community. Mandarin Oriental has become a social institution through focusing on the local community </w:t>
      </w:r>
      <w:r w:rsidR="006A67B8" w:rsidRPr="0039258F">
        <w:rPr>
          <w:rFonts w:cs="Times New Roman"/>
          <w:lang w:bidi="bn-IN"/>
        </w:rPr>
        <w:t>(Tribe, 2015).</w:t>
      </w:r>
    </w:p>
    <w:p w14:paraId="488F899B" w14:textId="77777777" w:rsidR="009B1F03" w:rsidRPr="0039258F" w:rsidRDefault="00902217">
      <w:pPr>
        <w:rPr>
          <w:rFonts w:cs="Times New Roman"/>
          <w:b/>
          <w:bCs/>
          <w:lang w:bidi="bn-IN"/>
        </w:rPr>
      </w:pPr>
      <w:r w:rsidRPr="0039258F">
        <w:rPr>
          <w:rFonts w:cs="Times New Roman"/>
          <w:b/>
          <w:bCs/>
          <w:lang w:bidi="bn-IN"/>
        </w:rPr>
        <w:t>Ethics at the Core: Sustaining Trust and Integrity</w:t>
      </w:r>
    </w:p>
    <w:p w14:paraId="459EDFF7" w14:textId="77777777" w:rsidR="006A67B8" w:rsidRPr="0039258F" w:rsidRDefault="00902217" w:rsidP="006A67B8">
      <w:pPr>
        <w:rPr>
          <w:rFonts w:cs="Times New Roman"/>
          <w:lang w:bidi="bn-IN"/>
        </w:rPr>
      </w:pPr>
      <w:r w:rsidRPr="0039258F">
        <w:rPr>
          <w:rFonts w:cs="Times New Roman"/>
          <w:lang w:bidi="bn-IN"/>
        </w:rPr>
        <w:t>Mandarin Oriental prioritizes ethical business practices to meet its financial obligations. The organization continually treats stakeholders, employees, and communities ethically</w:t>
      </w:r>
      <w:r w:rsidR="006A67B8" w:rsidRPr="0039258F">
        <w:rPr>
          <w:rFonts w:cs="Times New Roman"/>
          <w:lang w:bidi="bn-IN"/>
        </w:rPr>
        <w:t xml:space="preserve"> (Song and Li, 2018)</w:t>
      </w:r>
      <w:r w:rsidRPr="0039258F">
        <w:rPr>
          <w:rFonts w:cs="Times New Roman"/>
          <w:lang w:bidi="bn-IN"/>
        </w:rPr>
        <w:t xml:space="preserve">. Mandarin Oriental maintains trust by prioritizing honesty and openness, and it helps create a business culture that values ethics. Investment in ethical business practices is vital to building a trusting and accountable company culture, not just a regulatory obligation </w:t>
      </w:r>
      <w:r w:rsidR="006A67B8" w:rsidRPr="0039258F">
        <w:rPr>
          <w:rFonts w:cs="Times New Roman"/>
          <w:lang w:bidi="bn-IN"/>
        </w:rPr>
        <w:t>(OECD, 2021).</w:t>
      </w:r>
    </w:p>
    <w:p w14:paraId="7B02ECB4" w14:textId="77777777" w:rsidR="009B1F03" w:rsidRPr="0039258F" w:rsidRDefault="00902217">
      <w:pPr>
        <w:rPr>
          <w:rFonts w:cs="Times New Roman"/>
          <w:u w:val="single"/>
          <w:lang w:bidi="bn-IN"/>
        </w:rPr>
      </w:pPr>
      <w:r w:rsidRPr="0039258F">
        <w:rPr>
          <w:rFonts w:cs="Times New Roman"/>
          <w:b/>
          <w:bCs/>
          <w:u w:val="single"/>
          <w:lang w:bidi="bn-IN"/>
        </w:rPr>
        <w:t>Premier Inn: Affordable Hospitality with Social Responsibility</w:t>
      </w:r>
    </w:p>
    <w:p w14:paraId="3A3FBDC3" w14:textId="77777777" w:rsidR="009B1F03" w:rsidRPr="0039258F" w:rsidRDefault="00902217">
      <w:pPr>
        <w:rPr>
          <w:rFonts w:cs="Times New Roman"/>
          <w:b/>
          <w:bCs/>
          <w:lang w:bidi="bn-IN"/>
        </w:rPr>
      </w:pPr>
      <w:r w:rsidRPr="0039258F">
        <w:rPr>
          <w:rFonts w:cs="Times New Roman"/>
          <w:b/>
          <w:bCs/>
          <w:lang w:bidi="bn-IN"/>
        </w:rPr>
        <w:t>Affordability with Responsibility: Sustainable Practices</w:t>
      </w:r>
    </w:p>
    <w:p w14:paraId="3A5FABCB" w14:textId="77777777" w:rsidR="009B1F03" w:rsidRPr="0039258F" w:rsidRDefault="00902217">
      <w:pPr>
        <w:rPr>
          <w:rFonts w:cs="Times New Roman"/>
          <w:lang w:bidi="bn-IN"/>
        </w:rPr>
      </w:pPr>
      <w:r w:rsidRPr="0039258F">
        <w:rPr>
          <w:rFonts w:cs="Times New Roman"/>
          <w:lang w:bidi="bn-IN"/>
        </w:rPr>
        <w:t xml:space="preserve">Premier Inn contributes financially to ecologically responsible business practices while boosting hospitality accessible. The company's energy-efficient operations and waste reduction </w:t>
      </w:r>
      <w:r w:rsidRPr="0039258F">
        <w:rPr>
          <w:rFonts w:cs="Times New Roman"/>
          <w:lang w:bidi="bn-IN"/>
        </w:rPr>
        <w:lastRenderedPageBreak/>
        <w:t>show that it is committed to balancing affordability and environmental responsibility. Premier Inn's investments in environmentally responsible business practices boost its bottom line and demonstrate its commitment to preserving healthy ecosystems (Sparks and Browning, 2021).</w:t>
      </w:r>
    </w:p>
    <w:p w14:paraId="034E6F4E" w14:textId="77777777" w:rsidR="009B1F03" w:rsidRPr="0039258F" w:rsidRDefault="00902217">
      <w:pPr>
        <w:rPr>
          <w:rFonts w:cs="Times New Roman"/>
          <w:lang w:bidi="bn-IN"/>
        </w:rPr>
      </w:pPr>
      <w:r w:rsidRPr="0039258F">
        <w:rPr>
          <w:rFonts w:cs="Times New Roman"/>
          <w:b/>
          <w:bCs/>
          <w:lang w:bidi="bn-IN"/>
        </w:rPr>
        <w:t>Community Empowerment: Beyond Accommodations</w:t>
      </w:r>
    </w:p>
    <w:p w14:paraId="7310ADAB" w14:textId="77777777" w:rsidR="009B1F03" w:rsidRPr="0039258F" w:rsidRDefault="00902217">
      <w:pPr>
        <w:rPr>
          <w:rFonts w:cs="Times New Roman"/>
          <w:lang w:bidi="bn-IN"/>
        </w:rPr>
      </w:pPr>
      <w:r w:rsidRPr="0039258F">
        <w:rPr>
          <w:rFonts w:cs="Times New Roman"/>
          <w:lang w:bidi="bn-IN"/>
        </w:rPr>
        <w:t>Premier Inn invests in community empowerment to extend its financial commitment beyond its properties' boardrooms and lobbies. Premier Inn promotes good change in its communities through educational programs, local partnerships, and socioeconomic development projects. Investments in community-centric projects show the recognition that hospitality goes beyond lodging and helps build the local economy. These investments recognize that hospitality sustains this fabric (</w:t>
      </w:r>
      <w:proofErr w:type="spellStart"/>
      <w:r w:rsidRPr="0039258F">
        <w:rPr>
          <w:rFonts w:cs="Times New Roman"/>
          <w:lang w:bidi="bn-IN"/>
        </w:rPr>
        <w:t>Tanford</w:t>
      </w:r>
      <w:proofErr w:type="spellEnd"/>
      <w:r w:rsidRPr="0039258F">
        <w:rPr>
          <w:rFonts w:cs="Times New Roman"/>
          <w:lang w:bidi="bn-IN"/>
        </w:rPr>
        <w:t xml:space="preserve"> and Jung, 2017).</w:t>
      </w:r>
    </w:p>
    <w:p w14:paraId="61E36B03" w14:textId="77777777" w:rsidR="009B1F03" w:rsidRPr="0039258F" w:rsidRDefault="00902217">
      <w:pPr>
        <w:rPr>
          <w:rFonts w:cs="Times New Roman"/>
          <w:b/>
          <w:bCs/>
          <w:lang w:bidi="bn-IN"/>
        </w:rPr>
      </w:pPr>
      <w:r w:rsidRPr="0039258F">
        <w:rPr>
          <w:rFonts w:cs="Times New Roman"/>
          <w:b/>
          <w:bCs/>
          <w:lang w:bidi="bn-IN"/>
        </w:rPr>
        <w:t>Ethical Foundations: Trust in Every Transaction</w:t>
      </w:r>
    </w:p>
    <w:p w14:paraId="6C8D469A" w14:textId="77777777" w:rsidR="006A67B8" w:rsidRPr="0039258F" w:rsidRDefault="00902217" w:rsidP="006A67B8">
      <w:pPr>
        <w:rPr>
          <w:rFonts w:cs="Times New Roman"/>
          <w:lang w:bidi="bn-IN"/>
        </w:rPr>
      </w:pPr>
      <w:r w:rsidRPr="0039258F">
        <w:rPr>
          <w:rFonts w:cs="Times New Roman"/>
          <w:lang w:bidi="bn-IN"/>
        </w:rPr>
        <w:t xml:space="preserve">Premier Inn's financial commitments are based on ethics. The brand's financial allocations reflect its dedication to ethical business operations, employee relations, and stakeholder interactions. This commitment goes beyond compliance and creates a workplace culture that values honesty, fairness, and responsibility. Premier Inn invests in ethical foundations to build trust and long-term relationships with customers, employees, and partners </w:t>
      </w:r>
      <w:r w:rsidR="006A67B8" w:rsidRPr="0039258F">
        <w:rPr>
          <w:rFonts w:cs="Times New Roman"/>
          <w:lang w:bidi="bn-IN"/>
        </w:rPr>
        <w:t>(</w:t>
      </w:r>
      <w:proofErr w:type="spellStart"/>
      <w:r w:rsidR="006A67B8" w:rsidRPr="0039258F">
        <w:rPr>
          <w:rFonts w:cs="Times New Roman"/>
          <w:lang w:bidi="bn-IN"/>
        </w:rPr>
        <w:t>Gössling</w:t>
      </w:r>
      <w:proofErr w:type="spellEnd"/>
      <w:r w:rsidR="006A67B8" w:rsidRPr="0039258F">
        <w:rPr>
          <w:rFonts w:cs="Times New Roman"/>
          <w:lang w:bidi="bn-IN"/>
        </w:rPr>
        <w:t>, Scott, and Hall, 2020).</w:t>
      </w:r>
    </w:p>
    <w:p w14:paraId="02DA6D19" w14:textId="77777777" w:rsidR="009B1F03" w:rsidRPr="0039258F" w:rsidRDefault="009B1F03">
      <w:pPr>
        <w:rPr>
          <w:rFonts w:cs="Times New Roman"/>
          <w:lang w:bidi="bn-IN"/>
        </w:rPr>
      </w:pPr>
    </w:p>
    <w:p w14:paraId="109801F8" w14:textId="77777777" w:rsidR="009B1F03" w:rsidRPr="0039258F" w:rsidRDefault="009B1F03">
      <w:pPr>
        <w:rPr>
          <w:rFonts w:cs="Times New Roman"/>
          <w:lang w:bidi="bn-IN"/>
        </w:rPr>
      </w:pPr>
    </w:p>
    <w:p w14:paraId="32904F2E" w14:textId="77777777" w:rsidR="009B1F03" w:rsidRPr="0039258F" w:rsidRDefault="009B1F03">
      <w:pPr>
        <w:rPr>
          <w:rFonts w:cs="Times New Roman"/>
          <w:lang w:bidi="bn-IN"/>
        </w:rPr>
      </w:pPr>
    </w:p>
    <w:p w14:paraId="653A5826" w14:textId="77777777" w:rsidR="009B1F03" w:rsidRPr="0039258F" w:rsidRDefault="009B1F03">
      <w:pPr>
        <w:rPr>
          <w:rFonts w:cs="Times New Roman"/>
          <w:lang w:bidi="bn-IN"/>
        </w:rPr>
      </w:pPr>
    </w:p>
    <w:p w14:paraId="0A548BBD" w14:textId="77777777" w:rsidR="009B1F03" w:rsidRPr="0039258F" w:rsidRDefault="009B1F03">
      <w:pPr>
        <w:pStyle w:val="Heading1"/>
        <w:rPr>
          <w:rFonts w:cs="Times New Roman"/>
          <w:lang w:bidi="bn-IN"/>
        </w:rPr>
      </w:pPr>
    </w:p>
    <w:p w14:paraId="688194A5" w14:textId="77777777" w:rsidR="009B1F03" w:rsidRPr="0039258F" w:rsidRDefault="00902217">
      <w:pPr>
        <w:pStyle w:val="Heading1"/>
        <w:rPr>
          <w:rFonts w:cs="Times New Roman"/>
          <w:lang w:bidi="bn-IN"/>
        </w:rPr>
      </w:pPr>
      <w:r w:rsidRPr="0039258F">
        <w:rPr>
          <w:rFonts w:cs="Times New Roman"/>
          <w:lang w:bidi="bn-IN"/>
        </w:rPr>
        <w:br w:type="page"/>
      </w:r>
      <w:bookmarkStart w:id="6" w:name="_Toc148725152"/>
      <w:r w:rsidRPr="0039258F">
        <w:rPr>
          <w:rFonts w:cs="Times New Roman"/>
          <w:lang w:bidi="bn-IN"/>
        </w:rPr>
        <w:lastRenderedPageBreak/>
        <w:t>Recommendation</w:t>
      </w:r>
      <w:bookmarkEnd w:id="6"/>
    </w:p>
    <w:p w14:paraId="4E30669E" w14:textId="77777777" w:rsidR="009B1F03" w:rsidRPr="0039258F" w:rsidRDefault="00902217">
      <w:pPr>
        <w:rPr>
          <w:rFonts w:cs="Times New Roman"/>
          <w:lang w:bidi="bn-IN"/>
        </w:rPr>
      </w:pPr>
      <w:r w:rsidRPr="0039258F">
        <w:rPr>
          <w:rFonts w:cs="Times New Roman"/>
          <w:b/>
          <w:bCs/>
          <w:lang w:bidi="bn-IN"/>
        </w:rPr>
        <w:t>Mandarin Oriental Hotel Group: Embracing Digital Transformation for Enhanced Guest Experience</w:t>
      </w:r>
    </w:p>
    <w:p w14:paraId="31DD8BB9" w14:textId="77777777" w:rsidR="009B1F03" w:rsidRPr="0039258F" w:rsidRDefault="00902217">
      <w:pPr>
        <w:rPr>
          <w:rFonts w:cs="Times New Roman"/>
          <w:lang w:bidi="bn-IN"/>
        </w:rPr>
      </w:pPr>
      <w:r w:rsidRPr="0039258F">
        <w:rPr>
          <w:rFonts w:cs="Times New Roman"/>
          <w:lang w:bidi="bn-IN"/>
        </w:rPr>
        <w:t xml:space="preserve">According to Mandarin Oriental Hotel Group's enquiry, digital transformation should be further adopted to better guest experiences. This </w:t>
      </w:r>
      <w:proofErr w:type="spellStart"/>
      <w:r w:rsidRPr="0039258F">
        <w:rPr>
          <w:rFonts w:cs="Times New Roman"/>
          <w:lang w:bidi="bn-IN"/>
        </w:rPr>
        <w:t>advise</w:t>
      </w:r>
      <w:proofErr w:type="spellEnd"/>
      <w:r w:rsidRPr="0039258F">
        <w:rPr>
          <w:rFonts w:cs="Times New Roman"/>
          <w:lang w:bidi="bn-IN"/>
        </w:rPr>
        <w:t xml:space="preserve"> was given to improve guest experiences. The 2022 revamp of mandarinoriental.com shows the group's commitment to improving visitors' digital experience. This project's success and the group's optimism suggest a digital expansion strategy for the organization (Xiang et al., 2017).</w:t>
      </w:r>
    </w:p>
    <w:p w14:paraId="1B460742" w14:textId="77777777" w:rsidR="009B1F03" w:rsidRPr="0039258F" w:rsidRDefault="00902217">
      <w:pPr>
        <w:rPr>
          <w:rFonts w:cs="Times New Roman"/>
          <w:b/>
          <w:bCs/>
          <w:lang w:bidi="bn-IN"/>
        </w:rPr>
      </w:pPr>
      <w:r w:rsidRPr="0039258F">
        <w:rPr>
          <w:rFonts w:cs="Times New Roman"/>
          <w:b/>
          <w:bCs/>
          <w:lang w:bidi="bn-IN"/>
        </w:rPr>
        <w:t>Premier Inn: Strengthening International Expansion Strategies</w:t>
      </w:r>
    </w:p>
    <w:p w14:paraId="68913AA7" w14:textId="77777777" w:rsidR="009B1F03" w:rsidRPr="0039258F" w:rsidRDefault="00902217">
      <w:pPr>
        <w:rPr>
          <w:rFonts w:cs="Times New Roman"/>
          <w:lang w:bidi="bn-IN"/>
        </w:rPr>
      </w:pPr>
      <w:r w:rsidRPr="0039258F">
        <w:rPr>
          <w:rFonts w:cs="Times New Roman"/>
          <w:lang w:bidi="bn-IN"/>
        </w:rPr>
        <w:t xml:space="preserve">The Premier Inn inquiry shows that the hotel business should focus more on global expansion. Premier Inn's recent German expansion shows its worldwide development potential. Premier Inn has 10% of the UK market. Since the brand emphasizes affordability, it is well-positioned for global expansion. Many regions value this emphasis </w:t>
      </w:r>
      <w:r w:rsidR="0097779C" w:rsidRPr="0039258F">
        <w:rPr>
          <w:rFonts w:cs="Times New Roman"/>
          <w:lang w:bidi="bn-IN"/>
        </w:rPr>
        <w:t>(Jamal and Robinson, 2020).</w:t>
      </w:r>
    </w:p>
    <w:p w14:paraId="2684040B" w14:textId="77777777" w:rsidR="009B1F03" w:rsidRPr="0039258F" w:rsidRDefault="009B1F03">
      <w:pPr>
        <w:rPr>
          <w:rFonts w:cs="Times New Roman"/>
          <w:lang w:bidi="bn-IN"/>
        </w:rPr>
      </w:pPr>
    </w:p>
    <w:p w14:paraId="319BD8A3" w14:textId="77777777" w:rsidR="009B1F03" w:rsidRPr="0039258F" w:rsidRDefault="009B1F03">
      <w:pPr>
        <w:rPr>
          <w:rFonts w:cs="Times New Roman"/>
          <w:lang w:bidi="bn-IN"/>
        </w:rPr>
      </w:pPr>
    </w:p>
    <w:p w14:paraId="42D2B95C" w14:textId="77777777" w:rsidR="009B1F03" w:rsidRPr="0039258F" w:rsidRDefault="009B1F03">
      <w:pPr>
        <w:rPr>
          <w:rFonts w:cs="Times New Roman"/>
          <w:lang w:bidi="bn-IN"/>
        </w:rPr>
      </w:pPr>
    </w:p>
    <w:p w14:paraId="291DD797" w14:textId="77777777" w:rsidR="009B1F03" w:rsidRPr="0039258F" w:rsidRDefault="00902217">
      <w:pPr>
        <w:rPr>
          <w:rFonts w:cs="Times New Roman"/>
          <w:lang w:bidi="bn-IN"/>
        </w:rPr>
      </w:pPr>
      <w:r w:rsidRPr="0039258F">
        <w:rPr>
          <w:rFonts w:cs="Times New Roman"/>
          <w:lang w:bidi="bn-IN"/>
        </w:rPr>
        <w:br w:type="page"/>
      </w:r>
    </w:p>
    <w:p w14:paraId="78E4752C" w14:textId="77777777" w:rsidR="009B1F03" w:rsidRPr="0039258F" w:rsidRDefault="00902217">
      <w:pPr>
        <w:pStyle w:val="Heading1"/>
        <w:rPr>
          <w:rFonts w:cs="Times New Roman"/>
          <w:lang w:bidi="bn-IN"/>
        </w:rPr>
      </w:pPr>
      <w:bookmarkStart w:id="7" w:name="_Toc148725153"/>
      <w:r w:rsidRPr="0039258F">
        <w:rPr>
          <w:rFonts w:cs="Times New Roman"/>
          <w:lang w:bidi="bn-IN"/>
        </w:rPr>
        <w:lastRenderedPageBreak/>
        <w:t>Conclusion</w:t>
      </w:r>
      <w:bookmarkEnd w:id="7"/>
    </w:p>
    <w:p w14:paraId="6F701776" w14:textId="77777777" w:rsidR="009B1F03" w:rsidRPr="0039258F" w:rsidRDefault="00902217">
      <w:pPr>
        <w:rPr>
          <w:rFonts w:cs="Times New Roman"/>
          <w:lang w:bidi="bn-IN"/>
        </w:rPr>
      </w:pPr>
      <w:r w:rsidRPr="0039258F">
        <w:rPr>
          <w:rFonts w:cs="Times New Roman"/>
          <w:lang w:bidi="bn-IN"/>
        </w:rPr>
        <w:t xml:space="preserve">In conclusion, the in-depth analyses of Mandarin Oriental Hotel Group and Premier Inn illuminate various hospitality industry trends. The Mandarin Oriental pioneered international hospitality with its commitment to elegance, environmental responsibility, and digital innovation. Premier Inn is a well-known UK brand that is expanding internationally. Accessibility and community involvement are brand hallmarks. Both businesses strive to be financially resilient and strategically adaptive, despite their diverse methodologies. The </w:t>
      </w:r>
      <w:proofErr w:type="gramStart"/>
      <w:r w:rsidRPr="0039258F">
        <w:rPr>
          <w:rFonts w:cs="Times New Roman"/>
          <w:lang w:bidi="bn-IN"/>
        </w:rPr>
        <w:t>advise</w:t>
      </w:r>
      <w:proofErr w:type="gramEnd"/>
      <w:r w:rsidRPr="0039258F">
        <w:rPr>
          <w:rFonts w:cs="Times New Roman"/>
          <w:lang w:bidi="bn-IN"/>
        </w:rPr>
        <w:t xml:space="preserve"> was tailored to their strengths, ensuring their success in the increasingly competitive global hotel industry.</w:t>
      </w:r>
    </w:p>
    <w:p w14:paraId="3A40FB16" w14:textId="77777777" w:rsidR="009B1F03" w:rsidRPr="0039258F" w:rsidRDefault="009B1F03">
      <w:pPr>
        <w:rPr>
          <w:rFonts w:cs="Times New Roman"/>
          <w:lang w:bidi="bn-IN"/>
        </w:rPr>
      </w:pPr>
    </w:p>
    <w:p w14:paraId="69ED4026" w14:textId="77777777" w:rsidR="009B1F03" w:rsidRPr="0039258F" w:rsidRDefault="009B1F03">
      <w:pPr>
        <w:rPr>
          <w:rFonts w:cs="Times New Roman"/>
          <w:lang w:bidi="bn-IN"/>
        </w:rPr>
      </w:pPr>
    </w:p>
    <w:p w14:paraId="4DC2E4BF" w14:textId="77777777" w:rsidR="009B1F03" w:rsidRPr="0039258F" w:rsidRDefault="009B1F03">
      <w:pPr>
        <w:rPr>
          <w:rFonts w:cs="Times New Roman"/>
          <w:lang w:bidi="bn-IN"/>
        </w:rPr>
      </w:pPr>
    </w:p>
    <w:p w14:paraId="48CE3F4A" w14:textId="77777777" w:rsidR="009B1F03" w:rsidRPr="0039258F" w:rsidRDefault="009B1F03">
      <w:pPr>
        <w:rPr>
          <w:rFonts w:cs="Times New Roman"/>
          <w:lang w:bidi="bn-IN"/>
        </w:rPr>
      </w:pPr>
    </w:p>
    <w:p w14:paraId="2B5ED3CC" w14:textId="77777777" w:rsidR="009B1F03" w:rsidRPr="0039258F" w:rsidRDefault="009B1F03">
      <w:pPr>
        <w:rPr>
          <w:rFonts w:cs="Times New Roman"/>
          <w:lang w:bidi="bn-IN"/>
        </w:rPr>
      </w:pPr>
    </w:p>
    <w:p w14:paraId="6FF011BF" w14:textId="77777777" w:rsidR="009B1F03" w:rsidRPr="0039258F" w:rsidRDefault="009B1F03">
      <w:pPr>
        <w:pStyle w:val="Heading1"/>
        <w:rPr>
          <w:rFonts w:cs="Times New Roman"/>
          <w:lang w:bidi="bn-IN"/>
        </w:rPr>
      </w:pPr>
    </w:p>
    <w:p w14:paraId="67E5C804" w14:textId="77777777" w:rsidR="009B1F03" w:rsidRPr="0039258F" w:rsidRDefault="00902217">
      <w:pPr>
        <w:pStyle w:val="Heading1"/>
        <w:rPr>
          <w:rFonts w:cs="Times New Roman"/>
          <w:lang w:bidi="bn-IN"/>
        </w:rPr>
      </w:pPr>
      <w:r w:rsidRPr="0039258F">
        <w:rPr>
          <w:rFonts w:cs="Times New Roman"/>
          <w:lang w:bidi="bn-IN"/>
        </w:rPr>
        <w:br w:type="page"/>
      </w:r>
      <w:bookmarkStart w:id="8" w:name="_Toc148725154"/>
      <w:r w:rsidRPr="0039258F">
        <w:rPr>
          <w:rFonts w:cs="Times New Roman"/>
          <w:lang w:bidi="bn-IN"/>
        </w:rPr>
        <w:lastRenderedPageBreak/>
        <w:t>Reference</w:t>
      </w:r>
      <w:r w:rsidR="00475B48" w:rsidRPr="0039258F">
        <w:rPr>
          <w:rFonts w:cs="Times New Roman"/>
          <w:lang w:bidi="bn-IN"/>
        </w:rPr>
        <w:t>s</w:t>
      </w:r>
      <w:bookmarkEnd w:id="8"/>
      <w:r w:rsidRPr="0039258F">
        <w:rPr>
          <w:rFonts w:cs="Times New Roman"/>
          <w:lang w:bidi="bn-IN"/>
        </w:rPr>
        <w:t xml:space="preserve"> </w:t>
      </w:r>
    </w:p>
    <w:p w14:paraId="75373690" w14:textId="77777777" w:rsidR="00475B48" w:rsidRPr="0039258F" w:rsidRDefault="00475B48">
      <w:pPr>
        <w:rPr>
          <w:rFonts w:cs="Times New Roman"/>
          <w:lang w:bidi="bn-IN"/>
        </w:rPr>
      </w:pPr>
      <w:r w:rsidRPr="0039258F">
        <w:rPr>
          <w:rFonts w:cs="Times New Roman"/>
          <w:lang w:bidi="bn-IN"/>
        </w:rPr>
        <w:t>Enz, C. A. (2020). Hospitality Strategic Management: Concepts and Cases. John Wiley and Sons.</w:t>
      </w:r>
    </w:p>
    <w:p w14:paraId="62352ED7" w14:textId="77777777" w:rsidR="00475B48" w:rsidRPr="0039258F" w:rsidRDefault="00475B48">
      <w:pPr>
        <w:rPr>
          <w:rFonts w:cs="Times New Roman"/>
          <w:lang w:bidi="bn-IN"/>
        </w:rPr>
      </w:pPr>
      <w:proofErr w:type="spellStart"/>
      <w:r w:rsidRPr="0039258F">
        <w:rPr>
          <w:rFonts w:cs="Times New Roman"/>
          <w:lang w:bidi="bn-IN"/>
        </w:rPr>
        <w:t>Gössling</w:t>
      </w:r>
      <w:proofErr w:type="spellEnd"/>
      <w:r w:rsidRPr="0039258F">
        <w:rPr>
          <w:rFonts w:cs="Times New Roman"/>
          <w:lang w:bidi="bn-IN"/>
        </w:rPr>
        <w:t>, S., Scott, D., and Hall, C. M. (2020). Tourism and Water. Channel View Publications.</w:t>
      </w:r>
    </w:p>
    <w:p w14:paraId="2D52EA1D" w14:textId="77777777" w:rsidR="00475B48" w:rsidRPr="0039258F" w:rsidRDefault="00475B48">
      <w:pPr>
        <w:rPr>
          <w:rFonts w:cs="Times New Roman"/>
          <w:lang w:bidi="bn-IN"/>
        </w:rPr>
      </w:pPr>
      <w:r w:rsidRPr="0039258F">
        <w:rPr>
          <w:rFonts w:cs="Times New Roman"/>
          <w:lang w:bidi="bn-IN"/>
        </w:rPr>
        <w:t>Jamal, T., and Robinson, M. (2020). The SAGE Handbook of Tourism Studies. SAGE Publications.</w:t>
      </w:r>
    </w:p>
    <w:p w14:paraId="60EC259D" w14:textId="77777777" w:rsidR="00475B48" w:rsidRPr="0039258F" w:rsidRDefault="00475B48">
      <w:pPr>
        <w:rPr>
          <w:rFonts w:cs="Times New Roman"/>
          <w:lang w:bidi="bn-IN"/>
        </w:rPr>
      </w:pPr>
      <w:r w:rsidRPr="0039258F">
        <w:rPr>
          <w:rFonts w:cs="Times New Roman"/>
          <w:lang w:bidi="bn-IN"/>
        </w:rPr>
        <w:t xml:space="preserve">Kotler, P., Bowen, J. T., Makens, J. C., and </w:t>
      </w:r>
      <w:proofErr w:type="spellStart"/>
      <w:r w:rsidRPr="0039258F">
        <w:rPr>
          <w:rFonts w:cs="Times New Roman"/>
          <w:lang w:bidi="bn-IN"/>
        </w:rPr>
        <w:t>Baloglu</w:t>
      </w:r>
      <w:proofErr w:type="spellEnd"/>
      <w:r w:rsidRPr="0039258F">
        <w:rPr>
          <w:rFonts w:cs="Times New Roman"/>
          <w:lang w:bidi="bn-IN"/>
        </w:rPr>
        <w:t>, S. (2017). Marketing for Hospitality and Tourism. Pearson.</w:t>
      </w:r>
    </w:p>
    <w:p w14:paraId="5E6BD206" w14:textId="78CA85A6" w:rsidR="00475B48" w:rsidRPr="0039258F" w:rsidRDefault="00475B48">
      <w:pPr>
        <w:rPr>
          <w:rFonts w:cs="Times New Roman"/>
          <w:lang w:bidi="bn-IN"/>
        </w:rPr>
      </w:pPr>
      <w:r w:rsidRPr="0039258F">
        <w:rPr>
          <w:rFonts w:cs="Times New Roman"/>
          <w:lang w:bidi="bn-IN"/>
        </w:rPr>
        <w:t xml:space="preserve">Mandarin Oriental Hotel Group. (2022). Home. Available at: https://www.mandarinoriental.com/ </w:t>
      </w:r>
      <w:r w:rsidR="0039258F">
        <w:rPr>
          <w:rFonts w:cs="Times New Roman"/>
          <w:lang w:bidi="bn-IN"/>
        </w:rPr>
        <w:t>(</w:t>
      </w:r>
      <w:r w:rsidRPr="0039258F">
        <w:rPr>
          <w:rFonts w:cs="Times New Roman"/>
          <w:lang w:bidi="bn-IN"/>
        </w:rPr>
        <w:t xml:space="preserve">Accessed </w:t>
      </w:r>
      <w:r w:rsidR="0039258F">
        <w:rPr>
          <w:rFonts w:cs="Times New Roman"/>
          <w:lang w:bidi="bn-IN"/>
        </w:rPr>
        <w:t>9 October</w:t>
      </w:r>
      <w:r w:rsidRPr="0039258F">
        <w:rPr>
          <w:rFonts w:cs="Times New Roman"/>
          <w:lang w:bidi="bn-IN"/>
        </w:rPr>
        <w:t xml:space="preserve"> 2023</w:t>
      </w:r>
      <w:r w:rsidR="0039258F">
        <w:rPr>
          <w:rFonts w:cs="Times New Roman"/>
          <w:lang w:bidi="bn-IN"/>
        </w:rPr>
        <w:t>)</w:t>
      </w:r>
      <w:r w:rsidRPr="0039258F">
        <w:rPr>
          <w:rFonts w:cs="Times New Roman"/>
          <w:lang w:bidi="bn-IN"/>
        </w:rPr>
        <w:t>.</w:t>
      </w:r>
    </w:p>
    <w:p w14:paraId="69650FC9" w14:textId="6C086ED8" w:rsidR="00475B48" w:rsidRPr="0039258F" w:rsidRDefault="00475B48">
      <w:pPr>
        <w:rPr>
          <w:rFonts w:cs="Times New Roman"/>
          <w:lang w:bidi="bn-IN"/>
        </w:rPr>
      </w:pPr>
      <w:r w:rsidRPr="0039258F">
        <w:rPr>
          <w:rFonts w:cs="Times New Roman"/>
          <w:lang w:bidi="bn-IN"/>
        </w:rPr>
        <w:t xml:space="preserve">Mandarin Oriental Hotel Group. (2023). Room. Available at: https://www.mandarinoriental.com/press-room </w:t>
      </w:r>
      <w:r w:rsidR="0039258F">
        <w:rPr>
          <w:rFonts w:cs="Times New Roman"/>
          <w:lang w:bidi="bn-IN"/>
        </w:rPr>
        <w:t>(</w:t>
      </w:r>
      <w:r w:rsidRPr="0039258F">
        <w:rPr>
          <w:rFonts w:cs="Times New Roman"/>
          <w:lang w:bidi="bn-IN"/>
        </w:rPr>
        <w:t xml:space="preserve">Accessed </w:t>
      </w:r>
      <w:r w:rsidR="0039258F">
        <w:rPr>
          <w:rFonts w:cs="Times New Roman"/>
          <w:lang w:bidi="bn-IN"/>
        </w:rPr>
        <w:t>9 October</w:t>
      </w:r>
      <w:r w:rsidRPr="0039258F">
        <w:rPr>
          <w:rFonts w:cs="Times New Roman"/>
          <w:lang w:bidi="bn-IN"/>
        </w:rPr>
        <w:t xml:space="preserve"> 2023</w:t>
      </w:r>
      <w:r w:rsidR="0039258F">
        <w:rPr>
          <w:rFonts w:cs="Times New Roman"/>
          <w:lang w:bidi="bn-IN"/>
        </w:rPr>
        <w:t>)</w:t>
      </w:r>
      <w:r w:rsidRPr="0039258F">
        <w:rPr>
          <w:rFonts w:cs="Times New Roman"/>
          <w:lang w:bidi="bn-IN"/>
        </w:rPr>
        <w:t>.</w:t>
      </w:r>
    </w:p>
    <w:p w14:paraId="651B8987" w14:textId="77777777" w:rsidR="00475B48" w:rsidRPr="0039258F" w:rsidRDefault="00475B48">
      <w:pPr>
        <w:rPr>
          <w:rFonts w:cs="Times New Roman"/>
          <w:lang w:bidi="bn-IN"/>
        </w:rPr>
      </w:pPr>
      <w:r w:rsidRPr="0039258F">
        <w:rPr>
          <w:rFonts w:cs="Times New Roman"/>
          <w:lang w:bidi="bn-IN"/>
        </w:rPr>
        <w:t>Middleton, V. T. C., and Clarke, J. (2022). Marketing in Travel and Tourism. Routledge.</w:t>
      </w:r>
    </w:p>
    <w:p w14:paraId="6C77F561" w14:textId="77777777" w:rsidR="00475B48" w:rsidRPr="0039258F" w:rsidRDefault="00475B48">
      <w:pPr>
        <w:rPr>
          <w:rFonts w:cs="Times New Roman"/>
          <w:lang w:bidi="bn-IN"/>
        </w:rPr>
      </w:pPr>
      <w:r w:rsidRPr="0039258F">
        <w:rPr>
          <w:rFonts w:cs="Times New Roman"/>
          <w:lang w:bidi="bn-IN"/>
        </w:rPr>
        <w:t>Morrison, A. M. (2018). Marketing and Managing Tourism Destinations. Routledge.</w:t>
      </w:r>
    </w:p>
    <w:p w14:paraId="510D754F" w14:textId="77777777" w:rsidR="00475B48" w:rsidRPr="0039258F" w:rsidRDefault="00475B48">
      <w:pPr>
        <w:rPr>
          <w:rFonts w:cs="Times New Roman"/>
          <w:lang w:bidi="bn-IN"/>
        </w:rPr>
      </w:pPr>
      <w:r w:rsidRPr="0039258F">
        <w:rPr>
          <w:rFonts w:cs="Times New Roman"/>
          <w:lang w:bidi="bn-IN"/>
        </w:rPr>
        <w:t>OECD. (2021). Tourism Trends and Policies 2021. OECD Publishing.</w:t>
      </w:r>
    </w:p>
    <w:p w14:paraId="0C5A4745" w14:textId="77777777" w:rsidR="00475B48" w:rsidRPr="0039258F" w:rsidRDefault="00475B48">
      <w:pPr>
        <w:rPr>
          <w:rFonts w:cs="Times New Roman"/>
          <w:lang w:bidi="bn-IN"/>
        </w:rPr>
      </w:pPr>
      <w:proofErr w:type="spellStart"/>
      <w:r w:rsidRPr="0039258F">
        <w:rPr>
          <w:rFonts w:cs="Times New Roman"/>
          <w:lang w:bidi="bn-IN"/>
        </w:rPr>
        <w:t>Pizam</w:t>
      </w:r>
      <w:proofErr w:type="spellEnd"/>
      <w:r w:rsidRPr="0039258F">
        <w:rPr>
          <w:rFonts w:cs="Times New Roman"/>
          <w:lang w:bidi="bn-IN"/>
        </w:rPr>
        <w:t xml:space="preserve">, A., and Mansfeld, Y. (2018). Consumer </w:t>
      </w:r>
      <w:proofErr w:type="spellStart"/>
      <w:r w:rsidRPr="0039258F">
        <w:rPr>
          <w:rFonts w:cs="Times New Roman"/>
          <w:lang w:bidi="bn-IN"/>
        </w:rPr>
        <w:t>Behavior</w:t>
      </w:r>
      <w:proofErr w:type="spellEnd"/>
      <w:r w:rsidRPr="0039258F">
        <w:rPr>
          <w:rFonts w:cs="Times New Roman"/>
          <w:lang w:bidi="bn-IN"/>
        </w:rPr>
        <w:t xml:space="preserve"> in Travel and Tourism. Routledge.</w:t>
      </w:r>
    </w:p>
    <w:p w14:paraId="7E6CE74C" w14:textId="7234010E" w:rsidR="00475B48" w:rsidRPr="0039258F" w:rsidRDefault="00475B48" w:rsidP="0097779C">
      <w:pPr>
        <w:spacing w:line="480" w:lineRule="auto"/>
        <w:rPr>
          <w:rFonts w:cs="Times New Roman"/>
          <w:lang w:bidi="bn-IN"/>
        </w:rPr>
      </w:pPr>
      <w:r w:rsidRPr="0039258F">
        <w:rPr>
          <w:rFonts w:cs="Times New Roman"/>
          <w:lang w:bidi="bn-IN"/>
        </w:rPr>
        <w:t>Premier Inn. (2022). Investors.</w:t>
      </w:r>
      <w:r w:rsidR="0039258F">
        <w:rPr>
          <w:rFonts w:cs="Times New Roman"/>
          <w:lang w:bidi="bn-IN"/>
        </w:rPr>
        <w:t xml:space="preserve"> </w:t>
      </w:r>
      <w:r w:rsidRPr="0039258F">
        <w:rPr>
          <w:rFonts w:cs="Times New Roman"/>
          <w:lang w:bidi="bn-IN"/>
        </w:rPr>
        <w:t xml:space="preserve"> Available at: https://www.premierinn.com/gb/en/investors.html </w:t>
      </w:r>
      <w:r w:rsidR="0039258F">
        <w:rPr>
          <w:rFonts w:cs="Times New Roman"/>
          <w:lang w:bidi="bn-IN"/>
        </w:rPr>
        <w:t>(</w:t>
      </w:r>
      <w:r w:rsidRPr="0039258F">
        <w:rPr>
          <w:rFonts w:cs="Times New Roman"/>
          <w:lang w:bidi="bn-IN"/>
        </w:rPr>
        <w:t xml:space="preserve">Accessed </w:t>
      </w:r>
      <w:r w:rsidR="0039258F">
        <w:rPr>
          <w:rFonts w:cs="Times New Roman"/>
          <w:lang w:bidi="bn-IN"/>
        </w:rPr>
        <w:t xml:space="preserve">on </w:t>
      </w:r>
      <w:r w:rsidRPr="0039258F">
        <w:rPr>
          <w:rFonts w:cs="Times New Roman"/>
          <w:lang w:bidi="bn-IN"/>
        </w:rPr>
        <w:t>1</w:t>
      </w:r>
      <w:r w:rsidR="0039258F">
        <w:rPr>
          <w:rFonts w:cs="Times New Roman"/>
          <w:lang w:bidi="bn-IN"/>
        </w:rPr>
        <w:t>0</w:t>
      </w:r>
      <w:r w:rsidRPr="0039258F">
        <w:rPr>
          <w:rFonts w:cs="Times New Roman"/>
          <w:lang w:bidi="bn-IN"/>
        </w:rPr>
        <w:t xml:space="preserve"> </w:t>
      </w:r>
      <w:r w:rsidR="0039258F">
        <w:rPr>
          <w:rFonts w:cs="Times New Roman"/>
          <w:lang w:bidi="bn-IN"/>
        </w:rPr>
        <w:t>October</w:t>
      </w:r>
      <w:r w:rsidRPr="0039258F">
        <w:rPr>
          <w:rFonts w:cs="Times New Roman"/>
          <w:lang w:bidi="bn-IN"/>
        </w:rPr>
        <w:t xml:space="preserve"> 2023</w:t>
      </w:r>
      <w:r w:rsidR="0039258F">
        <w:rPr>
          <w:rFonts w:cs="Times New Roman"/>
          <w:lang w:bidi="bn-IN"/>
        </w:rPr>
        <w:t>)</w:t>
      </w:r>
      <w:r w:rsidRPr="0039258F">
        <w:rPr>
          <w:rFonts w:cs="Times New Roman"/>
          <w:lang w:bidi="bn-IN"/>
        </w:rPr>
        <w:t>.</w:t>
      </w:r>
    </w:p>
    <w:p w14:paraId="32F24885" w14:textId="49CC7111" w:rsidR="00475B48" w:rsidRPr="0039258F" w:rsidRDefault="00475B48">
      <w:pPr>
        <w:rPr>
          <w:rFonts w:cs="Times New Roman"/>
          <w:lang w:bidi="bn-IN"/>
        </w:rPr>
      </w:pPr>
      <w:r w:rsidRPr="0039258F">
        <w:rPr>
          <w:rFonts w:cs="Times New Roman"/>
          <w:lang w:bidi="bn-IN"/>
        </w:rPr>
        <w:t xml:space="preserve">Premier Inn. (2023). Our story.  Available at: https://www.premierinn.com/gb/en/about/our-story.html </w:t>
      </w:r>
      <w:r w:rsidR="0039258F">
        <w:rPr>
          <w:rFonts w:cs="Times New Roman"/>
          <w:lang w:bidi="bn-IN"/>
        </w:rPr>
        <w:t>(</w:t>
      </w:r>
      <w:r w:rsidRPr="0039258F">
        <w:rPr>
          <w:rFonts w:cs="Times New Roman"/>
          <w:lang w:bidi="bn-IN"/>
        </w:rPr>
        <w:t xml:space="preserve">Accessed </w:t>
      </w:r>
      <w:r w:rsidR="0039258F">
        <w:rPr>
          <w:rFonts w:cs="Times New Roman"/>
          <w:lang w:bidi="bn-IN"/>
        </w:rPr>
        <w:t xml:space="preserve">on </w:t>
      </w:r>
      <w:r w:rsidRPr="0039258F">
        <w:rPr>
          <w:rFonts w:cs="Times New Roman"/>
          <w:lang w:bidi="bn-IN"/>
        </w:rPr>
        <w:t xml:space="preserve">10 </w:t>
      </w:r>
      <w:r w:rsidR="0039258F">
        <w:rPr>
          <w:rFonts w:cs="Times New Roman"/>
          <w:lang w:bidi="bn-IN"/>
        </w:rPr>
        <w:t>October</w:t>
      </w:r>
      <w:r w:rsidRPr="0039258F">
        <w:rPr>
          <w:rFonts w:cs="Times New Roman"/>
          <w:lang w:bidi="bn-IN"/>
        </w:rPr>
        <w:t xml:space="preserve"> 2023</w:t>
      </w:r>
      <w:r w:rsidR="0039258F">
        <w:rPr>
          <w:rFonts w:cs="Times New Roman"/>
          <w:lang w:bidi="bn-IN"/>
        </w:rPr>
        <w:t>)</w:t>
      </w:r>
      <w:r w:rsidRPr="0039258F">
        <w:rPr>
          <w:rFonts w:cs="Times New Roman"/>
          <w:lang w:bidi="bn-IN"/>
        </w:rPr>
        <w:t>.</w:t>
      </w:r>
    </w:p>
    <w:p w14:paraId="13D4DE2D" w14:textId="77777777" w:rsidR="00475B48" w:rsidRPr="0039258F" w:rsidRDefault="00475B48">
      <w:pPr>
        <w:rPr>
          <w:rFonts w:cs="Times New Roman"/>
          <w:lang w:bidi="bn-IN"/>
        </w:rPr>
      </w:pPr>
      <w:r w:rsidRPr="0039258F">
        <w:rPr>
          <w:rFonts w:cs="Times New Roman"/>
          <w:lang w:bidi="bn-IN"/>
        </w:rPr>
        <w:t>Ritchie, B. W., and Crouch, G. I. (2023). The competitive destination: A sustainable tourism perspective. CABI.</w:t>
      </w:r>
    </w:p>
    <w:p w14:paraId="685C1F3D" w14:textId="77777777" w:rsidR="00475B48" w:rsidRPr="0039258F" w:rsidRDefault="00475B48">
      <w:pPr>
        <w:rPr>
          <w:rFonts w:cs="Times New Roman"/>
          <w:lang w:bidi="bn-IN"/>
        </w:rPr>
      </w:pPr>
      <w:r w:rsidRPr="0039258F">
        <w:rPr>
          <w:rFonts w:cs="Times New Roman"/>
          <w:lang w:bidi="bn-IN"/>
        </w:rPr>
        <w:t>Sigala, M. (2018). The impact of customer-to-customer interactions in social media on hotel brand performance: Moderating effects of hotel type. Tourism Management, 67, 140-154.</w:t>
      </w:r>
    </w:p>
    <w:p w14:paraId="31275E86" w14:textId="77777777" w:rsidR="00475B48" w:rsidRPr="0039258F" w:rsidRDefault="00475B48">
      <w:pPr>
        <w:rPr>
          <w:rFonts w:cs="Times New Roman"/>
          <w:lang w:bidi="bn-IN"/>
        </w:rPr>
      </w:pPr>
      <w:r w:rsidRPr="0039258F">
        <w:rPr>
          <w:rFonts w:cs="Times New Roman"/>
          <w:lang w:bidi="bn-IN"/>
        </w:rPr>
        <w:t xml:space="preserve">Song, H., and Li, G. (2018). Tourism demand </w:t>
      </w:r>
      <w:proofErr w:type="spellStart"/>
      <w:r w:rsidRPr="0039258F">
        <w:rPr>
          <w:rFonts w:cs="Times New Roman"/>
          <w:lang w:bidi="bn-IN"/>
        </w:rPr>
        <w:t>modeling</w:t>
      </w:r>
      <w:proofErr w:type="spellEnd"/>
      <w:r w:rsidRPr="0039258F">
        <w:rPr>
          <w:rFonts w:cs="Times New Roman"/>
          <w:lang w:bidi="bn-IN"/>
        </w:rPr>
        <w:t xml:space="preserve"> and forecasting—A review of recent research. Tourism Management, 29(2), 203-220.</w:t>
      </w:r>
    </w:p>
    <w:p w14:paraId="4E61FBB8" w14:textId="77777777" w:rsidR="00475B48" w:rsidRPr="0039258F" w:rsidRDefault="00475B48">
      <w:pPr>
        <w:rPr>
          <w:rFonts w:cs="Times New Roman"/>
          <w:lang w:bidi="bn-IN"/>
        </w:rPr>
      </w:pPr>
      <w:r w:rsidRPr="0039258F">
        <w:rPr>
          <w:rFonts w:cs="Times New Roman"/>
          <w:lang w:bidi="bn-IN"/>
        </w:rPr>
        <w:t>Tribe, J. (2015). The Economics of Recreation, Leisure and Tourism. Routledge.</w:t>
      </w:r>
    </w:p>
    <w:p w14:paraId="20028ECC" w14:textId="77777777" w:rsidR="00475B48" w:rsidRPr="0039258F" w:rsidRDefault="00475B48">
      <w:pPr>
        <w:rPr>
          <w:rFonts w:cs="Times New Roman"/>
          <w:lang w:bidi="bn-IN"/>
        </w:rPr>
      </w:pPr>
      <w:r w:rsidRPr="0039258F">
        <w:rPr>
          <w:rFonts w:cs="Times New Roman"/>
          <w:lang w:bidi="bn-IN"/>
        </w:rPr>
        <w:lastRenderedPageBreak/>
        <w:t>Tsai, W. H. S., and Hsieh, M. T. (2014). The value of using the travel blogs to express the information needs of tourists. Tourism Management, 43, 46-54.</w:t>
      </w:r>
    </w:p>
    <w:p w14:paraId="1D2CF07E" w14:textId="77777777" w:rsidR="00475B48" w:rsidRPr="0039258F" w:rsidRDefault="00475B48">
      <w:pPr>
        <w:rPr>
          <w:rFonts w:cs="Times New Roman"/>
          <w:lang w:bidi="bn-IN"/>
        </w:rPr>
      </w:pPr>
      <w:r w:rsidRPr="0039258F">
        <w:rPr>
          <w:rFonts w:cs="Times New Roman"/>
          <w:lang w:bidi="bn-IN"/>
        </w:rPr>
        <w:t>Volo, S. (2015). Resort Development. Routledge.</w:t>
      </w:r>
    </w:p>
    <w:p w14:paraId="6012D715" w14:textId="77777777" w:rsidR="00475B48" w:rsidRPr="0039258F" w:rsidRDefault="00475B48">
      <w:pPr>
        <w:rPr>
          <w:rFonts w:cs="Times New Roman"/>
          <w:lang w:bidi="bn-IN"/>
        </w:rPr>
      </w:pPr>
      <w:r w:rsidRPr="0039258F">
        <w:rPr>
          <w:rFonts w:cs="Times New Roman"/>
          <w:lang w:bidi="bn-IN"/>
        </w:rPr>
        <w:t>Witt, S. F., and Witt, C. A. (2015). Tourism Marketing and Management Handbook. Pearson.</w:t>
      </w:r>
    </w:p>
    <w:p w14:paraId="4DD21B24" w14:textId="77777777" w:rsidR="00475B48" w:rsidRPr="0039258F" w:rsidRDefault="00475B48">
      <w:pPr>
        <w:rPr>
          <w:rFonts w:cs="Times New Roman"/>
          <w:lang w:bidi="bn-IN"/>
        </w:rPr>
      </w:pPr>
      <w:r w:rsidRPr="0039258F">
        <w:rPr>
          <w:rFonts w:cs="Times New Roman"/>
          <w:lang w:bidi="bn-IN"/>
        </w:rPr>
        <w:t>Xiang, Z., Du, Q., Ma, Y., and Fan, W. (2017). A comparative analysis of major online review platforms: Implications for social media analytics in hospitality and tourism. Tourism Management, 58, 51-65.</w:t>
      </w:r>
    </w:p>
    <w:p w14:paraId="10681E1B" w14:textId="77777777" w:rsidR="00475B48" w:rsidRDefault="00475B48">
      <w:pPr>
        <w:rPr>
          <w:rFonts w:cs="Times New Roman"/>
          <w:lang w:bidi="bn-IN"/>
        </w:rPr>
      </w:pPr>
    </w:p>
    <w:sectPr w:rsidR="00475B48">
      <w:headerReference w:type="default" r:id="rId8"/>
      <w:footerReference w:type="default" r:id="rId9"/>
      <w:pgSz w:w="11900" w:h="16840"/>
      <w:pgMar w:top="1440" w:right="1440" w:bottom="1440" w:left="1440" w:header="0" w:footer="102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689F0" w14:textId="77777777" w:rsidR="00A06FDE" w:rsidRPr="0039258F" w:rsidRDefault="00A06FDE">
      <w:pPr>
        <w:spacing w:after="0" w:line="240" w:lineRule="auto"/>
      </w:pPr>
      <w:r w:rsidRPr="0039258F">
        <w:separator/>
      </w:r>
    </w:p>
  </w:endnote>
  <w:endnote w:type="continuationSeparator" w:id="0">
    <w:p w14:paraId="02B314C6" w14:textId="77777777" w:rsidR="00A06FDE" w:rsidRPr="0039258F" w:rsidRDefault="00A06FDE">
      <w:pPr>
        <w:spacing w:after="0" w:line="240" w:lineRule="auto"/>
      </w:pPr>
      <w:r w:rsidRPr="003925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CD064" w14:textId="77777777" w:rsidR="009B1F03" w:rsidRPr="0039258F" w:rsidRDefault="00902217">
    <w:pPr>
      <w:pStyle w:val="Header"/>
      <w:jc w:val="right"/>
    </w:pPr>
    <w:r w:rsidRPr="0039258F">
      <w:fldChar w:fldCharType="begin"/>
    </w:r>
    <w:r w:rsidRPr="0039258F">
      <w:instrText>PAGE</w:instrText>
    </w:r>
    <w:r w:rsidRPr="0039258F">
      <w:fldChar w:fldCharType="separate"/>
    </w:r>
    <w:r w:rsidR="00BB3557" w:rsidRPr="0039258F">
      <w:t>1</w:t>
    </w:r>
    <w:r w:rsidRPr="0039258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0DF71" w14:textId="77777777" w:rsidR="00A06FDE" w:rsidRPr="0039258F" w:rsidRDefault="00A06FDE">
      <w:pPr>
        <w:spacing w:after="0" w:line="240" w:lineRule="auto"/>
      </w:pPr>
      <w:r w:rsidRPr="0039258F">
        <w:separator/>
      </w:r>
    </w:p>
  </w:footnote>
  <w:footnote w:type="continuationSeparator" w:id="0">
    <w:p w14:paraId="5B9D8D04" w14:textId="77777777" w:rsidR="00A06FDE" w:rsidRPr="0039258F" w:rsidRDefault="00A06FDE">
      <w:pPr>
        <w:spacing w:after="0" w:line="240" w:lineRule="auto"/>
      </w:pPr>
      <w:r w:rsidRPr="0039258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E2F1D" w14:textId="77777777" w:rsidR="009B1F03" w:rsidRPr="0039258F" w:rsidRDefault="00902217">
    <w:pPr>
      <w:pStyle w:val="Header"/>
      <w:jc w:val="right"/>
    </w:pPr>
    <w:r w:rsidRPr="0039258F">
      <w:t xml:space="preserve">                                                                                </w:t>
    </w:r>
  </w:p>
  <w:p w14:paraId="30622A8D" w14:textId="77777777" w:rsidR="009B1F03" w:rsidRPr="0039258F" w:rsidRDefault="009B1F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FDA7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2" w15:restartNumberingAfterBreak="0">
    <w:nsid w:val="00000003"/>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4" w15:restartNumberingAfterBreak="0">
    <w:nsid w:val="00000005"/>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6"/>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7"/>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0000008"/>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09"/>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000000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0" w15:restartNumberingAfterBreak="0">
    <w:nsid w:val="0000000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1" w15:restartNumberingAfterBreak="0">
    <w:nsid w:val="0000000C"/>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2" w15:restartNumberingAfterBreak="0">
    <w:nsid w:val="0000000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3" w15:restartNumberingAfterBreak="0">
    <w:nsid w:val="0000000E"/>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FE383CEC"/>
    <w:lvl w:ilvl="0" w:tplc="FFFFFFFF">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6" w15:restartNumberingAfterBreak="0">
    <w:nsid w:val="0000001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7" w15:restartNumberingAfterBreak="0">
    <w:nsid w:val="0000001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00000013"/>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9" w15:restartNumberingAfterBreak="0">
    <w:nsid w:val="00000014"/>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1" w15:restartNumberingAfterBreak="0">
    <w:nsid w:val="0000001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22" w15:restartNumberingAfterBreak="0">
    <w:nsid w:val="00000017"/>
    <w:multiLevelType w:val="hybridMultilevel"/>
    <w:tmpl w:val="7C622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0000018"/>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4" w15:restartNumberingAfterBreak="0">
    <w:nsid w:val="00000019"/>
    <w:multiLevelType w:val="hybridMultilevel"/>
    <w:tmpl w:val="B1021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00001A"/>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6" w15:restartNumberingAfterBreak="0">
    <w:nsid w:val="0000001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27" w15:restartNumberingAfterBreak="0">
    <w:nsid w:val="0000001C"/>
    <w:multiLevelType w:val="hybridMultilevel"/>
    <w:tmpl w:val="CD280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D"/>
    <w:multiLevelType w:val="hybridMultilevel"/>
    <w:tmpl w:val="EE3C19C8"/>
    <w:lvl w:ilvl="0" w:tplc="FFFFFFFF">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000001E"/>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0" w15:restartNumberingAfterBreak="0">
    <w:nsid w:val="0000001F"/>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1" w15:restartNumberingAfterBreak="0">
    <w:nsid w:val="00000020"/>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2" w15:restartNumberingAfterBreak="0">
    <w:nsid w:val="00000021"/>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3" w15:restartNumberingAfterBreak="0">
    <w:nsid w:val="0000002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00000023"/>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5" w15:restartNumberingAfterBreak="0">
    <w:nsid w:val="62EB264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num w:numId="1" w16cid:durableId="457996227">
    <w:abstractNumId w:val="24"/>
  </w:num>
  <w:num w:numId="2" w16cid:durableId="1096705555">
    <w:abstractNumId w:val="22"/>
  </w:num>
  <w:num w:numId="3" w16cid:durableId="1768231471">
    <w:abstractNumId w:val="7"/>
  </w:num>
  <w:num w:numId="4" w16cid:durableId="624582866">
    <w:abstractNumId w:val="5"/>
  </w:num>
  <w:num w:numId="5" w16cid:durableId="983507484">
    <w:abstractNumId w:val="34"/>
  </w:num>
  <w:num w:numId="6" w16cid:durableId="1557816151">
    <w:abstractNumId w:val="2"/>
  </w:num>
  <w:num w:numId="7" w16cid:durableId="1498619391">
    <w:abstractNumId w:val="4"/>
  </w:num>
  <w:num w:numId="8" w16cid:durableId="1401561385">
    <w:abstractNumId w:val="19"/>
  </w:num>
  <w:num w:numId="9" w16cid:durableId="1100490611">
    <w:abstractNumId w:val="26"/>
  </w:num>
  <w:num w:numId="10" w16cid:durableId="1209104301">
    <w:abstractNumId w:val="21"/>
  </w:num>
  <w:num w:numId="11" w16cid:durableId="481897795">
    <w:abstractNumId w:val="29"/>
  </w:num>
  <w:num w:numId="12" w16cid:durableId="425615476">
    <w:abstractNumId w:val="10"/>
  </w:num>
  <w:num w:numId="13" w16cid:durableId="940646357">
    <w:abstractNumId w:val="35"/>
  </w:num>
  <w:num w:numId="14" w16cid:durableId="425686517">
    <w:abstractNumId w:val="31"/>
  </w:num>
  <w:num w:numId="15" w16cid:durableId="986010762">
    <w:abstractNumId w:val="32"/>
  </w:num>
  <w:num w:numId="16" w16cid:durableId="356006937">
    <w:abstractNumId w:val="27"/>
  </w:num>
  <w:num w:numId="17" w16cid:durableId="1783496792">
    <w:abstractNumId w:val="23"/>
  </w:num>
  <w:num w:numId="18" w16cid:durableId="1806654196">
    <w:abstractNumId w:val="30"/>
  </w:num>
  <w:num w:numId="19" w16cid:durableId="1727146058">
    <w:abstractNumId w:val="13"/>
  </w:num>
  <w:num w:numId="20" w16cid:durableId="1678921181">
    <w:abstractNumId w:val="18"/>
  </w:num>
  <w:num w:numId="21" w16cid:durableId="1719356162">
    <w:abstractNumId w:val="8"/>
  </w:num>
  <w:num w:numId="22" w16cid:durableId="2109539330">
    <w:abstractNumId w:val="20"/>
  </w:num>
  <w:num w:numId="23" w16cid:durableId="1138379286">
    <w:abstractNumId w:val="11"/>
  </w:num>
  <w:num w:numId="24" w16cid:durableId="167527945">
    <w:abstractNumId w:val="12"/>
  </w:num>
  <w:num w:numId="25" w16cid:durableId="352654353">
    <w:abstractNumId w:val="3"/>
  </w:num>
  <w:num w:numId="26" w16cid:durableId="1741095808">
    <w:abstractNumId w:val="1"/>
  </w:num>
  <w:num w:numId="27" w16cid:durableId="713849105">
    <w:abstractNumId w:val="9"/>
  </w:num>
  <w:num w:numId="28" w16cid:durableId="1285426227">
    <w:abstractNumId w:val="16"/>
  </w:num>
  <w:num w:numId="29" w16cid:durableId="2128117417">
    <w:abstractNumId w:val="15"/>
  </w:num>
  <w:num w:numId="30" w16cid:durableId="62143124">
    <w:abstractNumId w:val="0"/>
  </w:num>
  <w:num w:numId="31" w16cid:durableId="306471392">
    <w:abstractNumId w:val="14"/>
  </w:num>
  <w:num w:numId="32" w16cid:durableId="1550067129">
    <w:abstractNumId w:val="28"/>
  </w:num>
  <w:num w:numId="33" w16cid:durableId="314065048">
    <w:abstractNumId w:val="17"/>
  </w:num>
  <w:num w:numId="34" w16cid:durableId="70660512">
    <w:abstractNumId w:val="33"/>
  </w:num>
  <w:num w:numId="35" w16cid:durableId="479734703">
    <w:abstractNumId w:val="6"/>
  </w:num>
  <w:num w:numId="36" w16cid:durableId="29911922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F03"/>
    <w:rsid w:val="00057558"/>
    <w:rsid w:val="00060280"/>
    <w:rsid w:val="0039258F"/>
    <w:rsid w:val="00475B48"/>
    <w:rsid w:val="004F5859"/>
    <w:rsid w:val="004F720D"/>
    <w:rsid w:val="00662506"/>
    <w:rsid w:val="006A67B8"/>
    <w:rsid w:val="007F5809"/>
    <w:rsid w:val="00902217"/>
    <w:rsid w:val="00950D0E"/>
    <w:rsid w:val="0097779C"/>
    <w:rsid w:val="009B1F03"/>
    <w:rsid w:val="00A06FDE"/>
    <w:rsid w:val="00BB355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51754"/>
  <w15:docId w15:val="{821595DE-9F6D-4EAB-B57C-54222297C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Vrinda"/>
        <w:kern w:val="2"/>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pPr>
      <w:keepNext/>
      <w:keepLines/>
      <w:spacing w:before="240" w:after="0"/>
      <w:outlineLvl w:val="0"/>
    </w:pPr>
    <w:rPr>
      <w:rFonts w:eastAsia="SimSun"/>
      <w:b/>
      <w:color w:val="2F5496"/>
      <w:sz w:val="32"/>
      <w:szCs w:val="40"/>
    </w:rPr>
  </w:style>
  <w:style w:type="paragraph" w:styleId="Heading2">
    <w:name w:val="heading 2"/>
    <w:basedOn w:val="Normal"/>
    <w:next w:val="Normal"/>
    <w:link w:val="Heading2Char"/>
    <w:uiPriority w:val="9"/>
    <w:qFormat/>
    <w:pPr>
      <w:keepNext/>
      <w:keepLines/>
      <w:spacing w:before="40" w:after="0"/>
      <w:outlineLvl w:val="1"/>
    </w:pPr>
    <w:rPr>
      <w:rFonts w:eastAsia="SimSun"/>
      <w:color w:val="2F5496"/>
      <w:sz w:val="28"/>
      <w:szCs w:val="33"/>
    </w:rPr>
  </w:style>
  <w:style w:type="paragraph" w:styleId="Heading3">
    <w:name w:val="heading 3"/>
    <w:basedOn w:val="Normal"/>
    <w:next w:val="Normal"/>
    <w:link w:val="Heading3Char"/>
    <w:uiPriority w:val="9"/>
    <w:qFormat/>
    <w:pPr>
      <w:keepNext/>
      <w:keepLines/>
      <w:spacing w:before="40" w:after="0"/>
      <w:outlineLvl w:val="2"/>
    </w:pPr>
    <w:rPr>
      <w:rFonts w:ascii="Calibri Light" w:eastAsia="SimSun" w:hAnsi="Calibri Light"/>
      <w:color w:val="1F3763"/>
      <w:szCs w:val="30"/>
    </w:rPr>
  </w:style>
  <w:style w:type="paragraph" w:styleId="Heading4">
    <w:name w:val="heading 4"/>
    <w:basedOn w:val="Normal"/>
    <w:next w:val="Normal"/>
    <w:link w:val="Heading4Char"/>
    <w:uiPriority w:val="9"/>
    <w:qFormat/>
    <w:pPr>
      <w:keepNext/>
      <w:keepLines/>
      <w:spacing w:before="40" w:after="0"/>
      <w:outlineLvl w:val="3"/>
    </w:pPr>
    <w:rPr>
      <w:rFonts w:ascii="Calibri Light" w:eastAsia="SimSun"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Vrinda"/>
      <w:b/>
      <w:color w:val="2F5496"/>
      <w:sz w:val="32"/>
      <w:szCs w:val="40"/>
    </w:rPr>
  </w:style>
  <w:style w:type="character" w:customStyle="1" w:styleId="Heading2Char">
    <w:name w:val="Heading 2 Char"/>
    <w:basedOn w:val="DefaultParagraphFont"/>
    <w:link w:val="Heading2"/>
    <w:uiPriority w:val="9"/>
    <w:rPr>
      <w:rFonts w:ascii="Times New Roman" w:eastAsia="SimSun" w:hAnsi="Times New Roman" w:cs="Vrinda"/>
      <w:color w:val="2F5496"/>
      <w:sz w:val="28"/>
      <w:szCs w:val="33"/>
    </w:rPr>
  </w:style>
  <w:style w:type="paragraph" w:styleId="Caption">
    <w:name w:val="caption"/>
    <w:basedOn w:val="Normal"/>
    <w:next w:val="Normal"/>
    <w:uiPriority w:val="35"/>
    <w:qFormat/>
    <w:pPr>
      <w:spacing w:after="200" w:line="240" w:lineRule="auto"/>
    </w:pPr>
    <w:rPr>
      <w:i/>
      <w:iCs/>
      <w:color w:val="44546A"/>
      <w:sz w:val="18"/>
      <w:szCs w:val="22"/>
    </w:r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kern w:val="0"/>
      <w:szCs w:val="24"/>
    </w:rPr>
  </w:style>
  <w:style w:type="paragraph" w:styleId="TOCHeading">
    <w:name w:val="TOC Heading"/>
    <w:basedOn w:val="Heading1"/>
    <w:next w:val="Normal"/>
    <w:uiPriority w:val="39"/>
    <w:qFormat/>
    <w:pPr>
      <w:spacing w:line="259" w:lineRule="auto"/>
      <w:jc w:val="left"/>
      <w:outlineLvl w:val="9"/>
    </w:pPr>
    <w:rPr>
      <w:rFonts w:ascii="Calibri Light" w:hAnsi="Calibri Light"/>
      <w:b w:val="0"/>
      <w:kern w:val="0"/>
      <w:szCs w:val="32"/>
      <w:lang w:bidi="ar-SA"/>
    </w:rPr>
  </w:style>
  <w:style w:type="paragraph" w:styleId="TOC1">
    <w:name w:val="toc 1"/>
    <w:basedOn w:val="Normal"/>
    <w:next w:val="Normal"/>
    <w:uiPriority w:val="39"/>
    <w:qFormat/>
    <w:pPr>
      <w:spacing w:after="100"/>
    </w:pPr>
  </w:style>
  <w:style w:type="paragraph" w:styleId="TOC2">
    <w:name w:val="toc 2"/>
    <w:basedOn w:val="Normal"/>
    <w:next w:val="Normal"/>
    <w:uiPriority w:val="39"/>
    <w:qFormat/>
    <w:pPr>
      <w:spacing w:after="100"/>
      <w:ind w:left="240"/>
    </w:pPr>
  </w:style>
  <w:style w:type="character" w:styleId="Hyperlink">
    <w:name w:val="Hyperlink"/>
    <w:basedOn w:val="DefaultParagraphFont"/>
    <w:uiPriority w:val="99"/>
    <w:rPr>
      <w:color w:val="0563C1"/>
      <w:u w:val="single"/>
    </w:rPr>
  </w:style>
  <w:style w:type="paragraph" w:styleId="Header">
    <w:name w:val="header"/>
    <w:basedOn w:val="Normal"/>
    <w:link w:val="HeaderChar"/>
    <w:pPr>
      <w:tabs>
        <w:tab w:val="center" w:pos="4680"/>
        <w:tab w:val="right" w:pos="9360"/>
      </w:tabs>
      <w:spacing w:after="0" w:line="240" w:lineRule="auto"/>
    </w:pPr>
  </w:style>
  <w:style w:type="character" w:customStyle="1" w:styleId="HeaderChar">
    <w:name w:val="Header Char"/>
    <w:basedOn w:val="DefaultParagraphFont"/>
    <w:link w:val="Header"/>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table" w:styleId="TableGrid">
    <w:name w:val="Table Grid"/>
    <w:basedOn w:val="TableNormal"/>
    <w:uiPriority w:val="39"/>
    <w:pPr>
      <w:spacing w:after="0" w:line="240" w:lineRule="auto"/>
    </w:pPr>
    <w:rPr>
      <w:kern w:val="0"/>
      <w:szCs w:val="22"/>
      <w:lang w:val="en-GB"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rPr>
      <w:rFonts w:ascii="Tahoma" w:hAnsi="Tahoma" w:cs="Tahoma"/>
      <w:sz w:val="16"/>
      <w:szCs w:val="20"/>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Calibri Light" w:eastAsia="SimSun" w:hAnsi="Calibri Light" w:cs="Vrinda"/>
      <w:color w:val="1F3763"/>
      <w:sz w:val="24"/>
      <w:szCs w:val="30"/>
    </w:rPr>
  </w:style>
  <w:style w:type="character" w:customStyle="1" w:styleId="Heading4Char">
    <w:name w:val="Heading 4 Char"/>
    <w:basedOn w:val="DefaultParagraphFont"/>
    <w:link w:val="Heading4"/>
    <w:uiPriority w:val="9"/>
    <w:rPr>
      <w:rFonts w:ascii="Calibri Light" w:eastAsia="SimSun" w:hAnsi="Calibri Light" w:cs="Vrinda"/>
      <w:i/>
      <w:iCs/>
      <w:color w:val="2F5496"/>
      <w:sz w:val="24"/>
    </w:rPr>
  </w:style>
  <w:style w:type="character" w:styleId="Emphasis">
    <w:name w:val="Emphasis"/>
    <w:basedOn w:val="DefaultParagraphFont"/>
    <w:uiPriority w:val="20"/>
    <w:qFormat/>
    <w:rPr>
      <w:i/>
      <w:iCs/>
    </w:rPr>
  </w:style>
  <w:style w:type="character" w:customStyle="1" w:styleId="flex-grow">
    <w:name w:val="flex-grow"/>
    <w:basedOn w:val="DefaultParagraphFont"/>
  </w:style>
  <w:style w:type="paragraph" w:styleId="z-TopofForm">
    <w:name w:val="HTML Top of Form"/>
    <w:basedOn w:val="Normal"/>
    <w:next w:val="Normal"/>
    <w:link w:val="z-TopofFormChar"/>
    <w:uiPriority w:val="99"/>
    <w:pPr>
      <w:pBdr>
        <w:bottom w:val="single" w:sz="6" w:space="1" w:color="auto"/>
      </w:pBdr>
      <w:spacing w:after="0" w:line="240" w:lineRule="auto"/>
      <w:jc w:val="center"/>
    </w:pPr>
    <w:rPr>
      <w:rFonts w:ascii="Arial" w:eastAsia="SimSun" w:hAnsi="Arial" w:cs="Arial"/>
      <w:vanish/>
      <w:kern w:val="0"/>
      <w:sz w:val="16"/>
      <w:szCs w:val="20"/>
      <w:lang w:bidi="bn-IN"/>
    </w:rPr>
  </w:style>
  <w:style w:type="character" w:customStyle="1" w:styleId="z-TopofFormChar">
    <w:name w:val="z-Top of Form Char"/>
    <w:basedOn w:val="DefaultParagraphFont"/>
    <w:link w:val="z-TopofForm"/>
    <w:uiPriority w:val="99"/>
    <w:rPr>
      <w:rFonts w:ascii="Arial" w:eastAsia="SimSun" w:hAnsi="Arial" w:cs="Arial"/>
      <w:vanish/>
      <w:kern w:val="0"/>
      <w:sz w:val="16"/>
      <w:szCs w:val="20"/>
      <w:lang w:bidi="bn-IN"/>
    </w:rPr>
  </w:style>
  <w:style w:type="paragraph" w:styleId="TOC3">
    <w:name w:val="toc 3"/>
    <w:basedOn w:val="Normal"/>
    <w:next w:val="Normal"/>
    <w:uiPriority w:val="39"/>
    <w:pPr>
      <w:spacing w:after="100"/>
      <w:ind w:left="480"/>
    </w:p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1"/>
    <w:qFormat/>
    <w:pPr>
      <w:widowControl w:val="0"/>
      <w:autoSpaceDE w:val="0"/>
      <w:autoSpaceDN w:val="0"/>
      <w:spacing w:after="0" w:line="240" w:lineRule="auto"/>
      <w:jc w:val="left"/>
    </w:pPr>
    <w:rPr>
      <w:rFonts w:ascii="Liberation Serif" w:eastAsia="Liberation Serif" w:hAnsi="Liberation Serif" w:cs="Liberation Serif"/>
      <w:kern w:val="0"/>
      <w:szCs w:val="24"/>
      <w:lang w:bidi="ar-SA"/>
    </w:rPr>
  </w:style>
  <w:style w:type="character" w:customStyle="1" w:styleId="BodyTextChar">
    <w:name w:val="Body Text Char"/>
    <w:basedOn w:val="DefaultParagraphFont"/>
    <w:link w:val="BodyText"/>
    <w:uiPriority w:val="1"/>
    <w:rPr>
      <w:rFonts w:ascii="Liberation Serif" w:eastAsia="Liberation Serif" w:hAnsi="Liberation Serif" w:cs="Liberation Serif"/>
      <w:kern w:val="0"/>
      <w:sz w:val="24"/>
      <w:szCs w:val="24"/>
      <w:lang w:bidi="ar-SA"/>
    </w:rPr>
  </w:style>
  <w:style w:type="paragraph" w:styleId="Title">
    <w:name w:val="Title"/>
    <w:basedOn w:val="Normal"/>
    <w:link w:val="TitleChar"/>
    <w:uiPriority w:val="10"/>
    <w:qFormat/>
    <w:pPr>
      <w:widowControl w:val="0"/>
      <w:autoSpaceDE w:val="0"/>
      <w:autoSpaceDN w:val="0"/>
      <w:spacing w:before="262" w:after="0" w:line="240" w:lineRule="auto"/>
      <w:ind w:left="324"/>
      <w:jc w:val="left"/>
    </w:pPr>
    <w:rPr>
      <w:rFonts w:ascii="Liberation Serif" w:eastAsia="Liberation Serif" w:hAnsi="Liberation Serif" w:cs="Liberation Serif"/>
      <w:b/>
      <w:bCs/>
      <w:kern w:val="0"/>
      <w:sz w:val="32"/>
      <w:szCs w:val="32"/>
      <w:lang w:bidi="ar-SA"/>
    </w:rPr>
  </w:style>
  <w:style w:type="character" w:customStyle="1" w:styleId="TitleChar">
    <w:name w:val="Title Char"/>
    <w:basedOn w:val="DefaultParagraphFont"/>
    <w:link w:val="Title"/>
    <w:uiPriority w:val="10"/>
    <w:rPr>
      <w:rFonts w:ascii="Liberation Serif" w:eastAsia="Liberation Serif" w:hAnsi="Liberation Serif" w:cs="Liberation Serif"/>
      <w:b/>
      <w:bCs/>
      <w:kern w:val="0"/>
      <w:sz w:val="32"/>
      <w:szCs w:val="32"/>
      <w:lang w:bidi="ar-SA"/>
    </w:rPr>
  </w:style>
  <w:style w:type="character" w:styleId="FollowedHyperlink">
    <w:name w:val="FollowedHyperlink"/>
    <w:basedOn w:val="DefaultParagraphFont"/>
    <w:uiPriority w:val="9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A8E29-94E4-4E93-A222-234B3FE17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2831</Words>
  <Characters>16142</Characters>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2023-10-20T20:28:00Z</dcterms:created>
  <dcterms:modified xsi:type="dcterms:W3CDTF">2023-10-20T20:28:00Z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352ff25c1eae4305b9c265bea2d80c5d</vt:lpwstr>
  </property>
</Properties>
</file>