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32EE84" w14:textId="548D6BB8" w:rsidR="00D91AEA" w:rsidRDefault="00BE56F6" w:rsidP="00BD07F8">
      <w:pPr>
        <w:spacing w:line="480" w:lineRule="auto"/>
        <w:jc w:val="center"/>
        <w:rPr>
          <w:u w:val="single"/>
        </w:rPr>
      </w:pPr>
      <w:r>
        <w:rPr>
          <w:u w:val="single"/>
        </w:rPr>
        <w:t>HPHI 5017: Independent Project Proposal</w:t>
      </w:r>
    </w:p>
    <w:p w14:paraId="20967A5E" w14:textId="366200BA" w:rsidR="00FD5F50" w:rsidRPr="00FD5F50" w:rsidRDefault="00FD5F50" w:rsidP="00BD07F8">
      <w:pPr>
        <w:spacing w:line="480" w:lineRule="auto"/>
        <w:rPr>
          <w:u w:val="single"/>
        </w:rPr>
      </w:pPr>
      <w:bookmarkStart w:id="0" w:name="_GoBack"/>
      <w:bookmarkEnd w:id="0"/>
      <w:r w:rsidRPr="00FD5F50">
        <w:rPr>
          <w:u w:val="single"/>
        </w:rPr>
        <w:t>Introduction</w:t>
      </w:r>
    </w:p>
    <w:p w14:paraId="229499CA" w14:textId="5B806251" w:rsidR="00BA4FE8" w:rsidRDefault="00BE56F6" w:rsidP="00BD07F8">
      <w:pPr>
        <w:spacing w:line="480" w:lineRule="auto"/>
      </w:pPr>
      <w:r>
        <w:t>The project which I am proposing will explore the nature of the Anglo-Saxon settlement of Britain in the 5</w:t>
      </w:r>
      <w:r w:rsidRPr="00BE56F6">
        <w:rPr>
          <w:vertAlign w:val="superscript"/>
        </w:rPr>
        <w:t>th</w:t>
      </w:r>
      <w:r>
        <w:t xml:space="preserve"> to 7</w:t>
      </w:r>
      <w:r w:rsidRPr="00BE56F6">
        <w:rPr>
          <w:vertAlign w:val="superscript"/>
        </w:rPr>
        <w:t>th</w:t>
      </w:r>
      <w:r>
        <w:t xml:space="preserve"> Centuries </w:t>
      </w:r>
      <w:proofErr w:type="gramStart"/>
      <w:r>
        <w:t>through the use of</w:t>
      </w:r>
      <w:proofErr w:type="gramEnd"/>
      <w:r>
        <w:t xml:space="preserve"> literary evidence, material culture and DNA analysis. </w:t>
      </w:r>
      <w:proofErr w:type="gramStart"/>
      <w:r>
        <w:t xml:space="preserve">In particular, </w:t>
      </w:r>
      <w:r w:rsidR="00661AA0">
        <w:t>it</w:t>
      </w:r>
      <w:proofErr w:type="gramEnd"/>
      <w:r>
        <w:t xml:space="preserve"> w</w:t>
      </w:r>
      <w:r w:rsidR="00661AA0">
        <w:t>ill</w:t>
      </w:r>
      <w:r>
        <w:t xml:space="preserve"> focus on</w:t>
      </w:r>
      <w:r w:rsidR="002140CA">
        <w:t xml:space="preserve"> where the Anglo-Saxons originated from geographically,</w:t>
      </w:r>
      <w:r>
        <w:t xml:space="preserve"> how Anglo-Saxon identity was formed and how it became the dominant culture of what is now England. It will also consider the limitations of basing a conclusion on a specific method, instead advocating a multifaceted approach to overcome these limitations to reach a </w:t>
      </w:r>
      <w:r w:rsidR="00BA4FE8">
        <w:t>more balanced conclusion.</w:t>
      </w:r>
      <w:r w:rsidR="00FD5F50">
        <w:t xml:space="preserve"> </w:t>
      </w:r>
      <w:r w:rsidR="00BA4FE8">
        <w:t xml:space="preserve">The nature of the establishment of the Anglo-Saxon culture as dominant in England is of interest to scholars due to the highly problematic nature of the literary sources on the topic, discussed later, and disputes over the implications of archaeological evidence. For this reason, there has been a disparity in the views of scholars who emphasise the literary sources and those who emphasise material evidence. </w:t>
      </w:r>
      <w:r w:rsidR="00661AA0">
        <w:t>This project is therefore important in attempting to bridge the gap between these disciplines, also supplementing these approaches with DNA evidence</w:t>
      </w:r>
      <w:r w:rsidR="002140CA">
        <w:t xml:space="preserve"> as an additional </w:t>
      </w:r>
      <w:r w:rsidR="0094747F">
        <w:t>means of determining a peoples’ origins.</w:t>
      </w:r>
    </w:p>
    <w:p w14:paraId="67489E88" w14:textId="3181EF07" w:rsidR="00881036" w:rsidRPr="00881036" w:rsidRDefault="00881036" w:rsidP="00BD07F8">
      <w:pPr>
        <w:spacing w:line="480" w:lineRule="auto"/>
        <w:rPr>
          <w:u w:val="single"/>
        </w:rPr>
      </w:pPr>
      <w:r>
        <w:rPr>
          <w:u w:val="single"/>
        </w:rPr>
        <w:t>Issues and Problems</w:t>
      </w:r>
    </w:p>
    <w:p w14:paraId="0D3571C2" w14:textId="74049F83" w:rsidR="00661AA0" w:rsidRDefault="00661AA0" w:rsidP="00BD07F8">
      <w:pPr>
        <w:spacing w:line="480" w:lineRule="auto"/>
      </w:pPr>
      <w:r>
        <w:t>The main issue in this area of study is the dispute between the theories of the Anglo-Saxon culture forming as a result of invasions, as stated in the literary sources, migrations, as stated by most archaeologists, or cultural exchange as stated by scholars such as Lucy and Pryor.</w:t>
      </w:r>
      <w:r>
        <w:rPr>
          <w:rStyle w:val="FootnoteReference"/>
        </w:rPr>
        <w:footnoteReference w:id="1"/>
      </w:r>
      <w:r w:rsidR="00223C65">
        <w:t xml:space="preserve"> Another issue that will be addressed is whether or not it is appropriate to use material culture as a means of determining the ethnicity or geographical origins of the Anglo-Saxons. For </w:t>
      </w:r>
      <w:r w:rsidR="00223C65">
        <w:lastRenderedPageBreak/>
        <w:t xml:space="preserve">example, </w:t>
      </w:r>
      <w:proofErr w:type="spellStart"/>
      <w:r w:rsidR="00223C65">
        <w:t>Myres</w:t>
      </w:r>
      <w:proofErr w:type="spellEnd"/>
      <w:r w:rsidR="00223C65">
        <w:t xml:space="preserve"> used the style and construction of pottery compared to that of pre-Saxon Britain and mainland Europe to determine his conclusion of the Anglo-Saxons being of Northern European origin, which some scholars reject.</w:t>
      </w:r>
      <w:r w:rsidR="00223C65">
        <w:rPr>
          <w:rStyle w:val="FootnoteReference"/>
        </w:rPr>
        <w:footnoteReference w:id="2"/>
      </w:r>
      <w:r w:rsidR="002140CA">
        <w:t xml:space="preserve"> This debate may be settled by comparing the DNA of people in areas with specific pottery types similar to those in an area of Northern Europe, and comparing the origins of both to determine a correlation, if such data is available. We can also use this evidence to compare with the locations described as the origins of the Anglo-Saxon ‘invaders’ in the literary sources. In doing so, we can determine the usefulness of attributing </w:t>
      </w:r>
      <w:proofErr w:type="gramStart"/>
      <w:r w:rsidR="002140CA">
        <w:t>particular material</w:t>
      </w:r>
      <w:proofErr w:type="gramEnd"/>
      <w:r w:rsidR="002140CA">
        <w:t xml:space="preserve"> cultures to specific geographical origins as a general methodological approach for other studies while also answering the question of where the Anglo-Saxons originated.</w:t>
      </w:r>
      <w:r w:rsidR="00881036">
        <w:t xml:space="preserve"> I will also discuss some potential historiographical context for certain views, such as the influence of colonialism on 19</w:t>
      </w:r>
      <w:r w:rsidR="00881036" w:rsidRPr="00881036">
        <w:rPr>
          <w:vertAlign w:val="superscript"/>
        </w:rPr>
        <w:t>th</w:t>
      </w:r>
      <w:r w:rsidR="00881036">
        <w:t xml:space="preserve"> and early 20</w:t>
      </w:r>
      <w:r w:rsidR="00881036" w:rsidRPr="00881036">
        <w:rPr>
          <w:vertAlign w:val="superscript"/>
        </w:rPr>
        <w:t>th</w:t>
      </w:r>
      <w:r w:rsidR="00881036">
        <w:t xml:space="preserve"> Century scholarship, should there be enough space to do so.</w:t>
      </w:r>
    </w:p>
    <w:p w14:paraId="0DBACC13" w14:textId="65FF3DF1" w:rsidR="00FD5F50" w:rsidRPr="00FD5F50" w:rsidRDefault="005D32E8" w:rsidP="00BD07F8">
      <w:pPr>
        <w:spacing w:line="480" w:lineRule="auto"/>
        <w:rPr>
          <w:u w:val="single"/>
        </w:rPr>
      </w:pPr>
      <w:r>
        <w:rPr>
          <w:u w:val="single"/>
        </w:rPr>
        <w:t>Primary</w:t>
      </w:r>
      <w:r w:rsidR="00FD5F50">
        <w:rPr>
          <w:u w:val="single"/>
        </w:rPr>
        <w:t xml:space="preserve"> Sources</w:t>
      </w:r>
    </w:p>
    <w:p w14:paraId="71012D85" w14:textId="3542049F" w:rsidR="002140CA" w:rsidRDefault="00FD5F50" w:rsidP="00BD07F8">
      <w:pPr>
        <w:spacing w:line="480" w:lineRule="auto"/>
      </w:pPr>
      <w:r>
        <w:t xml:space="preserve">The key literary sources that will be used for the project will be Bede’s </w:t>
      </w:r>
      <w:r>
        <w:rPr>
          <w:i/>
        </w:rPr>
        <w:t>Ecclesiastical History of the English People</w:t>
      </w:r>
      <w:r>
        <w:t xml:space="preserve">, </w:t>
      </w:r>
      <w:proofErr w:type="spellStart"/>
      <w:r>
        <w:t>Gildas</w:t>
      </w:r>
      <w:proofErr w:type="spellEnd"/>
      <w:r>
        <w:t xml:space="preserve">’ </w:t>
      </w:r>
      <w:r w:rsidRPr="00FD5F50">
        <w:rPr>
          <w:i/>
        </w:rPr>
        <w:t xml:space="preserve">De </w:t>
      </w:r>
      <w:proofErr w:type="spellStart"/>
      <w:r w:rsidRPr="00FD5F50">
        <w:rPr>
          <w:i/>
        </w:rPr>
        <w:t>Excidio</w:t>
      </w:r>
      <w:proofErr w:type="spellEnd"/>
      <w:r w:rsidRPr="00FD5F50">
        <w:rPr>
          <w:i/>
        </w:rPr>
        <w:t xml:space="preserve"> et </w:t>
      </w:r>
      <w:proofErr w:type="spellStart"/>
      <w:r w:rsidRPr="00FD5F50">
        <w:rPr>
          <w:i/>
        </w:rPr>
        <w:t>Conquestu</w:t>
      </w:r>
      <w:proofErr w:type="spellEnd"/>
      <w:r w:rsidRPr="00FD5F50">
        <w:rPr>
          <w:i/>
        </w:rPr>
        <w:t xml:space="preserve"> Britanniae</w:t>
      </w:r>
      <w:r>
        <w:t xml:space="preserve">, the </w:t>
      </w:r>
      <w:r w:rsidRPr="00FD5F50">
        <w:rPr>
          <w:i/>
        </w:rPr>
        <w:t xml:space="preserve">Anglo-Saxon </w:t>
      </w:r>
      <w:r>
        <w:rPr>
          <w:i/>
        </w:rPr>
        <w:t>Chronicle</w:t>
      </w:r>
      <w:r>
        <w:t xml:space="preserve"> entries from the 5</w:t>
      </w:r>
      <w:r w:rsidRPr="00FD5F50">
        <w:rPr>
          <w:vertAlign w:val="superscript"/>
        </w:rPr>
        <w:t>th</w:t>
      </w:r>
      <w:r>
        <w:t xml:space="preserve"> and 6</w:t>
      </w:r>
      <w:r w:rsidRPr="00FD5F50">
        <w:rPr>
          <w:vertAlign w:val="superscript"/>
        </w:rPr>
        <w:t>th</w:t>
      </w:r>
      <w:r>
        <w:t xml:space="preserve"> Centuries and Geoffrey of Monmouth’s </w:t>
      </w:r>
      <w:r>
        <w:rPr>
          <w:i/>
        </w:rPr>
        <w:t>History of the Kings of Britain</w:t>
      </w:r>
      <w:r>
        <w:t>. These sources will be used to determine wha</w:t>
      </w:r>
      <w:r w:rsidR="00881036">
        <w:t xml:space="preserve">t later Anglo-Saxons considered their origins to be, in the case of Bede and The </w:t>
      </w:r>
      <w:r w:rsidR="00881036">
        <w:rPr>
          <w:i/>
        </w:rPr>
        <w:t>Anglo-Saxon Chronicle</w:t>
      </w:r>
      <w:r w:rsidR="00881036">
        <w:t xml:space="preserve">, what other inhabitants of Britain thought about the Anglo-Saxons in the case of </w:t>
      </w:r>
      <w:proofErr w:type="spellStart"/>
      <w:r w:rsidR="00881036">
        <w:t>Gildas</w:t>
      </w:r>
      <w:proofErr w:type="spellEnd"/>
      <w:r w:rsidR="00881036">
        <w:t xml:space="preserve"> and how the time period was used by future medieval scholars alongside myths and legends, as in the case of Geoffrey of Monmouth, who incorporated Arthurian myths into his history. The project will also </w:t>
      </w:r>
      <w:r w:rsidR="00AB6845">
        <w:t xml:space="preserve">discuss the use of literary and narrative devices by these sources and will compare them to other origin stories to find any correlations to establish potential influences from </w:t>
      </w:r>
      <w:r w:rsidR="00AB6845">
        <w:lastRenderedPageBreak/>
        <w:t>elsewhere. It will also discuss the potential aims of these works to find out how the accounts were influenced by their historiographical context. The project will then take these issues into account when combining the written accounts with material and DNA evidence.</w:t>
      </w:r>
    </w:p>
    <w:p w14:paraId="40B82437" w14:textId="40BB20EB" w:rsidR="00AB6845" w:rsidRDefault="000F51E7" w:rsidP="00BD07F8">
      <w:pPr>
        <w:spacing w:line="480" w:lineRule="auto"/>
        <w:rPr>
          <w:u w:val="single"/>
        </w:rPr>
      </w:pPr>
      <w:r>
        <w:rPr>
          <w:u w:val="single"/>
        </w:rPr>
        <w:t>Essay Plan</w:t>
      </w:r>
    </w:p>
    <w:p w14:paraId="65EAA080" w14:textId="0D44BC1A" w:rsidR="000F51E7" w:rsidRDefault="005D32E8" w:rsidP="00BD07F8">
      <w:pPr>
        <w:spacing w:line="480" w:lineRule="auto"/>
        <w:rPr>
          <w:u w:val="single"/>
        </w:rPr>
      </w:pPr>
      <w:r>
        <w:tab/>
      </w:r>
      <w:r w:rsidR="000F51E7">
        <w:rPr>
          <w:u w:val="single"/>
        </w:rPr>
        <w:t>Introduction</w:t>
      </w:r>
    </w:p>
    <w:p w14:paraId="20F0D8A3" w14:textId="6CE98C46" w:rsidR="005D32E8" w:rsidRDefault="005D32E8" w:rsidP="00BD07F8">
      <w:pPr>
        <w:spacing w:line="480" w:lineRule="auto"/>
      </w:pPr>
      <w:r>
        <w:t xml:space="preserve">This will outline the </w:t>
      </w:r>
      <w:r w:rsidR="00C1280E">
        <w:t>aims and intention of the essay, general problems and issues regarding the subject area, define key terms such as</w:t>
      </w:r>
      <w:r w:rsidR="00F2759A">
        <w:t xml:space="preserve"> ‘Anglo-Saxon’, ‘Briton’,</w:t>
      </w:r>
      <w:r w:rsidR="00C1280E">
        <w:t xml:space="preserve"> ‘migration’, ‘invasion’ and ‘cultural exchange’ and draft how the essay will approach addressing the problems stated previously.</w:t>
      </w:r>
    </w:p>
    <w:p w14:paraId="6BA570C7" w14:textId="7216861A" w:rsidR="00C1280E" w:rsidRDefault="00C1280E" w:rsidP="00BD07F8">
      <w:pPr>
        <w:spacing w:line="480" w:lineRule="auto"/>
        <w:rPr>
          <w:u w:val="single"/>
        </w:rPr>
      </w:pPr>
      <w:r>
        <w:tab/>
      </w:r>
      <w:r>
        <w:rPr>
          <w:u w:val="single"/>
        </w:rPr>
        <w:t>Discussion of Literary Evidence</w:t>
      </w:r>
    </w:p>
    <w:p w14:paraId="65237CDE" w14:textId="4299CB82" w:rsidR="00C1280E" w:rsidRDefault="00C1280E" w:rsidP="00BD07F8">
      <w:pPr>
        <w:spacing w:line="480" w:lineRule="auto"/>
      </w:pPr>
      <w:r>
        <w:t xml:space="preserve">This section will start by analysing Bede’s </w:t>
      </w:r>
      <w:r>
        <w:rPr>
          <w:i/>
        </w:rPr>
        <w:t xml:space="preserve">Ecclesiastical History, </w:t>
      </w:r>
      <w:proofErr w:type="spellStart"/>
      <w:r>
        <w:t>Gildas</w:t>
      </w:r>
      <w:proofErr w:type="spellEnd"/>
      <w:r>
        <w:t xml:space="preserve">’ </w:t>
      </w:r>
      <w:r w:rsidRPr="00FD5F50">
        <w:rPr>
          <w:i/>
        </w:rPr>
        <w:t xml:space="preserve">De </w:t>
      </w:r>
      <w:proofErr w:type="spellStart"/>
      <w:r w:rsidRPr="00FD5F50">
        <w:rPr>
          <w:i/>
        </w:rPr>
        <w:t>Excidio</w:t>
      </w:r>
      <w:proofErr w:type="spellEnd"/>
      <w:r w:rsidRPr="00FD5F50">
        <w:rPr>
          <w:i/>
        </w:rPr>
        <w:t xml:space="preserve"> et </w:t>
      </w:r>
      <w:proofErr w:type="spellStart"/>
      <w:r w:rsidRPr="00FD5F50">
        <w:rPr>
          <w:i/>
        </w:rPr>
        <w:t>Conquestu</w:t>
      </w:r>
      <w:proofErr w:type="spellEnd"/>
      <w:r>
        <w:t xml:space="preserve"> and the </w:t>
      </w:r>
      <w:r>
        <w:rPr>
          <w:i/>
        </w:rPr>
        <w:t>Anglo-Saxon Chronicle</w:t>
      </w:r>
      <w:r>
        <w:t xml:space="preserve"> to determine what each </w:t>
      </w:r>
      <w:r w:rsidR="00BB3BB0">
        <w:t>reveal</w:t>
      </w:r>
      <w:r>
        <w:t xml:space="preserve"> about their relevant audience’s reception of the subject, </w:t>
      </w:r>
      <w:r w:rsidR="00BB3BB0">
        <w:t>analysing the use of literary and narrative devices and comparing them to each other and other origin stories. I will then determine how useful such accounts are in determining the origins of the Anglo-Saxons alone.</w:t>
      </w:r>
    </w:p>
    <w:p w14:paraId="2121236E" w14:textId="739116E8" w:rsidR="00BB3BB0" w:rsidRDefault="00BB3BB0" w:rsidP="00BD07F8">
      <w:pPr>
        <w:spacing w:line="480" w:lineRule="auto"/>
        <w:rPr>
          <w:u w:val="single"/>
        </w:rPr>
      </w:pPr>
      <w:r>
        <w:tab/>
      </w:r>
      <w:r>
        <w:rPr>
          <w:u w:val="single"/>
        </w:rPr>
        <w:t>Discussion of Material Evidence</w:t>
      </w:r>
    </w:p>
    <w:p w14:paraId="2028A8DC" w14:textId="6AFF6527" w:rsidR="00BB3BB0" w:rsidRDefault="00BB3BB0" w:rsidP="00BD07F8">
      <w:pPr>
        <w:spacing w:line="480" w:lineRule="auto"/>
      </w:pPr>
      <w:r>
        <w:t>This section will begin by comparing the material evidence such as grave goods across the time period specified to show how the material culture</w:t>
      </w:r>
      <w:r w:rsidR="001B57AA">
        <w:t xml:space="preserve"> of the inhabitants of Britain at the time changed. These will be compared to contemporary evidence from other parts of Europe to discover any similarities pointing to a </w:t>
      </w:r>
      <w:proofErr w:type="gramStart"/>
      <w:r w:rsidR="001B57AA">
        <w:t>particular geographical</w:t>
      </w:r>
      <w:proofErr w:type="gramEnd"/>
      <w:r w:rsidR="001B57AA">
        <w:t xml:space="preserve"> origin. The section will conclude by assessing the validity of using such an approach to </w:t>
      </w:r>
      <w:r w:rsidR="00747FF9">
        <w:t>determine these origins on their own merit.</w:t>
      </w:r>
    </w:p>
    <w:p w14:paraId="4B8BBD55" w14:textId="6B42087B" w:rsidR="00747FF9" w:rsidRDefault="00747FF9" w:rsidP="00BD07F8">
      <w:pPr>
        <w:spacing w:line="480" w:lineRule="auto"/>
        <w:rPr>
          <w:u w:val="single"/>
        </w:rPr>
      </w:pPr>
      <w:r>
        <w:tab/>
      </w:r>
      <w:r>
        <w:rPr>
          <w:u w:val="single"/>
        </w:rPr>
        <w:t>Discussion of DNA Evidence</w:t>
      </w:r>
    </w:p>
    <w:p w14:paraId="5F4C59A8" w14:textId="27E12C66" w:rsidR="00747FF9" w:rsidRDefault="00747FF9" w:rsidP="00BD07F8">
      <w:pPr>
        <w:spacing w:line="480" w:lineRule="auto"/>
      </w:pPr>
      <w:r>
        <w:lastRenderedPageBreak/>
        <w:t>To tie together the literary and material evidence, I will use DNA evidence to establish potential links between the ethnic origins of the Anglo-Saxon</w:t>
      </w:r>
      <w:r w:rsidR="00F2759A">
        <w:t xml:space="preserve"> and British peoples and their respective material cultures. In doing so, the essay will be able to determine whether the Anglo-Saxon culture was a result of migration, invasion, or cultural exchange.</w:t>
      </w:r>
    </w:p>
    <w:p w14:paraId="04711083" w14:textId="35AE96F0" w:rsidR="00F2759A" w:rsidRDefault="00F2759A" w:rsidP="00BD07F8">
      <w:pPr>
        <w:spacing w:line="480" w:lineRule="auto"/>
        <w:rPr>
          <w:u w:val="single"/>
        </w:rPr>
      </w:pPr>
      <w:r>
        <w:tab/>
      </w:r>
      <w:r>
        <w:rPr>
          <w:u w:val="single"/>
        </w:rPr>
        <w:t>Conclusion</w:t>
      </w:r>
    </w:p>
    <w:p w14:paraId="5A11C2E8" w14:textId="75326C3A" w:rsidR="00A65654" w:rsidRDefault="00F2759A" w:rsidP="00BD07F8">
      <w:pPr>
        <w:spacing w:line="480" w:lineRule="auto"/>
      </w:pPr>
      <w:r>
        <w:t xml:space="preserve">The conclusion will combine the literary, material and DNA evidence together to attempt to find an answer to the problems noted previously that </w:t>
      </w:r>
      <w:r w:rsidR="00462ED3">
        <w:t xml:space="preserve">overcomes the limitations of using each approach individually. The essay will end by advocating the use of multiple methodological approaches when determining the origins of peoples, particularly DNA evidence in combination with material culture and written sources. </w:t>
      </w:r>
    </w:p>
    <w:p w14:paraId="46BA58EA" w14:textId="7E368142" w:rsidR="00BD07F8" w:rsidRDefault="00BD07F8" w:rsidP="00BD07F8">
      <w:pPr>
        <w:spacing w:line="480" w:lineRule="auto"/>
        <w:rPr>
          <w:b/>
        </w:rPr>
      </w:pPr>
      <w:r>
        <w:rPr>
          <w:b/>
        </w:rPr>
        <w:t>Word Count: 989</w:t>
      </w:r>
    </w:p>
    <w:p w14:paraId="0C09C7A0" w14:textId="77777777" w:rsidR="00BD07F8" w:rsidRDefault="00BD07F8" w:rsidP="00BD07F8">
      <w:pPr>
        <w:spacing w:line="480" w:lineRule="auto"/>
        <w:rPr>
          <w:b/>
        </w:rPr>
      </w:pPr>
      <w:r>
        <w:rPr>
          <w:b/>
        </w:rPr>
        <w:br w:type="page"/>
      </w:r>
    </w:p>
    <w:p w14:paraId="7C56D93B" w14:textId="2172AD5A" w:rsidR="00FC6AA9" w:rsidRPr="00FC6AA9" w:rsidRDefault="00FC6AA9" w:rsidP="00BD07F8">
      <w:pPr>
        <w:spacing w:line="480" w:lineRule="auto"/>
        <w:rPr>
          <w:u w:val="single"/>
        </w:rPr>
      </w:pPr>
      <w:r w:rsidRPr="00FC6AA9">
        <w:rPr>
          <w:u w:val="single"/>
        </w:rPr>
        <w:lastRenderedPageBreak/>
        <w:t>Bibliography</w:t>
      </w:r>
    </w:p>
    <w:p w14:paraId="491E3688" w14:textId="6B06BB93" w:rsidR="00A65654" w:rsidRDefault="00C80D90" w:rsidP="00BD07F8">
      <w:pPr>
        <w:spacing w:line="480" w:lineRule="auto"/>
        <w:rPr>
          <w:u w:val="single"/>
        </w:rPr>
      </w:pPr>
      <w:r>
        <w:rPr>
          <w:u w:val="single"/>
        </w:rPr>
        <w:t>Primary Sources</w:t>
      </w:r>
    </w:p>
    <w:p w14:paraId="77D7865C" w14:textId="38487C93" w:rsidR="00C80D90" w:rsidRDefault="00C80D90" w:rsidP="00BD07F8">
      <w:pPr>
        <w:spacing w:line="480" w:lineRule="auto"/>
      </w:pPr>
      <w:r>
        <w:t xml:space="preserve">Bede, </w:t>
      </w:r>
      <w:r>
        <w:rPr>
          <w:i/>
        </w:rPr>
        <w:t xml:space="preserve">Ecclesiastical History of the English People, </w:t>
      </w:r>
      <w:r w:rsidR="00ED1823" w:rsidRPr="00ED1823">
        <w:t>translated by</w:t>
      </w:r>
      <w:r w:rsidR="00ED1823">
        <w:rPr>
          <w:i/>
        </w:rPr>
        <w:t xml:space="preserve"> </w:t>
      </w:r>
      <w:r w:rsidR="00ED1823">
        <w:t>Leo Shirley-Price (London: Penguin, 1990).</w:t>
      </w:r>
    </w:p>
    <w:p w14:paraId="4FDFE0CD" w14:textId="21108FBF" w:rsidR="00ED1823" w:rsidRDefault="00ED1823" w:rsidP="00BD07F8">
      <w:pPr>
        <w:spacing w:line="480" w:lineRule="auto"/>
      </w:pPr>
      <w:r>
        <w:t xml:space="preserve">Geoffrey of Monmouth, </w:t>
      </w:r>
      <w:r>
        <w:rPr>
          <w:i/>
        </w:rPr>
        <w:t xml:space="preserve">The History of the Kings of Britain, </w:t>
      </w:r>
      <w:r>
        <w:t>translated by Lewis Thorpe (London: Penguin, 1966).</w:t>
      </w:r>
    </w:p>
    <w:p w14:paraId="136754A0" w14:textId="2DB15BB6" w:rsidR="00ED1823" w:rsidRDefault="00ED1823" w:rsidP="00BD07F8">
      <w:pPr>
        <w:spacing w:line="480" w:lineRule="auto"/>
      </w:pPr>
      <w:proofErr w:type="spellStart"/>
      <w:r>
        <w:t>Gildas</w:t>
      </w:r>
      <w:proofErr w:type="spellEnd"/>
      <w:r>
        <w:t xml:space="preserve">, </w:t>
      </w:r>
      <w:r>
        <w:rPr>
          <w:i/>
        </w:rPr>
        <w:t xml:space="preserve">De </w:t>
      </w:r>
      <w:proofErr w:type="spellStart"/>
      <w:r>
        <w:rPr>
          <w:i/>
        </w:rPr>
        <w:t>Excidio</w:t>
      </w:r>
      <w:proofErr w:type="spellEnd"/>
      <w:r>
        <w:rPr>
          <w:i/>
        </w:rPr>
        <w:t xml:space="preserve"> Britanniae; or, The Ruin of Britain, </w:t>
      </w:r>
      <w:r>
        <w:t>translated by Hugh Alders Williams (</w:t>
      </w:r>
      <w:r w:rsidR="00FC6AA9">
        <w:t>London: Dodo Press, 2010).</w:t>
      </w:r>
    </w:p>
    <w:p w14:paraId="66329143" w14:textId="43F76D50" w:rsidR="00FC6AA9" w:rsidRDefault="00FC6AA9" w:rsidP="00BD07F8">
      <w:pPr>
        <w:spacing w:line="480" w:lineRule="auto"/>
      </w:pPr>
      <w:r>
        <w:rPr>
          <w:i/>
        </w:rPr>
        <w:t xml:space="preserve">The Anglo-Saxon Chronicles, </w:t>
      </w:r>
      <w:r>
        <w:t>translated by Michael Swanton (London: Phoenix Press, 2000)</w:t>
      </w:r>
      <w:r>
        <w:t>.</w:t>
      </w:r>
    </w:p>
    <w:p w14:paraId="062972FA" w14:textId="097609FE" w:rsidR="00FC6AA9" w:rsidRDefault="00FC6AA9" w:rsidP="00BD07F8">
      <w:pPr>
        <w:spacing w:line="480" w:lineRule="auto"/>
        <w:rPr>
          <w:u w:val="single"/>
        </w:rPr>
      </w:pPr>
      <w:r>
        <w:rPr>
          <w:u w:val="single"/>
        </w:rPr>
        <w:t>Modern Scholarship</w:t>
      </w:r>
    </w:p>
    <w:p w14:paraId="1069FC3D" w14:textId="6C8D7A07" w:rsidR="00FC6AA9" w:rsidRDefault="00FC6AA9" w:rsidP="00BD07F8">
      <w:pPr>
        <w:spacing w:line="480" w:lineRule="auto"/>
      </w:pPr>
      <w:r>
        <w:t xml:space="preserve">Blair, J., </w:t>
      </w:r>
      <w:r>
        <w:rPr>
          <w:i/>
        </w:rPr>
        <w:t xml:space="preserve">Building Anglo-Saxon England </w:t>
      </w:r>
      <w:r>
        <w:t>(Princeton and Oxford: Princeton University Press, 2018).</w:t>
      </w:r>
    </w:p>
    <w:p w14:paraId="4C0827A7" w14:textId="02DEEF94" w:rsidR="00FC6AA9" w:rsidRDefault="00FC6AA9" w:rsidP="00BD07F8">
      <w:pPr>
        <w:spacing w:line="480" w:lineRule="auto"/>
      </w:pPr>
      <w:r>
        <w:t xml:space="preserve">Blair, P.H., </w:t>
      </w:r>
      <w:r>
        <w:rPr>
          <w:i/>
        </w:rPr>
        <w:t xml:space="preserve">An Introduction to Anglo-Saxon England, </w:t>
      </w:r>
      <w:r>
        <w:t>2</w:t>
      </w:r>
      <w:r w:rsidRPr="00FC6AA9">
        <w:rPr>
          <w:vertAlign w:val="superscript"/>
        </w:rPr>
        <w:t>nd</w:t>
      </w:r>
      <w:r>
        <w:t xml:space="preserve"> edition (Cambridge: Cambridge University Press, 1977).</w:t>
      </w:r>
    </w:p>
    <w:p w14:paraId="3D99A10F" w14:textId="7780900C" w:rsidR="00FC6AA9" w:rsidRDefault="00FC6AA9" w:rsidP="00BD07F8">
      <w:pPr>
        <w:spacing w:line="480" w:lineRule="auto"/>
      </w:pPr>
      <w:r>
        <w:t xml:space="preserve">Fleming, R., </w:t>
      </w:r>
      <w:r>
        <w:rPr>
          <w:i/>
        </w:rPr>
        <w:t xml:space="preserve">Britain After Rome: The Fall and Rise 400 to 1070 </w:t>
      </w:r>
      <w:r>
        <w:t>(London: Penguin, 2010).</w:t>
      </w:r>
    </w:p>
    <w:p w14:paraId="1A232688" w14:textId="0A865235" w:rsidR="00640782" w:rsidRPr="00640782" w:rsidRDefault="00640782" w:rsidP="00BD07F8">
      <w:pPr>
        <w:spacing w:line="480" w:lineRule="auto"/>
      </w:pPr>
      <w:r>
        <w:t xml:space="preserve">Higham, N.J. and Ryan, M.J., </w:t>
      </w:r>
      <w:r>
        <w:rPr>
          <w:i/>
        </w:rPr>
        <w:t xml:space="preserve">The Anglo-Saxon World </w:t>
      </w:r>
      <w:r>
        <w:t>(New Haven and London: Yale University Press, 2013).</w:t>
      </w:r>
    </w:p>
    <w:p w14:paraId="326C19A3" w14:textId="591CC68E" w:rsidR="00FC6AA9" w:rsidRDefault="00FC6AA9" w:rsidP="00BD07F8">
      <w:pPr>
        <w:spacing w:line="480" w:lineRule="auto"/>
      </w:pPr>
      <w:r>
        <w:t xml:space="preserve">Hindley, G., </w:t>
      </w:r>
      <w:r>
        <w:rPr>
          <w:i/>
        </w:rPr>
        <w:t xml:space="preserve">A Brief History of the Anglo-Saxons: The Beginnings of the English Nation </w:t>
      </w:r>
      <w:r>
        <w:t>(London: Robinson, 2006).</w:t>
      </w:r>
    </w:p>
    <w:p w14:paraId="3FFA132C" w14:textId="42B811A1" w:rsidR="00FC6AA9" w:rsidRPr="00FC6AA9" w:rsidRDefault="00FC6AA9" w:rsidP="00BD07F8">
      <w:pPr>
        <w:spacing w:line="480" w:lineRule="auto"/>
      </w:pPr>
      <w:r>
        <w:t xml:space="preserve">Jones, M.E., </w:t>
      </w:r>
      <w:r>
        <w:rPr>
          <w:i/>
        </w:rPr>
        <w:t xml:space="preserve">The End of Roman Britain </w:t>
      </w:r>
      <w:r>
        <w:t xml:space="preserve">(Ithaca and London: Cornell University Press, </w:t>
      </w:r>
      <w:r w:rsidR="00640782">
        <w:t>1996).</w:t>
      </w:r>
    </w:p>
    <w:p w14:paraId="0B953F81" w14:textId="5D7B2A90" w:rsidR="00FC6AA9" w:rsidRPr="00FC6AA9" w:rsidRDefault="00FC6AA9" w:rsidP="00BD07F8">
      <w:pPr>
        <w:spacing w:line="480" w:lineRule="auto"/>
      </w:pPr>
      <w:r>
        <w:t xml:space="preserve">Laycock, S., </w:t>
      </w:r>
      <w:r>
        <w:rPr>
          <w:i/>
        </w:rPr>
        <w:t xml:space="preserve">Britannia the Failed State: Tribal Conflicts and the End of Roman Britain </w:t>
      </w:r>
      <w:r>
        <w:t>(Stroud: The History Press, 2008).</w:t>
      </w:r>
    </w:p>
    <w:p w14:paraId="6D9AE9C2" w14:textId="286230E7" w:rsidR="00FC6AA9" w:rsidRDefault="00640782" w:rsidP="00BD07F8">
      <w:pPr>
        <w:spacing w:line="480" w:lineRule="auto"/>
      </w:pPr>
      <w:proofErr w:type="spellStart"/>
      <w:r>
        <w:lastRenderedPageBreak/>
        <w:t>Loyn</w:t>
      </w:r>
      <w:proofErr w:type="spellEnd"/>
      <w:r>
        <w:t xml:space="preserve">, H.R., </w:t>
      </w:r>
      <w:r>
        <w:rPr>
          <w:i/>
        </w:rPr>
        <w:t>Anglo-</w:t>
      </w:r>
      <w:proofErr w:type="spellStart"/>
      <w:r>
        <w:rPr>
          <w:i/>
        </w:rPr>
        <w:t>Saxob</w:t>
      </w:r>
      <w:proofErr w:type="spellEnd"/>
      <w:r>
        <w:rPr>
          <w:i/>
        </w:rPr>
        <w:t xml:space="preserve"> England and the Norman Conquest </w:t>
      </w:r>
      <w:r>
        <w:t>(London: Longman, 1962).</w:t>
      </w:r>
    </w:p>
    <w:p w14:paraId="59FAC7D6" w14:textId="0C26F550" w:rsidR="00640782" w:rsidRDefault="00640782" w:rsidP="00BD07F8">
      <w:pPr>
        <w:spacing w:line="480" w:lineRule="auto"/>
      </w:pPr>
      <w:proofErr w:type="spellStart"/>
      <w:r>
        <w:t>Loyn</w:t>
      </w:r>
      <w:proofErr w:type="spellEnd"/>
      <w:r>
        <w:t xml:space="preserve">, H.R., </w:t>
      </w:r>
      <w:r>
        <w:rPr>
          <w:i/>
        </w:rPr>
        <w:t xml:space="preserve">The Making of the English Nation: From the Anglo-Saxons to Edward I </w:t>
      </w:r>
      <w:r>
        <w:t>(London: Thames and Hudson, 1991).</w:t>
      </w:r>
    </w:p>
    <w:p w14:paraId="4D9DA3D3" w14:textId="5E0C6A4F" w:rsidR="00640782" w:rsidRDefault="00640782" w:rsidP="00BD07F8">
      <w:pPr>
        <w:spacing w:line="480" w:lineRule="auto"/>
      </w:pPr>
      <w:r>
        <w:t>Lucy,</w:t>
      </w:r>
      <w:r>
        <w:t xml:space="preserve"> S.,</w:t>
      </w:r>
      <w:r>
        <w:t xml:space="preserve"> </w:t>
      </w:r>
      <w:r>
        <w:rPr>
          <w:i/>
        </w:rPr>
        <w:t>The Anglo-Saxon Way of Death: Burial Rites in Ancient England</w:t>
      </w:r>
      <w:r>
        <w:t xml:space="preserve"> (Stroud: Sutton Publishing Ltd., 2000)</w:t>
      </w:r>
      <w:r>
        <w:t>.</w:t>
      </w:r>
    </w:p>
    <w:p w14:paraId="1D57353D" w14:textId="49936562" w:rsidR="00640782" w:rsidRDefault="00640782" w:rsidP="00BD07F8">
      <w:pPr>
        <w:spacing w:line="480" w:lineRule="auto"/>
      </w:pPr>
      <w:r>
        <w:t xml:space="preserve">Manco, J., </w:t>
      </w:r>
      <w:r>
        <w:rPr>
          <w:i/>
        </w:rPr>
        <w:t xml:space="preserve">The Origins of the Anglo-Saxons: Decoding the Ancestry of the English </w:t>
      </w:r>
      <w:r>
        <w:t>(London: Thames and Hudson, 2018).</w:t>
      </w:r>
    </w:p>
    <w:p w14:paraId="36A54741" w14:textId="05A089E3" w:rsidR="00640782" w:rsidRDefault="00640782" w:rsidP="00BD07F8">
      <w:pPr>
        <w:spacing w:line="480" w:lineRule="auto"/>
      </w:pPr>
      <w:proofErr w:type="spellStart"/>
      <w:r>
        <w:t>Myres</w:t>
      </w:r>
      <w:proofErr w:type="spellEnd"/>
      <w:r>
        <w:t>,</w:t>
      </w:r>
      <w:r>
        <w:t xml:space="preserve"> </w:t>
      </w:r>
      <w:r>
        <w:t>J.N.L.</w:t>
      </w:r>
      <w:r>
        <w:t>,</w:t>
      </w:r>
      <w:r>
        <w:t xml:space="preserve"> </w:t>
      </w:r>
      <w:r>
        <w:rPr>
          <w:i/>
        </w:rPr>
        <w:t xml:space="preserve">Anglo-Saxon Pottery and the Settlement of England </w:t>
      </w:r>
      <w:r>
        <w:t>(Oxford: Clarendon Press, 1969).</w:t>
      </w:r>
    </w:p>
    <w:p w14:paraId="4425C197" w14:textId="389FE546" w:rsidR="00640782" w:rsidRPr="00640782" w:rsidRDefault="00640782" w:rsidP="00BD07F8">
      <w:pPr>
        <w:spacing w:line="480" w:lineRule="auto"/>
      </w:pPr>
      <w:r>
        <w:t>Pryor,</w:t>
      </w:r>
      <w:r>
        <w:t xml:space="preserve"> F.,</w:t>
      </w:r>
      <w:r>
        <w:t xml:space="preserve"> </w:t>
      </w:r>
      <w:r>
        <w:rPr>
          <w:i/>
        </w:rPr>
        <w:t xml:space="preserve">Britain AD: A Quest for Arthur, England and the Anglo-Saxons </w:t>
      </w:r>
      <w:r>
        <w:t>(London: Harper Perennial, 2004)</w:t>
      </w:r>
    </w:p>
    <w:p w14:paraId="6D2E6348" w14:textId="77777777" w:rsidR="00A65654" w:rsidRPr="00A65654" w:rsidRDefault="00A65654" w:rsidP="00BD07F8">
      <w:pPr>
        <w:spacing w:line="480" w:lineRule="auto"/>
      </w:pPr>
    </w:p>
    <w:sectPr w:rsidR="00A65654" w:rsidRPr="00A6565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40A4FE" w14:textId="77777777" w:rsidR="00037CDE" w:rsidRDefault="00037CDE" w:rsidP="009F793A">
      <w:pPr>
        <w:spacing w:after="0" w:line="240" w:lineRule="auto"/>
      </w:pPr>
      <w:r>
        <w:separator/>
      </w:r>
    </w:p>
  </w:endnote>
  <w:endnote w:type="continuationSeparator" w:id="0">
    <w:p w14:paraId="5B514B7A" w14:textId="77777777" w:rsidR="00037CDE" w:rsidRDefault="00037CDE" w:rsidP="009F7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D7C5E9" w14:textId="77777777" w:rsidR="00037CDE" w:rsidRDefault="00037CDE" w:rsidP="009F793A">
      <w:pPr>
        <w:spacing w:after="0" w:line="240" w:lineRule="auto"/>
      </w:pPr>
      <w:r>
        <w:separator/>
      </w:r>
    </w:p>
  </w:footnote>
  <w:footnote w:type="continuationSeparator" w:id="0">
    <w:p w14:paraId="0F4F8904" w14:textId="77777777" w:rsidR="00037CDE" w:rsidRDefault="00037CDE" w:rsidP="009F793A">
      <w:pPr>
        <w:spacing w:after="0" w:line="240" w:lineRule="auto"/>
      </w:pPr>
      <w:r>
        <w:continuationSeparator/>
      </w:r>
    </w:p>
  </w:footnote>
  <w:footnote w:id="1">
    <w:p w14:paraId="5A9AB3BC" w14:textId="28E5B836" w:rsidR="00661AA0" w:rsidRPr="00223C65" w:rsidRDefault="00661AA0">
      <w:pPr>
        <w:pStyle w:val="FootnoteText"/>
      </w:pPr>
      <w:r>
        <w:rPr>
          <w:rStyle w:val="FootnoteReference"/>
        </w:rPr>
        <w:footnoteRef/>
      </w:r>
      <w:r>
        <w:t xml:space="preserve"> Sam Lucy, </w:t>
      </w:r>
      <w:r w:rsidR="00223C65">
        <w:rPr>
          <w:i/>
        </w:rPr>
        <w:t>The Anglo-Saxon Way of Death: Burial Rites in Ancient England</w:t>
      </w:r>
      <w:r w:rsidR="00223C65">
        <w:t xml:space="preserve"> (Stroud: Sutton Publishing Ltd., 2000), p.p. 186-7; Francis Pryor, </w:t>
      </w:r>
      <w:r w:rsidR="00223C65">
        <w:rPr>
          <w:i/>
        </w:rPr>
        <w:t xml:space="preserve">Britain AD: A Quest for Arthur, England and the Anglo-Saxons </w:t>
      </w:r>
      <w:r w:rsidR="00223C65">
        <w:t>(London: Harper Perennial, 2004), p.p. 155-8.</w:t>
      </w:r>
    </w:p>
  </w:footnote>
  <w:footnote w:id="2">
    <w:p w14:paraId="052E33D4" w14:textId="60118928" w:rsidR="00223C65" w:rsidRPr="002140CA" w:rsidRDefault="00223C65">
      <w:pPr>
        <w:pStyle w:val="FootnoteText"/>
      </w:pPr>
      <w:r>
        <w:rPr>
          <w:rStyle w:val="FootnoteReference"/>
        </w:rPr>
        <w:footnoteRef/>
      </w:r>
      <w:r>
        <w:t xml:space="preserve"> </w:t>
      </w:r>
      <w:r w:rsidR="002140CA">
        <w:t xml:space="preserve">J.N.L. </w:t>
      </w:r>
      <w:proofErr w:type="spellStart"/>
      <w:r w:rsidR="002140CA">
        <w:t>Myres</w:t>
      </w:r>
      <w:proofErr w:type="spellEnd"/>
      <w:r w:rsidR="002140CA">
        <w:t xml:space="preserve">, </w:t>
      </w:r>
      <w:r w:rsidR="002140CA">
        <w:rPr>
          <w:i/>
        </w:rPr>
        <w:t xml:space="preserve">Anglo-Saxon Pottery and the Settlement of England </w:t>
      </w:r>
      <w:r w:rsidR="002140CA">
        <w:t>(Oxford: Clarendon Press, 1969).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371EAC" w14:textId="0F79F6CA" w:rsidR="009F793A" w:rsidRDefault="009F793A">
    <w:pPr>
      <w:pStyle w:val="Header"/>
    </w:pPr>
    <w:r>
      <w:t>James Forder 1701007</w:t>
    </w:r>
  </w:p>
  <w:p w14:paraId="6FF33DCE" w14:textId="77777777" w:rsidR="009F793A" w:rsidRDefault="009F79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93A"/>
    <w:rsid w:val="00037CDE"/>
    <w:rsid w:val="000F51E7"/>
    <w:rsid w:val="001B57AA"/>
    <w:rsid w:val="002140CA"/>
    <w:rsid w:val="00223C65"/>
    <w:rsid w:val="00462ED3"/>
    <w:rsid w:val="005D32E8"/>
    <w:rsid w:val="00640782"/>
    <w:rsid w:val="00661AA0"/>
    <w:rsid w:val="00747FF9"/>
    <w:rsid w:val="00860198"/>
    <w:rsid w:val="008704D0"/>
    <w:rsid w:val="00881036"/>
    <w:rsid w:val="0094747F"/>
    <w:rsid w:val="009F793A"/>
    <w:rsid w:val="00A65654"/>
    <w:rsid w:val="00AB6845"/>
    <w:rsid w:val="00BA4FE8"/>
    <w:rsid w:val="00BB3BB0"/>
    <w:rsid w:val="00BD07F8"/>
    <w:rsid w:val="00BE56F6"/>
    <w:rsid w:val="00C1280E"/>
    <w:rsid w:val="00C35D03"/>
    <w:rsid w:val="00C80D90"/>
    <w:rsid w:val="00ED1823"/>
    <w:rsid w:val="00F2759A"/>
    <w:rsid w:val="00FC6AA9"/>
    <w:rsid w:val="00FD5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746C3"/>
  <w15:chartTrackingRefBased/>
  <w15:docId w15:val="{94DD2FE1-44A7-4621-A193-D0C0F6069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93A"/>
  </w:style>
  <w:style w:type="paragraph" w:styleId="Footer">
    <w:name w:val="footer"/>
    <w:basedOn w:val="Normal"/>
    <w:link w:val="FooterChar"/>
    <w:uiPriority w:val="99"/>
    <w:unhideWhenUsed/>
    <w:rsid w:val="009F7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93A"/>
  </w:style>
  <w:style w:type="paragraph" w:styleId="FootnoteText">
    <w:name w:val="footnote text"/>
    <w:basedOn w:val="Normal"/>
    <w:link w:val="FootnoteTextChar"/>
    <w:uiPriority w:val="99"/>
    <w:semiHidden/>
    <w:unhideWhenUsed/>
    <w:rsid w:val="00661A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1AA0"/>
    <w:rPr>
      <w:sz w:val="20"/>
      <w:szCs w:val="20"/>
    </w:rPr>
  </w:style>
  <w:style w:type="character" w:styleId="FootnoteReference">
    <w:name w:val="footnote reference"/>
    <w:basedOn w:val="DefaultParagraphFont"/>
    <w:uiPriority w:val="99"/>
    <w:semiHidden/>
    <w:unhideWhenUsed/>
    <w:rsid w:val="00661AA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6</Pages>
  <Words>1181</Words>
  <Characters>6732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10</cp:revision>
  <dcterms:created xsi:type="dcterms:W3CDTF">2019-03-15T17:34:00Z</dcterms:created>
  <dcterms:modified xsi:type="dcterms:W3CDTF">2019-03-15T21:15:00Z</dcterms:modified>
</cp:coreProperties>
</file>