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3BFB" w:rsidRPr="00307958" w:rsidRDefault="00FC3BFB" w:rsidP="00FC3BFB">
      <w:pPr>
        <w:pStyle w:val="NoSpacing"/>
        <w:jc w:val="center"/>
        <w:rPr>
          <w:b/>
          <w:u w:val="single"/>
        </w:rPr>
      </w:pPr>
      <w:r w:rsidRPr="00307958">
        <w:rPr>
          <w:b/>
          <w:u w:val="single"/>
        </w:rPr>
        <w:t>Task 1</w:t>
      </w:r>
    </w:p>
    <w:p w:rsidR="00FC3BFB" w:rsidRDefault="00FC3BFB" w:rsidP="00FC3BFB">
      <w:pPr>
        <w:pStyle w:val="NoSpacing"/>
      </w:pPr>
    </w:p>
    <w:p w:rsidR="00FC3BFB" w:rsidRDefault="00FC3BFB" w:rsidP="00FC3BFB">
      <w:pPr>
        <w:pStyle w:val="NoSpacing"/>
      </w:pPr>
      <w:r>
        <w:t>This reflection will consist of coping mechanisms used over the last twelve weeks of tutorship. It will include methods used in order to overcome times of hardship and research into what benefits the coping mechanisms have on the human body and mind.</w:t>
      </w:r>
    </w:p>
    <w:p w:rsidR="00FC3BFB" w:rsidRDefault="00FC3BFB" w:rsidP="00FC3BFB">
      <w:pPr>
        <w:pStyle w:val="NoSpacing"/>
      </w:pPr>
    </w:p>
    <w:p w:rsidR="00FC3BFB" w:rsidRDefault="00FC3BFB" w:rsidP="00FC3BFB">
      <w:pPr>
        <w:pStyle w:val="NoSpacing"/>
        <w:rPr>
          <w:rFonts w:cstheme="minorHAnsi"/>
          <w:bCs/>
          <w:color w:val="333333"/>
          <w:szCs w:val="21"/>
        </w:rPr>
      </w:pPr>
      <w:r>
        <w:t xml:space="preserve">Coping mechanisms are used in order to adjust to stressful moments ensuring that one’s well-being is maintained. There are two categories of coping style/mechanisms, there are active and avoidance. Active mechanisms involves an being aware of the cause of stress, with the individual making a conscious attempt in order to reduce the stress factors. Avoidance mechanisms are the total opposite to active. This involved the individual making a conscious decision to ignore the cause of stress by choosing not to address the issue(s), hoping the stress factor will eventually be reduced by itself </w:t>
      </w:r>
      <w:r>
        <w:rPr>
          <w:rFonts w:ascii="Arial" w:hAnsi="Arial" w:cs="Arial"/>
          <w:color w:val="000000"/>
          <w:sz w:val="20"/>
          <w:szCs w:val="20"/>
        </w:rPr>
        <w:t>(GoodTherapy.org Therapy Blog, 2018)</w:t>
      </w:r>
      <w:r>
        <w:t xml:space="preserve">. During the tutorship period a useful coping method employed was working out at the local gym. It is said that physical activity aids the increase of self-esteem and reduces stress and anxiety. It also plays a significant role in preventing mental ill health and improving the quality of life for those who experiences such issues </w:t>
      </w:r>
      <w:r>
        <w:rPr>
          <w:rFonts w:ascii="Arial" w:hAnsi="Arial" w:cs="Arial"/>
          <w:color w:val="000000"/>
          <w:sz w:val="20"/>
          <w:szCs w:val="20"/>
        </w:rPr>
        <w:t>(Mental Health Foundation, n.d.)</w:t>
      </w:r>
      <w:r>
        <w:t xml:space="preserve">. It has also been stated that exercise releases natural chemicals inside the body called endorphins. These chemicals generate positivity, reduces pain and has been stated to have a similar effect to morphine. Due to these chemicals being naturally produced within the brain, spinal cord and other areas of the body, it does not lead to an individual forming an addiction or dependency to the chemicals. These chemicals have been proven to improve mental health with the reduction of stress, anxiety, boosted self-confidence and improved sleep </w:t>
      </w:r>
      <w:r>
        <w:rPr>
          <w:rFonts w:ascii="Arial" w:hAnsi="Arial" w:cs="Arial"/>
          <w:color w:val="000000"/>
          <w:sz w:val="20"/>
          <w:szCs w:val="20"/>
        </w:rPr>
        <w:t>(WebMD, n.d.).</w:t>
      </w:r>
      <w:r>
        <w:t xml:space="preserve"> Other coping methods used in order to reduce stress were socialising. In order to enable to body to relax socialising aided in calming the mind of stress and reducing anxiety. It is said that human beings are naturally social beings. Remaining connected to others and being in the presence of other people plays an important factor in reducing stress and loneliness. Social support provides increased levels of hormones such as oxytocin. This hormone serves a purpose in lowering anxiety levels and aids to stimulate the </w:t>
      </w:r>
      <w:r w:rsidRPr="00013831">
        <w:rPr>
          <w:rFonts w:cstheme="minorHAnsi"/>
          <w:color w:val="333333"/>
          <w:szCs w:val="21"/>
        </w:rPr>
        <w:t>parasympathetic nervous system</w:t>
      </w:r>
      <w:r>
        <w:rPr>
          <w:rFonts w:cstheme="minorHAnsi"/>
          <w:color w:val="333333"/>
          <w:szCs w:val="21"/>
        </w:rPr>
        <w:t xml:space="preserve">, which in effect calms the body down </w:t>
      </w:r>
      <w:r>
        <w:rPr>
          <w:rFonts w:ascii="Arial" w:hAnsi="Arial" w:cs="Arial"/>
          <w:color w:val="000000"/>
          <w:sz w:val="20"/>
          <w:szCs w:val="20"/>
        </w:rPr>
        <w:t>(Mentalhelp.net, n.d.)</w:t>
      </w:r>
      <w:r>
        <w:rPr>
          <w:rFonts w:cstheme="minorHAnsi"/>
          <w:color w:val="333333"/>
          <w:szCs w:val="21"/>
        </w:rPr>
        <w:t>.</w:t>
      </w:r>
      <w:r w:rsidRPr="00013831">
        <w:rPr>
          <w:rFonts w:cstheme="minorHAnsi"/>
          <w:sz w:val="24"/>
        </w:rPr>
        <w:t xml:space="preserve"> </w:t>
      </w:r>
      <w:r w:rsidRPr="00BB0848">
        <w:rPr>
          <w:rFonts w:cstheme="minorHAnsi"/>
        </w:rPr>
        <w:t xml:space="preserve">Although socialising provides </w:t>
      </w:r>
      <w:r>
        <w:rPr>
          <w:rFonts w:cstheme="minorHAnsi"/>
        </w:rPr>
        <w:t xml:space="preserve">aid in maintaining ones mental and physical well-being, helping others can also provide the same results. Research states that this act of kindness is known as </w:t>
      </w:r>
      <w:r>
        <w:rPr>
          <w:rFonts w:cstheme="minorHAnsi"/>
          <w:bCs/>
          <w:color w:val="333333"/>
          <w:szCs w:val="21"/>
        </w:rPr>
        <w:t>a</w:t>
      </w:r>
      <w:r w:rsidRPr="00BB0848">
        <w:rPr>
          <w:rFonts w:cstheme="minorHAnsi"/>
          <w:bCs/>
          <w:color w:val="333333"/>
          <w:szCs w:val="21"/>
        </w:rPr>
        <w:t>ltruistic acts</w:t>
      </w:r>
      <w:r>
        <w:rPr>
          <w:rFonts w:cstheme="minorHAnsi"/>
          <w:bCs/>
          <w:color w:val="333333"/>
          <w:szCs w:val="21"/>
        </w:rPr>
        <w:t>. Studies have shown that when carrying out a</w:t>
      </w:r>
      <w:r w:rsidRPr="00BB0848">
        <w:rPr>
          <w:rFonts w:cstheme="minorHAnsi"/>
          <w:bCs/>
          <w:color w:val="333333"/>
          <w:szCs w:val="21"/>
        </w:rPr>
        <w:t>ltruistic acts</w:t>
      </w:r>
      <w:r>
        <w:rPr>
          <w:rFonts w:cstheme="minorHAnsi"/>
          <w:bCs/>
          <w:color w:val="333333"/>
          <w:szCs w:val="21"/>
        </w:rPr>
        <w:t xml:space="preserve"> sections of the brain which controls the feelings of pleasure becomes active. By engaging in these activities areas of the brain responsible for reward related cognition become active which have reinforced the study a</w:t>
      </w:r>
      <w:r w:rsidRPr="00BB0848">
        <w:rPr>
          <w:rFonts w:cstheme="minorHAnsi"/>
          <w:bCs/>
          <w:color w:val="333333"/>
          <w:szCs w:val="21"/>
        </w:rPr>
        <w:t>ltruistic acts</w:t>
      </w:r>
      <w:r>
        <w:rPr>
          <w:rFonts w:cstheme="minorHAnsi"/>
          <w:bCs/>
          <w:color w:val="333333"/>
          <w:szCs w:val="21"/>
        </w:rPr>
        <w:t xml:space="preserve"> play a significant role in mental well-being </w:t>
      </w:r>
      <w:r>
        <w:rPr>
          <w:rFonts w:ascii="Arial" w:hAnsi="Arial" w:cs="Arial"/>
          <w:color w:val="000000"/>
          <w:sz w:val="20"/>
          <w:szCs w:val="20"/>
        </w:rPr>
        <w:t>(Verywell Mind, 2019)</w:t>
      </w:r>
      <w:r>
        <w:rPr>
          <w:rFonts w:cstheme="minorHAnsi"/>
          <w:bCs/>
          <w:color w:val="333333"/>
          <w:szCs w:val="21"/>
        </w:rPr>
        <w:t xml:space="preserve">. Studies have shown that not maintaining a healthy work life balance has resulted in many issues such as higher stress levels, low productivity within the workplace and it also has also been proven to be a major factor in job dissatisfaction </w:t>
      </w:r>
      <w:r>
        <w:rPr>
          <w:rFonts w:ascii="Arial" w:hAnsi="Arial" w:cs="Arial"/>
          <w:color w:val="000000"/>
          <w:sz w:val="20"/>
          <w:szCs w:val="20"/>
        </w:rPr>
        <w:t>(Mindtools.com, n.d.)</w:t>
      </w:r>
      <w:r>
        <w:rPr>
          <w:rFonts w:cstheme="minorHAnsi"/>
          <w:bCs/>
          <w:color w:val="333333"/>
          <w:szCs w:val="21"/>
        </w:rPr>
        <w:t xml:space="preserve">. It is said that 40% of employees neglect certain aspects of their life due to pressures at work which places individuals at risk of developing mental health issues </w:t>
      </w:r>
      <w:r>
        <w:rPr>
          <w:rFonts w:ascii="Arial" w:hAnsi="Arial" w:cs="Arial"/>
          <w:color w:val="000000"/>
          <w:sz w:val="20"/>
          <w:szCs w:val="20"/>
        </w:rPr>
        <w:t>(Mental Health Foundation, n.d.)</w:t>
      </w:r>
      <w:r>
        <w:rPr>
          <w:rFonts w:cstheme="minorHAnsi"/>
          <w:bCs/>
          <w:color w:val="333333"/>
          <w:szCs w:val="21"/>
        </w:rPr>
        <w:t xml:space="preserve">. On reflection over the last twelve weeks, coping mechanisms have aided in mental wellbeing and provided assistance in lowing stress and anxiety levels. Although with the growing demand of work becoming greater, ensuring that time is made available to sustain a healthy work life balance is paramount. Studies have shown that by taking at least one day or evening off from working a week has proven to boost a better work life balance and improve productivity </w:t>
      </w:r>
      <w:r>
        <w:rPr>
          <w:rFonts w:ascii="Arial" w:hAnsi="Arial" w:cs="Arial"/>
          <w:color w:val="000000"/>
          <w:sz w:val="20"/>
          <w:szCs w:val="20"/>
        </w:rPr>
        <w:t>(Inc.com, n.d.)</w:t>
      </w:r>
      <w:r>
        <w:rPr>
          <w:rFonts w:cstheme="minorHAnsi"/>
          <w:bCs/>
          <w:color w:val="333333"/>
          <w:szCs w:val="21"/>
        </w:rPr>
        <w:t xml:space="preserve">. </w:t>
      </w:r>
    </w:p>
    <w:p w:rsidR="00FC3BFB" w:rsidRDefault="00FC3BFB" w:rsidP="00FC3BFB">
      <w:pPr>
        <w:pStyle w:val="NoSpacing"/>
        <w:rPr>
          <w:rFonts w:cstheme="minorHAnsi"/>
          <w:bCs/>
          <w:color w:val="333333"/>
          <w:szCs w:val="21"/>
        </w:rPr>
      </w:pPr>
    </w:p>
    <w:p w:rsidR="00FC3BFB" w:rsidRPr="00496F23" w:rsidRDefault="00FC3BFB" w:rsidP="00FC3BFB">
      <w:pPr>
        <w:pStyle w:val="NoSpacing"/>
        <w:rPr>
          <w:rFonts w:cstheme="minorHAnsi"/>
          <w:bCs/>
          <w:color w:val="333333"/>
          <w:szCs w:val="21"/>
        </w:rPr>
      </w:pPr>
      <w:r>
        <w:rPr>
          <w:rFonts w:cstheme="minorHAnsi"/>
          <w:bCs/>
          <w:color w:val="333333"/>
          <w:szCs w:val="21"/>
        </w:rPr>
        <w:t xml:space="preserve">Word count = </w:t>
      </w:r>
      <w:r w:rsidRPr="00307958">
        <w:rPr>
          <w:rFonts w:cstheme="minorHAnsi"/>
          <w:b/>
          <w:bCs/>
          <w:color w:val="333333"/>
          <w:szCs w:val="21"/>
        </w:rPr>
        <w:t>620</w:t>
      </w:r>
      <w:r>
        <w:rPr>
          <w:rFonts w:cstheme="minorHAnsi"/>
          <w:b/>
          <w:bCs/>
          <w:color w:val="333333"/>
          <w:szCs w:val="21"/>
        </w:rPr>
        <w:t xml:space="preserve"> words</w:t>
      </w:r>
    </w:p>
    <w:p w:rsidR="00FC3BFB" w:rsidRDefault="00FC3BFB" w:rsidP="00FC3BFB">
      <w:r>
        <w:br w:type="page"/>
      </w:r>
    </w:p>
    <w:p w:rsidR="00FC3BFB" w:rsidRPr="00032875" w:rsidRDefault="00FC3BFB" w:rsidP="00FC3BFB">
      <w:pPr>
        <w:pStyle w:val="NoSpacing"/>
        <w:rPr>
          <w:b/>
          <w:sz w:val="44"/>
        </w:rPr>
      </w:pPr>
      <w:r w:rsidRPr="00032875">
        <w:rPr>
          <w:b/>
          <w:sz w:val="44"/>
        </w:rPr>
        <w:lastRenderedPageBreak/>
        <w:t xml:space="preserve">Bibliography </w:t>
      </w:r>
    </w:p>
    <w:p w:rsidR="00FC3BFB" w:rsidRDefault="00FC3BFB" w:rsidP="00FC3BFB">
      <w:pPr>
        <w:pStyle w:val="NoSpacing"/>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 xml:space="preserve">GoodTherapy.org Therapy Blog. (2018). </w:t>
      </w:r>
      <w:r>
        <w:rPr>
          <w:rFonts w:ascii="&amp;quot" w:hAnsi="&amp;quot"/>
          <w:i/>
          <w:iCs/>
          <w:color w:val="000000"/>
          <w:sz w:val="20"/>
          <w:szCs w:val="20"/>
        </w:rPr>
        <w:t>Coping Mechanisms</w:t>
      </w:r>
      <w:r>
        <w:rPr>
          <w:rFonts w:ascii="Arial" w:hAnsi="Arial" w:cs="Arial"/>
          <w:color w:val="000000"/>
          <w:sz w:val="20"/>
          <w:szCs w:val="20"/>
        </w:rPr>
        <w:t>. [online] Available at: https://www.goodtherapy.org/blog/psychpedia/coping-mechanisms [Accessed 6 Jan. 2020].</w:t>
      </w:r>
    </w:p>
    <w:p w:rsidR="00FC3BFB" w:rsidRDefault="00FC3BFB" w:rsidP="00FC3BFB">
      <w:pPr>
        <w:pStyle w:val="NoSpacing"/>
        <w:rPr>
          <w:rFonts w:ascii="Arial" w:hAnsi="Arial" w:cs="Arial"/>
          <w:color w:val="000000"/>
          <w:sz w:val="20"/>
          <w:szCs w:val="20"/>
        </w:rPr>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 xml:space="preserve">Inc.com. (n.d.). </w:t>
      </w:r>
      <w:r>
        <w:rPr>
          <w:rFonts w:ascii="&amp;quot" w:hAnsi="&amp;quot"/>
          <w:i/>
          <w:iCs/>
          <w:color w:val="000000"/>
          <w:sz w:val="20"/>
          <w:szCs w:val="20"/>
        </w:rPr>
        <w:t>Why Taking Time Off Is Good for Your Brain (and Your Business)</w:t>
      </w:r>
      <w:r>
        <w:rPr>
          <w:rFonts w:ascii="Arial" w:hAnsi="Arial" w:cs="Arial"/>
          <w:color w:val="000000"/>
          <w:sz w:val="20"/>
          <w:szCs w:val="20"/>
        </w:rPr>
        <w:t>. [online] Available at: https://www.inc.com/minda-zetlin/why-taking-time-off-is-good-for-your-brain.html [Accessed 6 Jan. 2020].</w:t>
      </w:r>
    </w:p>
    <w:p w:rsidR="00FC3BFB" w:rsidRDefault="00FC3BFB" w:rsidP="00FC3BFB">
      <w:pPr>
        <w:pStyle w:val="NoSpacing"/>
        <w:rPr>
          <w:rFonts w:ascii="Arial" w:hAnsi="Arial" w:cs="Arial"/>
          <w:color w:val="000000"/>
          <w:sz w:val="20"/>
          <w:szCs w:val="20"/>
        </w:rPr>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 xml:space="preserve">Mental Health Foundation. (n.d.). </w:t>
      </w:r>
      <w:r>
        <w:rPr>
          <w:rFonts w:ascii="&amp;quot" w:hAnsi="&amp;quot"/>
          <w:i/>
          <w:iCs/>
          <w:color w:val="000000"/>
          <w:sz w:val="20"/>
          <w:szCs w:val="20"/>
        </w:rPr>
        <w:t>How to look after your mental health using exercise</w:t>
      </w:r>
      <w:r>
        <w:rPr>
          <w:rFonts w:ascii="Arial" w:hAnsi="Arial" w:cs="Arial"/>
          <w:color w:val="000000"/>
          <w:sz w:val="20"/>
          <w:szCs w:val="20"/>
        </w:rPr>
        <w:t>. [online] Available at: https://www.mentalhealth.org.uk/publications/how-to-using-exercise [Accessed 6 Jan. 2020].</w:t>
      </w:r>
    </w:p>
    <w:p w:rsidR="00FC3BFB" w:rsidRDefault="00FC3BFB" w:rsidP="00FC3BFB">
      <w:pPr>
        <w:pStyle w:val="NoSpacing"/>
        <w:rPr>
          <w:rFonts w:ascii="Arial" w:hAnsi="Arial" w:cs="Arial"/>
          <w:color w:val="000000"/>
          <w:sz w:val="20"/>
          <w:szCs w:val="20"/>
        </w:rPr>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 xml:space="preserve">Mental Health Foundation. (n.d.). </w:t>
      </w:r>
      <w:r>
        <w:rPr>
          <w:rFonts w:ascii="&amp;quot" w:hAnsi="&amp;quot"/>
          <w:i/>
          <w:iCs/>
          <w:color w:val="000000"/>
          <w:sz w:val="20"/>
          <w:szCs w:val="20"/>
        </w:rPr>
        <w:t>Work-life balance</w:t>
      </w:r>
      <w:r>
        <w:rPr>
          <w:rFonts w:ascii="Arial" w:hAnsi="Arial" w:cs="Arial"/>
          <w:color w:val="000000"/>
          <w:sz w:val="20"/>
          <w:szCs w:val="20"/>
        </w:rPr>
        <w:t>. [online] Available at: https://www.mentalhealth.org.uk/a-to-z/w/work-life-balance [Accessed 6 Jan. 2020].</w:t>
      </w:r>
    </w:p>
    <w:p w:rsidR="00FC3BFB" w:rsidRDefault="00FC3BFB" w:rsidP="00FC3BFB">
      <w:pPr>
        <w:pStyle w:val="NoSpacing"/>
        <w:rPr>
          <w:rFonts w:ascii="Arial" w:hAnsi="Arial" w:cs="Arial"/>
          <w:color w:val="000000"/>
          <w:sz w:val="20"/>
          <w:szCs w:val="20"/>
        </w:rPr>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 xml:space="preserve">Mentalhelp.net. (n.d.). </w:t>
      </w:r>
      <w:r>
        <w:rPr>
          <w:rFonts w:ascii="&amp;quot" w:hAnsi="&amp;quot"/>
          <w:i/>
          <w:iCs/>
          <w:color w:val="000000"/>
          <w:sz w:val="20"/>
          <w:szCs w:val="20"/>
        </w:rPr>
        <w:t>Socialization and Altruistic Acts as Stress Relief</w:t>
      </w:r>
      <w:r>
        <w:rPr>
          <w:rFonts w:ascii="Arial" w:hAnsi="Arial" w:cs="Arial"/>
          <w:color w:val="000000"/>
          <w:sz w:val="20"/>
          <w:szCs w:val="20"/>
        </w:rPr>
        <w:t>. [online] Available at: https://www.mentalhelp.net/stress/socialization-and-altruistic-acts-as-stress-relief/ [Accessed 6 Jan. 2020].</w:t>
      </w:r>
    </w:p>
    <w:p w:rsidR="00FC3BFB" w:rsidRDefault="00FC3BFB" w:rsidP="00FC3BFB">
      <w:pPr>
        <w:pStyle w:val="NoSpacing"/>
        <w:rPr>
          <w:rFonts w:ascii="Arial" w:hAnsi="Arial" w:cs="Arial"/>
          <w:color w:val="000000"/>
          <w:sz w:val="20"/>
          <w:szCs w:val="20"/>
        </w:rPr>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 xml:space="preserve">Mindtools.com. (n.d.). </w:t>
      </w:r>
      <w:r>
        <w:rPr>
          <w:rFonts w:ascii="&amp;quot" w:hAnsi="&amp;quot"/>
          <w:i/>
          <w:iCs/>
          <w:color w:val="000000"/>
          <w:sz w:val="20"/>
          <w:szCs w:val="20"/>
        </w:rPr>
        <w:t>Finding the Right Work-Life Balance: Creating a Healthy, Rewarding Life</w:t>
      </w:r>
      <w:r>
        <w:rPr>
          <w:rFonts w:ascii="Arial" w:hAnsi="Arial" w:cs="Arial"/>
          <w:color w:val="000000"/>
          <w:sz w:val="20"/>
          <w:szCs w:val="20"/>
        </w:rPr>
        <w:t>. [online] Available at: https://www.mindtools.com/pages/article/work-life-balance.htm [Accessed 6 Jan. 2020].</w:t>
      </w:r>
    </w:p>
    <w:p w:rsidR="00FC3BFB" w:rsidRDefault="00FC3BFB" w:rsidP="00FC3BFB">
      <w:pPr>
        <w:pStyle w:val="NoSpacing"/>
        <w:rPr>
          <w:rFonts w:ascii="Arial" w:hAnsi="Arial" w:cs="Arial"/>
          <w:color w:val="000000"/>
          <w:sz w:val="20"/>
          <w:szCs w:val="20"/>
        </w:rPr>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 xml:space="preserve">Verywell Mind. (2019). </w:t>
      </w:r>
      <w:r>
        <w:rPr>
          <w:rFonts w:ascii="&amp;quot" w:hAnsi="&amp;quot"/>
          <w:i/>
          <w:iCs/>
          <w:color w:val="000000"/>
          <w:sz w:val="20"/>
          <w:szCs w:val="20"/>
        </w:rPr>
        <w:t>Psychologists Explain Why We Risk Our Own Well-Being to Help Others</w:t>
      </w:r>
      <w:r>
        <w:rPr>
          <w:rFonts w:ascii="Arial" w:hAnsi="Arial" w:cs="Arial"/>
          <w:color w:val="000000"/>
          <w:sz w:val="20"/>
          <w:szCs w:val="20"/>
        </w:rPr>
        <w:t>. [online] Available at: https://www.verywellmind.com/what-is-altruism-2794828 [Accessed 6 Jan. 2020].</w:t>
      </w:r>
    </w:p>
    <w:p w:rsidR="00FC3BFB" w:rsidRDefault="00FC3BFB" w:rsidP="00FC3BFB">
      <w:pPr>
        <w:pStyle w:val="NoSpacing"/>
        <w:rPr>
          <w:rFonts w:ascii="Arial" w:hAnsi="Arial" w:cs="Arial"/>
          <w:color w:val="000000"/>
          <w:sz w:val="20"/>
          <w:szCs w:val="20"/>
        </w:rPr>
      </w:pPr>
    </w:p>
    <w:p w:rsidR="00FC3BFB" w:rsidRDefault="00FC3BFB" w:rsidP="00FC3BFB">
      <w:pPr>
        <w:pStyle w:val="NoSpacing"/>
      </w:pPr>
      <w:r>
        <w:rPr>
          <w:rFonts w:ascii="Arial" w:hAnsi="Arial" w:cs="Arial"/>
          <w:color w:val="000000"/>
          <w:sz w:val="20"/>
          <w:szCs w:val="20"/>
        </w:rPr>
        <w:t xml:space="preserve">WebMD. (n.d.). </w:t>
      </w:r>
      <w:r>
        <w:rPr>
          <w:rFonts w:ascii="&amp;quot" w:hAnsi="&amp;quot"/>
          <w:i/>
          <w:iCs/>
          <w:color w:val="000000"/>
          <w:sz w:val="20"/>
          <w:szCs w:val="20"/>
        </w:rPr>
        <w:t>Exercise and Depression</w:t>
      </w:r>
      <w:r>
        <w:rPr>
          <w:rFonts w:ascii="Arial" w:hAnsi="Arial" w:cs="Arial"/>
          <w:color w:val="000000"/>
          <w:sz w:val="20"/>
          <w:szCs w:val="20"/>
        </w:rPr>
        <w:t>. [online] Available at: https://www.webmd.com/depression/guide/exercise-depression#1 [Accessed 6 Jan. 2020].</w:t>
      </w:r>
    </w:p>
    <w:p w:rsidR="00FC3BFB" w:rsidRDefault="00FC3BFB"/>
    <w:p w:rsidR="00FC3BFB" w:rsidRDefault="00FC3BFB">
      <w:r>
        <w:br w:type="page"/>
      </w:r>
    </w:p>
    <w:p w:rsidR="00A92CC3" w:rsidRDefault="00A92CC3" w:rsidP="00A92CC3">
      <w:pPr>
        <w:pStyle w:val="NoSpacing"/>
        <w:jc w:val="center"/>
        <w:rPr>
          <w:b/>
          <w:u w:val="single"/>
        </w:rPr>
      </w:pPr>
      <w:r>
        <w:rPr>
          <w:b/>
          <w:u w:val="single"/>
        </w:rPr>
        <w:t>Task 2</w:t>
      </w:r>
    </w:p>
    <w:p w:rsidR="00A92CC3" w:rsidRDefault="00A92CC3" w:rsidP="00A92CC3">
      <w:pPr>
        <w:pStyle w:val="NoSpacing"/>
        <w:jc w:val="center"/>
        <w:rPr>
          <w:b/>
          <w:u w:val="single"/>
        </w:rPr>
      </w:pPr>
    </w:p>
    <w:p w:rsidR="00A92CC3" w:rsidRDefault="00A92CC3" w:rsidP="00A92CC3">
      <w:pPr>
        <w:pStyle w:val="NoSpacing"/>
      </w:pPr>
      <w:r>
        <w:t xml:space="preserve">A distress call had been reported and passed via the police issued handsets stating a female was heard screaming in the background and a young child was whispering that his father was destroying the house and assaulted his mother. The child stated he and his brother was hiding at the address and were scared. The father had damaged several items within the household and had assaulted his partner which led to him subsequently being arrested. Numerous photographs were taken at the scene in order to preserve evidence.  The call required an immediate response due to the high level of risk to the female and potential harm to the young children. </w:t>
      </w:r>
    </w:p>
    <w:p w:rsidR="00A92CC3" w:rsidRDefault="00A92CC3" w:rsidP="00A92CC3">
      <w:pPr>
        <w:pStyle w:val="NoSpacing"/>
      </w:pPr>
    </w:p>
    <w:p w:rsidR="00A92CC3" w:rsidRDefault="00A92CC3" w:rsidP="00A92CC3">
      <w:pPr>
        <w:pStyle w:val="NoSpacing"/>
        <w:rPr>
          <w:rFonts w:ascii="Calibri" w:hAnsi="Calibri"/>
        </w:rPr>
      </w:pPr>
      <w:r>
        <w:rPr>
          <w:rFonts w:ascii="Calibri" w:hAnsi="Calibri"/>
        </w:rPr>
        <w:t>The ability to communicate effectively was paramount within this incident. Good communication skills ensured that accurate and sufficient evidence was collected at the scene, and the incident was not escalated any further.</w:t>
      </w:r>
    </w:p>
    <w:p w:rsidR="00A92CC3" w:rsidRDefault="00A92CC3" w:rsidP="00A92CC3">
      <w:pPr>
        <w:pStyle w:val="NoSpacing"/>
        <w:rPr>
          <w:rFonts w:ascii="Calibri" w:hAnsi="Calibri"/>
        </w:rPr>
      </w:pPr>
      <w:r>
        <w:rPr>
          <w:rFonts w:ascii="Calibri" w:hAnsi="Calibri"/>
        </w:rPr>
        <w:t xml:space="preserve">When attending the scene, it was evident that the female and young children were fearful and apprehensive over the incident that had occurred. The female and children showed noticeable body language that they were in shock and fearful of the male. After assessing the scene and individuals the mother and her sons were separated from the father for safeguarding purposes. </w:t>
      </w:r>
    </w:p>
    <w:p w:rsidR="00A92CC3" w:rsidRDefault="00A92CC3" w:rsidP="00A92CC3">
      <w:pPr>
        <w:pStyle w:val="NoSpacing"/>
        <w:rPr>
          <w:rFonts w:ascii="Calibri" w:hAnsi="Calibri"/>
        </w:rPr>
      </w:pPr>
    </w:p>
    <w:p w:rsidR="00A92CC3" w:rsidRDefault="00A92CC3" w:rsidP="00A92CC3">
      <w:pPr>
        <w:pStyle w:val="NoSpacing"/>
        <w:rPr>
          <w:rFonts w:ascii="Calibri" w:hAnsi="Calibri"/>
        </w:rPr>
      </w:pPr>
      <w:r>
        <w:rPr>
          <w:rFonts w:ascii="Calibri" w:hAnsi="Calibri"/>
        </w:rPr>
        <w:t xml:space="preserve">Active listening played a vital part when attempting to understand what level of threat and violence was aimed towards the female and children. It was essential that the female’s oral communication and body language expressed were completely understood. The female and children expressed shock, tearfulness and apprehension when asked to explain what had happened, which made it difficult to gain clear understanding of the incident and the exact degree of the violence involved. Through continuously showing the victim that their explanations were being understood through nodding, verbal responses and open questions, the victim was able to recognise that they were being acknowledged and was able to provide a full and accurate account of the incident. </w:t>
      </w:r>
    </w:p>
    <w:p w:rsidR="00A92CC3" w:rsidRDefault="00A92CC3" w:rsidP="00A92CC3">
      <w:pPr>
        <w:pStyle w:val="NoSpacing"/>
        <w:rPr>
          <w:rFonts w:ascii="Calibri" w:hAnsi="Calibri"/>
        </w:rPr>
      </w:pPr>
      <w:r>
        <w:rPr>
          <w:rFonts w:ascii="Calibri" w:hAnsi="Calibri"/>
        </w:rPr>
        <w:t xml:space="preserve">Another method of communication frequently used was the use of open and closed questions. Initiating open questions with the victim allowed a full account of the incident to be explained. Open questions are aimed to engage a person in providing a full and detailed reponse using their experience and understanding of the situation </w:t>
      </w:r>
      <w:r>
        <w:rPr>
          <w:rFonts w:ascii="Calibri" w:hAnsi="Calibri" w:cs="Arial"/>
          <w:color w:val="000000"/>
        </w:rPr>
        <w:t>(Mediacollege.com, n.d.)</w:t>
      </w:r>
      <w:r>
        <w:rPr>
          <w:rFonts w:ascii="Calibri" w:hAnsi="Calibri"/>
        </w:rPr>
        <w:t xml:space="preserve">. Closed questions would therefore be used to gain direct answers that do not require a vast amount of explanation. Closed questions mainly lead a person into responding with a yes or no. Closed questions sometimes allow for short direct information to be provided, without containing the information that would be established within an open question </w:t>
      </w:r>
      <w:r>
        <w:rPr>
          <w:rFonts w:ascii="Calibri" w:hAnsi="Calibri" w:cs="Arial"/>
          <w:color w:val="000000"/>
        </w:rPr>
        <w:t>(YourDictionary, n.d.)</w:t>
      </w:r>
      <w:r>
        <w:rPr>
          <w:rFonts w:ascii="Calibri" w:hAnsi="Calibri"/>
        </w:rPr>
        <w:t xml:space="preserve">. </w:t>
      </w:r>
    </w:p>
    <w:p w:rsidR="00A92CC3" w:rsidRDefault="00A92CC3" w:rsidP="00A92CC3">
      <w:pPr>
        <w:pStyle w:val="NoSpacing"/>
        <w:rPr>
          <w:rFonts w:ascii="Calibri" w:hAnsi="Calibri"/>
        </w:rPr>
      </w:pPr>
      <w:r>
        <w:rPr>
          <w:rFonts w:ascii="Calibri" w:hAnsi="Calibri"/>
        </w:rPr>
        <w:t xml:space="preserve">Another form of communication that was identified was non-verbal. It is said that non-verbal communication provides a more reliable source of information surrounding someone’s true emotions rather than their spoken emotions </w:t>
      </w:r>
      <w:r>
        <w:rPr>
          <w:rFonts w:ascii="Calibri" w:hAnsi="Calibri" w:cs="Arial"/>
          <w:color w:val="000000"/>
        </w:rPr>
        <w:t>(Bull, 2016, p.9)</w:t>
      </w:r>
      <w:r>
        <w:rPr>
          <w:rFonts w:ascii="Calibri" w:hAnsi="Calibri"/>
        </w:rPr>
        <w:t>. It was evident that the victims were in a state of shock, apprehension and tearful after the incident, yet with the use of effective communication, it was possible to engage with all individuals involved, overcoming the barriers which were present.</w:t>
      </w:r>
    </w:p>
    <w:p w:rsidR="00A92CC3" w:rsidRDefault="00A92CC3" w:rsidP="00A92CC3">
      <w:pPr>
        <w:pStyle w:val="NoSpacing"/>
      </w:pPr>
    </w:p>
    <w:p w:rsidR="00A92CC3" w:rsidRDefault="00A92CC3" w:rsidP="00A92CC3">
      <w:pPr>
        <w:pStyle w:val="NoSpacing"/>
      </w:pPr>
      <w:r>
        <w:t xml:space="preserve">This incident was prioritised as an immediate response due to several impact factors. All reports are assessed utilising THRIVE. This approach grades the response time to each incident reported based upon their impact factors. The impact factors considered are threat, harm, risk, investigative opportunities, vulnerability of a victim and engagement level. Thrive allows each incident to be individually assessed to determine the appropriate response required. Thrive will decide how each report is dealt with based upon its severity level. This allows resources to be utilised in an appropriate manner to provide an adapted service that meets the needs of everyone allowing the correct resources to be utilised </w:t>
      </w:r>
      <w:r>
        <w:rPr>
          <w:rFonts w:ascii="Arial" w:hAnsi="Arial" w:cs="Arial"/>
          <w:color w:val="000000"/>
          <w:sz w:val="20"/>
          <w:szCs w:val="20"/>
        </w:rPr>
        <w:t>(North Yorkshire Police, n.d.)</w:t>
      </w:r>
      <w:r>
        <w:t xml:space="preserve">. Safeguarding the victims was the main priority when attending this incident. The responsibility of a police officer is to prevent and detect crime, work alongside communities and stakeholders in order to enforce law and order, minimise the fear of criminal activity and to improve the quality of civilian lives </w:t>
      </w:r>
      <w:r>
        <w:rPr>
          <w:rFonts w:ascii="Arial" w:hAnsi="Arial" w:cs="Arial"/>
          <w:color w:val="000000"/>
          <w:sz w:val="20"/>
          <w:szCs w:val="20"/>
        </w:rPr>
        <w:t>(College of Policing, 2019)</w:t>
      </w:r>
      <w:r>
        <w:t>. One of the core principles of a police constable is to preserve life and limb, therefore ensuring the victims were safe was the highest priority.</w:t>
      </w:r>
      <w:r w:rsidRPr="006C361C">
        <w:t xml:space="preserve"> </w:t>
      </w:r>
      <w:r>
        <w:t xml:space="preserve">It is said that any person can become vulnerable depending on environmental factors along with individual/personal factors. These can cause any person to suffer or be at risk of suffering harm </w:t>
      </w:r>
      <w:r>
        <w:rPr>
          <w:rFonts w:ascii="Arial" w:hAnsi="Arial" w:cs="Arial"/>
          <w:color w:val="000000"/>
          <w:sz w:val="20"/>
          <w:szCs w:val="20"/>
        </w:rPr>
        <w:t>(College.police.uk, 2017)</w:t>
      </w:r>
      <w:r>
        <w:t xml:space="preserve">. The victims were classed as vulnerable due to many factors. The main contributing factor was the age of the children. Their age prevented them from being able to protect themselves or others from harm or exploitation therefore they immediately classed as a vulnerable. The female was also unable to protect herself or others from harm or exploitation and was also fearful of further violence. With her personal and situational factors potentially placing her at risk of further harm, she was also classified as vulnerable and required immediate assistance. In order to safeguard the victims the male needed to be removed from the situation due to his presence contributing to a major environmental factor. Managing and removing one of these factors prevents further harm or risk of harm therefore considerations to arrest was taken into account. In order to arrest circumstances need to be met. The decision made by an individual must be justified and legal, the arrest must comply with regulations and law </w:t>
      </w:r>
      <w:r>
        <w:rPr>
          <w:rFonts w:ascii="Arial" w:hAnsi="Arial" w:cs="Arial"/>
          <w:color w:val="000000"/>
          <w:sz w:val="20"/>
          <w:szCs w:val="20"/>
        </w:rPr>
        <w:t>(Library.college.police.uk, 2012)</w:t>
      </w:r>
      <w:r>
        <w:t xml:space="preserve">. As the arrest was justifiable and taking into account the vulnerability of the victims, the male was subsequently arrested, placed in handcuffs and escorted to the police vehicle. This immediately safeguarded the victims as the male was removed from the vicinity, reducing the environment threat </w:t>
      </w:r>
      <w:r>
        <w:rPr>
          <w:rFonts w:ascii="Arial" w:hAnsi="Arial" w:cs="Arial"/>
          <w:color w:val="000000"/>
          <w:sz w:val="20"/>
          <w:szCs w:val="20"/>
        </w:rPr>
        <w:t>(College.police.uk, 2017)</w:t>
      </w:r>
      <w:r>
        <w:t xml:space="preserve">. Another safeguarding measure utilised was submitting a public protection notification form. A public protection notification form is a document created in order to share information with third party agencies based upon an officers safeguarding concerns. These concerns are assessed and actioned informing third party agencies in order for them to support vulnerable persons </w:t>
      </w:r>
      <w:r>
        <w:rPr>
          <w:rFonts w:ascii="Arial" w:hAnsi="Arial" w:cs="Arial"/>
          <w:color w:val="000000"/>
          <w:sz w:val="20"/>
          <w:szCs w:val="20"/>
        </w:rPr>
        <w:t>(Child Protection and Safeguarding Children and Young People, 2016).</w:t>
      </w:r>
    </w:p>
    <w:p w:rsidR="00A92CC3" w:rsidRDefault="00A92CC3" w:rsidP="00A92CC3">
      <w:pPr>
        <w:pStyle w:val="NoSpacing"/>
      </w:pPr>
    </w:p>
    <w:p w:rsidR="00A92CC3" w:rsidRDefault="00A92CC3" w:rsidP="00A92CC3">
      <w:pPr>
        <w:pStyle w:val="NoSpacing"/>
        <w:rPr>
          <w:rFonts w:cstheme="minorHAnsi"/>
          <w:color w:val="000000"/>
          <w:szCs w:val="20"/>
        </w:rPr>
      </w:pPr>
      <w:r>
        <w:t xml:space="preserve">Upon reflection of this incident the following guidelines were adhered to. The Police and Criminal Evidence act also known as PACE is at the forefront when dealing with any policing incident. PACE sets out guidelines that must be met in order to provide a service that balances police power with the general rights and freedom of the general public </w:t>
      </w:r>
      <w:r>
        <w:rPr>
          <w:rFonts w:ascii="Arial" w:hAnsi="Arial" w:cs="Arial"/>
          <w:color w:val="000000"/>
          <w:sz w:val="20"/>
          <w:szCs w:val="20"/>
        </w:rPr>
        <w:t xml:space="preserve">(GOV.UK, 2019). The </w:t>
      </w:r>
      <w:r w:rsidRPr="0078630C">
        <w:rPr>
          <w:rFonts w:cstheme="minorHAnsi"/>
          <w:color w:val="000000"/>
          <w:szCs w:val="20"/>
        </w:rPr>
        <w:t>P</w:t>
      </w:r>
      <w:r>
        <w:rPr>
          <w:rFonts w:cstheme="minorHAnsi"/>
          <w:color w:val="000000"/>
          <w:szCs w:val="20"/>
        </w:rPr>
        <w:t xml:space="preserve">olice </w:t>
      </w:r>
      <w:r w:rsidRPr="0078630C">
        <w:rPr>
          <w:rFonts w:cstheme="minorHAnsi"/>
          <w:color w:val="000000"/>
          <w:szCs w:val="20"/>
        </w:rPr>
        <w:t>and</w:t>
      </w:r>
      <w:r>
        <w:rPr>
          <w:rFonts w:cstheme="minorHAnsi"/>
          <w:color w:val="000000"/>
          <w:szCs w:val="20"/>
        </w:rPr>
        <w:t xml:space="preserve"> </w:t>
      </w:r>
      <w:r w:rsidRPr="0078630C">
        <w:rPr>
          <w:rFonts w:cstheme="minorHAnsi"/>
          <w:color w:val="000000"/>
          <w:szCs w:val="20"/>
        </w:rPr>
        <w:t>C</w:t>
      </w:r>
      <w:r>
        <w:rPr>
          <w:rFonts w:cstheme="minorHAnsi"/>
          <w:color w:val="000000"/>
          <w:szCs w:val="20"/>
        </w:rPr>
        <w:t xml:space="preserve">riminal </w:t>
      </w:r>
      <w:r w:rsidRPr="0078630C">
        <w:rPr>
          <w:rFonts w:cstheme="minorHAnsi"/>
          <w:color w:val="000000"/>
          <w:szCs w:val="20"/>
        </w:rPr>
        <w:t>E</w:t>
      </w:r>
      <w:r>
        <w:rPr>
          <w:rFonts w:cstheme="minorHAnsi"/>
          <w:color w:val="000000"/>
          <w:szCs w:val="20"/>
        </w:rPr>
        <w:t>vidence Act</w:t>
      </w:r>
      <w:r w:rsidRPr="0078630C">
        <w:rPr>
          <w:rFonts w:cstheme="minorHAnsi"/>
          <w:color w:val="000000"/>
          <w:szCs w:val="20"/>
        </w:rPr>
        <w:t xml:space="preserve"> was introduced in 1984 due to growing unc</w:t>
      </w:r>
      <w:r>
        <w:rPr>
          <w:rFonts w:cstheme="minorHAnsi"/>
          <w:color w:val="000000"/>
          <w:szCs w:val="20"/>
        </w:rPr>
        <w:t>ertaint</w:t>
      </w:r>
      <w:r w:rsidRPr="0078630C">
        <w:rPr>
          <w:rFonts w:cstheme="minorHAnsi"/>
          <w:color w:val="000000"/>
          <w:szCs w:val="20"/>
        </w:rPr>
        <w:t>y and distrust in the p</w:t>
      </w:r>
      <w:r>
        <w:rPr>
          <w:rFonts w:cstheme="minorHAnsi"/>
          <w:color w:val="000000"/>
          <w:szCs w:val="20"/>
        </w:rPr>
        <w:t xml:space="preserve">olice and justice system. The general public’s perception of the police and justice system was that it was corrupt and incompetent therefore changes were required in order to build back the public’s confidence, thus brought the introduction of PACE 1984 </w:t>
      </w:r>
      <w:r>
        <w:rPr>
          <w:rFonts w:ascii="Arial" w:hAnsi="Arial" w:cs="Arial"/>
          <w:color w:val="000000"/>
          <w:sz w:val="20"/>
          <w:szCs w:val="20"/>
        </w:rPr>
        <w:t>(Lawteacher.net, 2018).</w:t>
      </w:r>
      <w:r>
        <w:rPr>
          <w:rFonts w:cstheme="minorHAnsi"/>
          <w:color w:val="000000"/>
          <w:szCs w:val="20"/>
        </w:rPr>
        <w:t xml:space="preserve"> As well as PACE, other guidelines such as the code of ethics sets the standards of behaviour expected by everyone working within the police force. The code of ethics is produced by the College of Policing as a written guide of principles to define how every police officer should behave. The introduction of the code of ethics was to establish and build the public’s confidence within the police and to reduce unprofessional behaviour of police staff. It also ensures that all police staff behave and act the same therefore lessening the chance of public disapproval </w:t>
      </w:r>
      <w:r>
        <w:rPr>
          <w:rFonts w:ascii="Arial" w:hAnsi="Arial" w:cs="Arial"/>
          <w:color w:val="000000"/>
          <w:sz w:val="20"/>
          <w:szCs w:val="20"/>
        </w:rPr>
        <w:t>(College.police.uk, n.d.)</w:t>
      </w:r>
      <w:r>
        <w:rPr>
          <w:rFonts w:cstheme="minorHAnsi"/>
          <w:color w:val="000000"/>
          <w:szCs w:val="20"/>
        </w:rPr>
        <w:t>.</w:t>
      </w:r>
      <w:r>
        <w:rPr>
          <w:rFonts w:ascii="Arial" w:hAnsi="Arial" w:cs="Arial"/>
          <w:color w:val="000000"/>
          <w:sz w:val="20"/>
          <w:szCs w:val="20"/>
        </w:rPr>
        <w:t xml:space="preserve"> </w:t>
      </w:r>
      <w:r w:rsidRPr="00F43BE0">
        <w:rPr>
          <w:rFonts w:cstheme="minorHAnsi"/>
          <w:color w:val="000000"/>
          <w:szCs w:val="20"/>
        </w:rPr>
        <w:t>The Human Rights Act is also at the foref</w:t>
      </w:r>
      <w:r>
        <w:rPr>
          <w:rFonts w:cstheme="minorHAnsi"/>
          <w:color w:val="000000"/>
          <w:szCs w:val="20"/>
        </w:rPr>
        <w:t xml:space="preserve">ront of every policing incident. Every citizen within the United Kingdom is entitled to rights and freedom that have been set out by the European Convention on Human Rights. Each protected right is established within an article and each article protects a different human right. These rights must be respected by public organisations and other organisations that carry out public functions. Failure to do so will result in a breach of human rights and appearing at court where justice can be found </w:t>
      </w:r>
      <w:r>
        <w:rPr>
          <w:rFonts w:ascii="Arial" w:hAnsi="Arial" w:cs="Arial"/>
          <w:color w:val="000000"/>
          <w:sz w:val="20"/>
          <w:szCs w:val="20"/>
        </w:rPr>
        <w:t xml:space="preserve">(Equalityhumanrights.com, 2018). </w:t>
      </w:r>
      <w:r>
        <w:rPr>
          <w:rFonts w:cstheme="minorHAnsi"/>
          <w:color w:val="000000"/>
          <w:szCs w:val="20"/>
        </w:rPr>
        <w:t xml:space="preserve">When dealing and attending incidents it is important that The Equality Act is also met, equality and diversity represent many factors. Equality provides everybody with equal rights, it provides equal opportunities for everyone ensuring that no one is decimated against </w:t>
      </w:r>
      <w:r>
        <w:rPr>
          <w:rFonts w:ascii="Arial" w:hAnsi="Arial" w:cs="Arial"/>
          <w:color w:val="000000"/>
          <w:sz w:val="20"/>
          <w:szCs w:val="20"/>
        </w:rPr>
        <w:t xml:space="preserve">(Unionlearn.org.uk, n.d.). </w:t>
      </w:r>
      <w:r>
        <w:rPr>
          <w:rFonts w:cstheme="minorHAnsi"/>
          <w:color w:val="000000"/>
          <w:szCs w:val="20"/>
        </w:rPr>
        <w:t xml:space="preserve">During this incident the male was believed to be under the influence of drink or drugs. Although this may have been the case, this did not hinder how he was treated and therefore was treated equally until he was arrested. Although after he was arrested, he was still treated with a professional manner. Despite the circumstances police officers must always remain impartial and to not allow the situation to determine the ill-treatment of an arrested person. Diversity has a strong connection with the Human Rights Act by promoting rights and freedom. Diversity is about accepting different cultures and valuing different people. It’s provides the opportunity to bring people together rather than separating them </w:t>
      </w:r>
      <w:r>
        <w:rPr>
          <w:rFonts w:ascii="Arial" w:hAnsi="Arial" w:cs="Arial"/>
          <w:color w:val="000000"/>
          <w:sz w:val="20"/>
          <w:szCs w:val="20"/>
        </w:rPr>
        <w:t xml:space="preserve">(Unionlearn.org.uk, n.d.). </w:t>
      </w:r>
      <w:r w:rsidRPr="000D3B09">
        <w:rPr>
          <w:rFonts w:cstheme="minorHAnsi"/>
          <w:color w:val="000000"/>
          <w:szCs w:val="20"/>
        </w:rPr>
        <w:t xml:space="preserve">Throughout the </w:t>
      </w:r>
      <w:r>
        <w:rPr>
          <w:rFonts w:cstheme="minorHAnsi"/>
          <w:color w:val="000000"/>
          <w:szCs w:val="20"/>
        </w:rPr>
        <w:t>incident many important factors were used simultaneously in order to prevent conflict and to safeguard victims. Communication played a detrimental part of ensuring no further damage or harm was caused, also ensuring that a detailed and accurate account was provided. Communication helped with the initial safeguarding by providing officers with enough information to remove the environmental factors that had the risk of causing harm or suffering. By arresting the male it provided instant safeguarding measure, by submitting a public protection notification this also ensured safeguarding procedures were met. Utilising THRIVE provided a fast and effective response to the incident which proved to prevent any further damage or injuries from occurring. Remaining impartial and following the guidelines set prevented any mistreatment of the suspect and provided a professional service which promoted confidence within the police.</w:t>
      </w:r>
    </w:p>
    <w:p w:rsidR="00A92CC3" w:rsidRDefault="00A92CC3" w:rsidP="00A92CC3">
      <w:pPr>
        <w:pStyle w:val="NoSpacing"/>
        <w:rPr>
          <w:rFonts w:cstheme="minorHAnsi"/>
          <w:color w:val="000000"/>
          <w:szCs w:val="20"/>
        </w:rPr>
      </w:pPr>
    </w:p>
    <w:p w:rsidR="00A92CC3" w:rsidRDefault="00A92CC3" w:rsidP="00A92CC3">
      <w:pPr>
        <w:pStyle w:val="NoSpacing"/>
        <w:rPr>
          <w:rFonts w:cstheme="minorHAnsi"/>
          <w:color w:val="000000"/>
          <w:szCs w:val="20"/>
        </w:rPr>
      </w:pPr>
    </w:p>
    <w:p w:rsidR="00A92CC3" w:rsidRDefault="00A92CC3" w:rsidP="00A92CC3">
      <w:pPr>
        <w:pStyle w:val="NoSpacing"/>
        <w:rPr>
          <w:rFonts w:cstheme="minorHAnsi"/>
          <w:color w:val="000000"/>
          <w:szCs w:val="20"/>
        </w:rPr>
      </w:pPr>
    </w:p>
    <w:p w:rsidR="00A92CC3" w:rsidRPr="00264446" w:rsidRDefault="00A92CC3" w:rsidP="00A92CC3">
      <w:pPr>
        <w:pStyle w:val="NoSpacing"/>
        <w:rPr>
          <w:rFonts w:cstheme="minorHAnsi"/>
          <w:color w:val="000000"/>
          <w:sz w:val="24"/>
          <w:szCs w:val="20"/>
        </w:rPr>
      </w:pPr>
      <w:r>
        <w:rPr>
          <w:rFonts w:cstheme="minorHAnsi"/>
          <w:color w:val="000000"/>
          <w:szCs w:val="20"/>
        </w:rPr>
        <w:t xml:space="preserve">Word count = </w:t>
      </w:r>
      <w:r>
        <w:rPr>
          <w:rFonts w:cstheme="minorHAnsi"/>
          <w:b/>
          <w:color w:val="000000"/>
          <w:szCs w:val="20"/>
          <w:u w:val="single"/>
        </w:rPr>
        <w:t>1602 words</w:t>
      </w:r>
    </w:p>
    <w:p w:rsidR="00A92CC3" w:rsidRPr="000D3B09" w:rsidRDefault="00A92CC3" w:rsidP="00A92CC3">
      <w:pPr>
        <w:pStyle w:val="NoSpacing"/>
        <w:rPr>
          <w:rFonts w:cstheme="minorHAnsi"/>
          <w:color w:val="000000"/>
          <w:szCs w:val="20"/>
        </w:rPr>
      </w:pPr>
      <w:r w:rsidRPr="000D3B09">
        <w:rPr>
          <w:rFonts w:cstheme="minorHAnsi"/>
          <w:color w:val="000000"/>
          <w:szCs w:val="20"/>
        </w:rPr>
        <w:br w:type="page"/>
      </w:r>
    </w:p>
    <w:p w:rsidR="00A92CC3" w:rsidRDefault="00A92CC3" w:rsidP="00A92CC3">
      <w:pPr>
        <w:pStyle w:val="NoSpacing"/>
        <w:rPr>
          <w:rFonts w:ascii="Arial" w:hAnsi="Arial" w:cs="Arial"/>
          <w:b/>
          <w:color w:val="000000"/>
          <w:sz w:val="44"/>
          <w:szCs w:val="20"/>
        </w:rPr>
      </w:pPr>
      <w:r>
        <w:rPr>
          <w:rFonts w:ascii="Arial" w:hAnsi="Arial" w:cs="Arial"/>
          <w:b/>
          <w:color w:val="000000"/>
          <w:sz w:val="44"/>
          <w:szCs w:val="20"/>
        </w:rPr>
        <w:t>Bibliography</w:t>
      </w:r>
    </w:p>
    <w:p w:rsidR="00A92CC3" w:rsidRDefault="00A92CC3" w:rsidP="00A92CC3">
      <w:pPr>
        <w:pStyle w:val="NoSpacing"/>
        <w:rPr>
          <w:rFonts w:ascii="Arial" w:hAnsi="Arial" w:cs="Arial"/>
          <w:color w:val="000000"/>
          <w:sz w:val="20"/>
          <w:szCs w:val="20"/>
        </w:rPr>
      </w:pPr>
    </w:p>
    <w:p w:rsidR="00A92CC3" w:rsidRDefault="00A92CC3" w:rsidP="00A92CC3">
      <w:pPr>
        <w:pStyle w:val="NoSpacing"/>
        <w:rPr>
          <w:rFonts w:ascii="Arial" w:hAnsi="Arial" w:cs="Arial"/>
          <w:color w:val="000000"/>
          <w:sz w:val="20"/>
          <w:szCs w:val="20"/>
        </w:rPr>
      </w:pPr>
      <w:r>
        <w:rPr>
          <w:rFonts w:ascii="Arial" w:hAnsi="Arial" w:cs="Arial"/>
          <w:color w:val="000000"/>
          <w:sz w:val="20"/>
          <w:szCs w:val="20"/>
        </w:rPr>
        <w:t xml:space="preserve">Bull, P. (2016). </w:t>
      </w:r>
      <w:r>
        <w:rPr>
          <w:rFonts w:ascii="&amp;quot" w:hAnsi="&amp;quot"/>
          <w:i/>
          <w:iCs/>
          <w:color w:val="000000"/>
          <w:sz w:val="20"/>
          <w:szCs w:val="20"/>
        </w:rPr>
        <w:t>Posture &amp; Gesture</w:t>
      </w:r>
      <w:r>
        <w:rPr>
          <w:rFonts w:ascii="Arial" w:hAnsi="Arial" w:cs="Arial"/>
          <w:color w:val="000000"/>
          <w:sz w:val="20"/>
          <w:szCs w:val="20"/>
        </w:rPr>
        <w:t>. 1st ed. Oxford: Pergamon Press, p.9.</w:t>
      </w:r>
    </w:p>
    <w:p w:rsidR="00A92CC3" w:rsidRDefault="00A92CC3" w:rsidP="00A92CC3">
      <w:pPr>
        <w:pStyle w:val="NoSpacing"/>
        <w:rPr>
          <w:rFonts w:ascii="Arial" w:hAnsi="Arial" w:cs="Arial"/>
          <w:color w:val="000000"/>
          <w:sz w:val="20"/>
          <w:szCs w:val="20"/>
        </w:rPr>
      </w:pPr>
    </w:p>
    <w:p w:rsidR="00A92CC3" w:rsidRDefault="00A92CC3" w:rsidP="00A92CC3">
      <w:pPr>
        <w:pStyle w:val="NoSpacing"/>
        <w:rPr>
          <w:rFonts w:ascii="Arial" w:hAnsi="Arial" w:cs="Arial"/>
          <w:color w:val="000000"/>
          <w:sz w:val="20"/>
          <w:szCs w:val="20"/>
        </w:rPr>
      </w:pPr>
      <w:r>
        <w:rPr>
          <w:rFonts w:ascii="Arial" w:hAnsi="Arial" w:cs="Arial"/>
          <w:color w:val="000000"/>
          <w:sz w:val="20"/>
          <w:szCs w:val="20"/>
        </w:rPr>
        <w:t>Child Protection and Safeguarding Children and Young People. (2016). 6th ed. [PDF] South Wales Police. Available at: http://swplive.blob.core.windows.net/wordpress-uploads/Procedure87.pdf [Accessed 23 Dec. 2019].</w:t>
      </w:r>
    </w:p>
    <w:p w:rsidR="00A92CC3" w:rsidRDefault="00A92CC3" w:rsidP="00A92CC3">
      <w:pPr>
        <w:pStyle w:val="NoSpacing"/>
        <w:rPr>
          <w:rFonts w:ascii="Arial" w:hAnsi="Arial" w:cs="Arial"/>
          <w:color w:val="000000"/>
          <w:sz w:val="20"/>
          <w:szCs w:val="20"/>
        </w:rPr>
      </w:pPr>
    </w:p>
    <w:p w:rsidR="00A92CC3" w:rsidRDefault="00A92CC3" w:rsidP="00A92CC3">
      <w:pPr>
        <w:pStyle w:val="NoSpacing"/>
        <w:rPr>
          <w:rFonts w:ascii="Arial" w:hAnsi="Arial" w:cs="Arial"/>
          <w:color w:val="000000"/>
          <w:sz w:val="20"/>
          <w:szCs w:val="20"/>
        </w:rPr>
      </w:pPr>
      <w:r>
        <w:rPr>
          <w:rFonts w:ascii="Arial" w:hAnsi="Arial" w:cs="Arial"/>
          <w:color w:val="000000"/>
          <w:sz w:val="20"/>
          <w:szCs w:val="20"/>
        </w:rPr>
        <w:t xml:space="preserve">College.police.uk. (2017). </w:t>
      </w:r>
      <w:r>
        <w:rPr>
          <w:rFonts w:ascii="&amp;quot" w:hAnsi="&amp;quot"/>
          <w:i/>
          <w:iCs/>
          <w:color w:val="000000"/>
          <w:sz w:val="20"/>
          <w:szCs w:val="20"/>
        </w:rPr>
        <w:t>How do you deal with the vulnerable? | College of Policing</w:t>
      </w:r>
      <w:r>
        <w:rPr>
          <w:rFonts w:ascii="Arial" w:hAnsi="Arial" w:cs="Arial"/>
          <w:color w:val="000000"/>
          <w:sz w:val="20"/>
          <w:szCs w:val="20"/>
        </w:rPr>
        <w:t>. [online] Available at: https://www.college.police.uk/News/College-news/Pages/police_transformation_fund.aspx [Accessed 23 Dec. 2019].</w:t>
      </w:r>
    </w:p>
    <w:p w:rsidR="00A92CC3" w:rsidRDefault="00A92CC3" w:rsidP="00A92CC3">
      <w:pPr>
        <w:pStyle w:val="NoSpacing"/>
        <w:rPr>
          <w:rFonts w:ascii="Arial" w:hAnsi="Arial" w:cs="Arial"/>
          <w:color w:val="000000"/>
          <w:sz w:val="20"/>
          <w:szCs w:val="20"/>
        </w:rPr>
      </w:pPr>
    </w:p>
    <w:p w:rsidR="00A92CC3" w:rsidRDefault="00A92CC3" w:rsidP="00A92CC3">
      <w:pPr>
        <w:pStyle w:val="NoSpacing"/>
        <w:rPr>
          <w:rFonts w:ascii="Arial" w:hAnsi="Arial" w:cs="Arial"/>
          <w:color w:val="000000"/>
          <w:sz w:val="20"/>
          <w:szCs w:val="20"/>
        </w:rPr>
      </w:pPr>
      <w:r>
        <w:rPr>
          <w:rFonts w:ascii="Arial" w:hAnsi="Arial" w:cs="Arial"/>
          <w:color w:val="000000"/>
          <w:sz w:val="20"/>
          <w:szCs w:val="20"/>
        </w:rPr>
        <w:t xml:space="preserve">College of Policing. (2019). </w:t>
      </w:r>
      <w:r>
        <w:rPr>
          <w:rFonts w:ascii="&amp;quot" w:hAnsi="&amp;quot"/>
          <w:i/>
          <w:iCs/>
          <w:color w:val="000000"/>
          <w:sz w:val="20"/>
          <w:szCs w:val="20"/>
        </w:rPr>
        <w:t>Police Constable - College of Policing</w:t>
      </w:r>
      <w:r>
        <w:rPr>
          <w:rFonts w:ascii="Arial" w:hAnsi="Arial" w:cs="Arial"/>
          <w:color w:val="000000"/>
          <w:sz w:val="20"/>
          <w:szCs w:val="20"/>
        </w:rPr>
        <w:t>. [online] Available at: https://profdev.college.police.uk/professional-profile/police-constable/ [Accessed 23 Dec. 2019].</w:t>
      </w:r>
    </w:p>
    <w:p w:rsidR="00A92CC3" w:rsidRDefault="00A92CC3" w:rsidP="00A92CC3">
      <w:pPr>
        <w:pStyle w:val="NoSpacing"/>
        <w:rPr>
          <w:rFonts w:ascii="Arial" w:hAnsi="Arial" w:cs="Arial"/>
          <w:color w:val="000000"/>
          <w:sz w:val="20"/>
          <w:szCs w:val="20"/>
        </w:rPr>
      </w:pPr>
    </w:p>
    <w:p w:rsidR="00A92CC3" w:rsidRDefault="00A92CC3" w:rsidP="00A92CC3">
      <w:pPr>
        <w:pStyle w:val="NoSpacing"/>
        <w:rPr>
          <w:rFonts w:ascii="Arial" w:hAnsi="Arial" w:cs="Arial"/>
          <w:color w:val="000000"/>
          <w:sz w:val="20"/>
          <w:szCs w:val="20"/>
        </w:rPr>
      </w:pPr>
      <w:r>
        <w:rPr>
          <w:rFonts w:ascii="Arial" w:hAnsi="Arial" w:cs="Arial"/>
          <w:color w:val="000000"/>
          <w:sz w:val="20"/>
          <w:szCs w:val="20"/>
        </w:rPr>
        <w:t xml:space="preserve">College.police.uk. (n.d.). </w:t>
      </w:r>
      <w:r>
        <w:rPr>
          <w:rFonts w:ascii="&amp;quot" w:hAnsi="&amp;quot"/>
          <w:i/>
          <w:iCs/>
          <w:color w:val="000000"/>
          <w:sz w:val="20"/>
          <w:szCs w:val="20"/>
        </w:rPr>
        <w:t>Code of Ethics | College of Policing</w:t>
      </w:r>
      <w:r>
        <w:rPr>
          <w:rFonts w:ascii="Arial" w:hAnsi="Arial" w:cs="Arial"/>
          <w:color w:val="000000"/>
          <w:sz w:val="20"/>
          <w:szCs w:val="20"/>
        </w:rPr>
        <w:t>. [online] Available at: https://www.college.police.uk/What-we-do/Ethics/Pages/archive_DO_NOT_DELETE/Code-of-Ethics.aspx [Accessed 23 Dec. 2019].</w:t>
      </w:r>
    </w:p>
    <w:p w:rsidR="00A92CC3" w:rsidRDefault="00A92CC3" w:rsidP="00A92CC3">
      <w:pPr>
        <w:pStyle w:val="NoSpacing"/>
        <w:rPr>
          <w:rFonts w:ascii="Arial" w:hAnsi="Arial" w:cs="Arial"/>
          <w:color w:val="000000"/>
          <w:sz w:val="20"/>
          <w:szCs w:val="20"/>
        </w:rPr>
      </w:pPr>
    </w:p>
    <w:p w:rsidR="00A92CC3" w:rsidRDefault="00A92CC3" w:rsidP="00A92CC3">
      <w:pPr>
        <w:pStyle w:val="NoSpacing"/>
        <w:rPr>
          <w:rFonts w:ascii="Arial" w:hAnsi="Arial" w:cs="Arial"/>
          <w:color w:val="000000"/>
          <w:sz w:val="20"/>
          <w:szCs w:val="20"/>
        </w:rPr>
      </w:pPr>
      <w:r>
        <w:rPr>
          <w:rFonts w:ascii="Arial" w:hAnsi="Arial" w:cs="Arial"/>
          <w:color w:val="000000"/>
          <w:sz w:val="20"/>
          <w:szCs w:val="20"/>
        </w:rPr>
        <w:t xml:space="preserve">Equalityhumanrights.com. (2018). </w:t>
      </w:r>
      <w:r>
        <w:rPr>
          <w:rFonts w:ascii="&amp;quot" w:hAnsi="&amp;quot"/>
          <w:i/>
          <w:iCs/>
          <w:color w:val="000000"/>
          <w:sz w:val="20"/>
          <w:szCs w:val="20"/>
        </w:rPr>
        <w:t>The Human Rights Act | Equality and Human Rights Commission</w:t>
      </w:r>
      <w:r>
        <w:rPr>
          <w:rFonts w:ascii="Arial" w:hAnsi="Arial" w:cs="Arial"/>
          <w:color w:val="000000"/>
          <w:sz w:val="20"/>
          <w:szCs w:val="20"/>
        </w:rPr>
        <w:t>. [online] Available at: https://www.equalityhumanrights.com/en/human-rights/human-rights-act [Accessed 23 Dec. 2019].</w:t>
      </w:r>
    </w:p>
    <w:p w:rsidR="00A92CC3" w:rsidRDefault="00A92CC3" w:rsidP="00A92CC3">
      <w:pPr>
        <w:pStyle w:val="NoSpacing"/>
        <w:rPr>
          <w:rFonts w:ascii="Arial" w:hAnsi="Arial" w:cs="Arial"/>
          <w:color w:val="000000"/>
          <w:sz w:val="20"/>
          <w:szCs w:val="20"/>
        </w:rPr>
      </w:pPr>
    </w:p>
    <w:p w:rsidR="00A92CC3" w:rsidRDefault="00A92CC3" w:rsidP="00A92CC3">
      <w:pPr>
        <w:pStyle w:val="NoSpacing"/>
        <w:rPr>
          <w:rFonts w:ascii="Arial" w:hAnsi="Arial" w:cs="Arial"/>
          <w:color w:val="000000"/>
          <w:sz w:val="20"/>
          <w:szCs w:val="20"/>
        </w:rPr>
      </w:pPr>
      <w:r>
        <w:rPr>
          <w:rFonts w:ascii="Arial" w:hAnsi="Arial" w:cs="Arial"/>
          <w:color w:val="000000"/>
          <w:sz w:val="20"/>
          <w:szCs w:val="20"/>
        </w:rPr>
        <w:t xml:space="preserve">GOV.UK. (2019). </w:t>
      </w:r>
      <w:r>
        <w:rPr>
          <w:rFonts w:ascii="&amp;quot" w:hAnsi="&amp;quot"/>
          <w:i/>
          <w:iCs/>
          <w:color w:val="000000"/>
          <w:sz w:val="20"/>
          <w:szCs w:val="20"/>
        </w:rPr>
        <w:t>Police and Criminal Evidence Act 1984 (PACE) codes of practice</w:t>
      </w:r>
      <w:r>
        <w:rPr>
          <w:rFonts w:ascii="Arial" w:hAnsi="Arial" w:cs="Arial"/>
          <w:color w:val="000000"/>
          <w:sz w:val="20"/>
          <w:szCs w:val="20"/>
        </w:rPr>
        <w:t>. [online] Available at: https://www.gov.uk/guidance/police-and-criminal-evidence-act-1984-pace-codes-of-practice [Accessed 23 Dec. 2019].</w:t>
      </w:r>
    </w:p>
    <w:p w:rsidR="00A92CC3" w:rsidRDefault="00A92CC3" w:rsidP="00A92CC3">
      <w:pPr>
        <w:pStyle w:val="NoSpacing"/>
        <w:rPr>
          <w:rFonts w:ascii="Arial" w:hAnsi="Arial" w:cs="Arial"/>
          <w:color w:val="000000"/>
          <w:sz w:val="20"/>
          <w:szCs w:val="20"/>
        </w:rPr>
      </w:pPr>
    </w:p>
    <w:p w:rsidR="00A92CC3" w:rsidRDefault="00A92CC3" w:rsidP="00A92CC3">
      <w:pPr>
        <w:pStyle w:val="NoSpacing"/>
        <w:rPr>
          <w:rFonts w:ascii="Arial" w:hAnsi="Arial" w:cs="Arial"/>
          <w:color w:val="000000"/>
          <w:sz w:val="20"/>
          <w:szCs w:val="20"/>
        </w:rPr>
      </w:pPr>
      <w:r>
        <w:rPr>
          <w:rFonts w:ascii="Arial" w:hAnsi="Arial" w:cs="Arial"/>
          <w:color w:val="000000"/>
          <w:sz w:val="20"/>
          <w:szCs w:val="20"/>
        </w:rPr>
        <w:t xml:space="preserve">Lawteacher.net. (2018). </w:t>
      </w:r>
      <w:r>
        <w:rPr>
          <w:rFonts w:ascii="&amp;quot" w:hAnsi="&amp;quot"/>
          <w:i/>
          <w:iCs/>
          <w:color w:val="000000"/>
          <w:sz w:val="20"/>
          <w:szCs w:val="20"/>
        </w:rPr>
        <w:t>Police and Criminal Evidence Act 1984</w:t>
      </w:r>
      <w:r>
        <w:rPr>
          <w:rFonts w:ascii="Arial" w:hAnsi="Arial" w:cs="Arial"/>
          <w:color w:val="000000"/>
          <w:sz w:val="20"/>
          <w:szCs w:val="20"/>
        </w:rPr>
        <w:t>. [online] Available at: https://www.lawteacher.net/acts/police-and-criminal-evidence-act.php [Accessed 23 Dec. 2019].</w:t>
      </w:r>
    </w:p>
    <w:p w:rsidR="00A92CC3" w:rsidRDefault="00A92CC3" w:rsidP="00A92CC3">
      <w:pPr>
        <w:pStyle w:val="NoSpacing"/>
        <w:rPr>
          <w:rFonts w:ascii="Arial" w:hAnsi="Arial" w:cs="Arial"/>
          <w:color w:val="000000"/>
          <w:sz w:val="20"/>
          <w:szCs w:val="20"/>
        </w:rPr>
      </w:pPr>
    </w:p>
    <w:p w:rsidR="00A92CC3" w:rsidRDefault="00A92CC3" w:rsidP="00A92CC3">
      <w:pPr>
        <w:pStyle w:val="NoSpacing"/>
        <w:rPr>
          <w:rFonts w:ascii="Arial" w:hAnsi="Arial" w:cs="Arial"/>
          <w:color w:val="000000"/>
          <w:sz w:val="20"/>
          <w:szCs w:val="20"/>
        </w:rPr>
      </w:pPr>
      <w:r>
        <w:rPr>
          <w:rFonts w:ascii="Arial" w:hAnsi="Arial" w:cs="Arial"/>
          <w:color w:val="000000"/>
          <w:sz w:val="20"/>
          <w:szCs w:val="20"/>
        </w:rPr>
        <w:t xml:space="preserve">Library.college.police.uk. (2012). </w:t>
      </w:r>
      <w:r>
        <w:rPr>
          <w:rFonts w:ascii="&amp;quot" w:hAnsi="&amp;quot"/>
          <w:i/>
          <w:iCs/>
          <w:color w:val="000000"/>
          <w:sz w:val="20"/>
          <w:szCs w:val="20"/>
        </w:rPr>
        <w:t>Use of Force Reminder</w:t>
      </w:r>
      <w:r>
        <w:rPr>
          <w:rFonts w:ascii="Arial" w:hAnsi="Arial" w:cs="Arial"/>
          <w:color w:val="000000"/>
          <w:sz w:val="20"/>
          <w:szCs w:val="20"/>
        </w:rPr>
        <w:t>. [online] Available at: http://library.college.police.uk/docs/APPref/use-of-force-briefing.pdf [Accessed 23 Dec. 2019].</w:t>
      </w:r>
    </w:p>
    <w:p w:rsidR="00A92CC3" w:rsidRDefault="00A92CC3" w:rsidP="00A92CC3">
      <w:pPr>
        <w:pStyle w:val="NoSpacing"/>
        <w:rPr>
          <w:rFonts w:ascii="Arial" w:hAnsi="Arial" w:cs="Arial"/>
          <w:color w:val="000000"/>
          <w:sz w:val="20"/>
          <w:szCs w:val="20"/>
        </w:rPr>
      </w:pPr>
    </w:p>
    <w:p w:rsidR="00A92CC3" w:rsidRDefault="00A92CC3" w:rsidP="00A92CC3">
      <w:pPr>
        <w:pStyle w:val="NoSpacing"/>
        <w:rPr>
          <w:rFonts w:ascii="Arial" w:hAnsi="Arial" w:cs="Arial"/>
          <w:color w:val="000000"/>
          <w:sz w:val="20"/>
          <w:szCs w:val="20"/>
        </w:rPr>
      </w:pPr>
      <w:r>
        <w:rPr>
          <w:rFonts w:ascii="Arial" w:hAnsi="Arial" w:cs="Arial"/>
          <w:color w:val="000000"/>
          <w:sz w:val="20"/>
          <w:szCs w:val="20"/>
        </w:rPr>
        <w:t xml:space="preserve">Mediacollege.com. (n.d.). </w:t>
      </w:r>
      <w:r>
        <w:rPr>
          <w:rFonts w:ascii="&amp;quot" w:hAnsi="&amp;quot"/>
          <w:i/>
          <w:iCs/>
          <w:color w:val="000000"/>
          <w:sz w:val="20"/>
          <w:szCs w:val="20"/>
        </w:rPr>
        <w:t>Open-Ended Questions</w:t>
      </w:r>
      <w:r>
        <w:rPr>
          <w:rFonts w:ascii="Arial" w:hAnsi="Arial" w:cs="Arial"/>
          <w:color w:val="000000"/>
          <w:sz w:val="20"/>
          <w:szCs w:val="20"/>
        </w:rPr>
        <w:t>. [online] Available at: https://www.mediacollege.com/journalism/interviews/open-ended-questions.html [Accessed 22 Dec. 2019].</w:t>
      </w:r>
    </w:p>
    <w:p w:rsidR="00A92CC3" w:rsidRDefault="00A92CC3" w:rsidP="00A92CC3">
      <w:pPr>
        <w:pStyle w:val="NoSpacing"/>
        <w:rPr>
          <w:rFonts w:ascii="Arial" w:hAnsi="Arial" w:cs="Arial"/>
          <w:color w:val="000000"/>
          <w:sz w:val="20"/>
          <w:szCs w:val="20"/>
        </w:rPr>
      </w:pPr>
    </w:p>
    <w:p w:rsidR="00A92CC3" w:rsidRDefault="00A92CC3" w:rsidP="00A92CC3">
      <w:pPr>
        <w:pStyle w:val="NoSpacing"/>
        <w:rPr>
          <w:rFonts w:ascii="Arial" w:hAnsi="Arial" w:cs="Arial"/>
          <w:color w:val="000000"/>
          <w:sz w:val="20"/>
          <w:szCs w:val="20"/>
        </w:rPr>
      </w:pPr>
      <w:r>
        <w:rPr>
          <w:rFonts w:ascii="Arial" w:hAnsi="Arial" w:cs="Arial"/>
          <w:color w:val="000000"/>
          <w:sz w:val="20"/>
          <w:szCs w:val="20"/>
        </w:rPr>
        <w:t xml:space="preserve">North Yorkshire Police. (n.d.). </w:t>
      </w:r>
      <w:r>
        <w:rPr>
          <w:rFonts w:ascii="&amp;quot" w:hAnsi="&amp;quot"/>
          <w:i/>
          <w:iCs/>
          <w:color w:val="000000"/>
          <w:sz w:val="20"/>
          <w:szCs w:val="20"/>
        </w:rPr>
        <w:t>How we handle incidents - North Yorkshire Police</w:t>
      </w:r>
      <w:r>
        <w:rPr>
          <w:rFonts w:ascii="Arial" w:hAnsi="Arial" w:cs="Arial"/>
          <w:color w:val="000000"/>
          <w:sz w:val="20"/>
          <w:szCs w:val="20"/>
        </w:rPr>
        <w:t>. [online] Available at: https://northyorkshire.police.uk/what-we-do/dealing-with-crime/deal-crime-report/ [Accessed 23 Dec. 2019].</w:t>
      </w:r>
    </w:p>
    <w:p w:rsidR="00A92CC3" w:rsidRDefault="00A92CC3" w:rsidP="00A92CC3">
      <w:pPr>
        <w:pStyle w:val="NoSpacing"/>
        <w:rPr>
          <w:rFonts w:ascii="Arial" w:hAnsi="Arial" w:cs="Arial"/>
          <w:color w:val="000000"/>
          <w:sz w:val="20"/>
          <w:szCs w:val="20"/>
        </w:rPr>
      </w:pPr>
    </w:p>
    <w:p w:rsidR="00A92CC3" w:rsidRDefault="00A92CC3" w:rsidP="00A92CC3">
      <w:pPr>
        <w:pStyle w:val="NoSpacing"/>
        <w:rPr>
          <w:rFonts w:ascii="Arial" w:hAnsi="Arial" w:cs="Arial"/>
          <w:color w:val="000000"/>
          <w:sz w:val="20"/>
          <w:szCs w:val="20"/>
        </w:rPr>
      </w:pPr>
      <w:r>
        <w:rPr>
          <w:rFonts w:ascii="Arial" w:hAnsi="Arial" w:cs="Arial"/>
          <w:color w:val="000000"/>
          <w:sz w:val="20"/>
          <w:szCs w:val="20"/>
        </w:rPr>
        <w:t xml:space="preserve">Unionlearn.org.uk. (n.d.). </w:t>
      </w:r>
      <w:r>
        <w:rPr>
          <w:rFonts w:ascii="&amp;quot" w:hAnsi="&amp;quot"/>
          <w:i/>
          <w:iCs/>
          <w:color w:val="000000"/>
          <w:sz w:val="20"/>
          <w:szCs w:val="20"/>
        </w:rPr>
        <w:t>Equality and diversity – what’s the difference? | Unionlearn</w:t>
      </w:r>
      <w:r>
        <w:rPr>
          <w:rFonts w:ascii="Arial" w:hAnsi="Arial" w:cs="Arial"/>
          <w:color w:val="000000"/>
          <w:sz w:val="20"/>
          <w:szCs w:val="20"/>
        </w:rPr>
        <w:t>. [online] Available at: https://www.unionlearn.org.uk/equality-and-diversity-whats-difference [Accessed 23 Dec. 2019].</w:t>
      </w:r>
    </w:p>
    <w:p w:rsidR="00A92CC3" w:rsidRDefault="00A92CC3" w:rsidP="00A92CC3">
      <w:pPr>
        <w:pStyle w:val="NoSpacing"/>
        <w:rPr>
          <w:rFonts w:ascii="Arial" w:hAnsi="Arial" w:cs="Arial"/>
          <w:color w:val="000000"/>
          <w:sz w:val="20"/>
          <w:szCs w:val="20"/>
        </w:rPr>
      </w:pPr>
    </w:p>
    <w:p w:rsidR="00A92CC3" w:rsidRDefault="00A92CC3" w:rsidP="00A92CC3">
      <w:pPr>
        <w:pStyle w:val="NoSpacing"/>
      </w:pPr>
      <w:r>
        <w:rPr>
          <w:rFonts w:ascii="Arial" w:hAnsi="Arial" w:cs="Arial"/>
          <w:color w:val="000000"/>
          <w:sz w:val="20"/>
          <w:szCs w:val="20"/>
        </w:rPr>
        <w:t xml:space="preserve">YourDictionary. (n.d.). </w:t>
      </w:r>
      <w:r>
        <w:rPr>
          <w:rFonts w:ascii="&amp;quot" w:hAnsi="&amp;quot"/>
          <w:i/>
          <w:iCs/>
          <w:color w:val="000000"/>
          <w:sz w:val="20"/>
          <w:szCs w:val="20"/>
        </w:rPr>
        <w:t>Examples of Open-Ended and Closed-Ended Questions</w:t>
      </w:r>
      <w:r>
        <w:rPr>
          <w:rFonts w:ascii="Arial" w:hAnsi="Arial" w:cs="Arial"/>
          <w:color w:val="000000"/>
          <w:sz w:val="20"/>
          <w:szCs w:val="20"/>
        </w:rPr>
        <w:t>. [online] Available at: https://examples.yourdictionary.com/examples-of-open-ended-and-closed-ended-questions.html [Accessed 22 Dec. 2019].</w:t>
      </w:r>
    </w:p>
    <w:p w:rsidR="00A92CC3" w:rsidRDefault="00A92CC3" w:rsidP="00A92CC3">
      <w:pPr>
        <w:pStyle w:val="NoSpacing"/>
      </w:pPr>
    </w:p>
    <w:p w:rsidR="00A92CC3" w:rsidRDefault="00A92CC3" w:rsidP="00A92CC3">
      <w:pPr>
        <w:pStyle w:val="NoSpacing"/>
      </w:pPr>
    </w:p>
    <w:p w:rsidR="00FC3BFB" w:rsidRDefault="00FC3BFB" w:rsidP="00FC3BFB">
      <w:pPr>
        <w:pStyle w:val="NoSpacing"/>
      </w:pPr>
    </w:p>
    <w:p w:rsidR="00FC3BFB" w:rsidRDefault="00FC3BFB"/>
    <w:p w:rsidR="00FC3BFB" w:rsidRDefault="00FC3BFB">
      <w:r>
        <w:br w:type="page"/>
      </w:r>
    </w:p>
    <w:p w:rsidR="00FC3BFB" w:rsidRPr="00273158" w:rsidRDefault="00FC3BFB" w:rsidP="00FC3BFB">
      <w:pPr>
        <w:pStyle w:val="NoSpacing"/>
        <w:jc w:val="center"/>
        <w:rPr>
          <w:b/>
          <w:u w:val="single"/>
        </w:rPr>
      </w:pPr>
      <w:r w:rsidRPr="00273158">
        <w:rPr>
          <w:b/>
          <w:u w:val="single"/>
        </w:rPr>
        <w:t>Task 3</w:t>
      </w:r>
    </w:p>
    <w:p w:rsidR="00FC3BFB" w:rsidRDefault="00FC3BFB" w:rsidP="00FC3BFB">
      <w:pPr>
        <w:pStyle w:val="NoSpacing"/>
        <w:rPr>
          <w:b/>
        </w:rPr>
      </w:pPr>
    </w:p>
    <w:p w:rsidR="00FC3BFB" w:rsidRDefault="00FC3BFB" w:rsidP="00FC3BFB">
      <w:pPr>
        <w:pStyle w:val="NoSpacing"/>
      </w:pPr>
      <w:r>
        <w:t>A male had been arrested in order to be interviewed for the crimes he had committed. The interview subsequently lead to a Crown Prosecution Service (CPS) charging. In order for the CPS to make a charging decision, the suspect had to be questioned and provide a full account. In order to get an account of the incident, a specific set questions were put to the suspect.</w:t>
      </w:r>
    </w:p>
    <w:p w:rsidR="00FC3BFB" w:rsidRDefault="00FC3BFB" w:rsidP="00FC3BFB">
      <w:pPr>
        <w:pStyle w:val="NoSpacing"/>
      </w:pPr>
    </w:p>
    <w:p w:rsidR="00FC3BFB" w:rsidRDefault="00FC3BFB" w:rsidP="00FC3BFB">
      <w:pPr>
        <w:pStyle w:val="NoSpacing"/>
      </w:pPr>
      <w:r>
        <w:t>The suspect was under arrest for the production of cannabis and escaping police custody. The suspect had been growing and maintaining cannabis in his parent’s property. Officers attended the property and located the cannabis. When enquiries were made at the address the male was seen to open the bedroom window in order to see who was at the door. Officers had spotted the male, who had quickly closed the window once realised he had been seen. The suspect’s father then opened the door and stated the suspect was not in. This lead to officers entering the property to locate the suspect. The cannabis was located but the parents denied any knowledge of the plants being there. The suspect was not located until he had fallen through the ceiling. He had been hiding in the attic and had fallen through in an attempt to evade the police. Officer immediately informed the suspect he was under arrest and the necessity was given. The welfare of the suspect was checked and he stated he couldn’t feel his legs and could not move. Ambulance were called and advised officers not to touch or move the suspect as it could worsen his condition. This prevented officers from placing handcuffs on the suspect and therefore he was not touched or moved. As officers began to explain the situation to the parents, the suspect got up and ran out of the property escaping lawful custody. A search was conducted of the area but the suspect was not found. The male was later found at his parents address and was subsequently arrested. This lead to the male being interviewed in relation to the crimes he had committed.</w:t>
      </w:r>
    </w:p>
    <w:p w:rsidR="00FC3BFB" w:rsidRDefault="00FC3BFB" w:rsidP="00FC3BFB">
      <w:pPr>
        <w:pStyle w:val="NoSpacing"/>
      </w:pPr>
    </w:p>
    <w:p w:rsidR="00FC3BFB" w:rsidRDefault="00FC3BFB" w:rsidP="00FC3BFB">
      <w:pPr>
        <w:pStyle w:val="NoSpacing"/>
      </w:pPr>
      <w:r>
        <w:t xml:space="preserve">In order to have a successful interview planning is the key element along with the evidence gathered. According to Benjamin Franklin in a quotation he made, failing to prepare, is preparing to fail </w:t>
      </w:r>
      <w:r>
        <w:rPr>
          <w:rFonts w:ascii="Arial" w:hAnsi="Arial" w:cs="Arial"/>
          <w:color w:val="000000"/>
          <w:sz w:val="20"/>
          <w:szCs w:val="20"/>
        </w:rPr>
        <w:t>(Bradley, 2010, p.75)</w:t>
      </w:r>
      <w:r>
        <w:t>. Reflecting on the quotation, it states that the key element is preparation. Without adequate preparation for the task being carried out, failure will be the most likely end result. By preparing for all possible outcomes it provides a better opportunity to gather as much evidence as possible.</w:t>
      </w:r>
    </w:p>
    <w:p w:rsidR="00FC3BFB" w:rsidRDefault="00FC3BFB" w:rsidP="00FC3BFB">
      <w:pPr>
        <w:pStyle w:val="NoSpacing"/>
        <w:rPr>
          <w:rFonts w:cstheme="minorHAnsi"/>
          <w:color w:val="000000"/>
          <w:szCs w:val="20"/>
        </w:rPr>
      </w:pPr>
      <w:r>
        <w:t xml:space="preserve">When preparing for an interview it is best practice to have any questions you may wish to ask readily available. The main form of questions styles used are open and probing questions. The use of open-ended question enticed individuals to speak freely, elaborate and provide more evidence. With the use of good follow up questioning and good listening skills, open-ended questions have the potential to unveil and provide a lot of information </w:t>
      </w:r>
      <w:r>
        <w:rPr>
          <w:rFonts w:ascii="Arial" w:hAnsi="Arial" w:cs="Arial"/>
          <w:color w:val="000000"/>
          <w:sz w:val="20"/>
          <w:szCs w:val="20"/>
        </w:rPr>
        <w:t xml:space="preserve">(Sesno, 2017, p.219). </w:t>
      </w:r>
      <w:r w:rsidRPr="00B14FE0">
        <w:rPr>
          <w:rFonts w:cstheme="minorHAnsi"/>
          <w:color w:val="000000"/>
          <w:szCs w:val="20"/>
        </w:rPr>
        <w:t>Probing questions are very similar to open</w:t>
      </w:r>
      <w:r>
        <w:rPr>
          <w:rFonts w:cstheme="minorHAnsi"/>
          <w:color w:val="000000"/>
          <w:szCs w:val="20"/>
        </w:rPr>
        <w:t>-ended</w:t>
      </w:r>
      <w:r w:rsidRPr="00B14FE0">
        <w:rPr>
          <w:rFonts w:cstheme="minorHAnsi"/>
          <w:color w:val="000000"/>
          <w:szCs w:val="20"/>
        </w:rPr>
        <w:t xml:space="preserve"> questions</w:t>
      </w:r>
      <w:r>
        <w:rPr>
          <w:rFonts w:cstheme="minorHAnsi"/>
          <w:color w:val="000000"/>
          <w:szCs w:val="20"/>
        </w:rPr>
        <w:t xml:space="preserve"> but play a vital part in getting specific details. Probing questions can be used to clear up on particular subjects that require a further detail. When used well, probing questions can have similar effects of an open question. A probing question can unlock addition information whilst having the same impact as an open question, allowing the responder free rein to speak </w:t>
      </w:r>
      <w:r>
        <w:rPr>
          <w:rFonts w:ascii="Arial" w:hAnsi="Arial" w:cs="Arial"/>
          <w:color w:val="000000"/>
          <w:sz w:val="20"/>
          <w:szCs w:val="20"/>
        </w:rPr>
        <w:t>(Study.com, n.d.)</w:t>
      </w:r>
      <w:r>
        <w:rPr>
          <w:rFonts w:cstheme="minorHAnsi"/>
          <w:color w:val="000000"/>
          <w:szCs w:val="20"/>
        </w:rPr>
        <w:t xml:space="preserve">. Although adequate questioning can produce great results, good listening skills are also required in order to absorb the information being provided. The use of active listening skills have many factors which play a huge part in maintaining a conversation and remaining connected with the person speaking. Poor listening skills have the potential of making the speaker feel disconnected from the conversation or question and cause them to refrain from conversing or providing any information. This can cause the relationship/interaction between the speaker and listener to deteriorate </w:t>
      </w:r>
      <w:r>
        <w:rPr>
          <w:rFonts w:ascii="Arial" w:hAnsi="Arial" w:cs="Arial"/>
          <w:color w:val="000000"/>
          <w:sz w:val="20"/>
          <w:szCs w:val="20"/>
        </w:rPr>
        <w:t>(Collins and O'rourke, 2008, p.17)</w:t>
      </w:r>
      <w:r>
        <w:rPr>
          <w:rFonts w:cstheme="minorHAnsi"/>
          <w:color w:val="000000"/>
          <w:szCs w:val="20"/>
        </w:rPr>
        <w:t xml:space="preserve">. The use of the PEACE model during interviews provides structure, fairness and clarity to everyone present. PEACE stands for </w:t>
      </w:r>
      <w:r w:rsidRPr="00920A50">
        <w:rPr>
          <w:rFonts w:eastAsia="Times New Roman" w:cstheme="minorHAnsi"/>
          <w:szCs w:val="21"/>
          <w:lang w:eastAsia="en-GB"/>
        </w:rPr>
        <w:t>Preparation and Planning, Engage and Explain, Account,</w:t>
      </w:r>
      <w:r>
        <w:rPr>
          <w:rFonts w:eastAsia="Times New Roman" w:cstheme="minorHAnsi"/>
          <w:szCs w:val="21"/>
          <w:lang w:eastAsia="en-GB"/>
        </w:rPr>
        <w:t xml:space="preserve"> Clarify and Challenge, Closure and</w:t>
      </w:r>
      <w:r w:rsidRPr="00920A50">
        <w:rPr>
          <w:rFonts w:eastAsia="Times New Roman" w:cstheme="minorHAnsi"/>
          <w:szCs w:val="21"/>
          <w:lang w:eastAsia="en-GB"/>
        </w:rPr>
        <w:t xml:space="preserve"> Evaluation</w:t>
      </w:r>
      <w:r>
        <w:rPr>
          <w:rFonts w:eastAsia="Times New Roman" w:cstheme="minorHAnsi"/>
          <w:szCs w:val="21"/>
          <w:lang w:eastAsia="en-GB"/>
        </w:rPr>
        <w:t xml:space="preserve">. This type of approach to interviewing a suspect, witness or victim is considered to be best practice as it provides police the opportunity to gather further evidence and a true account </w:t>
      </w:r>
      <w:r>
        <w:rPr>
          <w:rFonts w:ascii="Arial" w:hAnsi="Arial" w:cs="Arial"/>
          <w:color w:val="000000"/>
          <w:sz w:val="20"/>
          <w:szCs w:val="20"/>
        </w:rPr>
        <w:t>(i-Sight, n.d.)</w:t>
      </w:r>
      <w:r>
        <w:rPr>
          <w:rFonts w:eastAsia="Times New Roman" w:cstheme="minorHAnsi"/>
          <w:szCs w:val="21"/>
          <w:lang w:eastAsia="en-GB"/>
        </w:rPr>
        <w:t xml:space="preserve">. </w:t>
      </w:r>
      <w:r>
        <w:rPr>
          <w:rFonts w:cstheme="minorHAnsi"/>
          <w:color w:val="000000"/>
          <w:szCs w:val="20"/>
        </w:rPr>
        <w:t xml:space="preserve">On conducting an interview the interviewing officer has serval responsibilities that are required. All interviews must be completed in accordance with the Police and Criminal Evidence Act 1984 (PACE). Interviews must conform to code C, E and F of PACE. Code C allows the detention and questioning of a suspect, Code E allows for interviews with any suspect to be audio recorded and Code F allows for the interview to be visually recorded </w:t>
      </w:r>
      <w:r>
        <w:rPr>
          <w:rFonts w:ascii="Arial" w:hAnsi="Arial" w:cs="Arial"/>
          <w:color w:val="000000"/>
          <w:sz w:val="20"/>
          <w:szCs w:val="20"/>
        </w:rPr>
        <w:t>(GOV.UK, 2019)</w:t>
      </w:r>
      <w:r>
        <w:rPr>
          <w:rFonts w:cstheme="minorHAnsi"/>
          <w:color w:val="000000"/>
          <w:szCs w:val="20"/>
        </w:rPr>
        <w:t xml:space="preserve">. All suspects being interviewed have an entitlement for free legal advice covered under PACE Code C6, also to be accompanied by a legal advisor during the interview covered under PACE Code C6.12 </w:t>
      </w:r>
      <w:r>
        <w:rPr>
          <w:rFonts w:ascii="Arial" w:hAnsi="Arial" w:cs="Arial"/>
          <w:color w:val="000000"/>
          <w:sz w:val="20"/>
          <w:szCs w:val="20"/>
        </w:rPr>
        <w:t xml:space="preserve">(App.college.police.uk, 2019). </w:t>
      </w:r>
      <w:r>
        <w:rPr>
          <w:rFonts w:cstheme="minorHAnsi"/>
          <w:color w:val="000000"/>
          <w:szCs w:val="20"/>
        </w:rPr>
        <w:t>As the suspect requested a legal advisor a pre-interview briefing was conducted. The purpose of holding a pre-interview briefing is to provide information to the legal advisor surrounding the circumstances of the arrest and allegations made against the suspect. This provides them the opportunity to advise their client accordingly prior to the interview commencing</w:t>
      </w:r>
      <w:r w:rsidRPr="007962AC">
        <w:rPr>
          <w:rFonts w:ascii="Arial" w:hAnsi="Arial" w:cs="Arial"/>
          <w:color w:val="000000"/>
          <w:sz w:val="20"/>
          <w:szCs w:val="20"/>
        </w:rPr>
        <w:t xml:space="preserve"> </w:t>
      </w:r>
      <w:r>
        <w:rPr>
          <w:rFonts w:ascii="Arial" w:hAnsi="Arial" w:cs="Arial"/>
          <w:color w:val="000000"/>
          <w:sz w:val="20"/>
          <w:szCs w:val="20"/>
        </w:rPr>
        <w:t>(Pre-Interview Briefings, 2014, P.1, 2)</w:t>
      </w:r>
      <w:r>
        <w:rPr>
          <w:rFonts w:cstheme="minorHAnsi"/>
          <w:color w:val="000000"/>
          <w:szCs w:val="20"/>
        </w:rPr>
        <w:t xml:space="preserve">. During a pre-interview briefing, disclosing evidence/exhibits to the legal advisor is not mandatory although in this instance disclosure was provided. Some disclosure is required in order for the legal advisor to guide their client but providing too much can have a detrimental effect on the investigation. Providing too much information can enable the suspect to develop a response in relation to the disclosure provided to the legal advisor. Providing none/minimal disclosure can affect the suspect’s account which may hinder the investigation </w:t>
      </w:r>
      <w:r>
        <w:rPr>
          <w:rFonts w:ascii="Arial" w:hAnsi="Arial" w:cs="Arial"/>
          <w:color w:val="000000"/>
          <w:sz w:val="20"/>
          <w:szCs w:val="20"/>
        </w:rPr>
        <w:t>(Pre-Interview Briefings, 2014, P.1, 2)</w:t>
      </w:r>
      <w:r>
        <w:rPr>
          <w:rFonts w:cstheme="minorHAnsi"/>
          <w:color w:val="000000"/>
          <w:szCs w:val="20"/>
        </w:rPr>
        <w:t xml:space="preserve">. </w:t>
      </w:r>
    </w:p>
    <w:p w:rsidR="00FC3BFB" w:rsidRDefault="00FC3BFB" w:rsidP="00FC3BFB">
      <w:pPr>
        <w:pStyle w:val="NoSpacing"/>
        <w:rPr>
          <w:rFonts w:ascii="Arial" w:hAnsi="Arial" w:cs="Arial"/>
          <w:color w:val="000000"/>
          <w:sz w:val="20"/>
          <w:szCs w:val="20"/>
        </w:rPr>
      </w:pPr>
    </w:p>
    <w:p w:rsidR="00FC3BFB" w:rsidRPr="000B4748" w:rsidRDefault="00FC3BFB" w:rsidP="00FC3BFB">
      <w:pPr>
        <w:pStyle w:val="NoSpacing"/>
        <w:rPr>
          <w:rFonts w:eastAsia="Times New Roman" w:cstheme="minorHAnsi"/>
          <w:szCs w:val="21"/>
          <w:lang w:eastAsia="en-GB"/>
        </w:rPr>
      </w:pPr>
      <w:r>
        <w:rPr>
          <w:rFonts w:eastAsia="Times New Roman" w:cstheme="minorHAnsi"/>
          <w:szCs w:val="21"/>
          <w:lang w:eastAsia="en-GB"/>
        </w:rPr>
        <w:t xml:space="preserve">During the interview the PEACE model was broken up into four stages. Planning, engage and explain as the first stage. Account clarify and challenge as the second, Closure as the third and fourth was evaluation. </w:t>
      </w:r>
      <w:r>
        <w:rPr>
          <w:rFonts w:ascii="Arial" w:hAnsi="Arial" w:cs="Arial"/>
          <w:color w:val="000000"/>
          <w:sz w:val="20"/>
          <w:szCs w:val="20"/>
        </w:rPr>
        <w:t>(App.college.police.uk, 2019)</w:t>
      </w:r>
    </w:p>
    <w:p w:rsidR="00FC3BFB" w:rsidRDefault="00FC3BFB" w:rsidP="00FC3BFB">
      <w:pPr>
        <w:pStyle w:val="NoSpacing"/>
        <w:rPr>
          <w:rFonts w:ascii="Arial" w:hAnsi="Arial" w:cs="Arial"/>
          <w:color w:val="000000"/>
          <w:sz w:val="20"/>
          <w:szCs w:val="20"/>
        </w:rPr>
      </w:pPr>
      <w:r>
        <w:rPr>
          <w:rFonts w:eastAsia="Times New Roman" w:cstheme="minorHAnsi"/>
          <w:szCs w:val="21"/>
          <w:lang w:eastAsia="en-GB"/>
        </w:rPr>
        <w:t xml:space="preserve">Planning, engaging and explaining structured the interview, this allowed the suspect to participate in conversation which helped build a rapport. This stage also allowed the route map of the interview to be explained, the reason for which the interview was being conducted, followed by the allegations made against the suspect. </w:t>
      </w:r>
    </w:p>
    <w:p w:rsidR="00FC3BFB" w:rsidRDefault="00FC3BFB" w:rsidP="00FC3BFB">
      <w:pPr>
        <w:pStyle w:val="NoSpacing"/>
        <w:rPr>
          <w:rFonts w:cstheme="minorHAnsi"/>
          <w:color w:val="000000"/>
          <w:szCs w:val="20"/>
        </w:rPr>
      </w:pPr>
      <w:r>
        <w:rPr>
          <w:rFonts w:cstheme="minorHAnsi"/>
          <w:color w:val="000000"/>
          <w:szCs w:val="20"/>
        </w:rPr>
        <w:t>G</w:t>
      </w:r>
      <w:r w:rsidRPr="000B4748">
        <w:rPr>
          <w:rFonts w:cstheme="minorHAnsi"/>
          <w:color w:val="000000"/>
          <w:szCs w:val="20"/>
        </w:rPr>
        <w:t>ather</w:t>
      </w:r>
      <w:r>
        <w:rPr>
          <w:rFonts w:cstheme="minorHAnsi"/>
          <w:color w:val="000000"/>
          <w:szCs w:val="20"/>
        </w:rPr>
        <w:t>ing an account provided the suspect the opportunity to have their say in relation to the allegations. During this</w:t>
      </w:r>
      <w:r w:rsidRPr="000B4748">
        <w:rPr>
          <w:rFonts w:cstheme="minorHAnsi"/>
          <w:color w:val="000000"/>
          <w:szCs w:val="20"/>
        </w:rPr>
        <w:t xml:space="preserve"> stage active listening skills </w:t>
      </w:r>
      <w:r>
        <w:rPr>
          <w:rFonts w:cstheme="minorHAnsi"/>
          <w:color w:val="000000"/>
          <w:szCs w:val="20"/>
        </w:rPr>
        <w:t>were</w:t>
      </w:r>
      <w:r w:rsidRPr="000B4748">
        <w:rPr>
          <w:rFonts w:cstheme="minorHAnsi"/>
          <w:color w:val="000000"/>
          <w:szCs w:val="20"/>
        </w:rPr>
        <w:t xml:space="preserve"> vital in order </w:t>
      </w:r>
      <w:r>
        <w:rPr>
          <w:rFonts w:cstheme="minorHAnsi"/>
          <w:color w:val="000000"/>
          <w:szCs w:val="20"/>
        </w:rPr>
        <w:t>t</w:t>
      </w:r>
      <w:r w:rsidRPr="000B4748">
        <w:rPr>
          <w:rFonts w:cstheme="minorHAnsi"/>
          <w:color w:val="000000"/>
          <w:szCs w:val="20"/>
        </w:rPr>
        <w:t>o keep the conversation flowing. The use of open and probing questions provide</w:t>
      </w:r>
      <w:r>
        <w:rPr>
          <w:rFonts w:cstheme="minorHAnsi"/>
          <w:color w:val="000000"/>
          <w:szCs w:val="20"/>
        </w:rPr>
        <w:t>d</w:t>
      </w:r>
      <w:r w:rsidRPr="000B4748">
        <w:rPr>
          <w:rFonts w:cstheme="minorHAnsi"/>
          <w:color w:val="000000"/>
          <w:szCs w:val="20"/>
        </w:rPr>
        <w:t xml:space="preserve"> the prospect for further details to be gathered. Within this stage</w:t>
      </w:r>
      <w:r>
        <w:rPr>
          <w:rFonts w:cstheme="minorHAnsi"/>
          <w:color w:val="000000"/>
          <w:szCs w:val="20"/>
        </w:rPr>
        <w:t xml:space="preserve"> discrepancies made by the suspect were challenged and further probing questions were asked in order to get a better understanding. The use of exhibits were used in order to challenge the suspect. The exhibits used were a collection of photographs of the plants found at the property which subsequently lead to an admission from the suspect.</w:t>
      </w:r>
    </w:p>
    <w:p w:rsidR="00FC3BFB" w:rsidRDefault="00FC3BFB" w:rsidP="00FC3BFB">
      <w:pPr>
        <w:pStyle w:val="NoSpacing"/>
        <w:rPr>
          <w:rFonts w:cstheme="minorHAnsi"/>
          <w:color w:val="000000"/>
          <w:szCs w:val="20"/>
        </w:rPr>
      </w:pPr>
      <w:r>
        <w:rPr>
          <w:rFonts w:cstheme="minorHAnsi"/>
          <w:color w:val="000000"/>
          <w:szCs w:val="20"/>
        </w:rPr>
        <w:t>Closure of the interview involved asking the suspect if there was any further details they wished to clarify or add prior to the interview ending. This stage provided certainty that all information provided during the interview was correct and to the best of their knowledge.</w:t>
      </w:r>
    </w:p>
    <w:p w:rsidR="00FC3BFB" w:rsidRDefault="00FC3BFB" w:rsidP="00FC3BFB">
      <w:pPr>
        <w:pStyle w:val="NoSpacing"/>
      </w:pPr>
      <w:r>
        <w:rPr>
          <w:rFonts w:cstheme="minorHAnsi"/>
          <w:color w:val="000000"/>
          <w:szCs w:val="20"/>
        </w:rPr>
        <w:t>Prior to concluding the interview a summary of the details provided was read out in order to determine whether any further actions/questions were required and to ensure the account provided corresponded with the allegations made against the suspect.</w:t>
      </w:r>
    </w:p>
    <w:p w:rsidR="00FC3BFB" w:rsidRDefault="00FC3BFB" w:rsidP="00FC3BFB">
      <w:pPr>
        <w:pStyle w:val="NoSpacing"/>
      </w:pPr>
    </w:p>
    <w:p w:rsidR="00FC3BFB" w:rsidRDefault="00FC3BFB" w:rsidP="00FC3BFB">
      <w:pPr>
        <w:pStyle w:val="NoSpacing"/>
      </w:pPr>
      <w:r>
        <w:t xml:space="preserve">Reflecting on the interview planning ahead was key in relation to providing a structured interview and evidence building. As a result of being prepared, it allowed areas to be covered which may have been missed if time to prepare was not considered. It provided solid evidence to be used in challenging the suspect and provided questions to be tailored in a way that allowed the suspect to give a full account. By using active listening skills the suspect was able to remain connected with the conversation and make a full account. All procedures were adhered to maintaining the PACE regulations and ensuring the suspect was treated fairly. During this interview policing values remained intact, transparency and integrity was delivered by providing disclosure to the legal advisor, remaining impartial throughout allowed questioning to be tailored without using an accusatory style of questioning. </w:t>
      </w:r>
    </w:p>
    <w:p w:rsidR="00FC3BFB" w:rsidRDefault="00FC3BFB" w:rsidP="00FC3BFB">
      <w:pPr>
        <w:pStyle w:val="NoSpacing"/>
      </w:pPr>
    </w:p>
    <w:p w:rsidR="00FC3BFB" w:rsidRDefault="00FC3BFB" w:rsidP="00FC3BFB">
      <w:pPr>
        <w:pStyle w:val="NoSpacing"/>
      </w:pPr>
    </w:p>
    <w:p w:rsidR="00FC3BFB" w:rsidRPr="00496F23" w:rsidRDefault="00FC3BFB" w:rsidP="00FC3BFB">
      <w:pPr>
        <w:pStyle w:val="NoSpacing"/>
        <w:rPr>
          <w:rFonts w:cstheme="minorHAnsi"/>
          <w:bCs/>
          <w:color w:val="333333"/>
          <w:szCs w:val="21"/>
        </w:rPr>
      </w:pPr>
      <w:r>
        <w:rPr>
          <w:rFonts w:cstheme="minorHAnsi"/>
          <w:bCs/>
          <w:color w:val="333333"/>
          <w:szCs w:val="21"/>
        </w:rPr>
        <w:t xml:space="preserve">Word count = </w:t>
      </w:r>
      <w:r>
        <w:rPr>
          <w:rFonts w:cstheme="minorHAnsi"/>
          <w:b/>
          <w:bCs/>
          <w:color w:val="333333"/>
          <w:szCs w:val="21"/>
        </w:rPr>
        <w:t>1402 words</w:t>
      </w:r>
    </w:p>
    <w:p w:rsidR="00FC3BFB" w:rsidRDefault="00FC3BFB" w:rsidP="00FC3BFB">
      <w:pPr>
        <w:pStyle w:val="NoSpacing"/>
      </w:pPr>
      <w:r w:rsidRPr="000B3540">
        <w:rPr>
          <w:b/>
          <w:sz w:val="44"/>
        </w:rPr>
        <w:t>Bibliography</w:t>
      </w:r>
    </w:p>
    <w:p w:rsidR="00FC3BFB" w:rsidRDefault="00FC3BFB" w:rsidP="00FC3BFB">
      <w:pPr>
        <w:pStyle w:val="NoSpacing"/>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 xml:space="preserve">App.college.police.uk. (2019). </w:t>
      </w:r>
      <w:r>
        <w:rPr>
          <w:rFonts w:ascii="&amp;quot" w:hAnsi="&amp;quot"/>
          <w:i/>
          <w:iCs/>
          <w:color w:val="000000"/>
          <w:sz w:val="20"/>
          <w:szCs w:val="20"/>
        </w:rPr>
        <w:t>Investigative interviewing</w:t>
      </w:r>
      <w:r>
        <w:rPr>
          <w:rFonts w:ascii="Arial" w:hAnsi="Arial" w:cs="Arial"/>
          <w:color w:val="000000"/>
          <w:sz w:val="20"/>
          <w:szCs w:val="20"/>
        </w:rPr>
        <w:t>. [online] Available at: https://www.app.college.police.uk/app-content/investigations/investigative-interviewing/#peace-framework [Accessed 5 Jan. 2020].</w:t>
      </w:r>
    </w:p>
    <w:p w:rsidR="00FC3BFB" w:rsidRDefault="00FC3BFB" w:rsidP="00FC3BFB">
      <w:pPr>
        <w:pStyle w:val="NoSpacing"/>
        <w:rPr>
          <w:rFonts w:ascii="Arial" w:hAnsi="Arial" w:cs="Arial"/>
          <w:color w:val="000000"/>
          <w:sz w:val="20"/>
          <w:szCs w:val="20"/>
        </w:rPr>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 xml:space="preserve">Bradley, G. (2010). </w:t>
      </w:r>
      <w:r>
        <w:rPr>
          <w:rFonts w:ascii="&amp;quot" w:hAnsi="&amp;quot"/>
          <w:i/>
          <w:iCs/>
          <w:color w:val="000000"/>
          <w:sz w:val="20"/>
          <w:szCs w:val="20"/>
        </w:rPr>
        <w:t>Benefit Realisation Management</w:t>
      </w:r>
      <w:r>
        <w:rPr>
          <w:rFonts w:ascii="Arial" w:hAnsi="Arial" w:cs="Arial"/>
          <w:color w:val="000000"/>
          <w:sz w:val="20"/>
          <w:szCs w:val="20"/>
        </w:rPr>
        <w:t>. 2nd ed. London: Gower, p.75.</w:t>
      </w:r>
    </w:p>
    <w:p w:rsidR="00FC3BFB" w:rsidRDefault="00FC3BFB" w:rsidP="00FC3BFB">
      <w:pPr>
        <w:pStyle w:val="NoSpacing"/>
        <w:rPr>
          <w:rFonts w:ascii="Arial" w:hAnsi="Arial" w:cs="Arial"/>
          <w:color w:val="000000"/>
          <w:sz w:val="20"/>
          <w:szCs w:val="20"/>
        </w:rPr>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 xml:space="preserve">Collins, S. and O'rourke, J. (2008). </w:t>
      </w:r>
      <w:r>
        <w:rPr>
          <w:rFonts w:ascii="&amp;quot" w:hAnsi="&amp;quot"/>
          <w:i/>
          <w:iCs/>
          <w:color w:val="000000"/>
          <w:sz w:val="20"/>
          <w:szCs w:val="20"/>
        </w:rPr>
        <w:t>Interpersonal Communication Listening and Responding</w:t>
      </w:r>
      <w:r>
        <w:rPr>
          <w:rFonts w:ascii="Arial" w:hAnsi="Arial" w:cs="Arial"/>
          <w:color w:val="000000"/>
          <w:sz w:val="20"/>
          <w:szCs w:val="20"/>
        </w:rPr>
        <w:t>. 2nd ed. Mason, OH, United States: Cengage South-Western, p.17.</w:t>
      </w:r>
    </w:p>
    <w:p w:rsidR="00FC3BFB" w:rsidRDefault="00FC3BFB" w:rsidP="00FC3BFB">
      <w:pPr>
        <w:pStyle w:val="NoSpacing"/>
        <w:rPr>
          <w:rFonts w:ascii="Arial" w:hAnsi="Arial" w:cs="Arial"/>
          <w:color w:val="000000"/>
          <w:sz w:val="20"/>
          <w:szCs w:val="20"/>
        </w:rPr>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 xml:space="preserve">GOV.UK. (2019). </w:t>
      </w:r>
      <w:r>
        <w:rPr>
          <w:rFonts w:ascii="&amp;quot" w:hAnsi="&amp;quot"/>
          <w:i/>
          <w:iCs/>
          <w:color w:val="000000"/>
          <w:sz w:val="20"/>
          <w:szCs w:val="20"/>
        </w:rPr>
        <w:t>Police and Criminal Evidence Act 1984 (PACE) codes of practice</w:t>
      </w:r>
      <w:r>
        <w:rPr>
          <w:rFonts w:ascii="Arial" w:hAnsi="Arial" w:cs="Arial"/>
          <w:color w:val="000000"/>
          <w:sz w:val="20"/>
          <w:szCs w:val="20"/>
        </w:rPr>
        <w:t>. [online] Available at: https://www.gov.uk/guidance/police-and-criminal-evidence-act-1984-pace-codes-of-practice [Accessed 5 Jan. 2020].</w:t>
      </w:r>
    </w:p>
    <w:p w:rsidR="00FC3BFB" w:rsidRDefault="00FC3BFB" w:rsidP="00FC3BFB">
      <w:pPr>
        <w:pStyle w:val="NoSpacing"/>
        <w:rPr>
          <w:rFonts w:ascii="Arial" w:hAnsi="Arial" w:cs="Arial"/>
          <w:color w:val="000000"/>
          <w:sz w:val="20"/>
          <w:szCs w:val="20"/>
        </w:rPr>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 xml:space="preserve">i-Sight. (n.d.). </w:t>
      </w:r>
      <w:r>
        <w:rPr>
          <w:rFonts w:ascii="&amp;quot" w:hAnsi="&amp;quot"/>
          <w:i/>
          <w:iCs/>
          <w:color w:val="000000"/>
          <w:sz w:val="20"/>
          <w:szCs w:val="20"/>
        </w:rPr>
        <w:t>Investigative Interviewing Techniques: The PEACE Model</w:t>
      </w:r>
      <w:r>
        <w:rPr>
          <w:rFonts w:ascii="Arial" w:hAnsi="Arial" w:cs="Arial"/>
          <w:color w:val="000000"/>
          <w:sz w:val="20"/>
          <w:szCs w:val="20"/>
        </w:rPr>
        <w:t>. [online] Available at: https://i-sight.com/resources/investigative-interviewing-techniques-the-peace-model/ [Accessed 5 Jan. 2020].</w:t>
      </w:r>
    </w:p>
    <w:p w:rsidR="00FC3BFB" w:rsidRDefault="00FC3BFB" w:rsidP="00FC3BFB">
      <w:pPr>
        <w:pStyle w:val="NoSpacing"/>
        <w:rPr>
          <w:rFonts w:ascii="Arial" w:hAnsi="Arial" w:cs="Arial"/>
          <w:color w:val="000000"/>
          <w:sz w:val="20"/>
          <w:szCs w:val="20"/>
        </w:rPr>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Pre-Interview Briefings. (2014). [PDF] National Investigative Interviewing Strategic Steering Group, p.1, 2. Available at: http://library.college.police.uk/docs/APPREF/National-Policing-Position-Statement-Pre-Interview-Briefings-2014.pdf [Accessed 5 Jan. 2020].</w:t>
      </w:r>
    </w:p>
    <w:p w:rsidR="00FC3BFB" w:rsidRDefault="00FC3BFB" w:rsidP="00FC3BFB">
      <w:pPr>
        <w:pStyle w:val="NoSpacing"/>
        <w:rPr>
          <w:rFonts w:ascii="Arial" w:hAnsi="Arial" w:cs="Arial"/>
          <w:color w:val="000000"/>
          <w:sz w:val="20"/>
          <w:szCs w:val="20"/>
        </w:rPr>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 xml:space="preserve">Sesno, F. (2017). </w:t>
      </w:r>
      <w:r>
        <w:rPr>
          <w:rFonts w:ascii="&amp;quot" w:hAnsi="&amp;quot"/>
          <w:i/>
          <w:iCs/>
          <w:color w:val="000000"/>
          <w:sz w:val="20"/>
          <w:szCs w:val="20"/>
        </w:rPr>
        <w:t>Ask More: The Power of Questions to Open Doors, Uncover Solutions, and Spark Change</w:t>
      </w:r>
      <w:r>
        <w:rPr>
          <w:rFonts w:ascii="Arial" w:hAnsi="Arial" w:cs="Arial"/>
          <w:color w:val="000000"/>
          <w:sz w:val="20"/>
          <w:szCs w:val="20"/>
        </w:rPr>
        <w:t>. New York: AMACOM, p.219.</w:t>
      </w:r>
    </w:p>
    <w:p w:rsidR="00FC3BFB" w:rsidRDefault="00FC3BFB" w:rsidP="00FC3BFB">
      <w:pPr>
        <w:pStyle w:val="NoSpacing"/>
        <w:rPr>
          <w:rFonts w:ascii="Arial" w:hAnsi="Arial" w:cs="Arial"/>
          <w:color w:val="000000"/>
          <w:sz w:val="20"/>
          <w:szCs w:val="20"/>
        </w:rPr>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 xml:space="preserve">Study.com. (n.d.). </w:t>
      </w:r>
      <w:r>
        <w:rPr>
          <w:rFonts w:ascii="&amp;quot" w:hAnsi="&amp;quot"/>
          <w:i/>
          <w:iCs/>
          <w:color w:val="000000"/>
          <w:sz w:val="20"/>
          <w:szCs w:val="20"/>
        </w:rPr>
        <w:t>Probing Questions: Types &amp; Examples - Video &amp; Lesson Transcript | Study.com</w:t>
      </w:r>
      <w:r>
        <w:rPr>
          <w:rFonts w:ascii="Arial" w:hAnsi="Arial" w:cs="Arial"/>
          <w:color w:val="000000"/>
          <w:sz w:val="20"/>
          <w:szCs w:val="20"/>
        </w:rPr>
        <w:t>. [online] Available at: https://study.com/academy/lesson/probing-questions-types-examples.html [Accessed 5 Jan. 2020].</w:t>
      </w:r>
    </w:p>
    <w:p w:rsidR="00FC3BFB" w:rsidRDefault="00FC3BFB" w:rsidP="00FC3BFB">
      <w:pPr>
        <w:pStyle w:val="NoSpacing"/>
        <w:rPr>
          <w:rFonts w:ascii="Arial" w:hAnsi="Arial" w:cs="Arial"/>
          <w:color w:val="000000"/>
          <w:sz w:val="20"/>
          <w:szCs w:val="20"/>
        </w:rPr>
      </w:pPr>
    </w:p>
    <w:p w:rsidR="00FC3BFB" w:rsidRPr="000B3540" w:rsidRDefault="00FC3BFB" w:rsidP="00FC3BFB">
      <w:pPr>
        <w:pStyle w:val="NoSpacing"/>
      </w:pPr>
    </w:p>
    <w:p w:rsidR="00FC3BFB" w:rsidRDefault="00FC3BFB"/>
    <w:p w:rsidR="00FC3BFB" w:rsidRDefault="00FC3BFB">
      <w:r>
        <w:br w:type="page"/>
      </w:r>
    </w:p>
    <w:p w:rsidR="00FC3BFB" w:rsidRDefault="00FC3BFB" w:rsidP="00FC3BFB">
      <w:pPr>
        <w:pStyle w:val="NoSpacing"/>
        <w:jc w:val="center"/>
        <w:rPr>
          <w:b/>
          <w:u w:val="single"/>
        </w:rPr>
      </w:pPr>
      <w:r>
        <w:rPr>
          <w:b/>
          <w:u w:val="single"/>
        </w:rPr>
        <w:t>Task 4</w:t>
      </w:r>
    </w:p>
    <w:p w:rsidR="00FC3BFB" w:rsidRPr="00514517" w:rsidRDefault="00FC3BFB" w:rsidP="00FC3BFB">
      <w:pPr>
        <w:pStyle w:val="NoSpacing"/>
        <w:rPr>
          <w:b/>
          <w:u w:val="single"/>
        </w:rPr>
      </w:pPr>
    </w:p>
    <w:p w:rsidR="00FC3BFB" w:rsidRDefault="00FC3BFB" w:rsidP="00FC3BFB">
      <w:pPr>
        <w:pStyle w:val="NoSpacing"/>
      </w:pPr>
      <w:r>
        <w:t>An incident had been reported that a group of youths were loitering near an address. The youths were creating a disturbance in the street which was contributing to a high level of noise. The group of youths then turned their attention to a parked car and decided to use small rocks in order to smash the back window of the vehicle. The group of youths left the scene before the team of officers were able to attend.</w:t>
      </w:r>
    </w:p>
    <w:p w:rsidR="00FC3BFB" w:rsidRPr="00514517" w:rsidRDefault="00FC3BFB" w:rsidP="00FC3BFB">
      <w:pPr>
        <w:pStyle w:val="NoSpacing"/>
        <w:rPr>
          <w:b/>
          <w:u w:val="single"/>
        </w:rPr>
      </w:pPr>
    </w:p>
    <w:p w:rsidR="00FC3BFB" w:rsidRDefault="00FC3BFB" w:rsidP="00FC3BFB">
      <w:pPr>
        <w:pStyle w:val="NoSpacing"/>
      </w:pPr>
      <w:r>
        <w:t>Whilst attending the address of the person who reported the disturbance, it was stated that the group of youths had intentionally targeted her car. Passers-by also saw the youths cause physical damage to the vehicle and were able to provide details of their possible locations. A search was conducted at the locations that they were believed to of been, yet the area search was negative. As the youths were not sighted, the search was extended to local hotspots where they may have attended but again the search was unsuccessful. Following this, officers returned to the initial scene, where more valuable information was gathered from witnesses which led to the identities of possible suspects to be discovered. The suspect’s names were well known to the police for previous anti-social disturbances. The reporting person stated she was struggling with several issues at home and required help. The victim’s mother was having treatment for cancer and did not want to pursue a complaint due to the pressures she was already under. With the information provided regarding the possible suspects and the stresses the victim was already exposed to, a solution was presented to the victim. The victim decided to address the problem by utilising a restorative approach in order to get justice for the damage caused whilst minimising the amount of stress.</w:t>
      </w:r>
    </w:p>
    <w:p w:rsidR="00FC3BFB" w:rsidRDefault="00FC3BFB" w:rsidP="00FC3BFB">
      <w:pPr>
        <w:pStyle w:val="NoSpacing"/>
        <w:rPr>
          <w:b/>
          <w:u w:val="single"/>
        </w:rPr>
      </w:pPr>
    </w:p>
    <w:p w:rsidR="00FC3BFB" w:rsidRDefault="00FC3BFB" w:rsidP="00FC3BFB">
      <w:pPr>
        <w:pStyle w:val="NoSpacing"/>
      </w:pPr>
      <w:r>
        <w:t xml:space="preserve">When attending to any incident reported to the police, each call is graded by using a THRIVE approach. This approach assesses six aspects in order to grade a call. Grading’s range from G1 which is an emergency response to a G5 which is a telephone resolution. When an incident is graded as a G1, the response time should be within 15 minutes, a G2 is a priority response with a response aimed within one hour and a G3 requires responses within 4 hours. When incidents are graded with a G4, a resolution is required within 48 hours </w:t>
      </w:r>
      <w:r>
        <w:rPr>
          <w:rFonts w:ascii="Arial" w:hAnsi="Arial" w:cs="Arial"/>
          <w:color w:val="000000"/>
          <w:sz w:val="20"/>
          <w:szCs w:val="20"/>
        </w:rPr>
        <w:t>(BBC News, 2019)</w:t>
      </w:r>
      <w:r>
        <w:t xml:space="preserve">. </w:t>
      </w:r>
    </w:p>
    <w:p w:rsidR="00FC3BFB" w:rsidRDefault="00FC3BFB" w:rsidP="00FC3BFB">
      <w:pPr>
        <w:pStyle w:val="NoSpacing"/>
      </w:pPr>
      <w:r>
        <w:t xml:space="preserve">THRIVE assesses the Threat, Harm, Risk, Investigation opportunities, Vulnerability of the victim(s) and Engagement level. Each report is individually assessed based on their factors. Utilising THRIVE provides a fast and effect response to high risk incidents, which provides a tailored service to all victims. It also provides efficient use of police resources, enabling the police to resource and deploy the correct response required to each reported incident, whilst maintaining a fast and effective service. This in effect allows other police staff such as police community officers to attend lower graded reports in order to assist in a resolution thus freeing up response trained officers to attend emergency calls </w:t>
      </w:r>
      <w:r>
        <w:rPr>
          <w:rFonts w:ascii="Arial" w:hAnsi="Arial" w:cs="Arial"/>
          <w:color w:val="000000"/>
          <w:sz w:val="20"/>
          <w:szCs w:val="20"/>
        </w:rPr>
        <w:t>(North Yorkshire Police, n.d.)</w:t>
      </w:r>
      <w:r>
        <w:t xml:space="preserve">. Due to the factors being high in relation to the youths causing damage to the female’s car, the call was graded as a G1 immediate response. In order to gather as much evidence/information as possible, communication and active listening skills play a vital role. To effectively communicate there are a number of things to take into consideration. There are many types of communication, one form being body language/nonverbal communication. Body language/nonverbal communication is based upon cues given off by an individual. It is said that body language can be broken down into different factors such as facial expressions, body proxemics and ornamentals </w:t>
      </w:r>
      <w:r>
        <w:rPr>
          <w:rFonts w:ascii="Arial" w:hAnsi="Arial" w:cs="Arial"/>
          <w:color w:val="000000"/>
          <w:sz w:val="20"/>
          <w:szCs w:val="20"/>
        </w:rPr>
        <w:t>(Science of People, n.d.)</w:t>
      </w:r>
      <w:r>
        <w:t xml:space="preserve">. Studies have found that individuals make seven universal facial micro expressions when exposed to emotions. As the face is the natural focal point when communicating with individuals, facial expressions play an essential part to communicating true emotions </w:t>
      </w:r>
      <w:r>
        <w:rPr>
          <w:rFonts w:ascii="Arial" w:hAnsi="Arial" w:cs="Arial"/>
          <w:color w:val="000000"/>
          <w:sz w:val="20"/>
          <w:szCs w:val="20"/>
        </w:rPr>
        <w:t>(Science of People, n.d.)</w:t>
      </w:r>
      <w:r>
        <w:t xml:space="preserve">. Body proxemics signifies the space/distance utilised by individuals when communicating. Body proxemics can be broken down into four types, these are public, social, personal and intimate spaces. Each type represents different distances between people. Public space generally represents events such as public speakers where the distance is greater between one individual and another. Intimate space represents being the closest to someone which can including touching another person </w:t>
      </w:r>
      <w:r>
        <w:rPr>
          <w:rFonts w:ascii="Arial" w:hAnsi="Arial" w:cs="Arial"/>
          <w:color w:val="000000"/>
          <w:sz w:val="20"/>
          <w:szCs w:val="20"/>
        </w:rPr>
        <w:t>(Study.com, n.d.)</w:t>
      </w:r>
      <w:r>
        <w:t xml:space="preserve">. Ornamental body language can include dress sense, hair colour/styles, jewellery etc. These trinkets have the capability to express a person’s personality which can effect communication depending on the reaction they have on an individual </w:t>
      </w:r>
      <w:r>
        <w:rPr>
          <w:rFonts w:ascii="Arial" w:hAnsi="Arial" w:cs="Arial"/>
          <w:color w:val="000000"/>
          <w:sz w:val="20"/>
          <w:szCs w:val="20"/>
        </w:rPr>
        <w:t>(Science of People, n.d.)</w:t>
      </w:r>
      <w:r>
        <w:t xml:space="preserve">. It is said that body language is the most reliable source of information based on a person’s true feelings/emotional state. This is due to individuals having less control over their body language than of their verbal expressions, a fact which indicates body language is more favoured for representing true emotions </w:t>
      </w:r>
      <w:r>
        <w:rPr>
          <w:rFonts w:ascii="Arial" w:hAnsi="Arial" w:cs="Arial"/>
          <w:color w:val="000000"/>
          <w:sz w:val="20"/>
          <w:szCs w:val="20"/>
        </w:rPr>
        <w:t>(Korte, 1997, p.40)</w:t>
      </w:r>
      <w:r>
        <w:t xml:space="preserve">. The main/default form of communication used is verbal, which is employed within all forms of communication. Having strong communication skills has many positive factors, such as prevention of conflict, improved productivity, create better relationships, and increase engagement </w:t>
      </w:r>
      <w:r>
        <w:rPr>
          <w:rFonts w:ascii="Arial" w:hAnsi="Arial" w:cs="Arial"/>
          <w:color w:val="000000"/>
          <w:sz w:val="20"/>
          <w:szCs w:val="20"/>
        </w:rPr>
        <w:t>(Training, 2019)</w:t>
      </w:r>
      <w:r>
        <w:t xml:space="preserve">. As well as having strong communication skills, in order to gather vital information good listening skills are required. Good listening skill involves more than hearing what another person is saying, but being able to respond to what is being said. This form of listening is called active listening. It is stated that active listening can provide individuals assistance with talking to others with more clarity and understanding, it also aids in building a good rapport </w:t>
      </w:r>
      <w:r>
        <w:rPr>
          <w:rFonts w:ascii="Arial" w:hAnsi="Arial" w:cs="Arial"/>
          <w:color w:val="000000"/>
          <w:sz w:val="20"/>
          <w:szCs w:val="20"/>
        </w:rPr>
        <w:t>(MSU Extension, n.d.).</w:t>
      </w:r>
      <w:r>
        <w:t xml:space="preserve"> Upon arriving at the scene where the vehicle had been damaged, the victim was present along with a friend, there were no youths in sight. The victim was spoken to in order to gather detailed information of the youths that had caused the damage, and it was then intended to locate them before they left the area. Further witnesses of the crime approached the scene and provided detailed descriptions of the suspects which included their last known whereabouts. Using active listening skills and good communication skills meant a short but detailed description was provided and an area search was conducted. The area search was negative so the search was extended in the hope the youths could be found. The extended search was also unsuccessful and therefore the initial scene was attended. Communication and active listening skills were paramount in order to gather as much detail as possible from all witnesses. As well utilising these skills, open, closed and probing questions were used to gather as much relevant information possible. With the use of good questioning and communication skills, a successful exchange of information can be made and proficient management of individuals, this in turn aided in improving one’s own range of communication skills </w:t>
      </w:r>
      <w:r>
        <w:rPr>
          <w:rFonts w:ascii="Arial" w:hAnsi="Arial" w:cs="Arial"/>
          <w:color w:val="000000"/>
          <w:sz w:val="20"/>
          <w:szCs w:val="20"/>
        </w:rPr>
        <w:t>(Mindtools.com, n.d.)</w:t>
      </w:r>
      <w:r>
        <w:t xml:space="preserve">. Probing questions are short questions generally asked after information has been provided. This style of questioning is used to allow individuals to elaborate or clarify details allowing a clear understanding of what has been said </w:t>
      </w:r>
      <w:r>
        <w:rPr>
          <w:rFonts w:ascii="Arial" w:hAnsi="Arial" w:cs="Arial"/>
          <w:color w:val="000000"/>
          <w:sz w:val="20"/>
          <w:szCs w:val="20"/>
        </w:rPr>
        <w:t>(Stretch, 2005)</w:t>
      </w:r>
      <w:r>
        <w:t xml:space="preserve">. The use of open questions are designed to encourage the responder to speak, and provides the opportunity to explain in as much detail as possible which will result in sufficient information to be gathered </w:t>
      </w:r>
      <w:r>
        <w:rPr>
          <w:rFonts w:ascii="Arial" w:hAnsi="Arial" w:cs="Arial"/>
          <w:color w:val="000000"/>
          <w:sz w:val="20"/>
          <w:szCs w:val="20"/>
        </w:rPr>
        <w:t>(MyFeelBack: Turn customer feedback into business opportunities, 2019)</w:t>
      </w:r>
      <w:r>
        <w:t xml:space="preserve">. When conducting investigations, open questions play a crucial role in order to fully understand the circumstances and what actions are required. Closed questions enables a responders to reply with a short answer such as yes or no. The advantage of this style of questioning is that it allows a simple answer in regards to specific questions. It also allows better clarification on details, less chance of the responder expanding on irrelevant information and it’s a useful method when questioning personal or sensitive matters </w:t>
      </w:r>
      <w:r>
        <w:rPr>
          <w:rFonts w:ascii="Arial" w:hAnsi="Arial" w:cs="Arial"/>
          <w:color w:val="000000"/>
          <w:sz w:val="20"/>
          <w:szCs w:val="20"/>
        </w:rPr>
        <w:t>(Cepero, n.d.)</w:t>
      </w:r>
      <w:r>
        <w:t>. With the use of open, closed and probing questions, two suspects were named with one being well known to police for recent anti-social behaviour issues, but the identity of one suspect who committed the damage was still unknown.</w:t>
      </w:r>
    </w:p>
    <w:p w:rsidR="00FC3BFB" w:rsidRDefault="00FC3BFB" w:rsidP="00FC3BFB">
      <w:pPr>
        <w:pStyle w:val="NoSpacing"/>
      </w:pPr>
      <w:r>
        <w:t xml:space="preserve">Ensuring evidence within the investigation was not at risk of being lost, positive action was taken to prevent this. Photographic evidence was taken of the damaged property along with any implements used to cause the damage. The term used when taking positive action after an offence has been committed is called the golden hour. The term golden hour is used by police which relates to the action being taken for preserving all evidence available at the time. This method helps minimise the probabilities of evidence being lost or destroyed. The considerations that are taken into account when initiating the golden hour are victims, scenes, suspects, witnesses, logged decisions, family/community support, intelligence, prevent contamination and lines of responsibility </w:t>
      </w:r>
      <w:r>
        <w:rPr>
          <w:rFonts w:ascii="Arial" w:hAnsi="Arial" w:cs="Arial"/>
          <w:color w:val="000000"/>
          <w:sz w:val="20"/>
          <w:szCs w:val="20"/>
        </w:rPr>
        <w:t>(App.college.police.uk, 2020)</w:t>
      </w:r>
      <w:r>
        <w:t xml:space="preserve">. Although the term is labelled the golden hour, this does not restrict the length of time to 60 minutes to which evidence/material needs to be recovered by. It is best practice to gather as much evidence as soon as practicably possible in order to maintain its integrity, but the term does not indicate the evidence needs to be gathered within 60 minutes </w:t>
      </w:r>
      <w:r>
        <w:rPr>
          <w:rFonts w:ascii="Arial" w:hAnsi="Arial" w:cs="Arial"/>
          <w:color w:val="000000"/>
          <w:sz w:val="20"/>
          <w:szCs w:val="20"/>
        </w:rPr>
        <w:t>(Critical incident management, 2018)</w:t>
      </w:r>
      <w:r>
        <w:t xml:space="preserve">. Based on the weather conditions at the time and textured surface on the implements used to cause the damage, obtaining forensic evidence was not an option. House to house enquiries were conducted but they produced a negative result with no neighbours having CCTV or witnessing damage being committed. Although there was minimal evidence presented, a message was later received on the victim’s son’s phone from one of the suspects. This message named the person responsible for the damage and the reasons why it was committed. In order to maintain the integrity of this new evidence a photograph was taken of the message. </w:t>
      </w:r>
    </w:p>
    <w:p w:rsidR="00FC3BFB" w:rsidRDefault="00FC3BFB" w:rsidP="00FC3BFB">
      <w:pPr>
        <w:pStyle w:val="NoSpacing"/>
      </w:pPr>
      <w:r>
        <w:t xml:space="preserve">Due to the pressures at home the victim did not wish to pursue a complaint but wanted the suspect to be dealt with. In order to meet the victim’s needs a solution was suggested in the form of a restorative approach to the matter. An approach involving a procedure known as restorative justice. This method allows those responsible for committing crimes to make amends but also ensures the victim gets the justice they seek </w:t>
      </w:r>
      <w:r>
        <w:rPr>
          <w:rFonts w:ascii="Arial" w:hAnsi="Arial" w:cs="Arial"/>
          <w:color w:val="000000"/>
          <w:sz w:val="20"/>
          <w:szCs w:val="20"/>
        </w:rPr>
        <w:t>(Kirkwood, 2018)</w:t>
      </w:r>
      <w:r>
        <w:t xml:space="preserve">. There are several options available to assist the victim in communicating the way the crime has affected them. This can include meeting the offender in person, by writing to one another or relaying messages via an impartial facilitator such as a police officer. This process provides a voice for the victims of crime by empowering them and giving them the opportunity to find closure. They can also seek an explanation into the reasons behind the offender’s actions and thought processes at the time. As well as understanding the affect the incident has had on them, it also provides the victim the opportunity to have a say on how the matter is dealt with by providing a solution </w:t>
      </w:r>
      <w:r>
        <w:rPr>
          <w:rFonts w:ascii="Arial" w:hAnsi="Arial" w:cs="Arial"/>
          <w:color w:val="000000"/>
          <w:sz w:val="20"/>
          <w:szCs w:val="20"/>
        </w:rPr>
        <w:t>(Durham-pcc.gov.uk, n.d.)</w:t>
      </w:r>
      <w:r>
        <w:t xml:space="preserve">. Government research states that a restorative approach has produced an 85% satisfaction rate for victims, with a 14% reduction in the amount of reoffenders </w:t>
      </w:r>
      <w:r>
        <w:rPr>
          <w:rFonts w:ascii="Arial" w:hAnsi="Arial" w:cs="Arial"/>
          <w:color w:val="000000"/>
          <w:sz w:val="20"/>
          <w:szCs w:val="20"/>
        </w:rPr>
        <w:t>(Rjc.org.uk, n.d.)</w:t>
      </w:r>
      <w:r>
        <w:t xml:space="preserve">. For a restorative approach to be successful the offender must take ownership of the crime committed and both the victim and the offender have got to be willing to participate in this approach. If these requirements are not met then a restorative approach will not be employed and a more serious approach will be considered </w:t>
      </w:r>
      <w:r>
        <w:rPr>
          <w:rFonts w:ascii="Arial" w:hAnsi="Arial" w:cs="Arial"/>
          <w:color w:val="000000"/>
          <w:sz w:val="20"/>
          <w:szCs w:val="20"/>
        </w:rPr>
        <w:t>(Restorativejustice.org.uk, n.d.)</w:t>
      </w:r>
      <w:r>
        <w:t xml:space="preserve">. It is said that the success of a restorative approach in 70,000 cases with adult offenders would produce a saving of 185 million within the criminal justice system over the course of two years solely through the reduction in the amount of reoffending </w:t>
      </w:r>
      <w:r>
        <w:rPr>
          <w:rFonts w:ascii="Arial" w:hAnsi="Arial" w:cs="Arial"/>
          <w:color w:val="000000"/>
          <w:sz w:val="20"/>
          <w:szCs w:val="20"/>
        </w:rPr>
        <w:t>(Restorativejustice.org.uk, n.d.)</w:t>
      </w:r>
      <w:r>
        <w:t xml:space="preserve">. </w:t>
      </w:r>
    </w:p>
    <w:p w:rsidR="00FC3BFB" w:rsidRDefault="00FC3BFB" w:rsidP="00FC3BFB">
      <w:pPr>
        <w:pStyle w:val="NoSpacing"/>
      </w:pPr>
      <w:r>
        <w:t>In this instance, based on the issues and pressures the victim was having at home, she was willing to participate in the approach. The suspect was also willing to participate and took full responsibility for his actions. The suspect also made a formal apology to the victim and agreed to pay back the money that was used to repair the damage he had caused. Although the victim was under a lot of pressure at home and did not need the added stress, once receiving her formal apology, she stated her main reason for participating in this approach was to give the suspect an opportunity to right his wrongs, show remorse and endeavour to change his ways. On reflection, the way in which the incident was resolved with the use of a restorative approach produced a positive result. Not only by providing the victim with justice, but by giving her the chance to express her thoughts on a suitable outcome. That being said this result goes to show that employment of this method can be 100% successful when both parties are in agreement to participate. The effectiveness of the restorative approach enabled the engagement of both the victim and offender and in turn, facilitated turning what was at first a negative situation into a positive one.</w:t>
      </w:r>
    </w:p>
    <w:p w:rsidR="00FC3BFB" w:rsidRDefault="00FC3BFB" w:rsidP="00FC3BFB">
      <w:pPr>
        <w:pStyle w:val="NoSpacing"/>
      </w:pPr>
      <w:r>
        <w:t xml:space="preserve">To ensure the positive outcome was maintained and victim satisfaction was upheld, the victim was offered to have referral submitted on her behalf, providing she consented to her information to be shared with partner agencies. This referral is called a public protection notification. This submission allows for third party agencies to contact the victim in order to offer support, ease the pressures and ensure her welfare is well looked after. The use of partner agency referrals is to assist in the prevention of incidents slipping through the safeguarding system and avoid further issues in the future. It provides support and protection for those at risk, helping them to maintain a better standard of living </w:t>
      </w:r>
      <w:r>
        <w:rPr>
          <w:rFonts w:ascii="Arial" w:hAnsi="Arial" w:cs="Arial"/>
          <w:color w:val="000000"/>
          <w:sz w:val="20"/>
          <w:szCs w:val="20"/>
        </w:rPr>
        <w:t>(App.college.police.uk, 2020)</w:t>
      </w:r>
      <w:r>
        <w:t xml:space="preserve">. </w:t>
      </w:r>
    </w:p>
    <w:p w:rsidR="00FC3BFB" w:rsidRPr="00514517" w:rsidRDefault="00FC3BFB" w:rsidP="00FC3BFB">
      <w:pPr>
        <w:pStyle w:val="NoSpacing"/>
        <w:rPr>
          <w:b/>
          <w:u w:val="single"/>
        </w:rPr>
      </w:pPr>
    </w:p>
    <w:p w:rsidR="00FC3BFB" w:rsidRDefault="00FC3BFB" w:rsidP="00FC3BFB">
      <w:r>
        <w:t xml:space="preserve">Reflecting on this incident, it is clear to see that the situation started off negative in all aspects, where the victim and offender were at polar opposites in relation to the justice system. By implementing methods such as good listening and communication skills, utilising the golden hour, it was possible to resolve the incident with the use of the restorative approach. A negative situation such as this can be completely turned around resulting in a positive outcome. The victim and offender were able to engage and work together in order to reach an outcome that satisfied both parties. Not only does a restorative approach provide high satisfaction rates for victims, it also provides a financial benefit to criminal justice system. This financial benefit has the potential to enable investments to be made and implement new services for victims and ensure the reoffending rate remains low. </w:t>
      </w:r>
    </w:p>
    <w:p w:rsidR="00FC3BFB" w:rsidRDefault="00FC3BFB" w:rsidP="00FC3BFB"/>
    <w:p w:rsidR="00FC3BFB" w:rsidRDefault="00FC3BFB" w:rsidP="00FC3BFB">
      <w:r>
        <w:t xml:space="preserve">Word Count = </w:t>
      </w:r>
      <w:r w:rsidRPr="00452B1B">
        <w:rPr>
          <w:b/>
          <w:u w:val="single"/>
        </w:rPr>
        <w:t>2425 words</w:t>
      </w:r>
      <w:r>
        <w:br w:type="page"/>
      </w:r>
    </w:p>
    <w:p w:rsidR="00FC3BFB" w:rsidRPr="00682A92" w:rsidRDefault="00FC3BFB" w:rsidP="00FC3BFB">
      <w:pPr>
        <w:pStyle w:val="NoSpacing"/>
        <w:rPr>
          <w:b/>
          <w:sz w:val="44"/>
        </w:rPr>
      </w:pPr>
      <w:r w:rsidRPr="00682A92">
        <w:rPr>
          <w:b/>
          <w:sz w:val="44"/>
        </w:rPr>
        <w:t>Bibliography</w:t>
      </w:r>
    </w:p>
    <w:p w:rsidR="00FC3BFB" w:rsidRDefault="00FC3BFB" w:rsidP="00FC3BFB">
      <w:pPr>
        <w:pStyle w:val="NoSpacing"/>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 xml:space="preserve">App.college.police.uk. (2020). </w:t>
      </w:r>
      <w:r>
        <w:rPr>
          <w:rFonts w:ascii="&amp;quot" w:hAnsi="&amp;quot"/>
          <w:i/>
          <w:iCs/>
          <w:color w:val="000000"/>
          <w:sz w:val="20"/>
          <w:szCs w:val="20"/>
        </w:rPr>
        <w:t>Investigation process</w:t>
      </w:r>
      <w:r>
        <w:rPr>
          <w:rFonts w:ascii="Arial" w:hAnsi="Arial" w:cs="Arial"/>
          <w:color w:val="000000"/>
          <w:sz w:val="20"/>
          <w:szCs w:val="20"/>
        </w:rPr>
        <w:t>. [online] Available at: https://www.app.college.police.uk/app-content/investigations/investigation-process/ [Accessed 17 Jan. 2020].</w:t>
      </w:r>
    </w:p>
    <w:p w:rsidR="00FC3BFB" w:rsidRDefault="00FC3BFB" w:rsidP="00FC3BFB">
      <w:pPr>
        <w:pStyle w:val="NoSpacing"/>
        <w:rPr>
          <w:rFonts w:ascii="Arial" w:hAnsi="Arial" w:cs="Arial"/>
          <w:color w:val="000000"/>
          <w:sz w:val="20"/>
          <w:szCs w:val="20"/>
        </w:rPr>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 xml:space="preserve">App.college.police.uk. (2020). </w:t>
      </w:r>
      <w:r>
        <w:rPr>
          <w:rFonts w:ascii="&amp;quot" w:hAnsi="&amp;quot"/>
          <w:i/>
          <w:iCs/>
          <w:color w:val="000000"/>
          <w:sz w:val="20"/>
          <w:szCs w:val="20"/>
        </w:rPr>
        <w:t>Partnership working and multi-agency responses</w:t>
      </w:r>
      <w:r>
        <w:rPr>
          <w:rFonts w:ascii="Arial" w:hAnsi="Arial" w:cs="Arial"/>
          <w:color w:val="000000"/>
          <w:sz w:val="20"/>
          <w:szCs w:val="20"/>
        </w:rPr>
        <w:t>. [online] Available at: https://www.app.college.police.uk/app-content/major-investigation-and-public-protection/domestic-abuse/partnership-working-and-multi-agency-responses/ [Accessed 18 Jan. 2020].</w:t>
      </w:r>
    </w:p>
    <w:p w:rsidR="00FC3BFB" w:rsidRDefault="00FC3BFB" w:rsidP="00FC3BFB">
      <w:pPr>
        <w:pStyle w:val="NoSpacing"/>
        <w:rPr>
          <w:rFonts w:ascii="Arial" w:hAnsi="Arial" w:cs="Arial"/>
          <w:color w:val="000000"/>
          <w:sz w:val="20"/>
          <w:szCs w:val="20"/>
        </w:rPr>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 xml:space="preserve">BBC News. (2019). </w:t>
      </w:r>
      <w:r>
        <w:rPr>
          <w:rFonts w:ascii="&amp;quot" w:hAnsi="&amp;quot"/>
          <w:i/>
          <w:iCs/>
          <w:color w:val="000000"/>
          <w:sz w:val="20"/>
          <w:szCs w:val="20"/>
        </w:rPr>
        <w:t>Police 999 response times almost double</w:t>
      </w:r>
      <w:r>
        <w:rPr>
          <w:rFonts w:ascii="Arial" w:hAnsi="Arial" w:cs="Arial"/>
          <w:color w:val="000000"/>
          <w:sz w:val="20"/>
          <w:szCs w:val="20"/>
        </w:rPr>
        <w:t>. [online] Available at: https://www.bbc.co.uk/news/uk-england-manchester-47582743 [Accessed 11 Jan. 2020].</w:t>
      </w:r>
    </w:p>
    <w:p w:rsidR="00FC3BFB" w:rsidRDefault="00FC3BFB" w:rsidP="00FC3BFB">
      <w:pPr>
        <w:pStyle w:val="NoSpacing"/>
        <w:rPr>
          <w:rFonts w:ascii="Arial" w:hAnsi="Arial" w:cs="Arial"/>
          <w:color w:val="000000"/>
          <w:sz w:val="20"/>
          <w:szCs w:val="20"/>
        </w:rPr>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 xml:space="preserve">Cepero, V. (n.d.). </w:t>
      </w:r>
      <w:r>
        <w:rPr>
          <w:rFonts w:ascii="&amp;quot" w:hAnsi="&amp;quot"/>
          <w:i/>
          <w:iCs/>
          <w:color w:val="000000"/>
          <w:sz w:val="20"/>
          <w:szCs w:val="20"/>
        </w:rPr>
        <w:t>Closed-ended question</w:t>
      </w:r>
      <w:r>
        <w:rPr>
          <w:rFonts w:ascii="Arial" w:hAnsi="Arial" w:cs="Arial"/>
          <w:color w:val="000000"/>
          <w:sz w:val="20"/>
          <w:szCs w:val="20"/>
        </w:rPr>
        <w:t>. [online] Survey Anyplace. Available at: https://help.surveyanyplace.com/en/support/solutions/articles/35000042308-closed-ended-question [Accessed 11 Jan. 2020].</w:t>
      </w:r>
    </w:p>
    <w:p w:rsidR="00FC3BFB" w:rsidRDefault="00FC3BFB" w:rsidP="00FC3BFB">
      <w:pPr>
        <w:pStyle w:val="NoSpacing"/>
        <w:rPr>
          <w:rFonts w:ascii="Arial" w:hAnsi="Arial" w:cs="Arial"/>
          <w:color w:val="000000"/>
          <w:sz w:val="20"/>
          <w:szCs w:val="20"/>
        </w:rPr>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Critical incident management. (2018). 12th ed. [PDF] Home Office, p.13. Available at: https://assets.publishing.service.gov.uk/government/uploads/system/uploads/attachment_data/file/736743/critical-incident-management-v12.0ext.pdf [Accessed 17 Jan. 2020].</w:t>
      </w:r>
    </w:p>
    <w:p w:rsidR="00FC3BFB" w:rsidRDefault="00FC3BFB" w:rsidP="00FC3BFB">
      <w:pPr>
        <w:pStyle w:val="NoSpacing"/>
        <w:rPr>
          <w:rFonts w:ascii="Arial" w:hAnsi="Arial" w:cs="Arial"/>
          <w:color w:val="000000"/>
          <w:sz w:val="20"/>
          <w:szCs w:val="20"/>
        </w:rPr>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 xml:space="preserve">Durham-pcc.gov.uk. (n.d.). </w:t>
      </w:r>
      <w:r>
        <w:rPr>
          <w:rFonts w:ascii="&amp;quot" w:hAnsi="&amp;quot"/>
          <w:i/>
          <w:iCs/>
          <w:color w:val="000000"/>
          <w:sz w:val="20"/>
          <w:szCs w:val="20"/>
        </w:rPr>
        <w:t>Restorative Justice</w:t>
      </w:r>
      <w:r>
        <w:rPr>
          <w:rFonts w:ascii="Arial" w:hAnsi="Arial" w:cs="Arial"/>
          <w:color w:val="000000"/>
          <w:sz w:val="20"/>
          <w:szCs w:val="20"/>
        </w:rPr>
        <w:t>. [online] Available at: https://www.durham-pcc.gov.uk/Victims/Restorative-Justice.aspx [Accessed 17 Jan. 2020].</w:t>
      </w:r>
    </w:p>
    <w:p w:rsidR="00FC3BFB" w:rsidRDefault="00FC3BFB" w:rsidP="00FC3BFB">
      <w:pPr>
        <w:pStyle w:val="NoSpacing"/>
        <w:rPr>
          <w:rFonts w:ascii="Arial" w:hAnsi="Arial" w:cs="Arial"/>
          <w:color w:val="000000"/>
          <w:sz w:val="20"/>
          <w:szCs w:val="20"/>
        </w:rPr>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 xml:space="preserve">Kirkwood, S. (2018). </w:t>
      </w:r>
      <w:r>
        <w:rPr>
          <w:rFonts w:ascii="&amp;quot" w:hAnsi="&amp;quot"/>
          <w:i/>
          <w:iCs/>
          <w:color w:val="000000"/>
          <w:sz w:val="20"/>
          <w:szCs w:val="20"/>
        </w:rPr>
        <w:t>Restorative justice</w:t>
      </w:r>
      <w:r>
        <w:rPr>
          <w:rFonts w:ascii="Arial" w:hAnsi="Arial" w:cs="Arial"/>
          <w:color w:val="000000"/>
          <w:sz w:val="20"/>
          <w:szCs w:val="20"/>
        </w:rPr>
        <w:t>. [online] Iriss. Available at: https://www.iriss.org.uk/resources/insights/restorative-justice?gclid=EAIaIQobChMIvYnbw7uO5wIVy7TtCh1-wA-iEAAYAyAAEgJswfD_BwE [Accessed 17 Jan. 2020].</w:t>
      </w:r>
    </w:p>
    <w:p w:rsidR="00FC3BFB" w:rsidRDefault="00FC3BFB" w:rsidP="00FC3BFB">
      <w:pPr>
        <w:pStyle w:val="NoSpacing"/>
        <w:rPr>
          <w:rFonts w:ascii="Arial" w:hAnsi="Arial" w:cs="Arial"/>
          <w:color w:val="000000"/>
          <w:sz w:val="20"/>
          <w:szCs w:val="20"/>
        </w:rPr>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 xml:space="preserve">Korte, B. (1997). </w:t>
      </w:r>
      <w:r>
        <w:rPr>
          <w:rFonts w:ascii="&amp;quot" w:hAnsi="&amp;quot"/>
          <w:i/>
          <w:iCs/>
          <w:color w:val="000000"/>
          <w:sz w:val="20"/>
          <w:szCs w:val="20"/>
        </w:rPr>
        <w:t>Body Language in Literature</w:t>
      </w:r>
      <w:r>
        <w:rPr>
          <w:rFonts w:ascii="Arial" w:hAnsi="Arial" w:cs="Arial"/>
          <w:color w:val="000000"/>
          <w:sz w:val="20"/>
          <w:szCs w:val="20"/>
        </w:rPr>
        <w:t>. Toronto: University of Toronto Press, p.40.</w:t>
      </w:r>
    </w:p>
    <w:p w:rsidR="00FC3BFB" w:rsidRDefault="00FC3BFB" w:rsidP="00FC3BFB">
      <w:pPr>
        <w:pStyle w:val="NoSpacing"/>
        <w:rPr>
          <w:rFonts w:ascii="Arial" w:hAnsi="Arial" w:cs="Arial"/>
          <w:color w:val="000000"/>
          <w:sz w:val="20"/>
          <w:szCs w:val="20"/>
        </w:rPr>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 xml:space="preserve">Mindtools.com. (n.d.). </w:t>
      </w:r>
      <w:r>
        <w:rPr>
          <w:rFonts w:ascii="&amp;quot" w:hAnsi="&amp;quot"/>
          <w:i/>
          <w:iCs/>
          <w:color w:val="000000"/>
          <w:sz w:val="20"/>
          <w:szCs w:val="20"/>
        </w:rPr>
        <w:t>Questioning Techniques: Asking Questions Effectively</w:t>
      </w:r>
      <w:r>
        <w:rPr>
          <w:rFonts w:ascii="Arial" w:hAnsi="Arial" w:cs="Arial"/>
          <w:color w:val="000000"/>
          <w:sz w:val="20"/>
          <w:szCs w:val="20"/>
        </w:rPr>
        <w:t>. [online] Available at: https://www.mindtools.com/pages/article/newTMC_88.htm [Accessed 11 Jan. 2020].</w:t>
      </w:r>
    </w:p>
    <w:p w:rsidR="00FC3BFB" w:rsidRDefault="00FC3BFB" w:rsidP="00FC3BFB">
      <w:pPr>
        <w:pStyle w:val="NoSpacing"/>
        <w:rPr>
          <w:rFonts w:ascii="Arial" w:hAnsi="Arial" w:cs="Arial"/>
          <w:color w:val="000000"/>
          <w:sz w:val="20"/>
          <w:szCs w:val="20"/>
        </w:rPr>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 xml:space="preserve">MSU Extension. (n.d.). </w:t>
      </w:r>
      <w:r>
        <w:rPr>
          <w:rFonts w:ascii="&amp;quot" w:hAnsi="&amp;quot"/>
          <w:i/>
          <w:iCs/>
          <w:color w:val="000000"/>
          <w:sz w:val="20"/>
          <w:szCs w:val="20"/>
        </w:rPr>
        <w:t>The importance of listening skills</w:t>
      </w:r>
      <w:r>
        <w:rPr>
          <w:rFonts w:ascii="Arial" w:hAnsi="Arial" w:cs="Arial"/>
          <w:color w:val="000000"/>
          <w:sz w:val="20"/>
          <w:szCs w:val="20"/>
        </w:rPr>
        <w:t>. [online] Available at: https://www.canr.msu.edu/news/the_importance_of_listening_skills [Accessed 11 Jan. 2020].</w:t>
      </w:r>
    </w:p>
    <w:p w:rsidR="00FC3BFB" w:rsidRDefault="00FC3BFB" w:rsidP="00FC3BFB">
      <w:pPr>
        <w:pStyle w:val="NoSpacing"/>
        <w:rPr>
          <w:rFonts w:ascii="Arial" w:hAnsi="Arial" w:cs="Arial"/>
          <w:color w:val="000000"/>
          <w:sz w:val="20"/>
          <w:szCs w:val="20"/>
        </w:rPr>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 xml:space="preserve">MyFeelBack: Turn customer feedback into business opportunities. (2019). </w:t>
      </w:r>
      <w:r>
        <w:rPr>
          <w:rFonts w:ascii="&amp;quot" w:hAnsi="&amp;quot"/>
          <w:i/>
          <w:iCs/>
          <w:color w:val="000000"/>
          <w:sz w:val="20"/>
          <w:szCs w:val="20"/>
        </w:rPr>
        <w:t>Why and how to use open-ended questions?</w:t>
      </w:r>
      <w:r>
        <w:rPr>
          <w:rFonts w:ascii="Arial" w:hAnsi="Arial" w:cs="Arial"/>
          <w:color w:val="000000"/>
          <w:sz w:val="20"/>
          <w:szCs w:val="20"/>
        </w:rPr>
        <w:t>. [online] Available at: https://www.myfeelback.com/en/blog/use-open-ended-questions [Accessed 11 Jan. 2020].</w:t>
      </w:r>
    </w:p>
    <w:p w:rsidR="00FC3BFB" w:rsidRDefault="00FC3BFB" w:rsidP="00FC3BFB">
      <w:pPr>
        <w:pStyle w:val="NoSpacing"/>
        <w:rPr>
          <w:rFonts w:ascii="Arial" w:hAnsi="Arial" w:cs="Arial"/>
          <w:color w:val="000000"/>
          <w:sz w:val="20"/>
          <w:szCs w:val="20"/>
        </w:rPr>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 xml:space="preserve">North Yorkshire Police. (n.d.). </w:t>
      </w:r>
      <w:r>
        <w:rPr>
          <w:rFonts w:ascii="&amp;quot" w:hAnsi="&amp;quot"/>
          <w:i/>
          <w:iCs/>
          <w:color w:val="000000"/>
          <w:sz w:val="20"/>
          <w:szCs w:val="20"/>
        </w:rPr>
        <w:t>How we handle incidents - North Yorkshire Police</w:t>
      </w:r>
      <w:r>
        <w:rPr>
          <w:rFonts w:ascii="Arial" w:hAnsi="Arial" w:cs="Arial"/>
          <w:color w:val="000000"/>
          <w:sz w:val="20"/>
          <w:szCs w:val="20"/>
        </w:rPr>
        <w:t>. [online] Available at: https://northyorkshire.police.uk/what-we-do/dealing-with-crime/deal-crime-report/ [Accessed 11 Jan. 2020].</w:t>
      </w:r>
    </w:p>
    <w:p w:rsidR="00FC3BFB" w:rsidRDefault="00FC3BFB" w:rsidP="00FC3BFB">
      <w:pPr>
        <w:pStyle w:val="NoSpacing"/>
        <w:rPr>
          <w:rFonts w:ascii="Arial" w:hAnsi="Arial" w:cs="Arial"/>
          <w:color w:val="000000"/>
          <w:sz w:val="20"/>
          <w:szCs w:val="20"/>
        </w:rPr>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 xml:space="preserve">Restorativejustice.org.uk. (n.d.). </w:t>
      </w:r>
      <w:r>
        <w:rPr>
          <w:rFonts w:ascii="&amp;quot" w:hAnsi="&amp;quot"/>
          <w:i/>
          <w:iCs/>
          <w:color w:val="000000"/>
          <w:sz w:val="20"/>
          <w:szCs w:val="20"/>
        </w:rPr>
        <w:t>Criminal justice | Restorative Justice Council</w:t>
      </w:r>
      <w:r>
        <w:rPr>
          <w:rFonts w:ascii="Arial" w:hAnsi="Arial" w:cs="Arial"/>
          <w:color w:val="000000"/>
          <w:sz w:val="20"/>
          <w:szCs w:val="20"/>
        </w:rPr>
        <w:t>. [online] Available at: https://restorativejustice.org.uk/criminal-justice [Accessed 18 Jan. 2020].</w:t>
      </w:r>
    </w:p>
    <w:p w:rsidR="00FC3BFB" w:rsidRDefault="00FC3BFB" w:rsidP="00FC3BFB">
      <w:pPr>
        <w:pStyle w:val="NoSpacing"/>
        <w:rPr>
          <w:rFonts w:ascii="Arial" w:hAnsi="Arial" w:cs="Arial"/>
          <w:color w:val="000000"/>
          <w:sz w:val="20"/>
          <w:szCs w:val="20"/>
        </w:rPr>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 xml:space="preserve">Restorativejustice.org.uk. (n.d.). </w:t>
      </w:r>
      <w:r>
        <w:rPr>
          <w:rFonts w:ascii="&amp;quot" w:hAnsi="&amp;quot"/>
          <w:i/>
          <w:iCs/>
          <w:color w:val="000000"/>
          <w:sz w:val="20"/>
          <w:szCs w:val="20"/>
        </w:rPr>
        <w:t>Evidence supporting the use of restorative justice | Restorative Justice Council</w:t>
      </w:r>
      <w:r>
        <w:rPr>
          <w:rFonts w:ascii="Arial" w:hAnsi="Arial" w:cs="Arial"/>
          <w:color w:val="000000"/>
          <w:sz w:val="20"/>
          <w:szCs w:val="20"/>
        </w:rPr>
        <w:t>. [online] Available at: https://restorativejustice.org.uk/resources/evidence-supporting-use-restorative-justice [Accessed 18 Jan. 2020].</w:t>
      </w:r>
    </w:p>
    <w:p w:rsidR="00FC3BFB" w:rsidRDefault="00FC3BFB" w:rsidP="00FC3BFB">
      <w:pPr>
        <w:pStyle w:val="NoSpacing"/>
        <w:rPr>
          <w:rFonts w:ascii="Arial" w:hAnsi="Arial" w:cs="Arial"/>
          <w:color w:val="000000"/>
          <w:sz w:val="20"/>
          <w:szCs w:val="20"/>
        </w:rPr>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 xml:space="preserve">Rjc.org.uk. (n.d.). </w:t>
      </w:r>
      <w:r>
        <w:rPr>
          <w:rFonts w:ascii="&amp;quot" w:hAnsi="&amp;quot"/>
          <w:i/>
          <w:iCs/>
          <w:color w:val="000000"/>
          <w:sz w:val="20"/>
          <w:szCs w:val="20"/>
        </w:rPr>
        <w:t>Restorative justice information packs | Restorative Justice Council</w:t>
      </w:r>
      <w:r>
        <w:rPr>
          <w:rFonts w:ascii="Arial" w:hAnsi="Arial" w:cs="Arial"/>
          <w:color w:val="000000"/>
          <w:sz w:val="20"/>
          <w:szCs w:val="20"/>
        </w:rPr>
        <w:t>. [online] Available at: https://rjc.org.uk/resources/restorative-justice-information-packs [Accessed 17 Jan. 2020].</w:t>
      </w:r>
    </w:p>
    <w:p w:rsidR="00FC3BFB" w:rsidRDefault="00FC3BFB" w:rsidP="00FC3BFB">
      <w:pPr>
        <w:pStyle w:val="NoSpacing"/>
        <w:rPr>
          <w:rFonts w:ascii="Arial" w:hAnsi="Arial" w:cs="Arial"/>
          <w:color w:val="000000"/>
          <w:sz w:val="20"/>
          <w:szCs w:val="20"/>
        </w:rPr>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 xml:space="preserve">Science of People. (n.d.). </w:t>
      </w:r>
      <w:r>
        <w:rPr>
          <w:rFonts w:ascii="&amp;quot" w:hAnsi="&amp;quot"/>
          <w:i/>
          <w:iCs/>
          <w:color w:val="000000"/>
          <w:sz w:val="20"/>
          <w:szCs w:val="20"/>
        </w:rPr>
        <w:t>Body Language: The Science Of Reading It &amp; Understanding It</w:t>
      </w:r>
      <w:r>
        <w:rPr>
          <w:rFonts w:ascii="Arial" w:hAnsi="Arial" w:cs="Arial"/>
          <w:color w:val="000000"/>
          <w:sz w:val="20"/>
          <w:szCs w:val="20"/>
        </w:rPr>
        <w:t>. [online] Available at: https://www.scienceofpeople.com/body-language/ [Accessed 11 Jan. 2020].</w:t>
      </w:r>
    </w:p>
    <w:p w:rsidR="00FC3BFB" w:rsidRDefault="00FC3BFB" w:rsidP="00FC3BFB">
      <w:pPr>
        <w:pStyle w:val="NoSpacing"/>
        <w:rPr>
          <w:rFonts w:ascii="Arial" w:hAnsi="Arial" w:cs="Arial"/>
          <w:color w:val="000000"/>
          <w:sz w:val="20"/>
          <w:szCs w:val="20"/>
        </w:rPr>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 xml:space="preserve">Stretch, B. (2005). </w:t>
      </w:r>
      <w:r>
        <w:rPr>
          <w:rFonts w:ascii="&amp;quot" w:hAnsi="&amp;quot"/>
          <w:i/>
          <w:iCs/>
          <w:color w:val="000000"/>
          <w:sz w:val="20"/>
          <w:szCs w:val="20"/>
        </w:rPr>
        <w:t>GCE health and social care for OCR, AS level double award</w:t>
      </w:r>
      <w:r>
        <w:rPr>
          <w:rFonts w:ascii="Arial" w:hAnsi="Arial" w:cs="Arial"/>
          <w:color w:val="000000"/>
          <w:sz w:val="20"/>
          <w:szCs w:val="20"/>
        </w:rPr>
        <w:t>. Oxford: Heinemann, p.79.</w:t>
      </w:r>
    </w:p>
    <w:p w:rsidR="00FC3BFB" w:rsidRDefault="00FC3BFB" w:rsidP="00FC3BFB">
      <w:pPr>
        <w:pStyle w:val="NoSpacing"/>
        <w:rPr>
          <w:rFonts w:ascii="Arial" w:hAnsi="Arial" w:cs="Arial"/>
          <w:color w:val="000000"/>
          <w:sz w:val="20"/>
          <w:szCs w:val="20"/>
        </w:rPr>
      </w:pPr>
    </w:p>
    <w:p w:rsidR="00FC3BFB" w:rsidRDefault="00FC3BFB" w:rsidP="00FC3BFB">
      <w:pPr>
        <w:pStyle w:val="NoSpacing"/>
        <w:rPr>
          <w:rFonts w:ascii="Arial" w:hAnsi="Arial" w:cs="Arial"/>
          <w:color w:val="000000"/>
          <w:sz w:val="20"/>
          <w:szCs w:val="20"/>
        </w:rPr>
      </w:pPr>
      <w:r>
        <w:rPr>
          <w:rFonts w:ascii="Arial" w:hAnsi="Arial" w:cs="Arial"/>
          <w:color w:val="000000"/>
          <w:sz w:val="20"/>
          <w:szCs w:val="20"/>
        </w:rPr>
        <w:t xml:space="preserve">Study.com. (n.d.). </w:t>
      </w:r>
      <w:r>
        <w:rPr>
          <w:rFonts w:ascii="&amp;quot" w:hAnsi="&amp;quot"/>
          <w:i/>
          <w:iCs/>
          <w:color w:val="000000"/>
          <w:sz w:val="20"/>
          <w:szCs w:val="20"/>
        </w:rPr>
        <w:t>What is Proxemics? - Definition &amp; Examples</w:t>
      </w:r>
      <w:r>
        <w:rPr>
          <w:rFonts w:ascii="Arial" w:hAnsi="Arial" w:cs="Arial"/>
          <w:color w:val="000000"/>
          <w:sz w:val="20"/>
          <w:szCs w:val="20"/>
        </w:rPr>
        <w:t>. [online] Available at: https://study.com/academy/lesson/what-is-proxemics-definition-examples.html [Accessed 11 Jan. 2020].</w:t>
      </w:r>
    </w:p>
    <w:p w:rsidR="00FC3BFB" w:rsidRDefault="00FC3BFB" w:rsidP="00FC3BFB">
      <w:pPr>
        <w:pStyle w:val="NoSpacing"/>
        <w:rPr>
          <w:rFonts w:ascii="Arial" w:hAnsi="Arial" w:cs="Arial"/>
          <w:color w:val="000000"/>
          <w:sz w:val="20"/>
          <w:szCs w:val="20"/>
        </w:rPr>
      </w:pPr>
    </w:p>
    <w:p w:rsidR="00FC3BFB" w:rsidRDefault="00FC3BFB" w:rsidP="00FC3BFB">
      <w:pPr>
        <w:pStyle w:val="NoSpacing"/>
      </w:pPr>
      <w:r>
        <w:rPr>
          <w:rFonts w:ascii="Arial" w:hAnsi="Arial" w:cs="Arial"/>
          <w:color w:val="000000"/>
          <w:sz w:val="20"/>
          <w:szCs w:val="20"/>
        </w:rPr>
        <w:t xml:space="preserve">Training, C. (2019). </w:t>
      </w:r>
      <w:r>
        <w:rPr>
          <w:rFonts w:ascii="&amp;quot" w:hAnsi="&amp;quot"/>
          <w:i/>
          <w:iCs/>
          <w:color w:val="000000"/>
          <w:sz w:val="20"/>
          <w:szCs w:val="20"/>
        </w:rPr>
        <w:t>The 7 Benefits of Effective Communication in Personal and Professional Settings</w:t>
      </w:r>
      <w:r>
        <w:rPr>
          <w:rFonts w:ascii="Arial" w:hAnsi="Arial" w:cs="Arial"/>
          <w:color w:val="000000"/>
          <w:sz w:val="20"/>
          <w:szCs w:val="20"/>
        </w:rPr>
        <w:t>. [online] Climb.pcc.edu. Available at: http://climb.pcc.edu/blog/the-7-benefits-of-effective-communication-in-personal-and-professional-settings [Accessed 11 Jan. 2020].</w:t>
      </w:r>
    </w:p>
    <w:p w:rsidR="00FC3BFB" w:rsidRDefault="00FC3BFB"/>
    <w:p w:rsidR="00122468" w:rsidRDefault="00FC3BFB">
      <w:r>
        <w:br w:type="page"/>
      </w:r>
    </w:p>
    <w:p w:rsidR="00122468" w:rsidRPr="00270EEB" w:rsidRDefault="00122468" w:rsidP="00122468">
      <w:pPr>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Pr>
          <w:b/>
          <w:sz w:val="24"/>
          <w:szCs w:val="24"/>
        </w:rPr>
        <w:t>workbook</w:t>
      </w:r>
      <w:r w:rsidRPr="00270EEB">
        <w:rPr>
          <w:b/>
          <w:sz w:val="24"/>
          <w:szCs w:val="24"/>
        </w:rPr>
        <w:t xml:space="preserve"> completion) </w:t>
      </w:r>
    </w:p>
    <w:p w:rsidR="00122468" w:rsidRPr="00270EEB" w:rsidRDefault="00122468" w:rsidP="00122468">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122468" w:rsidRPr="00270EEB" w:rsidTr="00122468">
        <w:tc>
          <w:tcPr>
            <w:tcW w:w="2318" w:type="dxa"/>
            <w:shd w:val="clear" w:color="auto" w:fill="auto"/>
          </w:tcPr>
          <w:p w:rsidR="00122468" w:rsidRPr="00270EEB" w:rsidRDefault="00122468" w:rsidP="00122468">
            <w:pPr>
              <w:jc w:val="center"/>
              <w:rPr>
                <w:b/>
                <w:sz w:val="24"/>
                <w:szCs w:val="24"/>
              </w:rPr>
            </w:pPr>
          </w:p>
          <w:p w:rsidR="00122468" w:rsidRPr="00270EEB" w:rsidRDefault="00122468" w:rsidP="00122468">
            <w:pPr>
              <w:jc w:val="center"/>
              <w:rPr>
                <w:b/>
                <w:bCs/>
                <w:sz w:val="24"/>
                <w:szCs w:val="24"/>
              </w:rPr>
            </w:pPr>
            <w:r w:rsidRPr="62FE5CAF">
              <w:rPr>
                <w:b/>
                <w:bCs/>
                <w:sz w:val="24"/>
                <w:szCs w:val="24"/>
              </w:rPr>
              <w:t xml:space="preserve">Identified area for development </w:t>
            </w:r>
          </w:p>
          <w:p w:rsidR="00122468" w:rsidRPr="00270EEB" w:rsidRDefault="00122468" w:rsidP="00122468">
            <w:pPr>
              <w:jc w:val="center"/>
              <w:rPr>
                <w:b/>
                <w:sz w:val="24"/>
                <w:szCs w:val="24"/>
              </w:rPr>
            </w:pPr>
          </w:p>
        </w:tc>
        <w:tc>
          <w:tcPr>
            <w:tcW w:w="2249" w:type="dxa"/>
            <w:shd w:val="clear" w:color="auto" w:fill="auto"/>
          </w:tcPr>
          <w:p w:rsidR="00122468" w:rsidRPr="00270EEB" w:rsidRDefault="00122468" w:rsidP="00122468">
            <w:pPr>
              <w:jc w:val="center"/>
              <w:rPr>
                <w:b/>
                <w:sz w:val="24"/>
                <w:szCs w:val="24"/>
              </w:rPr>
            </w:pPr>
          </w:p>
          <w:p w:rsidR="00122468" w:rsidRPr="00270EEB" w:rsidRDefault="00122468" w:rsidP="00122468">
            <w:pPr>
              <w:jc w:val="center"/>
              <w:rPr>
                <w:b/>
                <w:sz w:val="24"/>
                <w:szCs w:val="24"/>
              </w:rPr>
            </w:pPr>
            <w:r w:rsidRPr="00270EEB">
              <w:rPr>
                <w:b/>
                <w:sz w:val="24"/>
                <w:szCs w:val="24"/>
              </w:rPr>
              <w:t>How it will be achieved</w:t>
            </w:r>
          </w:p>
        </w:tc>
        <w:tc>
          <w:tcPr>
            <w:tcW w:w="2230" w:type="dxa"/>
            <w:shd w:val="clear" w:color="auto" w:fill="auto"/>
          </w:tcPr>
          <w:p w:rsidR="00122468" w:rsidRPr="00270EEB" w:rsidRDefault="00122468" w:rsidP="00122468">
            <w:pPr>
              <w:jc w:val="center"/>
              <w:rPr>
                <w:b/>
                <w:sz w:val="24"/>
                <w:szCs w:val="24"/>
              </w:rPr>
            </w:pPr>
          </w:p>
          <w:p w:rsidR="00122468" w:rsidRPr="00270EEB" w:rsidRDefault="00122468" w:rsidP="00122468">
            <w:pPr>
              <w:jc w:val="center"/>
              <w:rPr>
                <w:b/>
                <w:bCs/>
                <w:sz w:val="24"/>
                <w:szCs w:val="24"/>
              </w:rPr>
            </w:pPr>
            <w:r w:rsidRPr="6E3AA50A">
              <w:rPr>
                <w:b/>
                <w:bCs/>
                <w:sz w:val="24"/>
                <w:szCs w:val="24"/>
              </w:rPr>
              <w:t>Who can provide support?</w:t>
            </w:r>
          </w:p>
        </w:tc>
        <w:tc>
          <w:tcPr>
            <w:tcW w:w="2230" w:type="dxa"/>
            <w:shd w:val="clear" w:color="auto" w:fill="auto"/>
          </w:tcPr>
          <w:p w:rsidR="00122468" w:rsidRDefault="00122468" w:rsidP="00122468">
            <w:pPr>
              <w:jc w:val="center"/>
              <w:rPr>
                <w:b/>
                <w:bCs/>
                <w:sz w:val="24"/>
                <w:szCs w:val="24"/>
              </w:rPr>
            </w:pPr>
          </w:p>
          <w:p w:rsidR="00122468" w:rsidRDefault="00122468" w:rsidP="00122468">
            <w:pPr>
              <w:jc w:val="center"/>
            </w:pPr>
            <w:r w:rsidRPr="62FE5CAF">
              <w:rPr>
                <w:b/>
                <w:bCs/>
                <w:sz w:val="24"/>
                <w:szCs w:val="24"/>
              </w:rPr>
              <w:t xml:space="preserve">Timeline </w:t>
            </w:r>
          </w:p>
        </w:tc>
      </w:tr>
      <w:tr w:rsidR="00122468" w:rsidRPr="00270EEB" w:rsidTr="00122468">
        <w:trPr>
          <w:trHeight w:val="2073"/>
        </w:trPr>
        <w:tc>
          <w:tcPr>
            <w:tcW w:w="2318" w:type="dxa"/>
            <w:shd w:val="clear" w:color="auto" w:fill="auto"/>
          </w:tcPr>
          <w:p w:rsidR="00122468" w:rsidRPr="00270EEB" w:rsidRDefault="00122468" w:rsidP="00122468">
            <w:pPr>
              <w:jc w:val="center"/>
              <w:rPr>
                <w:sz w:val="24"/>
                <w:szCs w:val="24"/>
              </w:rPr>
            </w:pPr>
          </w:p>
          <w:p w:rsidR="00122468" w:rsidRPr="00270EEB" w:rsidRDefault="00122468" w:rsidP="00122468">
            <w:pPr>
              <w:jc w:val="center"/>
              <w:rPr>
                <w:sz w:val="24"/>
                <w:szCs w:val="24"/>
              </w:rPr>
            </w:pPr>
            <w:r>
              <w:rPr>
                <w:sz w:val="24"/>
                <w:szCs w:val="24"/>
              </w:rPr>
              <w:t>An attachment has been organised to work on NPT department, with this I am hoping to deal with more ASB related calls to broaden my experiences and provide me with more material to consider when writing the essats</w:t>
            </w:r>
          </w:p>
        </w:tc>
        <w:tc>
          <w:tcPr>
            <w:tcW w:w="2249" w:type="dxa"/>
            <w:shd w:val="clear" w:color="auto" w:fill="auto"/>
          </w:tcPr>
          <w:p w:rsidR="00122468" w:rsidRPr="00270EEB" w:rsidRDefault="00076FC7" w:rsidP="00076FC7">
            <w:pPr>
              <w:jc w:val="center"/>
              <w:rPr>
                <w:sz w:val="24"/>
                <w:szCs w:val="24"/>
              </w:rPr>
            </w:pPr>
            <w:r>
              <w:rPr>
                <w:sz w:val="24"/>
                <w:szCs w:val="24"/>
              </w:rPr>
              <w:t>Complete attachment</w:t>
            </w:r>
          </w:p>
        </w:tc>
        <w:tc>
          <w:tcPr>
            <w:tcW w:w="2230" w:type="dxa"/>
            <w:shd w:val="clear" w:color="auto" w:fill="auto"/>
          </w:tcPr>
          <w:p w:rsidR="00122468" w:rsidRPr="00270EEB" w:rsidRDefault="00076FC7" w:rsidP="00122468">
            <w:pPr>
              <w:jc w:val="center"/>
              <w:rPr>
                <w:sz w:val="24"/>
                <w:szCs w:val="24"/>
              </w:rPr>
            </w:pPr>
            <w:r>
              <w:rPr>
                <w:sz w:val="24"/>
                <w:szCs w:val="24"/>
              </w:rPr>
              <w:t>My sergeant and NPT sergeant</w:t>
            </w:r>
          </w:p>
        </w:tc>
        <w:tc>
          <w:tcPr>
            <w:tcW w:w="2230" w:type="dxa"/>
            <w:shd w:val="clear" w:color="auto" w:fill="auto"/>
          </w:tcPr>
          <w:p w:rsidR="00122468" w:rsidRDefault="00122468" w:rsidP="00122468">
            <w:pPr>
              <w:jc w:val="center"/>
              <w:rPr>
                <w:sz w:val="24"/>
                <w:szCs w:val="24"/>
              </w:rPr>
            </w:pPr>
            <w:r>
              <w:rPr>
                <w:sz w:val="24"/>
                <w:szCs w:val="24"/>
              </w:rPr>
              <w:t>Ongoing.</w:t>
            </w:r>
          </w:p>
        </w:tc>
      </w:tr>
      <w:tr w:rsidR="00122468" w:rsidRPr="00270EEB" w:rsidTr="00122468">
        <w:tc>
          <w:tcPr>
            <w:tcW w:w="2318" w:type="dxa"/>
            <w:shd w:val="clear" w:color="auto" w:fill="auto"/>
          </w:tcPr>
          <w:p w:rsidR="00122468" w:rsidRPr="00270EEB" w:rsidRDefault="00122468" w:rsidP="00122468">
            <w:pPr>
              <w:jc w:val="center"/>
              <w:rPr>
                <w:sz w:val="24"/>
                <w:szCs w:val="24"/>
              </w:rPr>
            </w:pPr>
          </w:p>
          <w:p w:rsidR="00122468" w:rsidRPr="00270EEB" w:rsidRDefault="00076FC7" w:rsidP="00122468">
            <w:pPr>
              <w:jc w:val="center"/>
              <w:rPr>
                <w:sz w:val="24"/>
                <w:szCs w:val="24"/>
              </w:rPr>
            </w:pPr>
            <w:r>
              <w:rPr>
                <w:sz w:val="24"/>
                <w:szCs w:val="24"/>
              </w:rPr>
              <w:t>I am yet to attend an incident that is hate crime related. I would like to broaden my experience in relation to more cultural issues in order to gain more experience.</w:t>
            </w:r>
          </w:p>
          <w:p w:rsidR="00122468" w:rsidRPr="00270EEB" w:rsidRDefault="00122468" w:rsidP="00122468">
            <w:pPr>
              <w:jc w:val="center"/>
              <w:rPr>
                <w:sz w:val="24"/>
                <w:szCs w:val="24"/>
              </w:rPr>
            </w:pPr>
          </w:p>
          <w:p w:rsidR="00122468" w:rsidRPr="00270EEB" w:rsidRDefault="00122468" w:rsidP="00122468">
            <w:pPr>
              <w:jc w:val="center"/>
              <w:rPr>
                <w:sz w:val="24"/>
                <w:szCs w:val="24"/>
              </w:rPr>
            </w:pPr>
          </w:p>
          <w:p w:rsidR="00122468" w:rsidRPr="00270EEB" w:rsidRDefault="00122468" w:rsidP="00122468">
            <w:pPr>
              <w:jc w:val="center"/>
              <w:rPr>
                <w:sz w:val="24"/>
                <w:szCs w:val="24"/>
              </w:rPr>
            </w:pPr>
          </w:p>
        </w:tc>
        <w:tc>
          <w:tcPr>
            <w:tcW w:w="2249" w:type="dxa"/>
            <w:shd w:val="clear" w:color="auto" w:fill="auto"/>
          </w:tcPr>
          <w:p w:rsidR="00122468" w:rsidRPr="00270EEB" w:rsidRDefault="00076FC7" w:rsidP="00076FC7">
            <w:pPr>
              <w:jc w:val="center"/>
              <w:rPr>
                <w:sz w:val="24"/>
                <w:szCs w:val="24"/>
              </w:rPr>
            </w:pPr>
            <w:r>
              <w:rPr>
                <w:sz w:val="24"/>
                <w:szCs w:val="24"/>
              </w:rPr>
              <w:t>I will speak with my sergeant in order to accommodate this</w:t>
            </w:r>
          </w:p>
        </w:tc>
        <w:tc>
          <w:tcPr>
            <w:tcW w:w="2230" w:type="dxa"/>
            <w:shd w:val="clear" w:color="auto" w:fill="auto"/>
          </w:tcPr>
          <w:p w:rsidR="00122468" w:rsidRPr="00270EEB" w:rsidRDefault="00076FC7" w:rsidP="00122468">
            <w:pPr>
              <w:jc w:val="center"/>
              <w:rPr>
                <w:sz w:val="24"/>
                <w:szCs w:val="24"/>
              </w:rPr>
            </w:pPr>
            <w:r>
              <w:rPr>
                <w:sz w:val="24"/>
                <w:szCs w:val="24"/>
              </w:rPr>
              <w:t>My sergeant</w:t>
            </w:r>
          </w:p>
        </w:tc>
        <w:tc>
          <w:tcPr>
            <w:tcW w:w="2230" w:type="dxa"/>
            <w:shd w:val="clear" w:color="auto" w:fill="auto"/>
          </w:tcPr>
          <w:p w:rsidR="00122468" w:rsidRDefault="00122468" w:rsidP="00122468">
            <w:pPr>
              <w:jc w:val="center"/>
              <w:rPr>
                <w:sz w:val="24"/>
                <w:szCs w:val="24"/>
              </w:rPr>
            </w:pPr>
            <w:r>
              <w:rPr>
                <w:sz w:val="24"/>
                <w:szCs w:val="24"/>
              </w:rPr>
              <w:t>Ongoing</w:t>
            </w:r>
          </w:p>
        </w:tc>
      </w:tr>
      <w:tr w:rsidR="00122468" w:rsidRPr="00270EEB" w:rsidTr="00122468">
        <w:tc>
          <w:tcPr>
            <w:tcW w:w="2318" w:type="dxa"/>
            <w:shd w:val="clear" w:color="auto" w:fill="auto"/>
          </w:tcPr>
          <w:p w:rsidR="00122468" w:rsidRPr="00270EEB" w:rsidRDefault="00076FC7" w:rsidP="00122468">
            <w:pPr>
              <w:jc w:val="center"/>
              <w:rPr>
                <w:sz w:val="24"/>
                <w:szCs w:val="24"/>
              </w:rPr>
            </w:pPr>
            <w:r>
              <w:rPr>
                <w:sz w:val="24"/>
                <w:szCs w:val="24"/>
              </w:rPr>
              <w:t>I would like to experience covert surveillance in order to get a better understanding of the procedures and gain experience in order to broaden opportunities.</w:t>
            </w:r>
          </w:p>
          <w:p w:rsidR="00122468" w:rsidRPr="00270EEB" w:rsidRDefault="00122468" w:rsidP="00122468">
            <w:pPr>
              <w:jc w:val="center"/>
              <w:rPr>
                <w:sz w:val="24"/>
                <w:szCs w:val="24"/>
              </w:rPr>
            </w:pPr>
          </w:p>
          <w:p w:rsidR="00122468" w:rsidRPr="00270EEB" w:rsidRDefault="00122468" w:rsidP="00122468">
            <w:pPr>
              <w:jc w:val="center"/>
              <w:rPr>
                <w:sz w:val="24"/>
                <w:szCs w:val="24"/>
              </w:rPr>
            </w:pPr>
          </w:p>
          <w:p w:rsidR="00122468" w:rsidRPr="00270EEB" w:rsidRDefault="00122468" w:rsidP="00122468">
            <w:pPr>
              <w:rPr>
                <w:sz w:val="24"/>
                <w:szCs w:val="24"/>
              </w:rPr>
            </w:pPr>
          </w:p>
        </w:tc>
        <w:tc>
          <w:tcPr>
            <w:tcW w:w="2249" w:type="dxa"/>
            <w:shd w:val="clear" w:color="auto" w:fill="auto"/>
          </w:tcPr>
          <w:p w:rsidR="00122468" w:rsidRPr="00270EEB" w:rsidRDefault="00076FC7" w:rsidP="00076FC7">
            <w:pPr>
              <w:jc w:val="center"/>
              <w:rPr>
                <w:sz w:val="24"/>
                <w:szCs w:val="24"/>
              </w:rPr>
            </w:pPr>
            <w:r>
              <w:rPr>
                <w:sz w:val="24"/>
                <w:szCs w:val="24"/>
              </w:rPr>
              <w:t xml:space="preserve">Enquire about availability for covert surveillance </w:t>
            </w:r>
          </w:p>
        </w:tc>
        <w:tc>
          <w:tcPr>
            <w:tcW w:w="2230" w:type="dxa"/>
            <w:shd w:val="clear" w:color="auto" w:fill="auto"/>
          </w:tcPr>
          <w:p w:rsidR="00122468" w:rsidRPr="00270EEB" w:rsidRDefault="00076FC7" w:rsidP="00122468">
            <w:pPr>
              <w:jc w:val="center"/>
              <w:rPr>
                <w:sz w:val="24"/>
                <w:szCs w:val="24"/>
              </w:rPr>
            </w:pPr>
            <w:r>
              <w:rPr>
                <w:sz w:val="24"/>
                <w:szCs w:val="24"/>
              </w:rPr>
              <w:t>My sergeant</w:t>
            </w:r>
          </w:p>
        </w:tc>
        <w:tc>
          <w:tcPr>
            <w:tcW w:w="2230" w:type="dxa"/>
            <w:shd w:val="clear" w:color="auto" w:fill="auto"/>
          </w:tcPr>
          <w:p w:rsidR="00122468" w:rsidRDefault="00076FC7" w:rsidP="00076FC7">
            <w:pPr>
              <w:jc w:val="center"/>
              <w:rPr>
                <w:sz w:val="24"/>
                <w:szCs w:val="24"/>
              </w:rPr>
            </w:pPr>
            <w:r>
              <w:rPr>
                <w:sz w:val="24"/>
                <w:szCs w:val="24"/>
              </w:rPr>
              <w:t>On going</w:t>
            </w:r>
          </w:p>
          <w:p w:rsidR="00122468" w:rsidRDefault="00122468" w:rsidP="00122468">
            <w:pPr>
              <w:rPr>
                <w:sz w:val="24"/>
                <w:szCs w:val="24"/>
              </w:rPr>
            </w:pPr>
          </w:p>
        </w:tc>
      </w:tr>
    </w:tbl>
    <w:p w:rsidR="00122468" w:rsidRDefault="00122468">
      <w:bookmarkStart w:id="0" w:name="_GoBack"/>
      <w:bookmarkEnd w:id="0"/>
      <w:r>
        <w:br w:type="page"/>
      </w:r>
    </w:p>
    <w:p w:rsidR="00FC3BFB" w:rsidRDefault="00FC3BFB"/>
    <w:p w:rsidR="00122468" w:rsidRDefault="005C5E8C">
      <w:r>
        <w:rPr>
          <w:noProof/>
          <w:lang w:eastAsia="en-GB"/>
        </w:rPr>
        <w:drawing>
          <wp:inline distT="0" distB="0" distL="0" distR="0" wp14:anchorId="4DE47483" wp14:editId="1EE950D3">
            <wp:extent cx="5731510" cy="323215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32150"/>
                    </a:xfrm>
                    <a:prstGeom prst="rect">
                      <a:avLst/>
                    </a:prstGeom>
                  </pic:spPr>
                </pic:pic>
              </a:graphicData>
            </a:graphic>
          </wp:inline>
        </w:drawing>
      </w:r>
    </w:p>
    <w:sectPr w:rsidR="00122468" w:rsidSect="00A92CC3">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2468" w:rsidRDefault="00122468" w:rsidP="00A92CC3">
      <w:pPr>
        <w:spacing w:after="0" w:line="240" w:lineRule="auto"/>
      </w:pPr>
      <w:r>
        <w:separator/>
      </w:r>
    </w:p>
  </w:endnote>
  <w:endnote w:type="continuationSeparator" w:id="0">
    <w:p w:rsidR="00122468" w:rsidRDefault="00122468" w:rsidP="00A92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468" w:rsidRDefault="00076FC7" w:rsidP="00076FC7">
    <w:pPr>
      <w:pStyle w:val="Footer"/>
      <w:rPr>
        <w:color w:val="000000"/>
        <w:sz w:val="17"/>
      </w:rPr>
    </w:pPr>
    <w:bookmarkStart w:id="3" w:name="TITUS1FooterEvenPages"/>
    <w:r>
      <w:rPr>
        <w:color w:val="000000"/>
        <w:sz w:val="17"/>
      </w:rPr>
      <w:t> </w:t>
    </w:r>
  </w:p>
  <w:bookmarkEnd w:id="3"/>
  <w:p w:rsidR="00122468" w:rsidRDefault="00122468" w:rsidP="00A92CC3">
    <w:pPr>
      <w:pStyle w:val="Footer"/>
    </w:pPr>
  </w:p>
  <w:p w:rsidR="00122468" w:rsidRDefault="001224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468" w:rsidRDefault="00076FC7" w:rsidP="00076FC7">
    <w:pPr>
      <w:pStyle w:val="Footer"/>
      <w:rPr>
        <w:color w:val="000000"/>
        <w:sz w:val="17"/>
      </w:rPr>
    </w:pPr>
    <w:bookmarkStart w:id="4" w:name="TITUS1FooterPrimary"/>
    <w:r>
      <w:rPr>
        <w:color w:val="000000"/>
        <w:sz w:val="17"/>
      </w:rPr>
      <w:t> </w:t>
    </w:r>
  </w:p>
  <w:bookmarkEnd w:id="4"/>
  <w:p w:rsidR="00122468" w:rsidRDefault="001224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468" w:rsidRDefault="00076FC7" w:rsidP="00076FC7">
    <w:pPr>
      <w:pStyle w:val="Footer"/>
      <w:rPr>
        <w:color w:val="000000"/>
        <w:sz w:val="17"/>
      </w:rPr>
    </w:pPr>
    <w:bookmarkStart w:id="6" w:name="TITUS1FooterFirstPage"/>
    <w:r>
      <w:rPr>
        <w:color w:val="000000"/>
        <w:sz w:val="17"/>
      </w:rPr>
      <w:t> </w:t>
    </w:r>
  </w:p>
  <w:bookmarkEnd w:id="6"/>
  <w:p w:rsidR="00122468" w:rsidRDefault="001224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2468" w:rsidRDefault="00122468" w:rsidP="00A92CC3">
      <w:pPr>
        <w:spacing w:after="0" w:line="240" w:lineRule="auto"/>
      </w:pPr>
      <w:r>
        <w:separator/>
      </w:r>
    </w:p>
  </w:footnote>
  <w:footnote w:type="continuationSeparator" w:id="0">
    <w:p w:rsidR="00122468" w:rsidRDefault="00122468" w:rsidP="00A92C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468" w:rsidRDefault="00076FC7" w:rsidP="00076FC7">
    <w:pPr>
      <w:pStyle w:val="Header"/>
      <w:rPr>
        <w:color w:val="000000"/>
        <w:sz w:val="17"/>
      </w:rPr>
    </w:pPr>
    <w:bookmarkStart w:id="1" w:name="TITUS1HeaderEvenPages"/>
    <w:r>
      <w:rPr>
        <w:color w:val="000000"/>
        <w:sz w:val="17"/>
      </w:rPr>
      <w:t> </w:t>
    </w:r>
  </w:p>
  <w:bookmarkEnd w:id="1"/>
  <w:p w:rsidR="00122468" w:rsidRDefault="00122468" w:rsidP="00A92CC3">
    <w:pPr>
      <w:pStyle w:val="Header"/>
    </w:pPr>
  </w:p>
  <w:p w:rsidR="00122468" w:rsidRDefault="001224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468" w:rsidRDefault="00076FC7" w:rsidP="00076FC7">
    <w:pPr>
      <w:pStyle w:val="Header"/>
      <w:rPr>
        <w:color w:val="000000"/>
        <w:sz w:val="17"/>
      </w:rPr>
    </w:pPr>
    <w:bookmarkStart w:id="2" w:name="TITUS1HeaderPrimary"/>
    <w:r>
      <w:rPr>
        <w:color w:val="000000"/>
        <w:sz w:val="17"/>
      </w:rPr>
      <w:t> </w:t>
    </w:r>
  </w:p>
  <w:bookmarkEnd w:id="2"/>
  <w:p w:rsidR="00122468" w:rsidRDefault="001224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468" w:rsidRDefault="00076FC7" w:rsidP="00076FC7">
    <w:pPr>
      <w:pStyle w:val="Header"/>
      <w:rPr>
        <w:color w:val="000000"/>
        <w:sz w:val="17"/>
      </w:rPr>
    </w:pPr>
    <w:bookmarkStart w:id="5" w:name="TITUS1HeaderFirstPage"/>
    <w:r>
      <w:rPr>
        <w:color w:val="000000"/>
        <w:sz w:val="17"/>
      </w:rPr>
      <w:t> </w:t>
    </w:r>
  </w:p>
  <w:bookmarkEnd w:id="5"/>
  <w:p w:rsidR="00122468" w:rsidRDefault="0012246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evenAndOddHeaders/>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BFB"/>
    <w:rsid w:val="00076FC7"/>
    <w:rsid w:val="00122468"/>
    <w:rsid w:val="001439CD"/>
    <w:rsid w:val="003E1ED5"/>
    <w:rsid w:val="005C5E8C"/>
    <w:rsid w:val="00676803"/>
    <w:rsid w:val="0077699B"/>
    <w:rsid w:val="008B4929"/>
    <w:rsid w:val="008C5A6B"/>
    <w:rsid w:val="00A92CC3"/>
    <w:rsid w:val="00FC2C92"/>
    <w:rsid w:val="00FC3B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8B7747"/>
  <w15:chartTrackingRefBased/>
  <w15:docId w15:val="{07FA0459-F04C-423C-89F2-581B977CB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3B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3BFB"/>
    <w:pPr>
      <w:spacing w:after="0" w:line="240" w:lineRule="auto"/>
    </w:pPr>
  </w:style>
  <w:style w:type="paragraph" w:styleId="Header">
    <w:name w:val="header"/>
    <w:basedOn w:val="Normal"/>
    <w:link w:val="HeaderChar"/>
    <w:uiPriority w:val="99"/>
    <w:unhideWhenUsed/>
    <w:rsid w:val="00FC3B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3BFB"/>
  </w:style>
  <w:style w:type="paragraph" w:styleId="Footer">
    <w:name w:val="footer"/>
    <w:basedOn w:val="Normal"/>
    <w:link w:val="FooterChar"/>
    <w:uiPriority w:val="99"/>
    <w:unhideWhenUsed/>
    <w:rsid w:val="00FC3B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3B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855F85-4125-4BB4-99AF-3B17B0D39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18</Pages>
  <Words>7274</Words>
  <Characters>41468</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Payne,Alex swp6460</dc:creator>
  <cp:keywords/>
  <dc:description/>
  <cp:lastModifiedBy>Payne,Alex swp6460</cp:lastModifiedBy>
  <cp:revision>2</cp:revision>
  <dcterms:created xsi:type="dcterms:W3CDTF">2020-01-19T19:13:00Z</dcterms:created>
  <dcterms:modified xsi:type="dcterms:W3CDTF">2020-01-19T21:17:00Z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23b94d29-f923-4ca7-94a9-0692956c9d70</vt:lpwstr>
  </property>
  <property fmtid="{D5CDD505-2E9C-101B-9397-08002B2CF9AE}" pid="3" name="Classification">
    <vt:lpwstr>OFFICIAL</vt:lpwstr>
  </property>
  <property fmtid="{D5CDD505-2E9C-101B-9397-08002B2CF9AE}" pid="4" name="Visibility">
    <vt:lpwstr>NOT VISIBLE</vt:lpwstr>
  </property>
</Properties>
</file>