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AA23BF" w14:textId="7394B694" w:rsidR="004179B9" w:rsidRDefault="003C7648" w:rsidP="003C7648">
      <w:pPr>
        <w:jc w:val="center"/>
        <w:rPr>
          <w:b/>
          <w:bCs/>
          <w:sz w:val="28"/>
          <w:szCs w:val="28"/>
        </w:rPr>
      </w:pPr>
      <w:bookmarkStart w:id="0" w:name="_GoBack"/>
      <w:bookmarkEnd w:id="0"/>
      <w:r w:rsidRPr="003C7648">
        <w:rPr>
          <w:b/>
          <w:bCs/>
          <w:sz w:val="28"/>
          <w:szCs w:val="28"/>
        </w:rPr>
        <w:t>Image</w:t>
      </w:r>
      <w:r>
        <w:rPr>
          <w:b/>
          <w:bCs/>
          <w:sz w:val="28"/>
          <w:szCs w:val="28"/>
        </w:rPr>
        <w:t xml:space="preserve"> Commentary – The Alfred Jewel</w:t>
      </w:r>
    </w:p>
    <w:p w14:paraId="2B2D4886" w14:textId="034400CB" w:rsidR="003C7648" w:rsidRDefault="003C7648" w:rsidP="003C7648">
      <w:pPr>
        <w:jc w:val="center"/>
        <w:rPr>
          <w:b/>
          <w:bCs/>
          <w:sz w:val="28"/>
          <w:szCs w:val="28"/>
        </w:rPr>
      </w:pPr>
    </w:p>
    <w:p w14:paraId="62DF237E" w14:textId="1A9A2AD2" w:rsidR="003C7648" w:rsidRDefault="003C7648" w:rsidP="003C7648">
      <w:pPr>
        <w:rPr>
          <w:b/>
          <w:bCs/>
        </w:rPr>
      </w:pPr>
      <w:r>
        <w:rPr>
          <w:b/>
          <w:bCs/>
        </w:rPr>
        <w:t>Introduction</w:t>
      </w:r>
    </w:p>
    <w:p w14:paraId="276984D8" w14:textId="569FBB7F" w:rsidR="003C7648" w:rsidRDefault="003C7648" w:rsidP="003C7648">
      <w:r>
        <w:t xml:space="preserve">In an era where reading remained the preserve of a privileged few, conveying a message through imagery was much more significant than it is today, where we rely on words to convey meaning. Visual culture was therefore a part of everyday life in the medieval period, with meaning conveyed through illustrations, murals, sculptures, and objects such as the Alfred Jewel. The Jewel can give us information from the image depicted, from its design </w:t>
      </w:r>
      <w:proofErr w:type="gramStart"/>
      <w:r>
        <w:t>and also</w:t>
      </w:r>
      <w:proofErr w:type="gramEnd"/>
      <w:r>
        <w:t xml:space="preserve"> from its possible use, even though there is no contemporary written record. The Jewel was discovered in 1693 in moorland at Newton Park in Somerset. The location is four miles from </w:t>
      </w:r>
      <w:proofErr w:type="spellStart"/>
      <w:r>
        <w:t>Athelney</w:t>
      </w:r>
      <w:proofErr w:type="spellEnd"/>
      <w:r>
        <w:t xml:space="preserve">, where King Alfred sought refuge from the Vikings before his victory at the battle of Edington in 878AD. Alfred founded a monastery at </w:t>
      </w:r>
      <w:proofErr w:type="spellStart"/>
      <w:r>
        <w:t>Athelney</w:t>
      </w:r>
      <w:proofErr w:type="spellEnd"/>
      <w:r>
        <w:t xml:space="preserve"> in commemoration of his victory.</w:t>
      </w:r>
    </w:p>
    <w:p w14:paraId="48E8CB35" w14:textId="25C89975" w:rsidR="003C7648" w:rsidRDefault="003C7648" w:rsidP="003C7648"/>
    <w:p w14:paraId="1BB3D1E2" w14:textId="45BD3459" w:rsidR="003C7648" w:rsidRDefault="00690BA0" w:rsidP="003C7648">
      <w:pPr>
        <w:rPr>
          <w:b/>
          <w:bCs/>
        </w:rPr>
      </w:pPr>
      <w:r>
        <w:rPr>
          <w:b/>
          <w:bCs/>
        </w:rPr>
        <w:t>Content</w:t>
      </w:r>
    </w:p>
    <w:p w14:paraId="068E1500" w14:textId="63C2F49E" w:rsidR="00690BA0" w:rsidRDefault="00690BA0" w:rsidP="003C7648">
      <w:pPr>
        <w:rPr>
          <w:rFonts w:cstheme="minorHAnsi"/>
        </w:rPr>
      </w:pPr>
      <w:r>
        <w:t>The Jewel consists of shaped, polished rock crystal overlaying a cloisonn</w:t>
      </w:r>
      <w:r>
        <w:rPr>
          <w:rFonts w:cstheme="minorHAnsi"/>
        </w:rPr>
        <w:t xml:space="preserve">é enamel figure, surrounded by a gold frame into which are cut the letters in Old English AELFRED MEC HEHT GEWYRCAN (Alfred Ordered Me </w:t>
      </w:r>
      <w:proofErr w:type="gramStart"/>
      <w:r>
        <w:rPr>
          <w:rFonts w:cstheme="minorHAnsi"/>
        </w:rPr>
        <w:t>To</w:t>
      </w:r>
      <w:proofErr w:type="gramEnd"/>
      <w:r>
        <w:rPr>
          <w:rFonts w:cstheme="minorHAnsi"/>
        </w:rPr>
        <w:t xml:space="preserve"> Be Made). The frame tapers to a gold animal’s head, holding a short tube in its mouth with a gold rivet at the end. The back of the Jewel is flat, with a plant pattern engraved over it.</w:t>
      </w:r>
    </w:p>
    <w:p w14:paraId="492F3C3F" w14:textId="72A4E70E" w:rsidR="00690BA0" w:rsidRDefault="00690BA0" w:rsidP="00690BA0">
      <w:pPr>
        <w:pStyle w:val="ListParagraph"/>
        <w:numPr>
          <w:ilvl w:val="0"/>
          <w:numId w:val="1"/>
        </w:numPr>
        <w:rPr>
          <w:b/>
          <w:bCs/>
        </w:rPr>
      </w:pPr>
      <w:r>
        <w:rPr>
          <w:b/>
          <w:bCs/>
        </w:rPr>
        <w:t>The Enamel Image</w:t>
      </w:r>
    </w:p>
    <w:p w14:paraId="73EE6986" w14:textId="77777777" w:rsidR="00690BA0" w:rsidRDefault="00690BA0" w:rsidP="00690BA0">
      <w:pPr>
        <w:pStyle w:val="ListParagraph"/>
      </w:pPr>
      <w:r>
        <w:t>The Jewel depicts a figure in an informal pose, holding in each hand a flowering plant stem. The figure has been thought to represent Kind Alfred,</w:t>
      </w:r>
      <w:r>
        <w:rPr>
          <w:rStyle w:val="FootnoteReference"/>
        </w:rPr>
        <w:footnoteReference w:id="1"/>
      </w:r>
      <w:r>
        <w:t xml:space="preserve"> however there is no crown or other kingly imagery. As imagery was used to convey meaning, an audience would have expected to identify a king with the ‘right’ objects.</w:t>
      </w:r>
    </w:p>
    <w:p w14:paraId="40AC8D7A" w14:textId="77777777" w:rsidR="00CB2B6B" w:rsidRDefault="00690BA0" w:rsidP="00690BA0">
      <w:pPr>
        <w:pStyle w:val="ListParagraph"/>
      </w:pPr>
      <w:r>
        <w:t xml:space="preserve">There is a parallel image in the Book of </w:t>
      </w:r>
      <w:proofErr w:type="spellStart"/>
      <w:r>
        <w:t>Kells</w:t>
      </w:r>
      <w:proofErr w:type="spellEnd"/>
      <w:r w:rsidR="00CB2B6B">
        <w:t xml:space="preserve"> (Trinity College, Dublin), which was probably painted in the 9</w:t>
      </w:r>
      <w:r w:rsidR="00CB2B6B" w:rsidRPr="00CB2B6B">
        <w:rPr>
          <w:vertAlign w:val="superscript"/>
        </w:rPr>
        <w:t>th</w:t>
      </w:r>
      <w:r w:rsidR="00CB2B6B">
        <w:t xml:space="preserve"> Century, showing the young Christ in the temple with two crossed plant stems, as in the Jewel image. But the figure in the Jewel has no halo – again an audience used to ‘</w:t>
      </w:r>
      <w:proofErr w:type="gramStart"/>
      <w:r w:rsidR="00CB2B6B">
        <w:t>reading</w:t>
      </w:r>
      <w:proofErr w:type="gramEnd"/>
      <w:r w:rsidR="00CB2B6B">
        <w:t>’ imagery would have expected a depiction of Christ to have one.</w:t>
      </w:r>
    </w:p>
    <w:p w14:paraId="3B40F2FB" w14:textId="7531B74F" w:rsidR="00690BA0" w:rsidRDefault="00CB2B6B" w:rsidP="00690BA0">
      <w:pPr>
        <w:pStyle w:val="ListParagraph"/>
      </w:pPr>
      <w:r>
        <w:t xml:space="preserve">John Earle suggested that the figure must have been influenced by the Book of </w:t>
      </w:r>
      <w:proofErr w:type="spellStart"/>
      <w:r>
        <w:t>Kells</w:t>
      </w:r>
      <w:proofErr w:type="spellEnd"/>
      <w:r>
        <w:t xml:space="preserve"> and represents ‘</w:t>
      </w:r>
      <w:r>
        <w:rPr>
          <w:i/>
          <w:iCs/>
        </w:rPr>
        <w:t>papal authority as the vice-regent of Christ</w:t>
      </w:r>
      <w:proofErr w:type="gramStart"/>
      <w:r>
        <w:rPr>
          <w:i/>
          <w:iCs/>
        </w:rPr>
        <w:t xml:space="preserve">’ </w:t>
      </w:r>
      <w:r>
        <w:t>,</w:t>
      </w:r>
      <w:proofErr w:type="gramEnd"/>
      <w:r>
        <w:t xml:space="preserve"> and that the stems are wands with heads of feathers.</w:t>
      </w:r>
      <w:r>
        <w:rPr>
          <w:rStyle w:val="FootnoteReference"/>
        </w:rPr>
        <w:footnoteReference w:id="2"/>
      </w:r>
      <w:r w:rsidR="00690BA0">
        <w:t xml:space="preserve"> </w:t>
      </w:r>
    </w:p>
    <w:p w14:paraId="0F523C8D" w14:textId="6B54B926" w:rsidR="00CB2B6B" w:rsidRDefault="00CB2B6B" w:rsidP="00690BA0">
      <w:pPr>
        <w:pStyle w:val="ListParagraph"/>
      </w:pPr>
      <w:r>
        <w:t xml:space="preserve">The figure could represent Sight. On the Fuller Brooch (British Museum) there is a depiction of the five senses and the Sight figure resembles the Alfred Jewel. Referring to the function of the Jewel, discussed below, </w:t>
      </w:r>
      <w:proofErr w:type="gramStart"/>
      <w:r>
        <w:t>Sight</w:t>
      </w:r>
      <w:proofErr w:type="gramEnd"/>
      <w:r>
        <w:t xml:space="preserve"> would of course be necessary for wisdom, therefore reading.</w:t>
      </w:r>
      <w:r>
        <w:rPr>
          <w:rStyle w:val="FootnoteReference"/>
        </w:rPr>
        <w:footnoteReference w:id="3"/>
      </w:r>
    </w:p>
    <w:p w14:paraId="2C4FCB5C" w14:textId="2DA26507" w:rsidR="00A86D58" w:rsidRDefault="00A86D58" w:rsidP="00690BA0">
      <w:pPr>
        <w:pStyle w:val="ListParagraph"/>
      </w:pPr>
    </w:p>
    <w:p w14:paraId="4A0A97E8" w14:textId="48A9DE6B" w:rsidR="00A86D58" w:rsidRDefault="00A86D58" w:rsidP="00A86D58">
      <w:pPr>
        <w:pStyle w:val="ListParagraph"/>
        <w:numPr>
          <w:ilvl w:val="0"/>
          <w:numId w:val="1"/>
        </w:numPr>
        <w:rPr>
          <w:b/>
          <w:bCs/>
        </w:rPr>
      </w:pPr>
      <w:r>
        <w:rPr>
          <w:b/>
          <w:bCs/>
        </w:rPr>
        <w:t>The Crystal</w:t>
      </w:r>
    </w:p>
    <w:p w14:paraId="37C68C29" w14:textId="0505DA50" w:rsidR="00A86D58" w:rsidRDefault="00A86D58" w:rsidP="00A86D58">
      <w:pPr>
        <w:pStyle w:val="ListParagraph"/>
      </w:pPr>
      <w:r>
        <w:lastRenderedPageBreak/>
        <w:t>Polished crystal is translucent and was highly prized, being symbolic of purity. Bede had noted that the word ‘crystal’ sounds like ‘</w:t>
      </w:r>
      <w:proofErr w:type="spellStart"/>
      <w:r>
        <w:t>cristsmael</w:t>
      </w:r>
      <w:proofErr w:type="spellEnd"/>
      <w:r>
        <w:t>’, meaning Christ’s Cross, which further popularised the stone.</w:t>
      </w:r>
      <w:r>
        <w:rPr>
          <w:rStyle w:val="FootnoteReference"/>
        </w:rPr>
        <w:footnoteReference w:id="4"/>
      </w:r>
    </w:p>
    <w:p w14:paraId="4C94D98C" w14:textId="056AA954" w:rsidR="00A86D58" w:rsidRDefault="00A86D58" w:rsidP="00A86D58">
      <w:pPr>
        <w:pStyle w:val="ListParagraph"/>
      </w:pPr>
    </w:p>
    <w:p w14:paraId="67EEAA58" w14:textId="1F91AAEC" w:rsidR="00A86D58" w:rsidRDefault="00A86D58" w:rsidP="00A86D58">
      <w:pPr>
        <w:pStyle w:val="ListParagraph"/>
        <w:numPr>
          <w:ilvl w:val="0"/>
          <w:numId w:val="1"/>
        </w:numPr>
        <w:rPr>
          <w:b/>
          <w:bCs/>
        </w:rPr>
      </w:pPr>
      <w:r>
        <w:rPr>
          <w:b/>
          <w:bCs/>
        </w:rPr>
        <w:t>The Inscription</w:t>
      </w:r>
    </w:p>
    <w:p w14:paraId="3256D4EF" w14:textId="77777777" w:rsidR="00A86D58" w:rsidRDefault="00A86D58" w:rsidP="00A86D58">
      <w:pPr>
        <w:pStyle w:val="ListParagraph"/>
        <w:rPr>
          <w:b/>
          <w:bCs/>
        </w:rPr>
      </w:pPr>
    </w:p>
    <w:p w14:paraId="2B10B9E6" w14:textId="13F426EA" w:rsidR="00A86D58" w:rsidRDefault="00A86D58" w:rsidP="00A86D58">
      <w:pPr>
        <w:pStyle w:val="ListParagraph"/>
      </w:pPr>
      <w:r>
        <w:t>The words ‘Alfred had me made’</w:t>
      </w:r>
      <w:r w:rsidR="009B49D5">
        <w:t xml:space="preserve">, together with the location of the find near </w:t>
      </w:r>
      <w:proofErr w:type="spellStart"/>
      <w:r w:rsidR="009B49D5">
        <w:t>Athelney</w:t>
      </w:r>
      <w:proofErr w:type="spellEnd"/>
      <w:r w:rsidR="009B49D5">
        <w:t>,</w:t>
      </w:r>
      <w:r>
        <w:t xml:space="preserve"> are widely thought </w:t>
      </w:r>
      <w:r w:rsidR="009B49D5">
        <w:t>to indicate that the Jewel was made on the instruction of, or for, Alfred The Great. The difficulty is that there is no indication of kingship in the inscription. Alfred almost always used ‘Rex’ on coins and ‘</w:t>
      </w:r>
      <w:proofErr w:type="spellStart"/>
      <w:r w:rsidR="009B49D5">
        <w:t>cyning</w:t>
      </w:r>
      <w:proofErr w:type="spellEnd"/>
      <w:r w:rsidR="009B49D5">
        <w:t>’ in vernacular texts. Was it down to lack of space? Or was the Jewel made for someone else? Earle’s answer to this problem is simply that the Jewel was made before Alfred became king in 871AD.</w:t>
      </w:r>
      <w:r w:rsidR="009B49D5">
        <w:rPr>
          <w:rStyle w:val="FootnoteReference"/>
        </w:rPr>
        <w:footnoteReference w:id="5"/>
      </w:r>
    </w:p>
    <w:p w14:paraId="18859E7A" w14:textId="591D5C06" w:rsidR="009B49D5" w:rsidRDefault="009B49D5" w:rsidP="00A86D58">
      <w:pPr>
        <w:pStyle w:val="ListParagraph"/>
      </w:pPr>
    </w:p>
    <w:p w14:paraId="56604ABD" w14:textId="38CD99A4" w:rsidR="009B49D5" w:rsidRDefault="009B49D5" w:rsidP="009B49D5">
      <w:pPr>
        <w:pStyle w:val="ListParagraph"/>
        <w:numPr>
          <w:ilvl w:val="0"/>
          <w:numId w:val="1"/>
        </w:numPr>
        <w:rPr>
          <w:b/>
          <w:bCs/>
        </w:rPr>
      </w:pPr>
      <w:r>
        <w:rPr>
          <w:b/>
          <w:bCs/>
        </w:rPr>
        <w:t>The Beast and Nozzle</w:t>
      </w:r>
    </w:p>
    <w:p w14:paraId="428BF3BB" w14:textId="0E122DE5" w:rsidR="009B49D5" w:rsidRDefault="009B49D5" w:rsidP="009B49D5">
      <w:pPr>
        <w:pStyle w:val="ListParagraph"/>
        <w:rPr>
          <w:b/>
          <w:bCs/>
        </w:rPr>
      </w:pPr>
    </w:p>
    <w:p w14:paraId="6D1F35A0" w14:textId="4AA85A53" w:rsidR="00AE498F" w:rsidRPr="0045507D" w:rsidRDefault="009B49D5" w:rsidP="0045507D">
      <w:pPr>
        <w:pStyle w:val="ListParagraph"/>
      </w:pPr>
      <w:r>
        <w:t>Hinton argues that the animal depictions of this nature in the period were frequently of dragons, the scales on the underside being consistent with this. The imagery would represent the destruction wreaked by the devil threatening the wisdom of Christ’s word.</w:t>
      </w:r>
      <w:r>
        <w:rPr>
          <w:rStyle w:val="FootnoteReference"/>
        </w:rPr>
        <w:footnoteReference w:id="6"/>
      </w:r>
      <w:r w:rsidR="00AE498F">
        <w:t xml:space="preserve"> Earle, however, felt that a boar was represented, tying in with his argument that the Jewel is a helmet fitting. He points to passages in Beowulf which link boar imagery to adornment of helmets as a symbol of power and strength.</w:t>
      </w:r>
      <w:r w:rsidR="00AE498F">
        <w:rPr>
          <w:rStyle w:val="FootnoteReference"/>
        </w:rPr>
        <w:footnoteReference w:id="7"/>
      </w:r>
    </w:p>
    <w:p w14:paraId="24F1FFEA" w14:textId="72F37917" w:rsidR="00AE498F" w:rsidRDefault="00AE498F" w:rsidP="00AE498F">
      <w:pPr>
        <w:pStyle w:val="ListParagraph"/>
        <w:rPr>
          <w:b/>
          <w:bCs/>
        </w:rPr>
      </w:pPr>
    </w:p>
    <w:p w14:paraId="01795355" w14:textId="749873D9" w:rsidR="00AE498F" w:rsidRDefault="00AE498F" w:rsidP="00AE498F">
      <w:pPr>
        <w:pStyle w:val="ListParagraph"/>
      </w:pPr>
      <w:r>
        <w:t>David Howlett has attempted to bring all the imagery together, suggesting that the stems represent Truth and Wisdom, the clothes being priestly vestments. The beast’s head is a reminder of Satan, the backplate a depiction of the tree of life, as an allegory for Wisdom in the Old Testament, becoming the Cross in the New.</w:t>
      </w:r>
      <w:r>
        <w:rPr>
          <w:rStyle w:val="FootnoteReference"/>
        </w:rPr>
        <w:footnoteReference w:id="8"/>
      </w:r>
    </w:p>
    <w:p w14:paraId="17A1387B" w14:textId="1F0088D9" w:rsidR="00B12B4A" w:rsidRDefault="00B12B4A" w:rsidP="00AE498F">
      <w:pPr>
        <w:pStyle w:val="ListParagraph"/>
      </w:pPr>
    </w:p>
    <w:p w14:paraId="728EAF37" w14:textId="08F7B0F4" w:rsidR="00B12B4A" w:rsidRDefault="00B12B4A" w:rsidP="00B12B4A">
      <w:pPr>
        <w:rPr>
          <w:b/>
          <w:bCs/>
        </w:rPr>
      </w:pPr>
      <w:r>
        <w:rPr>
          <w:b/>
          <w:bCs/>
        </w:rPr>
        <w:t>Context and Significance</w:t>
      </w:r>
    </w:p>
    <w:p w14:paraId="214C36BE" w14:textId="6B4F5F7C" w:rsidR="00B12B4A" w:rsidRDefault="00B12B4A" w:rsidP="00B12B4A">
      <w:r>
        <w:t xml:space="preserve">The Jewel is an Anglo-Saxon artefact. </w:t>
      </w:r>
      <w:proofErr w:type="gramStart"/>
      <w:r>
        <w:t>Sufficient</w:t>
      </w:r>
      <w:proofErr w:type="gramEnd"/>
      <w:r>
        <w:t xml:space="preserve"> similar objects have been found in Anglo-Saxon contexts to put the dating of the Jewel beyond reasonable doubt. The Minster Lovell Jewel (also in the British Museum), for example, also has cloisonn</w:t>
      </w:r>
      <w:r>
        <w:rPr>
          <w:rFonts w:cstheme="minorHAnsi"/>
        </w:rPr>
        <w:t>é</w:t>
      </w:r>
      <w:r>
        <w:t xml:space="preserve"> enamel, a bevelled frame, flat back and a tube with rivet holes. Further examples have been found in </w:t>
      </w:r>
      <w:proofErr w:type="gramStart"/>
      <w:r>
        <w:t>a number of</w:t>
      </w:r>
      <w:proofErr w:type="gramEnd"/>
      <w:r>
        <w:t xml:space="preserve"> other locations, in particular the West Country.</w:t>
      </w:r>
    </w:p>
    <w:p w14:paraId="5F0F08BD" w14:textId="4D08678B" w:rsidR="00B12B4A" w:rsidRDefault="00B12B4A" w:rsidP="00B12B4A">
      <w:r>
        <w:t xml:space="preserve">The Jewel’s use is not obvious. The symbolism of Sight, of the wisdom of learning, would add weight to the prevailing view that the Jewel was an </w:t>
      </w:r>
      <w:proofErr w:type="spellStart"/>
      <w:r>
        <w:rPr>
          <w:rFonts w:cstheme="minorHAnsi"/>
        </w:rPr>
        <w:t>æ</w:t>
      </w:r>
      <w:r>
        <w:t>stel</w:t>
      </w:r>
      <w:proofErr w:type="spellEnd"/>
      <w:r>
        <w:t xml:space="preserve">, and would have had a short pointer, possibly ivory, attached to the beast’s mouth with a rivet. It would have been used as an aid to </w:t>
      </w:r>
      <w:proofErr w:type="gramStart"/>
      <w:r>
        <w:t>reading</w:t>
      </w:r>
      <w:proofErr w:type="gramEnd"/>
      <w:r>
        <w:t>. The flat back would have enabled it to lie</w:t>
      </w:r>
      <w:r w:rsidR="00E265D7">
        <w:t xml:space="preserve"> well on a manuscript or table.</w:t>
      </w:r>
    </w:p>
    <w:p w14:paraId="56791C42" w14:textId="24C7ED3F" w:rsidR="00E265D7" w:rsidRDefault="00E265D7" w:rsidP="00B12B4A">
      <w:r>
        <w:t xml:space="preserve">Notwithstanding the uncertainty of whether Alfred the Great was involved, it is </w:t>
      </w:r>
      <w:proofErr w:type="gramStart"/>
      <w:r>
        <w:t>know</w:t>
      </w:r>
      <w:proofErr w:type="gramEnd"/>
      <w:r>
        <w:t xml:space="preserve"> that Alfred had a passion for learning. He sent a copy of his translation of Pope Gregory’s </w:t>
      </w:r>
      <w:proofErr w:type="spellStart"/>
      <w:r>
        <w:t>Pastoralis</w:t>
      </w:r>
      <w:proofErr w:type="spellEnd"/>
      <w:r>
        <w:t xml:space="preserve"> to each of his </w:t>
      </w:r>
      <w:r>
        <w:lastRenderedPageBreak/>
        <w:t xml:space="preserve">bishops, and possibly to his monastery at </w:t>
      </w:r>
      <w:proofErr w:type="spellStart"/>
      <w:r>
        <w:t>Athelney</w:t>
      </w:r>
      <w:proofErr w:type="spellEnd"/>
      <w:r>
        <w:t xml:space="preserve">, with a preface saying that he would send with each book an </w:t>
      </w:r>
      <w:proofErr w:type="spellStart"/>
      <w:r>
        <w:rPr>
          <w:rFonts w:cstheme="minorHAnsi"/>
        </w:rPr>
        <w:t>æ</w:t>
      </w:r>
      <w:r>
        <w:t>stel</w:t>
      </w:r>
      <w:proofErr w:type="spellEnd"/>
      <w:r>
        <w:t xml:space="preserve"> worth 50 </w:t>
      </w:r>
      <w:proofErr w:type="spellStart"/>
      <w:r>
        <w:t>mancuses</w:t>
      </w:r>
      <w:proofErr w:type="spellEnd"/>
      <w:r>
        <w:t>. Following WJH Clifford pointing out in 1877 that a 13</w:t>
      </w:r>
      <w:r w:rsidRPr="00E265D7">
        <w:rPr>
          <w:vertAlign w:val="superscript"/>
        </w:rPr>
        <w:t>th</w:t>
      </w:r>
      <w:r>
        <w:t xml:space="preserve"> Century writer had written ‘</w:t>
      </w:r>
      <w:proofErr w:type="spellStart"/>
      <w:r>
        <w:t>festuca</w:t>
      </w:r>
      <w:proofErr w:type="spellEnd"/>
      <w:r>
        <w:t>’, meaning ‘rod’, above the word ‘</w:t>
      </w:r>
      <w:proofErr w:type="spellStart"/>
      <w:r>
        <w:rPr>
          <w:rFonts w:cstheme="minorHAnsi"/>
        </w:rPr>
        <w:t>æ</w:t>
      </w:r>
      <w:r>
        <w:t>stel</w:t>
      </w:r>
      <w:proofErr w:type="spellEnd"/>
      <w:r>
        <w:t xml:space="preserve">’, the pointer has been a favoured interpretation. But the Jewel does not weigh nearly enough to cost 50 </w:t>
      </w:r>
      <w:proofErr w:type="spellStart"/>
      <w:r>
        <w:t>mancuses</w:t>
      </w:r>
      <w:proofErr w:type="spellEnd"/>
      <w:r>
        <w:t>. Earle’s view is that the Jewel was a fitting to a kingly helmet</w:t>
      </w:r>
      <w:r w:rsidR="00314BB2">
        <w:t>, following the Beowulf imagery, feeling that the Jewel would be ‘wasted’ as a pointer to be held and thus worn down.</w:t>
      </w:r>
      <w:r w:rsidR="00314BB2">
        <w:rPr>
          <w:rStyle w:val="FootnoteReference"/>
        </w:rPr>
        <w:footnoteReference w:id="9"/>
      </w:r>
    </w:p>
    <w:p w14:paraId="4E7C066D" w14:textId="4D1B9A56" w:rsidR="00314BB2" w:rsidRDefault="00314BB2" w:rsidP="00B12B4A">
      <w:pPr>
        <w:rPr>
          <w:b/>
          <w:bCs/>
        </w:rPr>
      </w:pPr>
      <w:r>
        <w:rPr>
          <w:b/>
          <w:bCs/>
        </w:rPr>
        <w:t>Conclusion</w:t>
      </w:r>
    </w:p>
    <w:p w14:paraId="36FCB5D3" w14:textId="754B8C08" w:rsidR="00314BB2" w:rsidRPr="00314BB2" w:rsidRDefault="00174871" w:rsidP="00B12B4A">
      <w:r>
        <w:rPr>
          <w:noProof/>
        </w:rPr>
        <mc:AlternateContent>
          <mc:Choice Requires="wps">
            <w:drawing>
              <wp:anchor distT="0" distB="0" distL="114300" distR="114300" simplePos="0" relativeHeight="251659264" behindDoc="0" locked="0" layoutInCell="1" allowOverlap="1" wp14:anchorId="6E47FABA" wp14:editId="1A40519D">
                <wp:simplePos x="0" y="0"/>
                <wp:positionH relativeFrom="margin">
                  <wp:align>center</wp:align>
                </wp:positionH>
                <wp:positionV relativeFrom="paragraph">
                  <wp:posOffset>4204335</wp:posOffset>
                </wp:positionV>
                <wp:extent cx="4010025" cy="361950"/>
                <wp:effectExtent l="0" t="0" r="9525" b="0"/>
                <wp:wrapNone/>
                <wp:docPr id="2" name="Text Box 2"/>
                <wp:cNvGraphicFramePr/>
                <a:graphic xmlns:a="http://schemas.openxmlformats.org/drawingml/2006/main">
                  <a:graphicData uri="http://schemas.microsoft.com/office/word/2010/wordprocessingShape">
                    <wps:wsp>
                      <wps:cNvSpPr txBox="1"/>
                      <wps:spPr>
                        <a:xfrm>
                          <a:off x="0" y="0"/>
                          <a:ext cx="4010025" cy="361950"/>
                        </a:xfrm>
                        <a:prstGeom prst="rect">
                          <a:avLst/>
                        </a:prstGeom>
                        <a:solidFill>
                          <a:schemeClr val="lt1"/>
                        </a:solidFill>
                        <a:ln w="6350">
                          <a:noFill/>
                        </a:ln>
                      </wps:spPr>
                      <wps:txbx>
                        <w:txbxContent>
                          <w:p w14:paraId="1F6ACE49" w14:textId="690C514A" w:rsidR="00174871" w:rsidRPr="00174871" w:rsidRDefault="00174871" w:rsidP="00174871">
                            <w:pPr>
                              <w:jc w:val="center"/>
                              <w:rPr>
                                <w:lang w:val="en-US"/>
                              </w:rPr>
                            </w:pPr>
                            <w:r>
                              <w:rPr>
                                <w:lang w:val="en-US"/>
                              </w:rPr>
                              <w:t>The Alfred Jewel – Ashmolean Museum, Oxford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E47FABA" id="_x0000_t202" coordsize="21600,21600" o:spt="202" path="m,l,21600r21600,l21600,xe">
                <v:stroke joinstyle="miter"/>
                <v:path gradientshapeok="t" o:connecttype="rect"/>
              </v:shapetype>
              <v:shape id="Text Box 2" o:spid="_x0000_s1026" type="#_x0000_t202" style="position:absolute;margin-left:0;margin-top:331.05pt;width:315.75pt;height:28.5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" fillcolor="white [3201]" stroked="f" strokeweight=".5pt">
                <v:textbox>
                  <w:txbxContent>
                    <w:p w14:paraId="1F6ACE49" w14:textId="690C514A" w:rsidR="00174871" w:rsidRPr="00174871" w:rsidRDefault="00174871" w:rsidP="00174871">
                      <w:pPr>
                        <w:jc w:val="center"/>
                        <w:rPr>
                          <w:lang w:val="en-US"/>
                        </w:rPr>
                      </w:pPr>
                      <w:r>
                        <w:rPr>
                          <w:lang w:val="en-US"/>
                        </w:rPr>
                        <w:t>The Alfred Jewel – Ashmolean Museum, Oxford</w:t>
                      </w:r>
                    </w:p>
                  </w:txbxContent>
                </v:textbox>
                <w10:wrap anchorx="margin"/>
              </v:shape>
            </w:pict>
          </mc:Fallback>
        </mc:AlternateContent>
      </w:r>
      <w:r w:rsidRPr="00174871">
        <w:drawing>
          <wp:anchor distT="0" distB="0" distL="114300" distR="114300" simplePos="0" relativeHeight="251658240" behindDoc="0" locked="0" layoutInCell="1" allowOverlap="1" wp14:anchorId="0315A53F" wp14:editId="3AFD0334">
            <wp:simplePos x="0" y="0"/>
            <wp:positionH relativeFrom="margin">
              <wp:align>center</wp:align>
            </wp:positionH>
            <wp:positionV relativeFrom="paragraph">
              <wp:posOffset>1699260</wp:posOffset>
            </wp:positionV>
            <wp:extent cx="4019550" cy="24669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019550" cy="2466975"/>
                    </a:xfrm>
                    <a:prstGeom prst="rect">
                      <a:avLst/>
                    </a:prstGeom>
                  </pic:spPr>
                </pic:pic>
              </a:graphicData>
            </a:graphic>
          </wp:anchor>
        </w:drawing>
      </w:r>
      <w:r w:rsidR="00314BB2">
        <w:t xml:space="preserve">Whoever viewed the Jewel when first made would have recognised the imagery that is now obscure to us and has been supplanted by the written word, giving us the difficulty (or luxury!) of not being able to arrive at a definitive interpretation. Although possibly the pre-literate world would have understood the </w:t>
      </w:r>
      <w:proofErr w:type="gramStart"/>
      <w:r w:rsidR="00314BB2">
        <w:t>modern day</w:t>
      </w:r>
      <w:proofErr w:type="gramEnd"/>
      <w:r w:rsidR="00314BB2">
        <w:t xml:space="preserve"> preponderance of emojis, memes and the like, and wondered if words have had their day!</w:t>
      </w:r>
      <w:r w:rsidR="00C84D58">
        <w:t xml:space="preserve"> </w:t>
      </w:r>
    </w:p>
    <w:sectPr w:rsidR="00314BB2" w:rsidRPr="00314BB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05C6F6" w14:textId="77777777" w:rsidR="00ED3B61" w:rsidRDefault="00ED3B61" w:rsidP="00690BA0">
      <w:pPr>
        <w:spacing w:after="0" w:line="240" w:lineRule="auto"/>
      </w:pPr>
      <w:r>
        <w:separator/>
      </w:r>
    </w:p>
  </w:endnote>
  <w:endnote w:type="continuationSeparator" w:id="0">
    <w:p w14:paraId="78E61A68" w14:textId="77777777" w:rsidR="00ED3B61" w:rsidRDefault="00ED3B61" w:rsidP="00690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17E2BD" w14:textId="77777777" w:rsidR="00ED3B61" w:rsidRDefault="00ED3B61" w:rsidP="00690BA0">
      <w:pPr>
        <w:spacing w:after="0" w:line="240" w:lineRule="auto"/>
      </w:pPr>
      <w:r>
        <w:separator/>
      </w:r>
    </w:p>
  </w:footnote>
  <w:footnote w:type="continuationSeparator" w:id="0">
    <w:p w14:paraId="4B633A46" w14:textId="77777777" w:rsidR="00ED3B61" w:rsidRDefault="00ED3B61" w:rsidP="00690BA0">
      <w:pPr>
        <w:spacing w:after="0" w:line="240" w:lineRule="auto"/>
      </w:pPr>
      <w:r>
        <w:continuationSeparator/>
      </w:r>
    </w:p>
  </w:footnote>
  <w:footnote w:id="1">
    <w:p w14:paraId="2F9851B2" w14:textId="5E122A35" w:rsidR="00690BA0" w:rsidRPr="00690BA0" w:rsidRDefault="00690BA0">
      <w:pPr>
        <w:pStyle w:val="FootnoteText"/>
      </w:pPr>
      <w:r>
        <w:rPr>
          <w:rStyle w:val="FootnoteReference"/>
        </w:rPr>
        <w:footnoteRef/>
      </w:r>
      <w:r>
        <w:t xml:space="preserve"> Musgrave, Dr J: </w:t>
      </w:r>
      <w:r>
        <w:rPr>
          <w:i/>
          <w:iCs/>
        </w:rPr>
        <w:t xml:space="preserve">Philosophical Transactions of the Royal Society, vol 20 </w:t>
      </w:r>
      <w:r>
        <w:t>(London</w:t>
      </w:r>
      <w:r w:rsidR="008514F1">
        <w:t>:</w:t>
      </w:r>
      <w:r>
        <w:t xml:space="preserve"> Royal Society, 1968)</w:t>
      </w:r>
    </w:p>
  </w:footnote>
  <w:footnote w:id="2">
    <w:p w14:paraId="7F972CE2" w14:textId="1EEE4A32" w:rsidR="00CB2B6B" w:rsidRPr="00CB2B6B" w:rsidRDefault="00CB2B6B">
      <w:pPr>
        <w:pStyle w:val="FootnoteText"/>
      </w:pPr>
      <w:r>
        <w:rPr>
          <w:rStyle w:val="FootnoteReference"/>
        </w:rPr>
        <w:footnoteRef/>
      </w:r>
      <w:r>
        <w:t xml:space="preserve"> Earle, J.: </w:t>
      </w:r>
      <w:r>
        <w:rPr>
          <w:i/>
          <w:iCs/>
        </w:rPr>
        <w:t xml:space="preserve">The Alfred Jewel: A Historical Essay, </w:t>
      </w:r>
      <w:r>
        <w:t>(Oxford, Clarendon Press, 1901)</w:t>
      </w:r>
      <w:r w:rsidR="009B49D5">
        <w:t xml:space="preserve"> p79</w:t>
      </w:r>
    </w:p>
  </w:footnote>
  <w:footnote w:id="3">
    <w:p w14:paraId="3B431B1E" w14:textId="27942EE3" w:rsidR="00CB2B6B" w:rsidRPr="00A86D58" w:rsidRDefault="00CB2B6B">
      <w:pPr>
        <w:pStyle w:val="FootnoteText"/>
      </w:pPr>
      <w:r>
        <w:rPr>
          <w:rStyle w:val="FootnoteReference"/>
        </w:rPr>
        <w:footnoteRef/>
      </w:r>
      <w:r>
        <w:t xml:space="preserve"> Hinton</w:t>
      </w:r>
      <w:r w:rsidR="00A86D58">
        <w:t xml:space="preserve">, D.A </w:t>
      </w:r>
      <w:proofErr w:type="gramStart"/>
      <w:r w:rsidR="00A86D58">
        <w:rPr>
          <w:i/>
          <w:iCs/>
        </w:rPr>
        <w:t>The</w:t>
      </w:r>
      <w:proofErr w:type="gramEnd"/>
      <w:r w:rsidR="00A86D58">
        <w:rPr>
          <w:i/>
          <w:iCs/>
        </w:rPr>
        <w:t xml:space="preserve"> Alfred Jewel And Other Late Anglo-Saxon Decorated Metalwork </w:t>
      </w:r>
      <w:r w:rsidR="00A86D58">
        <w:t>(Cambridge</w:t>
      </w:r>
      <w:r w:rsidR="008514F1">
        <w:t>:</w:t>
      </w:r>
      <w:r w:rsidR="00A86D58">
        <w:t xml:space="preserve"> Cambridge University Press, 2008) </w:t>
      </w:r>
      <w:r w:rsidR="009B49D5">
        <w:t xml:space="preserve">p 21. </w:t>
      </w:r>
      <w:r w:rsidR="00A86D58">
        <w:t xml:space="preserve">Hinton explains that this theory was put forward by </w:t>
      </w:r>
      <w:proofErr w:type="spellStart"/>
      <w:r w:rsidR="00A86D58">
        <w:t>Egil</w:t>
      </w:r>
      <w:proofErr w:type="spellEnd"/>
      <w:r w:rsidR="00A86D58">
        <w:t xml:space="preserve"> </w:t>
      </w:r>
      <w:proofErr w:type="spellStart"/>
      <w:r w:rsidR="00A86D58">
        <w:t>Bakka</w:t>
      </w:r>
      <w:proofErr w:type="spellEnd"/>
      <w:r w:rsidR="00A86D58">
        <w:t xml:space="preserve"> in </w:t>
      </w:r>
      <w:proofErr w:type="gramStart"/>
      <w:r w:rsidR="00A86D58">
        <w:t>1996, but</w:t>
      </w:r>
      <w:proofErr w:type="gramEnd"/>
      <w:r w:rsidR="00A86D58">
        <w:t xml:space="preserve"> gives no references and I have been unable to locate the work referred to.</w:t>
      </w:r>
    </w:p>
  </w:footnote>
  <w:footnote w:id="4">
    <w:p w14:paraId="081AE3E5" w14:textId="31F4B948" w:rsidR="00A86D58" w:rsidRPr="00A86D58" w:rsidRDefault="00A86D58">
      <w:pPr>
        <w:pStyle w:val="FootnoteText"/>
      </w:pPr>
      <w:r>
        <w:rPr>
          <w:rStyle w:val="FootnoteReference"/>
        </w:rPr>
        <w:footnoteRef/>
      </w:r>
      <w:r>
        <w:t xml:space="preserve"> </w:t>
      </w:r>
      <w:proofErr w:type="spellStart"/>
      <w:r>
        <w:t>Karkov</w:t>
      </w:r>
      <w:proofErr w:type="spellEnd"/>
      <w:r>
        <w:t xml:space="preserve">, C </w:t>
      </w:r>
      <w:proofErr w:type="gramStart"/>
      <w:r>
        <w:rPr>
          <w:i/>
          <w:iCs/>
        </w:rPr>
        <w:t>The</w:t>
      </w:r>
      <w:proofErr w:type="gramEnd"/>
      <w:r>
        <w:rPr>
          <w:i/>
          <w:iCs/>
        </w:rPr>
        <w:t xml:space="preserve"> Ruler Portraits of Anglo-Saxon England </w:t>
      </w:r>
      <w:r>
        <w:t>(Woodbridge, Suffolk &amp; Rochester, NY</w:t>
      </w:r>
      <w:r w:rsidR="008514F1">
        <w:t>:</w:t>
      </w:r>
      <w:r>
        <w:t xml:space="preserve"> Boydell Press, 2004)</w:t>
      </w:r>
    </w:p>
  </w:footnote>
  <w:footnote w:id="5">
    <w:p w14:paraId="296C4E12" w14:textId="696C98D5" w:rsidR="009B49D5" w:rsidRPr="009B49D5" w:rsidRDefault="009B49D5">
      <w:pPr>
        <w:pStyle w:val="FootnoteText"/>
      </w:pPr>
      <w:r>
        <w:rPr>
          <w:rStyle w:val="FootnoteReference"/>
        </w:rPr>
        <w:footnoteRef/>
      </w:r>
      <w:r>
        <w:t xml:space="preserve"> Earle, J </w:t>
      </w:r>
      <w:proofErr w:type="gramStart"/>
      <w:r>
        <w:rPr>
          <w:i/>
          <w:iCs/>
        </w:rPr>
        <w:t>The</w:t>
      </w:r>
      <w:proofErr w:type="gramEnd"/>
      <w:r>
        <w:rPr>
          <w:i/>
          <w:iCs/>
        </w:rPr>
        <w:t xml:space="preserve"> Alfred Jewel </w:t>
      </w:r>
      <w:r>
        <w:t>p167</w:t>
      </w:r>
    </w:p>
  </w:footnote>
  <w:footnote w:id="6">
    <w:p w14:paraId="5A722704" w14:textId="6D6271D0" w:rsidR="009B49D5" w:rsidRPr="009B49D5" w:rsidRDefault="009B49D5">
      <w:pPr>
        <w:pStyle w:val="FootnoteText"/>
      </w:pPr>
      <w:r>
        <w:rPr>
          <w:rStyle w:val="FootnoteReference"/>
        </w:rPr>
        <w:footnoteRef/>
      </w:r>
      <w:r>
        <w:t xml:space="preserve"> Hinton, </w:t>
      </w:r>
      <w:proofErr w:type="gramStart"/>
      <w:r>
        <w:t>D.A. :</w:t>
      </w:r>
      <w:proofErr w:type="gramEnd"/>
      <w:r>
        <w:t xml:space="preserve"> </w:t>
      </w:r>
      <w:r>
        <w:rPr>
          <w:i/>
          <w:iCs/>
        </w:rPr>
        <w:t xml:space="preserve">The Alfred Jewel </w:t>
      </w:r>
      <w:r w:rsidR="00AE498F">
        <w:t>p24.</w:t>
      </w:r>
    </w:p>
  </w:footnote>
  <w:footnote w:id="7">
    <w:p w14:paraId="4EF13563" w14:textId="54D82688" w:rsidR="00AE498F" w:rsidRPr="00AE498F" w:rsidRDefault="00AE498F">
      <w:pPr>
        <w:pStyle w:val="FootnoteText"/>
      </w:pPr>
      <w:r>
        <w:rPr>
          <w:rStyle w:val="FootnoteReference"/>
        </w:rPr>
        <w:footnoteRef/>
      </w:r>
      <w:r>
        <w:t xml:space="preserve"> Earle, J. </w:t>
      </w:r>
      <w:r>
        <w:rPr>
          <w:i/>
          <w:iCs/>
        </w:rPr>
        <w:t xml:space="preserve">The Alfred Jewel </w:t>
      </w:r>
      <w:r>
        <w:t>p52</w:t>
      </w:r>
    </w:p>
  </w:footnote>
  <w:footnote w:id="8">
    <w:p w14:paraId="2A6E4A58" w14:textId="37C96F65" w:rsidR="00AE498F" w:rsidRPr="00AE498F" w:rsidRDefault="00AE498F">
      <w:pPr>
        <w:pStyle w:val="FootnoteText"/>
      </w:pPr>
      <w:r>
        <w:rPr>
          <w:rStyle w:val="FootnoteReference"/>
        </w:rPr>
        <w:footnoteRef/>
      </w:r>
      <w:r>
        <w:t xml:space="preserve"> Howlett, D.R : </w:t>
      </w:r>
      <w:r>
        <w:rPr>
          <w:i/>
          <w:iCs/>
        </w:rPr>
        <w:t xml:space="preserve">The Iconography of the Alfred Jewel </w:t>
      </w:r>
      <w:r>
        <w:t>vol 39 p 44-52</w:t>
      </w:r>
      <w:r>
        <w:rPr>
          <w:i/>
          <w:iCs/>
        </w:rPr>
        <w:t xml:space="preserve"> </w:t>
      </w:r>
      <w:r>
        <w:t>(Oxford</w:t>
      </w:r>
      <w:r w:rsidR="008514F1">
        <w:t>:</w:t>
      </w:r>
      <w:r>
        <w:t xml:space="preserve"> </w:t>
      </w:r>
      <w:proofErr w:type="spellStart"/>
      <w:r>
        <w:t>Oxoniensa</w:t>
      </w:r>
      <w:proofErr w:type="spellEnd"/>
      <w:r>
        <w:t xml:space="preserve"> 1974)</w:t>
      </w:r>
    </w:p>
  </w:footnote>
  <w:footnote w:id="9">
    <w:p w14:paraId="46991DAB" w14:textId="5C863C66" w:rsidR="00314BB2" w:rsidRPr="00314BB2" w:rsidRDefault="00314BB2">
      <w:pPr>
        <w:pStyle w:val="FootnoteText"/>
      </w:pPr>
      <w:r>
        <w:rPr>
          <w:rStyle w:val="FootnoteReference"/>
        </w:rPr>
        <w:footnoteRef/>
      </w:r>
      <w:r>
        <w:t xml:space="preserve"> Earle, J. </w:t>
      </w:r>
      <w:r>
        <w:rPr>
          <w:i/>
          <w:iCs/>
        </w:rPr>
        <w:t xml:space="preserve">The Alfred Jewel </w:t>
      </w:r>
      <w:r>
        <w:t>p36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C4DE1" w14:textId="59B7D4A5" w:rsidR="00174871" w:rsidRPr="00174871" w:rsidRDefault="00174871">
    <w:pPr>
      <w:pStyle w:val="Header"/>
      <w:rPr>
        <w:lang w:val="en-US"/>
      </w:rPr>
    </w:pPr>
    <w:r>
      <w:rPr>
        <w:lang w:val="en-US"/>
      </w:rPr>
      <w:t>Joanna Dunlop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8C2759"/>
    <w:multiLevelType w:val="hybridMultilevel"/>
    <w:tmpl w:val="0D3056B4"/>
    <w:lvl w:ilvl="0" w:tplc="BE1E3880">
      <w:start w:val="1"/>
      <w:numFmt w:val="lowerLetter"/>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648"/>
    <w:rsid w:val="00152164"/>
    <w:rsid w:val="00174871"/>
    <w:rsid w:val="00314BB2"/>
    <w:rsid w:val="003944DD"/>
    <w:rsid w:val="003C7648"/>
    <w:rsid w:val="0045507D"/>
    <w:rsid w:val="005D42A1"/>
    <w:rsid w:val="00690BA0"/>
    <w:rsid w:val="008514F1"/>
    <w:rsid w:val="009B49D5"/>
    <w:rsid w:val="00A86D58"/>
    <w:rsid w:val="00AC3134"/>
    <w:rsid w:val="00AE498F"/>
    <w:rsid w:val="00B12B4A"/>
    <w:rsid w:val="00C84D58"/>
    <w:rsid w:val="00CB2B6B"/>
    <w:rsid w:val="00E265D7"/>
    <w:rsid w:val="00ED3B61"/>
    <w:rsid w:val="00F65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85554"/>
  <w15:chartTrackingRefBased/>
  <w15:docId w15:val="{6A91F067-8A9D-43B5-8B6A-FBFB57129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0BA0"/>
    <w:pPr>
      <w:ind w:left="720"/>
      <w:contextualSpacing/>
    </w:pPr>
  </w:style>
  <w:style w:type="paragraph" w:styleId="FootnoteText">
    <w:name w:val="footnote text"/>
    <w:basedOn w:val="Normal"/>
    <w:link w:val="FootnoteTextChar"/>
    <w:uiPriority w:val="99"/>
    <w:semiHidden/>
    <w:unhideWhenUsed/>
    <w:rsid w:val="00690BA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0BA0"/>
    <w:rPr>
      <w:sz w:val="20"/>
      <w:szCs w:val="20"/>
    </w:rPr>
  </w:style>
  <w:style w:type="character" w:styleId="FootnoteReference">
    <w:name w:val="footnote reference"/>
    <w:basedOn w:val="DefaultParagraphFont"/>
    <w:uiPriority w:val="99"/>
    <w:semiHidden/>
    <w:unhideWhenUsed/>
    <w:rsid w:val="00690BA0"/>
    <w:rPr>
      <w:vertAlign w:val="superscript"/>
    </w:rPr>
  </w:style>
  <w:style w:type="paragraph" w:styleId="Header">
    <w:name w:val="header"/>
    <w:basedOn w:val="Normal"/>
    <w:link w:val="HeaderChar"/>
    <w:uiPriority w:val="99"/>
    <w:unhideWhenUsed/>
    <w:rsid w:val="001748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871"/>
  </w:style>
  <w:style w:type="paragraph" w:styleId="Footer">
    <w:name w:val="footer"/>
    <w:basedOn w:val="Normal"/>
    <w:link w:val="FooterChar"/>
    <w:uiPriority w:val="99"/>
    <w:unhideWhenUsed/>
    <w:rsid w:val="00174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900</Words>
  <Characters>5135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Dunlop</dc:creator>
  <cp:keywords/>
  <dc:description/>
  <cp:lastModifiedBy>Joanna Dunlop</cp:lastModifiedBy>
  <cp:revision>2</cp:revision>
  <dcterms:created xsi:type="dcterms:W3CDTF">2020-01-19T12:59:00Z</dcterms:created>
  <dcterms:modified xsi:type="dcterms:W3CDTF">2020-01-19T12:59:00Z</dcterms:modified>
</cp:coreProperties>
</file>