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49E01" w14:textId="48389426" w:rsidR="00F24F0A" w:rsidRDefault="00F24F0A" w:rsidP="64F11470">
      <w:pPr>
        <w:rPr>
          <w:rFonts w:ascii="Calibri" w:eastAsia="Calibri" w:hAnsi="Calibri" w:cs="Calibri"/>
          <w:color w:val="000000" w:themeColor="text1"/>
        </w:rPr>
      </w:pPr>
      <w:r>
        <w:rPr>
          <w:rFonts w:ascii="Calibri" w:eastAsia="Calibri" w:hAnsi="Calibri" w:cs="Calibri"/>
          <w:color w:val="000000" w:themeColor="text1"/>
        </w:rPr>
        <w:t>QUESTION 1</w:t>
      </w:r>
    </w:p>
    <w:p w14:paraId="11763B8C" w14:textId="66AF3798" w:rsidR="00F13397" w:rsidRDefault="64F11470" w:rsidP="64F11470">
      <w:pPr>
        <w:rPr>
          <w:rFonts w:ascii="Calibri" w:eastAsia="Calibri" w:hAnsi="Calibri" w:cs="Calibri"/>
          <w:color w:val="000000" w:themeColor="text1"/>
        </w:rPr>
      </w:pPr>
      <w:r w:rsidRPr="64F11470">
        <w:rPr>
          <w:rFonts w:ascii="Calibri" w:eastAsia="Calibri" w:hAnsi="Calibri" w:cs="Calibri"/>
          <w:color w:val="000000" w:themeColor="text1"/>
        </w:rPr>
        <w:t xml:space="preserve">The rule of </w:t>
      </w:r>
      <w:bookmarkStart w:id="0" w:name="_Int_GdeJTRmY"/>
      <w:r w:rsidRPr="64F11470">
        <w:rPr>
          <w:rFonts w:ascii="Calibri" w:eastAsia="Calibri" w:hAnsi="Calibri" w:cs="Calibri"/>
          <w:color w:val="000000" w:themeColor="text1"/>
        </w:rPr>
        <w:t>privity</w:t>
      </w:r>
      <w:bookmarkEnd w:id="0"/>
      <w:r w:rsidRPr="64F11470">
        <w:rPr>
          <w:rFonts w:ascii="Calibri" w:eastAsia="Calibri" w:hAnsi="Calibri" w:cs="Calibri"/>
          <w:color w:val="000000" w:themeColor="text1"/>
        </w:rPr>
        <w:t xml:space="preserve"> of contract, also known as privity doctrine, means that an individual who is not a party of the contract could not acquire direct enforceable rights under it </w:t>
      </w:r>
      <w:sdt>
        <w:sdtPr>
          <w:rPr>
            <w:rFonts w:ascii="Calibri" w:eastAsia="Calibri" w:hAnsi="Calibri" w:cs="Calibri"/>
            <w:color w:val="000000" w:themeColor="text1"/>
          </w:rPr>
          <w:id w:val="392781197"/>
          <w:citation/>
        </w:sdtPr>
        <w:sdtContent>
          <w:r w:rsidR="00F24F0A">
            <w:rPr>
              <w:rFonts w:ascii="Calibri" w:eastAsia="Calibri" w:hAnsi="Calibri" w:cs="Calibri"/>
              <w:color w:val="000000" w:themeColor="text1"/>
            </w:rPr>
            <w:fldChar w:fldCharType="begin"/>
          </w:r>
          <w:r w:rsidR="00F24F0A">
            <w:rPr>
              <w:rFonts w:ascii="Calibri" w:eastAsia="Calibri" w:hAnsi="Calibri" w:cs="Calibri"/>
              <w:color w:val="000000" w:themeColor="text1"/>
              <w:lang w:val="en-GB"/>
            </w:rPr>
            <w:instrText xml:space="preserve"> CITATION Joh16 \l 2057 </w:instrText>
          </w:r>
          <w:r w:rsidR="00F24F0A">
            <w:rPr>
              <w:rFonts w:ascii="Calibri" w:eastAsia="Calibri" w:hAnsi="Calibri" w:cs="Calibri"/>
              <w:color w:val="000000" w:themeColor="text1"/>
            </w:rPr>
            <w:fldChar w:fldCharType="separate"/>
          </w:r>
          <w:r w:rsidR="00F24F0A" w:rsidRPr="00F24F0A">
            <w:rPr>
              <w:rFonts w:ascii="Calibri" w:eastAsia="Calibri" w:hAnsi="Calibri" w:cs="Calibri"/>
              <w:noProof/>
              <w:color w:val="000000" w:themeColor="text1"/>
              <w:lang w:val="en-GB"/>
            </w:rPr>
            <w:t>(Cartwright, 2016)</w:t>
          </w:r>
          <w:r w:rsidR="00F24F0A">
            <w:rPr>
              <w:rFonts w:ascii="Calibri" w:eastAsia="Calibri" w:hAnsi="Calibri" w:cs="Calibri"/>
              <w:color w:val="000000" w:themeColor="text1"/>
            </w:rPr>
            <w:fldChar w:fldCharType="end"/>
          </w:r>
        </w:sdtContent>
      </w:sdt>
      <w:r w:rsidRPr="64F11470">
        <w:rPr>
          <w:rFonts w:ascii="Calibri" w:eastAsia="Calibri" w:hAnsi="Calibri" w:cs="Calibri"/>
          <w:color w:val="000000" w:themeColor="text1"/>
        </w:rPr>
        <w:t xml:space="preserve">. This doctrine also means that only the contracted parties can reap the rewards from the contract but also must handle all the burdens it could incur </w:t>
      </w:r>
      <w:sdt>
        <w:sdtPr>
          <w:rPr>
            <w:rFonts w:ascii="Calibri" w:eastAsia="Calibri" w:hAnsi="Calibri" w:cs="Calibri"/>
            <w:color w:val="000000" w:themeColor="text1"/>
          </w:rPr>
          <w:id w:val="937411075"/>
          <w:citation/>
        </w:sdtPr>
        <w:sdtContent>
          <w:r w:rsidR="00937CEB">
            <w:rPr>
              <w:rFonts w:ascii="Calibri" w:eastAsia="Calibri" w:hAnsi="Calibri" w:cs="Calibri"/>
              <w:color w:val="000000" w:themeColor="text1"/>
            </w:rPr>
            <w:fldChar w:fldCharType="begin"/>
          </w:r>
          <w:r w:rsidR="00937CEB">
            <w:rPr>
              <w:rFonts w:ascii="Calibri" w:eastAsia="Calibri" w:hAnsi="Calibri" w:cs="Calibri"/>
              <w:color w:val="000000" w:themeColor="text1"/>
              <w:lang w:val="en-GB"/>
            </w:rPr>
            <w:instrText xml:space="preserve"> CITATION Poo19 \l 2057 </w:instrText>
          </w:r>
          <w:r w:rsidR="00937CEB">
            <w:rPr>
              <w:rFonts w:ascii="Calibri" w:eastAsia="Calibri" w:hAnsi="Calibri" w:cs="Calibri"/>
              <w:color w:val="000000" w:themeColor="text1"/>
            </w:rPr>
            <w:fldChar w:fldCharType="separate"/>
          </w:r>
          <w:r w:rsidR="00937CEB" w:rsidRPr="00937CEB">
            <w:rPr>
              <w:rFonts w:ascii="Calibri" w:eastAsia="Calibri" w:hAnsi="Calibri" w:cs="Calibri"/>
              <w:noProof/>
              <w:color w:val="000000" w:themeColor="text1"/>
              <w:lang w:val="en-GB"/>
            </w:rPr>
            <w:t>(Poole, et al., 2019)</w:t>
          </w:r>
          <w:r w:rsidR="00937CEB">
            <w:rPr>
              <w:rFonts w:ascii="Calibri" w:eastAsia="Calibri" w:hAnsi="Calibri" w:cs="Calibri"/>
              <w:color w:val="000000" w:themeColor="text1"/>
            </w:rPr>
            <w:fldChar w:fldCharType="end"/>
          </w:r>
        </w:sdtContent>
      </w:sdt>
      <w:r w:rsidRPr="64F11470">
        <w:rPr>
          <w:rFonts w:ascii="Calibri" w:eastAsia="Calibri" w:hAnsi="Calibri" w:cs="Calibri"/>
          <w:color w:val="000000" w:themeColor="text1"/>
        </w:rPr>
        <w:t xml:space="preserve">. The Privity of Doctrine was demonstrated in the case of </w:t>
      </w:r>
      <w:r w:rsidRPr="00F24F0A">
        <w:rPr>
          <w:rFonts w:ascii="Calibri" w:eastAsia="Calibri" w:hAnsi="Calibri" w:cs="Calibri"/>
          <w:color w:val="000000" w:themeColor="text1"/>
        </w:rPr>
        <w:t>Tweddle V Atkinson</w:t>
      </w:r>
      <w:r w:rsidR="00F24F0A" w:rsidRPr="00F24F0A">
        <w:rPr>
          <w:rFonts w:ascii="Calibri" w:eastAsia="Calibri" w:hAnsi="Calibri" w:cs="Calibri"/>
          <w:color w:val="000000" w:themeColor="text1"/>
        </w:rPr>
        <w:t xml:space="preserve"> (1861).</w:t>
      </w:r>
      <w:r w:rsidR="00F24F0A">
        <w:rPr>
          <w:rFonts w:ascii="Calibri" w:eastAsia="Calibri" w:hAnsi="Calibri" w:cs="Calibri"/>
          <w:b/>
          <w:bCs/>
          <w:color w:val="000000" w:themeColor="text1"/>
        </w:rPr>
        <w:t xml:space="preserve"> </w:t>
      </w:r>
      <w:r w:rsidRPr="64F11470">
        <w:rPr>
          <w:rFonts w:ascii="Calibri" w:eastAsia="Calibri" w:hAnsi="Calibri" w:cs="Calibri"/>
          <w:color w:val="000000" w:themeColor="text1"/>
        </w:rPr>
        <w:t xml:space="preserve">Since then, there have been developments within contract law to create the Contract Rights of Third Party (1999) which gives power to third parties in some circumstances as seen in the case of </w:t>
      </w:r>
      <w:r w:rsidRPr="00F24F0A">
        <w:rPr>
          <w:rFonts w:ascii="Calibri" w:eastAsia="Calibri" w:hAnsi="Calibri" w:cs="Calibri"/>
          <w:color w:val="000000" w:themeColor="text1"/>
        </w:rPr>
        <w:t>Jackson V Horizon Holidays</w:t>
      </w:r>
      <w:r w:rsidRPr="64F11470">
        <w:rPr>
          <w:rFonts w:ascii="Calibri" w:eastAsia="Calibri" w:hAnsi="Calibri" w:cs="Calibri"/>
          <w:b/>
          <w:bCs/>
          <w:color w:val="000000" w:themeColor="text1"/>
        </w:rPr>
        <w:t xml:space="preserve"> </w:t>
      </w:r>
      <w:r w:rsidR="00F24F0A">
        <w:rPr>
          <w:rFonts w:ascii="Calibri" w:eastAsia="Calibri" w:hAnsi="Calibri" w:cs="Calibri"/>
          <w:color w:val="000000" w:themeColor="text1"/>
        </w:rPr>
        <w:t xml:space="preserve">Ltd (1975) </w:t>
      </w:r>
      <w:sdt>
        <w:sdtPr>
          <w:rPr>
            <w:rFonts w:ascii="Calibri" w:eastAsia="Calibri" w:hAnsi="Calibri" w:cs="Calibri"/>
            <w:color w:val="000000" w:themeColor="text1"/>
          </w:rPr>
          <w:id w:val="-1865347377"/>
          <w:citation/>
        </w:sdtPr>
        <w:sdtContent>
          <w:r w:rsidR="00F24F0A">
            <w:rPr>
              <w:rFonts w:ascii="Calibri" w:eastAsia="Calibri" w:hAnsi="Calibri" w:cs="Calibri"/>
              <w:color w:val="000000" w:themeColor="text1"/>
            </w:rPr>
            <w:fldChar w:fldCharType="begin"/>
          </w:r>
          <w:r w:rsidR="00F24F0A">
            <w:rPr>
              <w:rFonts w:ascii="Calibri" w:eastAsia="Calibri" w:hAnsi="Calibri" w:cs="Calibri"/>
              <w:color w:val="000000" w:themeColor="text1"/>
              <w:lang w:val="en-GB"/>
            </w:rPr>
            <w:instrText xml:space="preserve"> CITATION Sim16 \l 2057 </w:instrText>
          </w:r>
          <w:r w:rsidR="00F24F0A">
            <w:rPr>
              <w:rFonts w:ascii="Calibri" w:eastAsia="Calibri" w:hAnsi="Calibri" w:cs="Calibri"/>
              <w:color w:val="000000" w:themeColor="text1"/>
            </w:rPr>
            <w:fldChar w:fldCharType="separate"/>
          </w:r>
          <w:r w:rsidR="00F24F0A" w:rsidRPr="00F24F0A">
            <w:rPr>
              <w:rFonts w:ascii="Calibri" w:eastAsia="Calibri" w:hAnsi="Calibri" w:cs="Calibri"/>
              <w:noProof/>
              <w:color w:val="000000" w:themeColor="text1"/>
              <w:lang w:val="en-GB"/>
            </w:rPr>
            <w:t>(Simmons &amp; Simmons, 2016)</w:t>
          </w:r>
          <w:r w:rsidR="00F24F0A">
            <w:rPr>
              <w:rFonts w:ascii="Calibri" w:eastAsia="Calibri" w:hAnsi="Calibri" w:cs="Calibri"/>
              <w:color w:val="000000" w:themeColor="text1"/>
            </w:rPr>
            <w:fldChar w:fldCharType="end"/>
          </w:r>
        </w:sdtContent>
      </w:sdt>
      <w:r w:rsidR="00F24F0A">
        <w:rPr>
          <w:rFonts w:ascii="Calibri" w:eastAsia="Calibri" w:hAnsi="Calibri" w:cs="Calibri"/>
          <w:color w:val="000000" w:themeColor="text1"/>
        </w:rPr>
        <w:t>.</w:t>
      </w:r>
    </w:p>
    <w:p w14:paraId="693D84ED" w14:textId="3D9850C5" w:rsidR="00F13397" w:rsidRDefault="00F13397" w:rsidP="64F11470">
      <w:pPr>
        <w:rPr>
          <w:rFonts w:ascii="Calibri" w:eastAsia="Calibri" w:hAnsi="Calibri" w:cs="Calibri"/>
          <w:color w:val="000000" w:themeColor="text1"/>
        </w:rPr>
      </w:pPr>
    </w:p>
    <w:p w14:paraId="175F5CAD" w14:textId="7107AA5A" w:rsidR="00F24F0A" w:rsidRDefault="00F24F0A" w:rsidP="64F11470">
      <w:pPr>
        <w:rPr>
          <w:rFonts w:ascii="Calibri" w:eastAsia="Calibri" w:hAnsi="Calibri" w:cs="Calibri"/>
          <w:color w:val="000000" w:themeColor="text1"/>
        </w:rPr>
      </w:pPr>
      <w:r>
        <w:rPr>
          <w:rFonts w:ascii="Calibri" w:eastAsia="Calibri" w:hAnsi="Calibri" w:cs="Calibri"/>
          <w:color w:val="000000" w:themeColor="text1"/>
        </w:rPr>
        <w:t>QUESTION 2</w:t>
      </w:r>
    </w:p>
    <w:p w14:paraId="3CC1F1BC" w14:textId="75592EEC" w:rsidR="00F13397" w:rsidRDefault="64F11470" w:rsidP="64F11470">
      <w:pPr>
        <w:rPr>
          <w:rFonts w:ascii="Calibri" w:eastAsia="Calibri" w:hAnsi="Calibri" w:cs="Calibri"/>
          <w:color w:val="000000" w:themeColor="text1"/>
        </w:rPr>
      </w:pPr>
      <w:r w:rsidRPr="64F11470">
        <w:rPr>
          <w:rFonts w:ascii="Calibri" w:eastAsia="Calibri" w:hAnsi="Calibri" w:cs="Calibri"/>
          <w:color w:val="000000" w:themeColor="text1"/>
        </w:rPr>
        <w:t xml:space="preserve">Consideration is a key factor in determining whether a contract holds any legally binding agreements. It is defined as the price paid for a promise as in the case of </w:t>
      </w:r>
      <w:r w:rsidRPr="0072150A">
        <w:rPr>
          <w:rFonts w:ascii="Calibri" w:eastAsia="Calibri" w:hAnsi="Calibri" w:cs="Calibri"/>
          <w:color w:val="000000" w:themeColor="text1"/>
        </w:rPr>
        <w:t>Currie V Misa</w:t>
      </w:r>
      <w:r w:rsidR="00F24F0A" w:rsidRPr="0072150A">
        <w:rPr>
          <w:rFonts w:ascii="Calibri" w:eastAsia="Calibri" w:hAnsi="Calibri" w:cs="Calibri"/>
          <w:color w:val="000000" w:themeColor="text1"/>
        </w:rPr>
        <w:t xml:space="preserve"> (</w:t>
      </w:r>
      <w:r w:rsidR="0072150A" w:rsidRPr="0072150A">
        <w:rPr>
          <w:rFonts w:ascii="Calibri" w:eastAsia="Calibri" w:hAnsi="Calibri" w:cs="Calibri"/>
          <w:color w:val="000000" w:themeColor="text1"/>
        </w:rPr>
        <w:t>1875).</w:t>
      </w:r>
      <w:r w:rsidR="0072150A">
        <w:rPr>
          <w:rFonts w:ascii="Calibri" w:eastAsia="Calibri" w:hAnsi="Calibri" w:cs="Calibri"/>
          <w:color w:val="000000" w:themeColor="text1"/>
        </w:rPr>
        <w:t xml:space="preserve"> </w:t>
      </w:r>
      <w:r w:rsidRPr="64F11470">
        <w:rPr>
          <w:rFonts w:ascii="Calibri" w:eastAsia="Calibri" w:hAnsi="Calibri" w:cs="Calibri"/>
          <w:color w:val="000000" w:themeColor="text1"/>
        </w:rPr>
        <w:t xml:space="preserve">Both parties must agree to give and receive something in return except for deeds that need no consideration to be legally binding </w:t>
      </w:r>
      <w:sdt>
        <w:sdtPr>
          <w:rPr>
            <w:rFonts w:ascii="Calibri" w:eastAsia="Calibri" w:hAnsi="Calibri" w:cs="Calibri"/>
            <w:color w:val="000000" w:themeColor="text1"/>
          </w:rPr>
          <w:id w:val="900566096"/>
          <w:citation/>
        </w:sdtPr>
        <w:sdtContent>
          <w:r w:rsidR="0072150A">
            <w:rPr>
              <w:rFonts w:ascii="Calibri" w:eastAsia="Calibri" w:hAnsi="Calibri" w:cs="Calibri"/>
              <w:color w:val="000000" w:themeColor="text1"/>
            </w:rPr>
            <w:fldChar w:fldCharType="begin"/>
          </w:r>
          <w:r w:rsidR="0072150A">
            <w:rPr>
              <w:rFonts w:ascii="Calibri" w:eastAsia="Calibri" w:hAnsi="Calibri" w:cs="Calibri"/>
              <w:color w:val="000000" w:themeColor="text1"/>
              <w:lang w:val="en-GB"/>
            </w:rPr>
            <w:instrText xml:space="preserve"> CITATION Rog01 \l 2057 </w:instrText>
          </w:r>
          <w:r w:rsidR="0072150A">
            <w:rPr>
              <w:rFonts w:ascii="Calibri" w:eastAsia="Calibri" w:hAnsi="Calibri" w:cs="Calibri"/>
              <w:color w:val="000000" w:themeColor="text1"/>
            </w:rPr>
            <w:fldChar w:fldCharType="separate"/>
          </w:r>
          <w:r w:rsidR="0072150A" w:rsidRPr="0072150A">
            <w:rPr>
              <w:rFonts w:ascii="Calibri" w:eastAsia="Calibri" w:hAnsi="Calibri" w:cs="Calibri"/>
              <w:noProof/>
              <w:color w:val="000000" w:themeColor="text1"/>
              <w:lang w:val="en-GB"/>
            </w:rPr>
            <w:t>(Halson, 2001)</w:t>
          </w:r>
          <w:r w:rsidR="0072150A">
            <w:rPr>
              <w:rFonts w:ascii="Calibri" w:eastAsia="Calibri" w:hAnsi="Calibri" w:cs="Calibri"/>
              <w:color w:val="000000" w:themeColor="text1"/>
            </w:rPr>
            <w:fldChar w:fldCharType="end"/>
          </w:r>
        </w:sdtContent>
      </w:sdt>
      <w:r w:rsidRPr="64F11470">
        <w:rPr>
          <w:rFonts w:ascii="Calibri" w:eastAsia="Calibri" w:hAnsi="Calibri" w:cs="Calibri"/>
          <w:color w:val="000000" w:themeColor="text1"/>
        </w:rPr>
        <w:t xml:space="preserve">. </w:t>
      </w:r>
      <w:r w:rsidR="0072150A">
        <w:rPr>
          <w:rFonts w:ascii="Calibri" w:eastAsia="Calibri" w:hAnsi="Calibri" w:cs="Calibri"/>
          <w:color w:val="000000" w:themeColor="text1"/>
        </w:rPr>
        <w:t>T</w:t>
      </w:r>
      <w:r w:rsidRPr="64F11470">
        <w:rPr>
          <w:rFonts w:ascii="Calibri" w:eastAsia="Calibri" w:hAnsi="Calibri" w:cs="Calibri"/>
          <w:color w:val="000000" w:themeColor="text1"/>
        </w:rPr>
        <w:t xml:space="preserve">here are 2 forms of consideration: executory which is a promise to carry out something in return for payment. For example, when a builder takes a prepayment before carrying out the work. There is also executed consideration which is based on the present. However, past consideration is not considered good consideration. Past consideration is consideration that predates the promise it is said to support and is seen in the case of </w:t>
      </w:r>
      <w:r w:rsidRPr="0072150A">
        <w:rPr>
          <w:rFonts w:ascii="Calibri" w:eastAsia="Calibri" w:hAnsi="Calibri" w:cs="Calibri"/>
          <w:color w:val="000000" w:themeColor="text1"/>
        </w:rPr>
        <w:t>Eastwood V Kenyon</w:t>
      </w:r>
      <w:r w:rsidR="0072150A" w:rsidRPr="0072150A">
        <w:rPr>
          <w:rFonts w:ascii="Calibri" w:eastAsia="Calibri" w:hAnsi="Calibri" w:cs="Calibri"/>
          <w:color w:val="000000" w:themeColor="text1"/>
        </w:rPr>
        <w:t xml:space="preserve"> (1840)</w:t>
      </w:r>
      <w:r w:rsidR="0072150A">
        <w:rPr>
          <w:rFonts w:ascii="Calibri" w:eastAsia="Calibri" w:hAnsi="Calibri" w:cs="Calibri"/>
          <w:color w:val="000000" w:themeColor="text1"/>
        </w:rPr>
        <w:t xml:space="preserve"> </w:t>
      </w:r>
      <w:r w:rsidRPr="64F11470">
        <w:rPr>
          <w:rFonts w:ascii="Calibri" w:eastAsia="Calibri" w:hAnsi="Calibri" w:cs="Calibri"/>
          <w:color w:val="000000" w:themeColor="text1"/>
        </w:rPr>
        <w:t>which means that therefore it cannot be used as a bargaining tool as present and future consideration can be and is seen as more of a gift instead</w:t>
      </w:r>
      <w:r w:rsidR="0072150A">
        <w:rPr>
          <w:rFonts w:ascii="Calibri" w:eastAsia="Calibri" w:hAnsi="Calibri" w:cs="Calibri"/>
          <w:color w:val="000000" w:themeColor="text1"/>
        </w:rPr>
        <w:t xml:space="preserve"> </w:t>
      </w:r>
      <w:sdt>
        <w:sdtPr>
          <w:rPr>
            <w:rFonts w:ascii="Calibri" w:eastAsia="Calibri" w:hAnsi="Calibri" w:cs="Calibri"/>
            <w:color w:val="000000" w:themeColor="text1"/>
          </w:rPr>
          <w:id w:val="937648528"/>
          <w:citation/>
        </w:sdtPr>
        <w:sdtContent>
          <w:r w:rsidR="0072150A">
            <w:rPr>
              <w:rFonts w:ascii="Calibri" w:eastAsia="Calibri" w:hAnsi="Calibri" w:cs="Calibri"/>
              <w:color w:val="000000" w:themeColor="text1"/>
            </w:rPr>
            <w:fldChar w:fldCharType="begin"/>
          </w:r>
          <w:r w:rsidR="0072150A">
            <w:rPr>
              <w:rFonts w:ascii="Calibri" w:eastAsia="Calibri" w:hAnsi="Calibri" w:cs="Calibri"/>
              <w:color w:val="000000" w:themeColor="text1"/>
              <w:lang w:val="en-GB"/>
            </w:rPr>
            <w:instrText xml:space="preserve"> CITATION Rog \l 2057 </w:instrText>
          </w:r>
          <w:r w:rsidR="0072150A">
            <w:rPr>
              <w:rFonts w:ascii="Calibri" w:eastAsia="Calibri" w:hAnsi="Calibri" w:cs="Calibri"/>
              <w:color w:val="000000" w:themeColor="text1"/>
            </w:rPr>
            <w:fldChar w:fldCharType="separate"/>
          </w:r>
          <w:r w:rsidR="0072150A" w:rsidRPr="0072150A">
            <w:rPr>
              <w:rFonts w:ascii="Calibri" w:eastAsia="Calibri" w:hAnsi="Calibri" w:cs="Calibri"/>
              <w:noProof/>
              <w:color w:val="000000" w:themeColor="text1"/>
              <w:lang w:val="en-GB"/>
            </w:rPr>
            <w:t>(Halson, n.d.)</w:t>
          </w:r>
          <w:r w:rsidR="0072150A">
            <w:rPr>
              <w:rFonts w:ascii="Calibri" w:eastAsia="Calibri" w:hAnsi="Calibri" w:cs="Calibri"/>
              <w:color w:val="000000" w:themeColor="text1"/>
            </w:rPr>
            <w:fldChar w:fldCharType="end"/>
          </w:r>
        </w:sdtContent>
      </w:sdt>
      <w:r w:rsidRPr="64F11470">
        <w:rPr>
          <w:rFonts w:ascii="Calibri" w:eastAsia="Calibri" w:hAnsi="Calibri" w:cs="Calibri"/>
          <w:color w:val="000000" w:themeColor="text1"/>
        </w:rPr>
        <w:t xml:space="preserve"> Although generally it is considered that past consideration is bad consideration there is an exception to the rule which is when consideration is assumed and implied. This would be </w:t>
      </w:r>
      <w:bookmarkStart w:id="1" w:name="_Int_t5bGLQ5h"/>
      <w:r w:rsidRPr="64F11470">
        <w:rPr>
          <w:rFonts w:ascii="Calibri" w:eastAsia="Calibri" w:hAnsi="Calibri" w:cs="Calibri"/>
          <w:color w:val="000000" w:themeColor="text1"/>
        </w:rPr>
        <w:t>most commonly seen</w:t>
      </w:r>
      <w:bookmarkEnd w:id="1"/>
      <w:r w:rsidRPr="64F11470">
        <w:rPr>
          <w:rFonts w:ascii="Calibri" w:eastAsia="Calibri" w:hAnsi="Calibri" w:cs="Calibri"/>
          <w:color w:val="000000" w:themeColor="text1"/>
        </w:rPr>
        <w:t xml:space="preserve"> in day-to-day life when as individuals we use services such as a taxi or hairdresser where it is assumed that both parties know that once a service such as a haircut has taken place payment is received by the individual. </w:t>
      </w:r>
    </w:p>
    <w:p w14:paraId="664BB3BB" w14:textId="532D830D" w:rsidR="00F13397" w:rsidRDefault="00F13397" w:rsidP="64F11470">
      <w:pPr>
        <w:rPr>
          <w:rFonts w:ascii="Calibri" w:eastAsia="Calibri" w:hAnsi="Calibri" w:cs="Calibri"/>
          <w:color w:val="000000" w:themeColor="text1"/>
        </w:rPr>
      </w:pPr>
    </w:p>
    <w:p w14:paraId="6817E741" w14:textId="380FE59A" w:rsidR="00F13397" w:rsidRPr="00F00818" w:rsidRDefault="64F11470" w:rsidP="64F11470">
      <w:pPr>
        <w:rPr>
          <w:rFonts w:ascii="Calibri" w:eastAsia="Calibri" w:hAnsi="Calibri" w:cs="Calibri"/>
          <w:b/>
          <w:bCs/>
          <w:color w:val="000000" w:themeColor="text1"/>
        </w:rPr>
      </w:pPr>
      <w:r w:rsidRPr="64F11470">
        <w:rPr>
          <w:rFonts w:ascii="Calibri" w:eastAsia="Calibri" w:hAnsi="Calibri" w:cs="Calibri"/>
          <w:color w:val="000000" w:themeColor="text1"/>
        </w:rPr>
        <w:t xml:space="preserve">In the case of </w:t>
      </w:r>
      <w:r w:rsidRPr="0072150A">
        <w:rPr>
          <w:rFonts w:ascii="Calibri" w:eastAsia="Calibri" w:hAnsi="Calibri" w:cs="Calibri"/>
          <w:color w:val="000000" w:themeColor="text1"/>
        </w:rPr>
        <w:t>Cutter V Powell</w:t>
      </w:r>
      <w:r w:rsidR="0072150A">
        <w:rPr>
          <w:rFonts w:ascii="Calibri" w:eastAsia="Calibri" w:hAnsi="Calibri" w:cs="Calibri"/>
          <w:color w:val="000000" w:themeColor="text1"/>
        </w:rPr>
        <w:t xml:space="preserve"> (1975)</w:t>
      </w:r>
      <w:r w:rsidRPr="0072150A">
        <w:rPr>
          <w:rFonts w:ascii="Calibri" w:eastAsia="Calibri" w:hAnsi="Calibri" w:cs="Calibri"/>
          <w:color w:val="000000" w:themeColor="text1"/>
        </w:rPr>
        <w:t>,</w:t>
      </w:r>
      <w:r w:rsidR="0072150A" w:rsidRPr="0072150A">
        <w:rPr>
          <w:rFonts w:ascii="Calibri" w:eastAsia="Calibri" w:hAnsi="Calibri" w:cs="Calibri"/>
          <w:color w:val="000000" w:themeColor="text1"/>
        </w:rPr>
        <w:t xml:space="preserve"> </w:t>
      </w:r>
      <w:r w:rsidR="0072150A">
        <w:rPr>
          <w:rFonts w:ascii="Calibri" w:eastAsia="Calibri" w:hAnsi="Calibri" w:cs="Calibri"/>
          <w:color w:val="000000" w:themeColor="text1"/>
        </w:rPr>
        <w:t>there</w:t>
      </w:r>
      <w:r w:rsidRPr="64F11470">
        <w:rPr>
          <w:rFonts w:ascii="Calibri" w:eastAsia="Calibri" w:hAnsi="Calibri" w:cs="Calibri"/>
          <w:color w:val="000000" w:themeColor="text1"/>
        </w:rPr>
        <w:t xml:space="preserve"> was a key principle developed called the entire performance rule. The entire performance rule is where one party needs to perform their entire obligation before the other party performs there's</w:t>
      </w:r>
      <w:r w:rsidR="0072150A">
        <w:rPr>
          <w:rFonts w:ascii="Calibri" w:eastAsia="Calibri" w:hAnsi="Calibri" w:cs="Calibri"/>
          <w:color w:val="000000" w:themeColor="text1"/>
        </w:rPr>
        <w:t xml:space="preserve"> </w:t>
      </w:r>
      <w:sdt>
        <w:sdtPr>
          <w:rPr>
            <w:rFonts w:ascii="Calibri" w:eastAsia="Calibri" w:hAnsi="Calibri" w:cs="Calibri"/>
            <w:color w:val="000000" w:themeColor="text1"/>
          </w:rPr>
          <w:id w:val="-638036504"/>
          <w:citation/>
        </w:sdtPr>
        <w:sdtContent>
          <w:r w:rsidR="0072150A">
            <w:rPr>
              <w:rFonts w:ascii="Calibri" w:eastAsia="Calibri" w:hAnsi="Calibri" w:cs="Calibri"/>
              <w:color w:val="000000" w:themeColor="text1"/>
            </w:rPr>
            <w:fldChar w:fldCharType="begin"/>
          </w:r>
          <w:r w:rsidR="0072150A">
            <w:rPr>
              <w:rFonts w:ascii="Calibri" w:eastAsia="Calibri" w:hAnsi="Calibri" w:cs="Calibri"/>
              <w:color w:val="000000" w:themeColor="text1"/>
              <w:lang w:val="en-GB"/>
            </w:rPr>
            <w:instrText xml:space="preserve"> CITATION Joh21 \l 2057 </w:instrText>
          </w:r>
          <w:r w:rsidR="0072150A">
            <w:rPr>
              <w:rFonts w:ascii="Calibri" w:eastAsia="Calibri" w:hAnsi="Calibri" w:cs="Calibri"/>
              <w:color w:val="000000" w:themeColor="text1"/>
            </w:rPr>
            <w:fldChar w:fldCharType="separate"/>
          </w:r>
          <w:r w:rsidR="0072150A" w:rsidRPr="0072150A">
            <w:rPr>
              <w:rFonts w:ascii="Calibri" w:eastAsia="Calibri" w:hAnsi="Calibri" w:cs="Calibri"/>
              <w:noProof/>
              <w:color w:val="000000" w:themeColor="text1"/>
              <w:lang w:val="en-GB"/>
            </w:rPr>
            <w:t>(Hoekstra, 2021)</w:t>
          </w:r>
          <w:r w:rsidR="0072150A">
            <w:rPr>
              <w:rFonts w:ascii="Calibri" w:eastAsia="Calibri" w:hAnsi="Calibri" w:cs="Calibri"/>
              <w:color w:val="000000" w:themeColor="text1"/>
            </w:rPr>
            <w:fldChar w:fldCharType="end"/>
          </w:r>
        </w:sdtContent>
      </w:sdt>
      <w:r w:rsidRPr="64F11470">
        <w:rPr>
          <w:rFonts w:ascii="Calibri" w:eastAsia="Calibri" w:hAnsi="Calibri" w:cs="Calibri"/>
          <w:color w:val="000000" w:themeColor="text1"/>
        </w:rPr>
        <w:t xml:space="preserve">. There are, however, exceptions to the rule as the rule only applies to entire contracts and therefore any contract that </w:t>
      </w:r>
      <w:bookmarkStart w:id="2" w:name="_Int_FcCmJ56V"/>
      <w:proofErr w:type="gramStart"/>
      <w:r w:rsidRPr="64F11470">
        <w:rPr>
          <w:rFonts w:ascii="Calibri" w:eastAsia="Calibri" w:hAnsi="Calibri" w:cs="Calibri"/>
          <w:color w:val="000000" w:themeColor="text1"/>
        </w:rPr>
        <w:t>is able to</w:t>
      </w:r>
      <w:bookmarkEnd w:id="2"/>
      <w:proofErr w:type="gramEnd"/>
      <w:r w:rsidRPr="64F11470">
        <w:rPr>
          <w:rFonts w:ascii="Calibri" w:eastAsia="Calibri" w:hAnsi="Calibri" w:cs="Calibri"/>
          <w:color w:val="000000" w:themeColor="text1"/>
        </w:rPr>
        <w:t xml:space="preserve"> be broken up into smaller sections, for example the individual </w:t>
      </w:r>
      <w:r w:rsidR="00E16001" w:rsidRPr="64F11470">
        <w:rPr>
          <w:rFonts w:ascii="Calibri" w:eastAsia="Calibri" w:hAnsi="Calibri" w:cs="Calibri"/>
          <w:color w:val="000000" w:themeColor="text1"/>
        </w:rPr>
        <w:t>receives</w:t>
      </w:r>
      <w:r w:rsidRPr="64F11470">
        <w:rPr>
          <w:rFonts w:ascii="Calibri" w:eastAsia="Calibri" w:hAnsi="Calibri" w:cs="Calibri"/>
          <w:color w:val="000000" w:themeColor="text1"/>
        </w:rPr>
        <w:t xml:space="preserve"> a certain amount after each completed week would be exempt from the entire performance rule. </w:t>
      </w:r>
      <w:r w:rsidR="00E16001">
        <w:rPr>
          <w:rFonts w:ascii="Calibri" w:eastAsia="Calibri" w:hAnsi="Calibri" w:cs="Calibri"/>
          <w:color w:val="000000" w:themeColor="text1"/>
        </w:rPr>
        <w:t xml:space="preserve">In the case of Cutter V Powell this could have been achieved if they had separated the voyage into 2 separate contracts for the Jamaica to the Azores and then another from the Azores to Liverpool. Therefore, the captain who passed would have completed one of the 2 contracts and been able to claim payment. </w:t>
      </w:r>
      <w:r w:rsidRPr="64F11470">
        <w:rPr>
          <w:rFonts w:ascii="Calibri" w:eastAsia="Calibri" w:hAnsi="Calibri" w:cs="Calibri"/>
          <w:color w:val="000000" w:themeColor="text1"/>
        </w:rPr>
        <w:t xml:space="preserve">Additionally, </w:t>
      </w:r>
      <w:r w:rsidR="00DB733E">
        <w:rPr>
          <w:rFonts w:ascii="Calibri" w:eastAsia="Calibri" w:hAnsi="Calibri" w:cs="Calibri"/>
          <w:color w:val="000000" w:themeColor="text1"/>
        </w:rPr>
        <w:t>the promisor would be able to claim some payment if the promisee decided to launch another contract to complete the work</w:t>
      </w:r>
      <w:r w:rsidR="00E16001">
        <w:rPr>
          <w:rFonts w:ascii="Calibri" w:eastAsia="Calibri" w:hAnsi="Calibri" w:cs="Calibri"/>
          <w:color w:val="000000" w:themeColor="text1"/>
        </w:rPr>
        <w:t xml:space="preserve"> </w:t>
      </w:r>
      <w:sdt>
        <w:sdtPr>
          <w:rPr>
            <w:rFonts w:ascii="Calibri" w:eastAsia="Calibri" w:hAnsi="Calibri" w:cs="Calibri"/>
            <w:color w:val="000000" w:themeColor="text1"/>
          </w:rPr>
          <w:id w:val="-5984473"/>
          <w:citation/>
        </w:sdtPr>
        <w:sdtContent>
          <w:r w:rsidR="00F00818">
            <w:rPr>
              <w:rFonts w:ascii="Calibri" w:eastAsia="Calibri" w:hAnsi="Calibri" w:cs="Calibri"/>
              <w:color w:val="000000" w:themeColor="text1"/>
            </w:rPr>
            <w:fldChar w:fldCharType="begin"/>
          </w:r>
          <w:r w:rsidR="00F00818">
            <w:rPr>
              <w:rFonts w:ascii="Calibri" w:eastAsia="Calibri" w:hAnsi="Calibri" w:cs="Calibri"/>
              <w:color w:val="000000" w:themeColor="text1"/>
              <w:lang w:val="en-GB"/>
            </w:rPr>
            <w:instrText xml:space="preserve"> CITATION Rog \l 2057 </w:instrText>
          </w:r>
          <w:r w:rsidR="00F00818">
            <w:rPr>
              <w:rFonts w:ascii="Calibri" w:eastAsia="Calibri" w:hAnsi="Calibri" w:cs="Calibri"/>
              <w:color w:val="000000" w:themeColor="text1"/>
            </w:rPr>
            <w:fldChar w:fldCharType="separate"/>
          </w:r>
          <w:r w:rsidR="00F00818" w:rsidRPr="00F00818">
            <w:rPr>
              <w:rFonts w:ascii="Calibri" w:eastAsia="Calibri" w:hAnsi="Calibri" w:cs="Calibri"/>
              <w:noProof/>
              <w:color w:val="000000" w:themeColor="text1"/>
              <w:lang w:val="en-GB"/>
            </w:rPr>
            <w:t>(Halson, n.d.)</w:t>
          </w:r>
          <w:r w:rsidR="00F00818">
            <w:rPr>
              <w:rFonts w:ascii="Calibri" w:eastAsia="Calibri" w:hAnsi="Calibri" w:cs="Calibri"/>
              <w:color w:val="000000" w:themeColor="text1"/>
            </w:rPr>
            <w:fldChar w:fldCharType="end"/>
          </w:r>
        </w:sdtContent>
      </w:sdt>
      <w:r w:rsidR="00DB733E">
        <w:rPr>
          <w:rFonts w:ascii="Calibri" w:eastAsia="Calibri" w:hAnsi="Calibri" w:cs="Calibri"/>
          <w:color w:val="000000" w:themeColor="text1"/>
        </w:rPr>
        <w:t>.</w:t>
      </w:r>
      <w:r w:rsidR="00F00818">
        <w:rPr>
          <w:rFonts w:ascii="Calibri" w:eastAsia="Calibri" w:hAnsi="Calibri" w:cs="Calibri"/>
          <w:b/>
          <w:bCs/>
          <w:color w:val="000000" w:themeColor="text1"/>
        </w:rPr>
        <w:t xml:space="preserve"> </w:t>
      </w:r>
      <w:r w:rsidR="00DB733E">
        <w:rPr>
          <w:rFonts w:ascii="Calibri" w:eastAsia="Calibri" w:hAnsi="Calibri" w:cs="Calibri"/>
          <w:color w:val="000000" w:themeColor="text1"/>
        </w:rPr>
        <w:t xml:space="preserve">This is seen in the case of </w:t>
      </w:r>
      <w:r w:rsidR="00DB733E" w:rsidRPr="00F00818">
        <w:rPr>
          <w:rFonts w:ascii="Calibri" w:eastAsia="Calibri" w:hAnsi="Calibri" w:cs="Calibri"/>
          <w:color w:val="000000" w:themeColor="text1"/>
        </w:rPr>
        <w:t>Sumpter V Hedges</w:t>
      </w:r>
      <w:r w:rsidR="00F00818" w:rsidRPr="00F00818">
        <w:rPr>
          <w:rFonts w:ascii="Calibri" w:eastAsia="Calibri" w:hAnsi="Calibri" w:cs="Calibri"/>
          <w:color w:val="000000" w:themeColor="text1"/>
        </w:rPr>
        <w:t xml:space="preserve"> (1898)</w:t>
      </w:r>
      <w:r w:rsidR="00DB733E" w:rsidRPr="00F00818">
        <w:rPr>
          <w:rFonts w:ascii="Calibri" w:eastAsia="Calibri" w:hAnsi="Calibri" w:cs="Calibri"/>
          <w:color w:val="000000" w:themeColor="text1"/>
        </w:rPr>
        <w:t>.</w:t>
      </w:r>
      <w:r w:rsidR="00E16001">
        <w:rPr>
          <w:rFonts w:ascii="Calibri" w:eastAsia="Calibri" w:hAnsi="Calibri" w:cs="Calibri"/>
          <w:b/>
          <w:bCs/>
          <w:color w:val="000000" w:themeColor="text1"/>
        </w:rPr>
        <w:t xml:space="preserve"> </w:t>
      </w:r>
      <w:r w:rsidR="00E16001">
        <w:rPr>
          <w:rFonts w:ascii="Calibri" w:eastAsia="Calibri" w:hAnsi="Calibri" w:cs="Calibri"/>
          <w:color w:val="000000" w:themeColor="text1"/>
        </w:rPr>
        <w:t xml:space="preserve">For example, if I was painting an individual’s house and one day, they decided to finish the job themselves I would be entitled to claim for the money that I had been promised and the defendant would be liable to pay for the paint they used. </w:t>
      </w:r>
      <w:r w:rsidRPr="51EE7FFA">
        <w:rPr>
          <w:rFonts w:ascii="Calibri" w:eastAsia="Calibri" w:hAnsi="Calibri" w:cs="Calibri"/>
          <w:color w:val="000000" w:themeColor="text1"/>
        </w:rPr>
        <w:t xml:space="preserve">Another exemption is that when taken to court, if the court deems that the party has carried out a sufficient and significant proportion of the work required by the contract has been completed there will be means to disregard the entire performance rule and claim full payment for the work. An example where this would be </w:t>
      </w:r>
      <w:r w:rsidRPr="51EE7FFA">
        <w:rPr>
          <w:rFonts w:ascii="Calibri" w:eastAsia="Calibri" w:hAnsi="Calibri" w:cs="Calibri"/>
          <w:color w:val="000000" w:themeColor="text1"/>
        </w:rPr>
        <w:lastRenderedPageBreak/>
        <w:t xml:space="preserve">demonstrated is that if an individual sold a pair of jeans under the impression that they were 31 inches long but in </w:t>
      </w:r>
      <w:proofErr w:type="gramStart"/>
      <w:r w:rsidRPr="51EE7FFA">
        <w:rPr>
          <w:rFonts w:ascii="Calibri" w:eastAsia="Calibri" w:hAnsi="Calibri" w:cs="Calibri"/>
          <w:color w:val="000000" w:themeColor="text1"/>
        </w:rPr>
        <w:t>actual fact</w:t>
      </w:r>
      <w:proofErr w:type="gramEnd"/>
      <w:r w:rsidRPr="51EE7FFA">
        <w:rPr>
          <w:rFonts w:ascii="Calibri" w:eastAsia="Calibri" w:hAnsi="Calibri" w:cs="Calibri"/>
          <w:color w:val="000000" w:themeColor="text1"/>
        </w:rPr>
        <w:t xml:space="preserve"> they were 30 inches, the court would hold that the jeans were fulfilling the majority of the </w:t>
      </w:r>
      <w:r w:rsidR="00DB733E" w:rsidRPr="51EE7FFA">
        <w:rPr>
          <w:rFonts w:ascii="Calibri" w:eastAsia="Calibri" w:hAnsi="Calibri" w:cs="Calibri"/>
          <w:color w:val="000000" w:themeColor="text1"/>
        </w:rPr>
        <w:t>contract’s</w:t>
      </w:r>
      <w:r w:rsidRPr="51EE7FFA">
        <w:rPr>
          <w:rFonts w:ascii="Calibri" w:eastAsia="Calibri" w:hAnsi="Calibri" w:cs="Calibri"/>
          <w:color w:val="000000" w:themeColor="text1"/>
        </w:rPr>
        <w:t xml:space="preserve"> requirements and that the 1 inch was not worth disregarding the whole contract for.</w:t>
      </w:r>
    </w:p>
    <w:p w14:paraId="424EEA69" w14:textId="6883950F" w:rsidR="00937CEB" w:rsidRDefault="00937CEB" w:rsidP="64F11470">
      <w:pPr>
        <w:rPr>
          <w:rFonts w:ascii="Calibri" w:eastAsia="Calibri" w:hAnsi="Calibri" w:cs="Calibri"/>
          <w:color w:val="000000" w:themeColor="text1"/>
        </w:rPr>
      </w:pPr>
    </w:p>
    <w:p w14:paraId="1AFA5544" w14:textId="77777777" w:rsidR="00937CEB" w:rsidRDefault="00937CEB" w:rsidP="64F11470">
      <w:pPr>
        <w:rPr>
          <w:rFonts w:ascii="Calibri" w:eastAsia="Calibri" w:hAnsi="Calibri" w:cs="Calibri"/>
          <w:color w:val="000000" w:themeColor="text1"/>
        </w:rPr>
      </w:pPr>
    </w:p>
    <w:p w14:paraId="2C078E63" w14:textId="1ED0161B" w:rsidR="00F13397" w:rsidRDefault="64F11470" w:rsidP="64F11470">
      <w:pPr>
        <w:rPr>
          <w:rFonts w:ascii="Calibri" w:eastAsia="Calibri" w:hAnsi="Calibri" w:cs="Calibri"/>
          <w:color w:val="000000" w:themeColor="text1"/>
        </w:rPr>
      </w:pPr>
      <w:r w:rsidRPr="64F11470">
        <w:rPr>
          <w:rFonts w:ascii="Calibri" w:eastAsia="Calibri" w:hAnsi="Calibri" w:cs="Calibri"/>
          <w:color w:val="000000" w:themeColor="text1"/>
        </w:rPr>
        <w:t xml:space="preserve">To successfully identify and advise Arthur whether there are any valid contracts surrounding the sale of his Rolex watch I will need to identify if there are 3 crucial elements to any of his interactions with Dennis, Christine, or Ben; an agreement, sufficient consideration, and an intention to create a legal relationship. Primarily, I can identify the important stage which precedes an offer and acceptance, an invitation to treat in the form of Arthur’s advertisement in the ‘Antique Tickers’ magazine. An Invitation to Treat differs from an offer as it is unable to be accepted and takes place in the pre-contract negotiations which is demonstrated in the case of </w:t>
      </w:r>
      <w:r w:rsidRPr="00F00818">
        <w:rPr>
          <w:rFonts w:ascii="Calibri" w:eastAsia="Calibri" w:hAnsi="Calibri" w:cs="Calibri"/>
          <w:color w:val="000000" w:themeColor="text1"/>
        </w:rPr>
        <w:t>Spencer V Harding</w:t>
      </w:r>
      <w:r w:rsidR="00F00818" w:rsidRPr="00F00818">
        <w:rPr>
          <w:rFonts w:ascii="Calibri" w:eastAsia="Calibri" w:hAnsi="Calibri" w:cs="Calibri"/>
          <w:color w:val="000000" w:themeColor="text1"/>
        </w:rPr>
        <w:t xml:space="preserve"> (1870)</w:t>
      </w:r>
      <w:r w:rsidRPr="00F00818">
        <w:rPr>
          <w:rFonts w:ascii="Calibri" w:eastAsia="Calibri" w:hAnsi="Calibri" w:cs="Calibri"/>
          <w:color w:val="000000" w:themeColor="text1"/>
        </w:rPr>
        <w:t>.</w:t>
      </w:r>
      <w:r w:rsidR="00F00818">
        <w:rPr>
          <w:rFonts w:ascii="Calibri" w:eastAsia="Calibri" w:hAnsi="Calibri" w:cs="Calibri"/>
          <w:color w:val="000000" w:themeColor="text1"/>
        </w:rPr>
        <w:t xml:space="preserve"> </w:t>
      </w:r>
      <w:r w:rsidRPr="64F11470">
        <w:rPr>
          <w:rFonts w:ascii="Calibri" w:eastAsia="Calibri" w:hAnsi="Calibri" w:cs="Calibri"/>
          <w:color w:val="000000" w:themeColor="text1"/>
        </w:rPr>
        <w:t xml:space="preserve">I can also confidently say that there is an intention to create a legal relationship with all these individuals due to the context that Arthur is advertising his Rolex in, it would be classified as a business environment and therefore would be held that he is expecting to create a legally binding agreement with whoever purchases the Rolex as seen in the case of </w:t>
      </w:r>
      <w:r w:rsidRPr="00F00818">
        <w:rPr>
          <w:rFonts w:ascii="Calibri" w:eastAsia="Calibri" w:hAnsi="Calibri" w:cs="Calibri"/>
          <w:color w:val="000000" w:themeColor="text1"/>
        </w:rPr>
        <w:t>Esso V Customs and Excise</w:t>
      </w:r>
      <w:r w:rsidR="00F00818" w:rsidRPr="00F00818">
        <w:rPr>
          <w:rFonts w:ascii="Calibri" w:eastAsia="Calibri" w:hAnsi="Calibri" w:cs="Calibri"/>
          <w:color w:val="000000" w:themeColor="text1"/>
        </w:rPr>
        <w:t xml:space="preserve"> (1975).</w:t>
      </w:r>
      <w:r w:rsidR="00F00818">
        <w:rPr>
          <w:rFonts w:ascii="Calibri" w:eastAsia="Calibri" w:hAnsi="Calibri" w:cs="Calibri"/>
          <w:color w:val="000000" w:themeColor="text1"/>
        </w:rPr>
        <w:t xml:space="preserve"> </w:t>
      </w:r>
      <w:r w:rsidRPr="64F11470">
        <w:rPr>
          <w:rFonts w:ascii="Calibri" w:eastAsia="Calibri" w:hAnsi="Calibri" w:cs="Calibri"/>
          <w:b/>
          <w:bCs/>
          <w:color w:val="000000" w:themeColor="text1"/>
        </w:rPr>
        <w:t xml:space="preserve"> </w:t>
      </w:r>
      <w:r w:rsidRPr="64F11470">
        <w:rPr>
          <w:rFonts w:ascii="Calibri" w:eastAsia="Calibri" w:hAnsi="Calibri" w:cs="Calibri"/>
          <w:color w:val="000000" w:themeColor="text1"/>
        </w:rPr>
        <w:t xml:space="preserve">If Arthur has simply spoken to a friend or family member about selling the Rolex to them for a set amount this would not be held in court as an intention to create a legal relationship as it is assumed that a social context would not lead to a legally binding agreement usually even if one party, see it to be a legally binding agreement as in the case </w:t>
      </w:r>
      <w:r w:rsidRPr="00F00818">
        <w:rPr>
          <w:rFonts w:ascii="Calibri" w:eastAsia="Calibri" w:hAnsi="Calibri" w:cs="Calibri"/>
          <w:color w:val="000000" w:themeColor="text1"/>
        </w:rPr>
        <w:t xml:space="preserve">Jones V </w:t>
      </w:r>
      <w:proofErr w:type="spellStart"/>
      <w:r w:rsidRPr="00F00818">
        <w:rPr>
          <w:rFonts w:ascii="Calibri" w:eastAsia="Calibri" w:hAnsi="Calibri" w:cs="Calibri"/>
          <w:color w:val="000000" w:themeColor="text1"/>
        </w:rPr>
        <w:t>Padavatton</w:t>
      </w:r>
      <w:proofErr w:type="spellEnd"/>
      <w:r w:rsidR="00F00818" w:rsidRPr="00F00818">
        <w:rPr>
          <w:rFonts w:ascii="Calibri" w:eastAsia="Calibri" w:hAnsi="Calibri" w:cs="Calibri"/>
          <w:color w:val="000000" w:themeColor="text1"/>
        </w:rPr>
        <w:t xml:space="preserve"> (1969).</w:t>
      </w:r>
    </w:p>
    <w:p w14:paraId="12E5BA31" w14:textId="4F08E698" w:rsidR="64F11470" w:rsidRDefault="64F11470" w:rsidP="64F11470">
      <w:pPr>
        <w:rPr>
          <w:rFonts w:ascii="Calibri" w:eastAsia="Calibri" w:hAnsi="Calibri" w:cs="Calibri"/>
          <w:b/>
          <w:bCs/>
          <w:color w:val="000000" w:themeColor="text1"/>
        </w:rPr>
      </w:pPr>
    </w:p>
    <w:p w14:paraId="6C4893E1" w14:textId="753BE969" w:rsidR="64F11470" w:rsidRPr="00F00818" w:rsidRDefault="64F11470" w:rsidP="64F11470">
      <w:pPr>
        <w:rPr>
          <w:b/>
          <w:bCs/>
          <w:color w:val="000000" w:themeColor="text1"/>
        </w:rPr>
      </w:pPr>
      <w:r w:rsidRPr="64F11470">
        <w:rPr>
          <w:color w:val="000000" w:themeColor="text1"/>
        </w:rPr>
        <w:t xml:space="preserve">When </w:t>
      </w:r>
      <w:proofErr w:type="spellStart"/>
      <w:r w:rsidRPr="64F11470">
        <w:rPr>
          <w:color w:val="000000" w:themeColor="text1"/>
        </w:rPr>
        <w:t>analysing</w:t>
      </w:r>
      <w:proofErr w:type="spellEnd"/>
      <w:r w:rsidRPr="64F11470">
        <w:rPr>
          <w:color w:val="000000" w:themeColor="text1"/>
        </w:rPr>
        <w:t xml:space="preserve"> Arthur's interactions with Ben I can draw the conclusion that there is not a valid contract between the two parties, therefore Arthur is not liable to complete any sale with Ben. This is due to there not being sufficient evidence of an agreement between them or any form of consideration. In Arthur’s advert he supplies a postal address therefore allowing acceptance of to be communicated using the Postal Rule which was developed in the case of </w:t>
      </w:r>
      <w:r w:rsidRPr="00F00818">
        <w:rPr>
          <w:color w:val="000000" w:themeColor="text1"/>
        </w:rPr>
        <w:t>Adams V Lindsell</w:t>
      </w:r>
      <w:r w:rsidR="00F00818" w:rsidRPr="00F00818">
        <w:rPr>
          <w:color w:val="000000" w:themeColor="text1"/>
        </w:rPr>
        <w:t xml:space="preserve"> (1818)</w:t>
      </w:r>
      <w:r w:rsidRPr="00F00818">
        <w:rPr>
          <w:color w:val="000000" w:themeColor="text1"/>
        </w:rPr>
        <w:t>.</w:t>
      </w:r>
      <w:r w:rsidRPr="64F11470">
        <w:rPr>
          <w:b/>
          <w:bCs/>
          <w:color w:val="000000" w:themeColor="text1"/>
        </w:rPr>
        <w:t xml:space="preserve"> </w:t>
      </w:r>
      <w:r w:rsidRPr="64F11470">
        <w:rPr>
          <w:color w:val="000000" w:themeColor="text1"/>
        </w:rPr>
        <w:t xml:space="preserve">However, in the case of Ben and Arthur there was not any evidence of an offer and therefore there could not be an acceptance. Ben could have interpreted his letter to Arthur as acceptance as he stated he would buy the watch for the amount stated in the advert; however, adverts are typically only seen as an invitation to treat. As previously stated, an invitation to treat cannot be accepted and therefore Ben’s letter could not be taken as acceptance and would be seen as him opening the conversation and starting negotiations with Arthur surrounding the Rolex watch. Therefore, there is no offer and acceptance to form an agreement and due to the absence of said agreement there cannot be any consideration. Because of this there is no valid contract to be withheld. </w:t>
      </w:r>
    </w:p>
    <w:p w14:paraId="708FAEFC" w14:textId="31B4AC9C" w:rsidR="64F11470" w:rsidRDefault="64F11470" w:rsidP="64F11470">
      <w:pPr>
        <w:rPr>
          <w:color w:val="000000" w:themeColor="text1"/>
        </w:rPr>
      </w:pPr>
    </w:p>
    <w:p w14:paraId="7FBDDF5F" w14:textId="2817014F" w:rsidR="64F11470" w:rsidRDefault="64F11470" w:rsidP="64F11470">
      <w:pPr>
        <w:rPr>
          <w:color w:val="000000" w:themeColor="text1"/>
        </w:rPr>
      </w:pPr>
      <w:r w:rsidRPr="64F11470">
        <w:rPr>
          <w:color w:val="000000" w:themeColor="text1"/>
        </w:rPr>
        <w:t xml:space="preserve">Regarding Christine and Arthur’s interactions, I would advise that there is a valid contract held between them and therefore Arthur is liable to provide Christine with the Rolex Watch. This is due to there being an agreement, consideration, and intention to create a legal relationship. At the beginning of the interactions between both parties, Christine offers Arthur £11,000 for the Rolex Watch, however, Arthur </w:t>
      </w:r>
      <w:r w:rsidRPr="64F11470">
        <w:rPr>
          <w:color w:val="000000" w:themeColor="text1"/>
        </w:rPr>
        <w:lastRenderedPageBreak/>
        <w:t xml:space="preserve">does not accept this offer, he instead returns with a counteroffer of £13,000. Due to the counteroffer, Christine’s original £11,000 offer has been revoked and Arthur has created a new offer for Christine to now accept or reject. This concept was derived from the case </w:t>
      </w:r>
      <w:r w:rsidRPr="00F00818">
        <w:rPr>
          <w:color w:val="000000" w:themeColor="text1"/>
        </w:rPr>
        <w:t>of Hyde V Wrench</w:t>
      </w:r>
      <w:r w:rsidR="00F00818" w:rsidRPr="00F00818">
        <w:rPr>
          <w:color w:val="000000" w:themeColor="text1"/>
        </w:rPr>
        <w:t xml:space="preserve"> (1840)</w:t>
      </w:r>
      <w:r w:rsidRPr="00F00818">
        <w:rPr>
          <w:color w:val="000000" w:themeColor="text1"/>
        </w:rPr>
        <w:t>.</w:t>
      </w:r>
      <w:r w:rsidR="00F00818">
        <w:rPr>
          <w:color w:val="000000" w:themeColor="text1"/>
        </w:rPr>
        <w:t xml:space="preserve"> </w:t>
      </w:r>
      <w:r w:rsidRPr="64F11470">
        <w:rPr>
          <w:color w:val="000000" w:themeColor="text1"/>
        </w:rPr>
        <w:t xml:space="preserve">Christine then returns Arthur’s email with an inquiry as to whether she would be able to pay £11,000 now and a further £2000 once she has been paid. Arthur may see this as her creating another counteroffer, however, in the case of </w:t>
      </w:r>
      <w:r w:rsidRPr="00F00818">
        <w:rPr>
          <w:color w:val="000000" w:themeColor="text1"/>
        </w:rPr>
        <w:t>Stevenson Jacques &amp; Co V McClean</w:t>
      </w:r>
      <w:r w:rsidR="00F00818" w:rsidRPr="00F00818">
        <w:rPr>
          <w:color w:val="000000" w:themeColor="text1"/>
        </w:rPr>
        <w:t xml:space="preserve"> (1880)</w:t>
      </w:r>
      <w:r w:rsidRPr="00F00818">
        <w:rPr>
          <w:color w:val="000000" w:themeColor="text1"/>
        </w:rPr>
        <w:t>,</w:t>
      </w:r>
      <w:r w:rsidRPr="64F11470">
        <w:rPr>
          <w:color w:val="000000" w:themeColor="text1"/>
        </w:rPr>
        <w:t xml:space="preserve"> the principle of seeking more information surrounding an offer is not to be considered as a counteroffer and is to be seen as a mere request for further information regarding the offer presented. Therefore, on the 5</w:t>
      </w:r>
      <w:r w:rsidRPr="64F11470">
        <w:rPr>
          <w:color w:val="000000" w:themeColor="text1"/>
          <w:vertAlign w:val="superscript"/>
        </w:rPr>
        <w:t>th</w:t>
      </w:r>
      <w:r w:rsidRPr="64F11470">
        <w:rPr>
          <w:color w:val="000000" w:themeColor="text1"/>
        </w:rPr>
        <w:t xml:space="preserve"> of May Arthur’s counteroffer is still open and available to be accepted by Christine. At 2pm on the 6</w:t>
      </w:r>
      <w:r w:rsidRPr="64F11470">
        <w:rPr>
          <w:color w:val="000000" w:themeColor="text1"/>
          <w:vertAlign w:val="superscript"/>
        </w:rPr>
        <w:t>th</w:t>
      </w:r>
      <w:r w:rsidRPr="64F11470">
        <w:rPr>
          <w:color w:val="000000" w:themeColor="text1"/>
        </w:rPr>
        <w:t xml:space="preserve"> of May, Christine sends another email stating she has been able to source the additional £2000 now and would be able to pay it all today, this would be seen as acceptance through conduct as she has acted in such a way that would ensure that she would be fulfilling her terms of the contract. There is also sufficient consideration present as consideration is said to be a price paid for a person's promise </w:t>
      </w:r>
      <w:r w:rsidR="00F00818">
        <w:rPr>
          <w:color w:val="000000" w:themeColor="text1"/>
        </w:rPr>
        <w:t>C</w:t>
      </w:r>
      <w:r w:rsidRPr="00F00818">
        <w:rPr>
          <w:color w:val="000000" w:themeColor="text1"/>
        </w:rPr>
        <w:t>urrie V Misa</w:t>
      </w:r>
      <w:r w:rsidR="00F00818">
        <w:rPr>
          <w:color w:val="000000" w:themeColor="text1"/>
        </w:rPr>
        <w:t xml:space="preserve"> (1875) </w:t>
      </w:r>
      <w:r w:rsidRPr="00F00818">
        <w:rPr>
          <w:color w:val="000000" w:themeColor="text1"/>
        </w:rPr>
        <w:t xml:space="preserve">and </w:t>
      </w:r>
      <w:r w:rsidR="00F00818">
        <w:rPr>
          <w:color w:val="000000" w:themeColor="text1"/>
        </w:rPr>
        <w:t>i</w:t>
      </w:r>
      <w:r w:rsidRPr="64F11470">
        <w:rPr>
          <w:color w:val="000000" w:themeColor="text1"/>
        </w:rPr>
        <w:t xml:space="preserve">t is classified as sufficient as there is some value held in the agreement. In the case of Arthur and Christine, Christine is paying £13,000 for Arthur’s Rolex. The intention to create a legal relationship was present when Arthur posted the advert in a commercial environment so was automatically fulfilled. Due to all these factors, there is a valid contract between Christine and Arthur. </w:t>
      </w:r>
    </w:p>
    <w:p w14:paraId="43FC4907" w14:textId="25ACD845" w:rsidR="64F11470" w:rsidRDefault="64F11470" w:rsidP="64F11470">
      <w:pPr>
        <w:rPr>
          <w:color w:val="000000" w:themeColor="text1"/>
        </w:rPr>
      </w:pPr>
    </w:p>
    <w:p w14:paraId="472BDD7C" w14:textId="6F55FFE6" w:rsidR="64F11470" w:rsidRPr="006C71F3" w:rsidRDefault="64F11470" w:rsidP="64F11470">
      <w:pPr>
        <w:rPr>
          <w:b/>
          <w:bCs/>
          <w:color w:val="000000" w:themeColor="text1"/>
        </w:rPr>
      </w:pPr>
      <w:r w:rsidRPr="64F11470">
        <w:rPr>
          <w:color w:val="000000" w:themeColor="text1"/>
        </w:rPr>
        <w:t xml:space="preserve">Dennis and Arthur have some factors that would fulfil the criteria for a valid contract to be held but not all. As with both Ben and Christine, there is automatically an intention to create a legal relationship due to the placement of the advertisement. There is also consideration in this case as Dennis is willing to pay £13,000 for Arthur’s Rolex. However, the agreement was not communicated in a sufficient manner for it to be accepted immediately. Dennis was under the impression that an email acceptance was like that of a postal acceptance which was disproven in the </w:t>
      </w:r>
      <w:proofErr w:type="spellStart"/>
      <w:r w:rsidRPr="00F00818">
        <w:rPr>
          <w:color w:val="000000" w:themeColor="text1"/>
        </w:rPr>
        <w:t>Brinkibon</w:t>
      </w:r>
      <w:proofErr w:type="spellEnd"/>
      <w:r w:rsidRPr="00F00818">
        <w:rPr>
          <w:color w:val="000000" w:themeColor="text1"/>
        </w:rPr>
        <w:t xml:space="preserve"> V </w:t>
      </w:r>
      <w:proofErr w:type="spellStart"/>
      <w:r w:rsidRPr="00F00818">
        <w:rPr>
          <w:color w:val="000000" w:themeColor="text1"/>
        </w:rPr>
        <w:t>Stahag</w:t>
      </w:r>
      <w:proofErr w:type="spellEnd"/>
      <w:r w:rsidRPr="00F00818">
        <w:rPr>
          <w:color w:val="000000" w:themeColor="text1"/>
        </w:rPr>
        <w:t xml:space="preserve"> Stahl </w:t>
      </w:r>
      <w:r w:rsidR="00F00818" w:rsidRPr="00F00818">
        <w:rPr>
          <w:color w:val="000000" w:themeColor="text1"/>
        </w:rPr>
        <w:t>(1983)</w:t>
      </w:r>
      <w:r w:rsidR="00F00818">
        <w:rPr>
          <w:b/>
          <w:bCs/>
          <w:color w:val="000000" w:themeColor="text1"/>
        </w:rPr>
        <w:t xml:space="preserve"> </w:t>
      </w:r>
      <w:r w:rsidRPr="64F11470">
        <w:rPr>
          <w:color w:val="000000" w:themeColor="text1"/>
        </w:rPr>
        <w:t xml:space="preserve">case, but there still was no set of guidelines that would draw the line of when an email or instantaneous form of acceptance should and should not be classified as automatically accepted on receipt. However, since then there has been the case of </w:t>
      </w:r>
      <w:r w:rsidRPr="00F00818">
        <w:rPr>
          <w:color w:val="000000" w:themeColor="text1"/>
        </w:rPr>
        <w:t>Thomas V BPE Solicitors</w:t>
      </w:r>
      <w:r w:rsidR="00F00818">
        <w:rPr>
          <w:color w:val="000000" w:themeColor="text1"/>
        </w:rPr>
        <w:t xml:space="preserve"> (</w:t>
      </w:r>
      <w:r w:rsidR="006C71F3">
        <w:rPr>
          <w:color w:val="000000" w:themeColor="text1"/>
        </w:rPr>
        <w:t xml:space="preserve">2010) </w:t>
      </w:r>
      <w:r w:rsidRPr="00F00818">
        <w:rPr>
          <w:color w:val="000000" w:themeColor="text1"/>
        </w:rPr>
        <w:t>which</w:t>
      </w:r>
      <w:r w:rsidRPr="64F11470">
        <w:rPr>
          <w:color w:val="000000" w:themeColor="text1"/>
        </w:rPr>
        <w:t xml:space="preserve"> created the principle that acceptance through email should only be accepted automatically if it was received during the typical working day of 9 am to 5 pm. Therefore, applying this knowledge to Arthur and Dennis’s case there would be no automatic acceptance as Dennis only sent the email at 5 pm on the 6</w:t>
      </w:r>
      <w:r w:rsidRPr="64F11470">
        <w:rPr>
          <w:color w:val="000000" w:themeColor="text1"/>
          <w:vertAlign w:val="superscript"/>
        </w:rPr>
        <w:t>th</w:t>
      </w:r>
      <w:r w:rsidRPr="64F11470">
        <w:rPr>
          <w:color w:val="000000" w:themeColor="text1"/>
        </w:rPr>
        <w:t xml:space="preserve"> of May, therefore Arthur would not have received the email during office hours. Due to this one slight timing issue, there would be no liability for Arthur to supply Dennis with the Rolex Watch. </w:t>
      </w:r>
    </w:p>
    <w:p w14:paraId="14117FCB" w14:textId="63C24E17" w:rsidR="64F11470" w:rsidRDefault="64F11470" w:rsidP="64F11470">
      <w:pPr>
        <w:rPr>
          <w:color w:val="000000" w:themeColor="text1"/>
        </w:rPr>
      </w:pPr>
    </w:p>
    <w:p w14:paraId="04C2FC6E" w14:textId="51471390" w:rsidR="64F11470" w:rsidRDefault="64F11470" w:rsidP="64F11470">
      <w:pPr>
        <w:rPr>
          <w:color w:val="000000" w:themeColor="text1"/>
        </w:rPr>
      </w:pPr>
      <w:r w:rsidRPr="64F11470">
        <w:rPr>
          <w:color w:val="000000" w:themeColor="text1"/>
        </w:rPr>
        <w:t xml:space="preserve">To conclude, I can confirm that there is only 1 valid contract that Arthur needs to uphold and complete and that is with Christine. This is because there has been sufficient evidence of all the criteria needed to construct a valid contract: an agreement, sufficient consideration, and an intention to create a legal relationship. Therefore, Arthur is under a legal obligation to supply Christine with the Rolex Watch. </w:t>
      </w:r>
      <w:proofErr w:type="gramStart"/>
      <w:r w:rsidRPr="64F11470">
        <w:rPr>
          <w:color w:val="000000" w:themeColor="text1"/>
        </w:rPr>
        <w:t>In regard to</w:t>
      </w:r>
      <w:proofErr w:type="gramEnd"/>
      <w:r w:rsidRPr="64F11470">
        <w:rPr>
          <w:color w:val="000000" w:themeColor="text1"/>
        </w:rPr>
        <w:t xml:space="preserve"> Ben, there are no legal obligations present. This is due to there being a lack of both consideration and </w:t>
      </w:r>
      <w:bookmarkStart w:id="3" w:name="_Int_5LR75HTr"/>
      <w:r w:rsidRPr="64F11470">
        <w:rPr>
          <w:color w:val="000000" w:themeColor="text1"/>
        </w:rPr>
        <w:t>an agreement</w:t>
      </w:r>
      <w:bookmarkEnd w:id="3"/>
      <w:r w:rsidRPr="64F11470">
        <w:rPr>
          <w:color w:val="000000" w:themeColor="text1"/>
        </w:rPr>
        <w:t xml:space="preserve">. Ben simply opened negotiations with Arthur although he may have been under the impression that he had accepted the advertisements but as advertisements are only seen as invitations to treat this could not be possible. Dennis had most of the criteria met as there was consideration present as he was willing to pay £13000 for the Rolex watch and there was evidence of an </w:t>
      </w:r>
      <w:r w:rsidRPr="64F11470">
        <w:rPr>
          <w:color w:val="000000" w:themeColor="text1"/>
        </w:rPr>
        <w:lastRenderedPageBreak/>
        <w:t xml:space="preserve">intention to create a legal relationship, however, he fell short due to the timing of his acceptance email. As it was sent at 5 pm which falls outside of the typical working day there was no automatic acceptance and therefore he failed to complete the agreement and withheld the capabilities to form a legally binding contract. </w:t>
      </w:r>
    </w:p>
    <w:p w14:paraId="2EC662A4" w14:textId="0BC2F391" w:rsidR="006C71F3" w:rsidRDefault="006C71F3" w:rsidP="64F11470">
      <w:pPr>
        <w:rPr>
          <w:color w:val="000000" w:themeColor="text1"/>
        </w:rPr>
      </w:pPr>
    </w:p>
    <w:p w14:paraId="5106A7D0" w14:textId="0760C1DD" w:rsidR="006C71F3" w:rsidRDefault="006C71F3" w:rsidP="64F11470">
      <w:pPr>
        <w:rPr>
          <w:color w:val="000000" w:themeColor="text1"/>
        </w:rPr>
      </w:pPr>
    </w:p>
    <w:sdt>
      <w:sdtPr>
        <w:id w:val="-628561247"/>
        <w:docPartObj>
          <w:docPartGallery w:val="Bibliographies"/>
          <w:docPartUnique/>
        </w:docPartObj>
      </w:sdtPr>
      <w:sdtEndPr>
        <w:rPr>
          <w:rFonts w:asciiTheme="minorHAnsi" w:eastAsiaTheme="minorHAnsi" w:hAnsiTheme="minorHAnsi" w:cstheme="minorBidi"/>
          <w:b w:val="0"/>
          <w:bCs w:val="0"/>
          <w:color w:val="auto"/>
          <w:sz w:val="22"/>
          <w:szCs w:val="22"/>
          <w:lang w:bidi="ar-SA"/>
        </w:rPr>
      </w:sdtEndPr>
      <w:sdtContent>
        <w:p w14:paraId="5D343076" w14:textId="3EF92A6C" w:rsidR="006C71F3" w:rsidRDefault="006C71F3">
          <w:pPr>
            <w:pStyle w:val="Heading1"/>
          </w:pPr>
          <w:r>
            <w:t>Bibliography</w:t>
          </w:r>
        </w:p>
        <w:p w14:paraId="77DD3B09" w14:textId="2F1B9DBC" w:rsidR="006C71F3" w:rsidRDefault="006C71F3" w:rsidP="006C71F3">
          <w:pPr>
            <w:rPr>
              <w:lang w:bidi="en-US"/>
            </w:rPr>
          </w:pPr>
          <w:r>
            <w:rPr>
              <w:lang w:bidi="en-US"/>
            </w:rPr>
            <w:t xml:space="preserve">Adams V Lindsell [1818] 1 B &amp; </w:t>
          </w:r>
          <w:proofErr w:type="spellStart"/>
          <w:r>
            <w:rPr>
              <w:lang w:bidi="en-US"/>
            </w:rPr>
            <w:t>Ald</w:t>
          </w:r>
          <w:proofErr w:type="spellEnd"/>
          <w:r>
            <w:rPr>
              <w:lang w:bidi="en-US"/>
            </w:rPr>
            <w:t xml:space="preserve"> </w:t>
          </w:r>
        </w:p>
        <w:p w14:paraId="701D771C" w14:textId="13DFCC6D" w:rsidR="006C71F3" w:rsidRPr="006C71F3" w:rsidRDefault="006C71F3" w:rsidP="006C71F3">
          <w:pPr>
            <w:rPr>
              <w:lang w:bidi="en-US"/>
            </w:rPr>
          </w:pPr>
          <w:proofErr w:type="spellStart"/>
          <w:r>
            <w:rPr>
              <w:lang w:bidi="en-US"/>
            </w:rPr>
            <w:t>Brinkibon</w:t>
          </w:r>
          <w:proofErr w:type="spellEnd"/>
          <w:r>
            <w:rPr>
              <w:lang w:bidi="en-US"/>
            </w:rPr>
            <w:t xml:space="preserve"> Ltd V </w:t>
          </w:r>
          <w:proofErr w:type="spellStart"/>
          <w:r>
            <w:rPr>
              <w:lang w:bidi="en-US"/>
            </w:rPr>
            <w:t>Stahag</w:t>
          </w:r>
          <w:proofErr w:type="spellEnd"/>
          <w:r>
            <w:rPr>
              <w:lang w:bidi="en-US"/>
            </w:rPr>
            <w:t xml:space="preserve"> Stahl [1983] 2 AC 34  </w:t>
          </w:r>
        </w:p>
        <w:sdt>
          <w:sdtPr>
            <w:id w:val="111145805"/>
            <w:bibliography/>
          </w:sdtPr>
          <w:sdtContent>
            <w:p w14:paraId="4DDA6957" w14:textId="41B43D9B" w:rsidR="006C71F3" w:rsidRDefault="006C71F3" w:rsidP="006C71F3">
              <w:pPr>
                <w:pStyle w:val="Bibliography"/>
                <w:rPr>
                  <w:noProof/>
                </w:rPr>
              </w:pPr>
              <w:r>
                <w:fldChar w:fldCharType="begin"/>
              </w:r>
              <w:r>
                <w:instrText xml:space="preserve"> BIBLIOGRAPHY </w:instrText>
              </w:r>
              <w:r>
                <w:fldChar w:fldCharType="separate"/>
              </w:r>
              <w:r>
                <w:rPr>
                  <w:noProof/>
                </w:rPr>
                <w:t xml:space="preserve">Cartwright, J., 2016. Contract Law . In: </w:t>
              </w:r>
              <w:r>
                <w:rPr>
                  <w:i/>
                  <w:iCs/>
                  <w:noProof/>
                </w:rPr>
                <w:t xml:space="preserve">An Introduction to the English Law of Contract for the Civil Lawyer. </w:t>
              </w:r>
              <w:r>
                <w:rPr>
                  <w:noProof/>
                </w:rPr>
                <w:t>s.l.:Bloomsbury Publishing</w:t>
              </w:r>
            </w:p>
            <w:p w14:paraId="3AAC319C" w14:textId="2DCFCFDB" w:rsidR="006C71F3" w:rsidRDefault="006C71F3" w:rsidP="006C71F3">
              <w:r>
                <w:t>Currie V Misa [1875] LR 10 EX</w:t>
              </w:r>
            </w:p>
            <w:p w14:paraId="1865C1ED" w14:textId="2C5C9E88" w:rsidR="006C71F3" w:rsidRDefault="006C71F3" w:rsidP="006C71F3">
              <w:r>
                <w:t xml:space="preserve">Cutter V Powell [1975] 6 </w:t>
              </w:r>
              <w:proofErr w:type="spellStart"/>
              <w:r>
                <w:t>TermRep</w:t>
              </w:r>
              <w:proofErr w:type="spellEnd"/>
            </w:p>
            <w:p w14:paraId="783A93CB" w14:textId="6FD8B7E4" w:rsidR="006C71F3" w:rsidRDefault="006C71F3" w:rsidP="006C71F3">
              <w:r>
                <w:t xml:space="preserve">Esso V Customs and Exercise [1975] 1 WLR 406 </w:t>
              </w:r>
            </w:p>
            <w:p w14:paraId="68138AE7" w14:textId="00F5ACC4" w:rsidR="006C71F3" w:rsidRPr="006C71F3" w:rsidRDefault="006C71F3" w:rsidP="006C71F3">
              <w:r>
                <w:t>Eastwood V Kenyon [1840] 11 A&amp;C 438</w:t>
              </w:r>
            </w:p>
            <w:p w14:paraId="617D0611" w14:textId="77777777" w:rsidR="006C71F3" w:rsidRDefault="006C71F3" w:rsidP="006C71F3">
              <w:pPr>
                <w:pStyle w:val="Bibliography"/>
                <w:rPr>
                  <w:noProof/>
                </w:rPr>
              </w:pPr>
              <w:r>
                <w:rPr>
                  <w:noProof/>
                </w:rPr>
                <w:t xml:space="preserve">Halson, R., 2001. </w:t>
              </w:r>
              <w:r>
                <w:rPr>
                  <w:i/>
                  <w:iCs/>
                  <w:noProof/>
                </w:rPr>
                <w:t xml:space="preserve">Contract Law. </w:t>
              </w:r>
              <w:r>
                <w:rPr>
                  <w:noProof/>
                </w:rPr>
                <w:t>s.l.:Longman.</w:t>
              </w:r>
            </w:p>
            <w:p w14:paraId="145EB702" w14:textId="77777777" w:rsidR="006C71F3" w:rsidRDefault="006C71F3" w:rsidP="006C71F3">
              <w:pPr>
                <w:pStyle w:val="Bibliography"/>
                <w:rPr>
                  <w:noProof/>
                </w:rPr>
              </w:pPr>
              <w:r>
                <w:rPr>
                  <w:noProof/>
                </w:rPr>
                <w:t xml:space="preserve">Halson, R., n.d. </w:t>
              </w:r>
              <w:r>
                <w:rPr>
                  <w:i/>
                  <w:iCs/>
                  <w:noProof/>
                </w:rPr>
                <w:t xml:space="preserve">Contract Law. </w:t>
              </w:r>
              <w:r>
                <w:rPr>
                  <w:noProof/>
                </w:rPr>
                <w:t>Second ed. s.l.:Pearson.</w:t>
              </w:r>
            </w:p>
            <w:p w14:paraId="109F92BC" w14:textId="6BF191AC" w:rsidR="006C71F3" w:rsidRDefault="006C71F3" w:rsidP="006C71F3">
              <w:pPr>
                <w:pStyle w:val="Bibliography"/>
                <w:rPr>
                  <w:noProof/>
                </w:rPr>
              </w:pPr>
              <w:r>
                <w:rPr>
                  <w:noProof/>
                </w:rPr>
                <w:t>Hoekstra, J., 2021. Introduction to Contract Law . In: s.l.:Transnational Press London , p. 160.</w:t>
              </w:r>
            </w:p>
            <w:p w14:paraId="2D6E75B6" w14:textId="68FBD219" w:rsidR="006C71F3" w:rsidRDefault="006C71F3" w:rsidP="006C71F3">
              <w:r>
                <w:t xml:space="preserve">Hyde V Wrench [1840] 3 </w:t>
              </w:r>
              <w:proofErr w:type="spellStart"/>
              <w:r>
                <w:t>Beav</w:t>
              </w:r>
              <w:proofErr w:type="spellEnd"/>
              <w:r>
                <w:t xml:space="preserve"> </w:t>
              </w:r>
              <w:r w:rsidR="00A21482">
                <w:t>334</w:t>
              </w:r>
            </w:p>
            <w:p w14:paraId="1FB7E70C" w14:textId="05519842" w:rsidR="00A21482" w:rsidRDefault="00A21482" w:rsidP="006C71F3">
              <w:r>
                <w:t>Jackson V Horizon Holidays Ltd [1975] 1 WLR 1468</w:t>
              </w:r>
            </w:p>
            <w:p w14:paraId="264ACD35" w14:textId="485263FA" w:rsidR="00A21482" w:rsidRPr="006C71F3" w:rsidRDefault="00A21482" w:rsidP="006C71F3">
              <w:r>
                <w:t xml:space="preserve">Jones V </w:t>
              </w:r>
              <w:proofErr w:type="spellStart"/>
              <w:r>
                <w:t>Padavatton</w:t>
              </w:r>
              <w:proofErr w:type="spellEnd"/>
              <w:r>
                <w:t xml:space="preserve"> [1969] 1 WLR 328</w:t>
              </w:r>
            </w:p>
            <w:p w14:paraId="54CCE2F4" w14:textId="77777777" w:rsidR="006C71F3" w:rsidRDefault="006C71F3" w:rsidP="006C71F3">
              <w:pPr>
                <w:pStyle w:val="Bibliography"/>
                <w:rPr>
                  <w:noProof/>
                </w:rPr>
              </w:pPr>
              <w:r>
                <w:rPr>
                  <w:noProof/>
                </w:rPr>
                <w:t xml:space="preserve">Poole, J., Shaw-Mellors, A. &amp; Devenney, J., 2019. In: </w:t>
              </w:r>
              <w:r>
                <w:rPr>
                  <w:i/>
                  <w:iCs/>
                  <w:noProof/>
                </w:rPr>
                <w:t xml:space="preserve">Contract Law Concentrate . </w:t>
              </w:r>
              <w:r>
                <w:rPr>
                  <w:noProof/>
                </w:rPr>
                <w:t>s.l.:Oxford University Press, p. 77.</w:t>
              </w:r>
            </w:p>
            <w:p w14:paraId="532B8E5F" w14:textId="1BD25898" w:rsidR="006C71F3" w:rsidRDefault="006C71F3" w:rsidP="006C71F3">
              <w:pPr>
                <w:pStyle w:val="Bibliography"/>
                <w:rPr>
                  <w:noProof/>
                </w:rPr>
              </w:pPr>
              <w:r>
                <w:rPr>
                  <w:noProof/>
                </w:rPr>
                <w:t xml:space="preserve">Simmons &amp; Simmons, 2016. </w:t>
              </w:r>
              <w:r>
                <w:rPr>
                  <w:i/>
                  <w:iCs/>
                  <w:noProof/>
                </w:rPr>
                <w:t xml:space="preserve">Developments in contracts: Rights of third parties. </w:t>
              </w:r>
              <w:r>
                <w:rPr>
                  <w:noProof/>
                </w:rPr>
                <w:t xml:space="preserve">[Online] </w:t>
              </w:r>
              <w:r>
                <w:rPr>
                  <w:noProof/>
                </w:rPr>
                <w:br/>
                <w:t xml:space="preserve">Available at: </w:t>
              </w:r>
              <w:r>
                <w:rPr>
                  <w:noProof/>
                  <w:u w:val="single"/>
                </w:rPr>
                <w:t>https://www.simmons-simmons.com/en/publications/ck0af4xrinal00b33gjidsg3b/290419-developments-in-contract-rights-of-third-parties</w:t>
              </w:r>
              <w:r>
                <w:rPr>
                  <w:noProof/>
                </w:rPr>
                <w:br/>
                <w:t>[Accessed 04 03 2022].</w:t>
              </w:r>
            </w:p>
            <w:p w14:paraId="6F9D92D6" w14:textId="092B1301" w:rsidR="00A21482" w:rsidRDefault="00A21482" w:rsidP="00A21482">
              <w:r>
                <w:t>Spencer V Harding [1870] LR 5 CP 561</w:t>
              </w:r>
            </w:p>
            <w:p w14:paraId="5484CB8E" w14:textId="3FA47813" w:rsidR="00A21482" w:rsidRDefault="00A21482" w:rsidP="00A21482">
              <w:r>
                <w:t xml:space="preserve">Stevenson Jacques &amp; Co V McClean [1880] 3 QBD 346 </w:t>
              </w:r>
            </w:p>
            <w:p w14:paraId="239F4786" w14:textId="35313D41" w:rsidR="00A21482" w:rsidRDefault="00A21482" w:rsidP="00A21482">
              <w:r>
                <w:t xml:space="preserve">Sumpter V Hedges (1898) 1 QB 673 </w:t>
              </w:r>
            </w:p>
            <w:p w14:paraId="3D07AFBE" w14:textId="1979F3B5" w:rsidR="00A21482" w:rsidRDefault="00A21482" w:rsidP="00A21482">
              <w:r>
                <w:t xml:space="preserve">Thomas V BPE </w:t>
              </w:r>
              <w:proofErr w:type="spellStart"/>
              <w:r>
                <w:t>Solictors</w:t>
              </w:r>
              <w:proofErr w:type="spellEnd"/>
              <w:r>
                <w:t xml:space="preserve"> [2010] EWHC 306</w:t>
              </w:r>
            </w:p>
            <w:p w14:paraId="76872DC8" w14:textId="2B5F961F" w:rsidR="00A21482" w:rsidRPr="00A21482" w:rsidRDefault="00A21482" w:rsidP="00A21482">
              <w:r>
                <w:lastRenderedPageBreak/>
                <w:t xml:space="preserve">Tweddle V Atkinson [1861] 1 B&amp;S 393 </w:t>
              </w:r>
            </w:p>
            <w:p w14:paraId="36341062" w14:textId="1E4144C5" w:rsidR="006C71F3" w:rsidRDefault="006C71F3" w:rsidP="006C71F3">
              <w:r>
                <w:rPr>
                  <w:b/>
                  <w:bCs/>
                  <w:noProof/>
                </w:rPr>
                <w:fldChar w:fldCharType="end"/>
              </w:r>
            </w:p>
          </w:sdtContent>
        </w:sdt>
      </w:sdtContent>
    </w:sdt>
    <w:p w14:paraId="25F9F2F5" w14:textId="77777777" w:rsidR="006C71F3" w:rsidRDefault="006C71F3" w:rsidP="64F11470">
      <w:pPr>
        <w:rPr>
          <w:color w:val="000000" w:themeColor="text1"/>
        </w:rPr>
      </w:pPr>
    </w:p>
    <w:sectPr w:rsidR="006C71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D4JDEQ/HN5+s4C" int2:id="zjWgSIhd">
      <int2:state int2:value="Rejected" int2:type="AugLoop_Text_Critique"/>
    </int2:textHash>
    <int2:textHash int2:hashCode="JVDg6ugfob5pm+" int2:id="K0hRn4v8">
      <int2:state int2:value="Rejected" int2:type="AugLoop_Text_Critique"/>
    </int2:textHash>
    <int2:textHash int2:hashCode="ZmplTD9zjwgYr+" int2:id="Km4UPihQ">
      <int2:state int2:value="Rejected" int2:type="LegacyProofing"/>
    </int2:textHash>
    <int2:textHash int2:hashCode="Gl9O4WP20AbTT6" int2:id="ktg5SQjE">
      <int2:state int2:value="Rejected" int2:type="LegacyProofing"/>
    </int2:textHash>
    <int2:textHash int2:hashCode="7nsz71Hgdv2Q6x" int2:id="iukCeVek">
      <int2:state int2:value="Rejected" int2:type="LegacyProofing"/>
    </int2:textHash>
    <int2:textHash int2:hashCode="zqhYDntAHb/qEo" int2:id="RJBn6S8j">
      <int2:state int2:value="Rejected" int2:type="LegacyProofing"/>
    </int2:textHash>
    <int2:bookmark int2:bookmarkName="_Int_FcCmJ56V" int2:invalidationBookmarkName="" int2:hashCode="XEbAsqc9Rn7weH" int2:id="b6DYn61q">
      <int2:state int2:value="Rejected" int2:type="LegacyProofing"/>
    </int2:bookmark>
    <int2:bookmark int2:bookmarkName="_Int_B0FGYpn2" int2:invalidationBookmarkName="" int2:hashCode="XEbAsqc9Rn7weH" int2:id="SbAgALn8">
      <int2:state int2:value="Rejected" int2:type="LegacyProofing"/>
    </int2:bookmark>
    <int2:bookmark int2:bookmarkName="_Int_t5bGLQ5h" int2:invalidationBookmarkName="" int2:hashCode="+52rs4O4SqXOFh" int2:id="SvLEAzJN">
      <int2:state int2:value="Rejected" int2:type="LegacyProofing"/>
    </int2:bookmark>
    <int2:bookmark int2:bookmarkName="_Int_GdeJTRmY" int2:invalidationBookmarkName="" int2:hashCode="mlB1JyVe2FYv4u" int2:id="VjyTu1Bx">
      <int2:state int2:value="Rejected" int2:type="LegacyProofing"/>
    </int2:bookmark>
    <int2:bookmark int2:bookmarkName="_Int_5LR75HTr" int2:invalidationBookmarkName="" int2:hashCode="Y9Ht/YryHoR7QR" int2:id="s5bwHXP2">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2EE2C8"/>
    <w:rsid w:val="0007005A"/>
    <w:rsid w:val="002E73F9"/>
    <w:rsid w:val="003B47E2"/>
    <w:rsid w:val="006C71F3"/>
    <w:rsid w:val="0072150A"/>
    <w:rsid w:val="00937CEB"/>
    <w:rsid w:val="00A21482"/>
    <w:rsid w:val="00DB733E"/>
    <w:rsid w:val="00E16001"/>
    <w:rsid w:val="00F00818"/>
    <w:rsid w:val="00F13397"/>
    <w:rsid w:val="00F24F0A"/>
    <w:rsid w:val="01128058"/>
    <w:rsid w:val="013AF3E4"/>
    <w:rsid w:val="03595E17"/>
    <w:rsid w:val="04839FA9"/>
    <w:rsid w:val="04AEDF59"/>
    <w:rsid w:val="04C17BF1"/>
    <w:rsid w:val="04F52E78"/>
    <w:rsid w:val="06216848"/>
    <w:rsid w:val="0634E15C"/>
    <w:rsid w:val="065D4C52"/>
    <w:rsid w:val="0690FED9"/>
    <w:rsid w:val="07A4104C"/>
    <w:rsid w:val="07BB406B"/>
    <w:rsid w:val="094605C9"/>
    <w:rsid w:val="09ADE2A0"/>
    <w:rsid w:val="0A20A05F"/>
    <w:rsid w:val="0A808FB0"/>
    <w:rsid w:val="0AF2E12D"/>
    <w:rsid w:val="0D584121"/>
    <w:rsid w:val="0E2A81EF"/>
    <w:rsid w:val="10A90A40"/>
    <w:rsid w:val="1267FCF7"/>
    <w:rsid w:val="13E0AB02"/>
    <w:rsid w:val="14BCA95B"/>
    <w:rsid w:val="14CCF0A9"/>
    <w:rsid w:val="1804916B"/>
    <w:rsid w:val="189AF3C8"/>
    <w:rsid w:val="1A47FF00"/>
    <w:rsid w:val="1BD5A32F"/>
    <w:rsid w:val="1BE3CF61"/>
    <w:rsid w:val="1D1E51AD"/>
    <w:rsid w:val="1D735D19"/>
    <w:rsid w:val="1F4441C2"/>
    <w:rsid w:val="22215008"/>
    <w:rsid w:val="2246CE3C"/>
    <w:rsid w:val="231DD467"/>
    <w:rsid w:val="23BD2069"/>
    <w:rsid w:val="2558F0CA"/>
    <w:rsid w:val="26557529"/>
    <w:rsid w:val="26F4C12B"/>
    <w:rsid w:val="271A3F5F"/>
    <w:rsid w:val="29F38EFF"/>
    <w:rsid w:val="2BC77398"/>
    <w:rsid w:val="2BF3B47F"/>
    <w:rsid w:val="2D8F84E0"/>
    <w:rsid w:val="3025270C"/>
    <w:rsid w:val="30B40C1D"/>
    <w:rsid w:val="319BBC3B"/>
    <w:rsid w:val="3262F603"/>
    <w:rsid w:val="33F3CA39"/>
    <w:rsid w:val="372B6AFB"/>
    <w:rsid w:val="38C903C6"/>
    <w:rsid w:val="39814FEC"/>
    <w:rsid w:val="39A9C378"/>
    <w:rsid w:val="3C00A488"/>
    <w:rsid w:val="3CDE6EE2"/>
    <w:rsid w:val="3D9C74E9"/>
    <w:rsid w:val="40111776"/>
    <w:rsid w:val="40FD5D1D"/>
    <w:rsid w:val="4203BCA8"/>
    <w:rsid w:val="42992D7E"/>
    <w:rsid w:val="437CA923"/>
    <w:rsid w:val="4434FDDF"/>
    <w:rsid w:val="448B2FA5"/>
    <w:rsid w:val="45A786CE"/>
    <w:rsid w:val="468058FA"/>
    <w:rsid w:val="4743572F"/>
    <w:rsid w:val="4779141B"/>
    <w:rsid w:val="4900153A"/>
    <w:rsid w:val="4C37B5FC"/>
    <w:rsid w:val="4CFC8032"/>
    <w:rsid w:val="4D6D7A86"/>
    <w:rsid w:val="4F094AE7"/>
    <w:rsid w:val="4F6F56BE"/>
    <w:rsid w:val="502903AA"/>
    <w:rsid w:val="507DDD40"/>
    <w:rsid w:val="51EE7FFA"/>
    <w:rsid w:val="5286A9E4"/>
    <w:rsid w:val="52A6F780"/>
    <w:rsid w:val="535EAC2E"/>
    <w:rsid w:val="54FA7C8F"/>
    <w:rsid w:val="569E6A4A"/>
    <w:rsid w:val="56ED1EC4"/>
    <w:rsid w:val="58321D51"/>
    <w:rsid w:val="583A3AAB"/>
    <w:rsid w:val="59B58506"/>
    <w:rsid w:val="59CFE5F0"/>
    <w:rsid w:val="5A24BF86"/>
    <w:rsid w:val="5CF48371"/>
    <w:rsid w:val="5D0DABCE"/>
    <w:rsid w:val="5D38BBAA"/>
    <w:rsid w:val="5E9053D2"/>
    <w:rsid w:val="60454C90"/>
    <w:rsid w:val="6122F5CB"/>
    <w:rsid w:val="6124DF54"/>
    <w:rsid w:val="61D8FF97"/>
    <w:rsid w:val="61E2E55B"/>
    <w:rsid w:val="62A28F2A"/>
    <w:rsid w:val="62F17675"/>
    <w:rsid w:val="6323945E"/>
    <w:rsid w:val="6374CFF8"/>
    <w:rsid w:val="637CED52"/>
    <w:rsid w:val="643E5F8B"/>
    <w:rsid w:val="648D46D6"/>
    <w:rsid w:val="64F11470"/>
    <w:rsid w:val="6543CD8F"/>
    <w:rsid w:val="667A20FB"/>
    <w:rsid w:val="667ADFB1"/>
    <w:rsid w:val="66B48E14"/>
    <w:rsid w:val="672EE2C8"/>
    <w:rsid w:val="67C4E798"/>
    <w:rsid w:val="67DDDD24"/>
    <w:rsid w:val="685226DF"/>
    <w:rsid w:val="687B6E51"/>
    <w:rsid w:val="6911D0AE"/>
    <w:rsid w:val="6960B7F9"/>
    <w:rsid w:val="6AD9CCAD"/>
    <w:rsid w:val="6C6791FB"/>
    <w:rsid w:val="6C9858BB"/>
    <w:rsid w:val="6CB14E47"/>
    <w:rsid w:val="6D4EDF74"/>
    <w:rsid w:val="6E34291C"/>
    <w:rsid w:val="6F811232"/>
    <w:rsid w:val="705D38C4"/>
    <w:rsid w:val="70CCCF55"/>
    <w:rsid w:val="72B8B2F4"/>
    <w:rsid w:val="73287D51"/>
    <w:rsid w:val="74AB5826"/>
    <w:rsid w:val="74C44DB2"/>
    <w:rsid w:val="75F8413C"/>
    <w:rsid w:val="76472887"/>
    <w:rsid w:val="76601E13"/>
    <w:rsid w:val="77A54C74"/>
    <w:rsid w:val="77D05C50"/>
    <w:rsid w:val="7AA33ED3"/>
    <w:rsid w:val="7ACBB25F"/>
    <w:rsid w:val="7B07FD12"/>
    <w:rsid w:val="7B338F36"/>
    <w:rsid w:val="7BBC7FFA"/>
    <w:rsid w:val="7C3F0F34"/>
    <w:rsid w:val="7C6782C0"/>
    <w:rsid w:val="7CA3CD73"/>
    <w:rsid w:val="7D2DB2BB"/>
    <w:rsid w:val="7DFB659B"/>
    <w:rsid w:val="7EC98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EE2C8"/>
  <w15:chartTrackingRefBased/>
  <w15:docId w15:val="{CC10570C-CDD0-4541-834A-8169375D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1F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1F3"/>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C7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13718">
      <w:bodyDiv w:val="1"/>
      <w:marLeft w:val="0"/>
      <w:marRight w:val="0"/>
      <w:marTop w:val="0"/>
      <w:marBottom w:val="0"/>
      <w:divBdr>
        <w:top w:val="none" w:sz="0" w:space="0" w:color="auto"/>
        <w:left w:val="none" w:sz="0" w:space="0" w:color="auto"/>
        <w:bottom w:val="none" w:sz="0" w:space="0" w:color="auto"/>
        <w:right w:val="none" w:sz="0" w:space="0" w:color="auto"/>
      </w:divBdr>
    </w:div>
    <w:div w:id="385951882">
      <w:bodyDiv w:val="1"/>
      <w:marLeft w:val="0"/>
      <w:marRight w:val="0"/>
      <w:marTop w:val="0"/>
      <w:marBottom w:val="0"/>
      <w:divBdr>
        <w:top w:val="none" w:sz="0" w:space="0" w:color="auto"/>
        <w:left w:val="none" w:sz="0" w:space="0" w:color="auto"/>
        <w:bottom w:val="none" w:sz="0" w:space="0" w:color="auto"/>
        <w:right w:val="none" w:sz="0" w:space="0" w:color="auto"/>
      </w:divBdr>
    </w:div>
    <w:div w:id="770784345">
      <w:bodyDiv w:val="1"/>
      <w:marLeft w:val="0"/>
      <w:marRight w:val="0"/>
      <w:marTop w:val="0"/>
      <w:marBottom w:val="0"/>
      <w:divBdr>
        <w:top w:val="none" w:sz="0" w:space="0" w:color="auto"/>
        <w:left w:val="none" w:sz="0" w:space="0" w:color="auto"/>
        <w:bottom w:val="none" w:sz="0" w:space="0" w:color="auto"/>
        <w:right w:val="none" w:sz="0" w:space="0" w:color="auto"/>
      </w:divBdr>
    </w:div>
    <w:div w:id="1115909101">
      <w:bodyDiv w:val="1"/>
      <w:marLeft w:val="0"/>
      <w:marRight w:val="0"/>
      <w:marTop w:val="0"/>
      <w:marBottom w:val="0"/>
      <w:divBdr>
        <w:top w:val="none" w:sz="0" w:space="0" w:color="auto"/>
        <w:left w:val="none" w:sz="0" w:space="0" w:color="auto"/>
        <w:bottom w:val="none" w:sz="0" w:space="0" w:color="auto"/>
        <w:right w:val="none" w:sz="0" w:space="0" w:color="auto"/>
      </w:divBdr>
    </w:div>
    <w:div w:id="1451047007">
      <w:bodyDiv w:val="1"/>
      <w:marLeft w:val="0"/>
      <w:marRight w:val="0"/>
      <w:marTop w:val="0"/>
      <w:marBottom w:val="0"/>
      <w:divBdr>
        <w:top w:val="none" w:sz="0" w:space="0" w:color="auto"/>
        <w:left w:val="none" w:sz="0" w:space="0" w:color="auto"/>
        <w:bottom w:val="none" w:sz="0" w:space="0" w:color="auto"/>
        <w:right w:val="none" w:sz="0" w:space="0" w:color="auto"/>
      </w:divBdr>
    </w:div>
    <w:div w:id="1736586712">
      <w:bodyDiv w:val="1"/>
      <w:marLeft w:val="0"/>
      <w:marRight w:val="0"/>
      <w:marTop w:val="0"/>
      <w:marBottom w:val="0"/>
      <w:divBdr>
        <w:top w:val="none" w:sz="0" w:space="0" w:color="auto"/>
        <w:left w:val="none" w:sz="0" w:space="0" w:color="auto"/>
        <w:bottom w:val="none" w:sz="0" w:space="0" w:color="auto"/>
        <w:right w:val="none" w:sz="0" w:space="0" w:color="auto"/>
      </w:divBdr>
    </w:div>
    <w:div w:id="1810124158">
      <w:bodyDiv w:val="1"/>
      <w:marLeft w:val="0"/>
      <w:marRight w:val="0"/>
      <w:marTop w:val="0"/>
      <w:marBottom w:val="0"/>
      <w:divBdr>
        <w:top w:val="none" w:sz="0" w:space="0" w:color="auto"/>
        <w:left w:val="none" w:sz="0" w:space="0" w:color="auto"/>
        <w:bottom w:val="none" w:sz="0" w:space="0" w:color="auto"/>
        <w:right w:val="none" w:sz="0" w:space="0" w:color="auto"/>
      </w:divBdr>
    </w:div>
    <w:div w:id="209559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Poo19</b:Tag>
    <b:SourceType>BookSection</b:SourceType>
    <b:Guid>{498E2EA6-514E-AF4D-9835-023A768707A2}</b:Guid>
    <b:Year>2019</b:Year>
    <b:Publisher>Oxford University Press</b:Publisher>
    <b:BookTitle>Contract Law Concentrate </b:BookTitle>
    <b:Pages>77</b:Pages>
    <b:Author>
      <b:Author>
        <b:NameList>
          <b:Person>
            <b:Last>Poole</b:Last>
            <b:First>Jill</b:First>
          </b:Person>
          <b:Person>
            <b:Last>Shaw-Mellors</b:Last>
            <b:First>Adam</b:First>
          </b:Person>
          <b:Person>
            <b:Last>Devenney</b:Last>
            <b:First>James</b:First>
          </b:Person>
        </b:NameList>
      </b:Author>
    </b:Author>
    <b:RefOrder>2</b:RefOrder>
  </b:Source>
  <b:Source>
    <b:Tag>Joh16</b:Tag>
    <b:SourceType>BookSection</b:SourceType>
    <b:Guid>{B8709C12-5781-D74F-A965-CCA5FCB0D41A}</b:Guid>
    <b:Author>
      <b:Author>
        <b:NameList>
          <b:Person>
            <b:Last>Cartwright</b:Last>
            <b:First>John</b:First>
          </b:Person>
        </b:NameList>
      </b:Author>
    </b:Author>
    <b:Title>Contract Law </b:Title>
    <b:BookTitle>An Introduction to the English Law of Contract for the Civil Lawyer</b:BookTitle>
    <b:Publisher>Bloomsbury Publishing</b:Publisher>
    <b:Year>2016</b:Year>
    <b:RefOrder>1</b:RefOrder>
  </b:Source>
  <b:Source>
    <b:Tag>Sim16</b:Tag>
    <b:SourceType>InternetSite</b:SourceType>
    <b:Guid>{FBE78C83-D733-6F45-9B55-B108686E3570}</b:Guid>
    <b:Title>Developments in contracts: Rights of third parties </b:Title>
    <b:Year>2016</b:Year>
    <b:Author>
      <b:Author>
        <b:Corporate>Simmons &amp; Simmons</b:Corporate>
      </b:Author>
    </b:Author>
    <b:URL>https://www.simmons-simmons.com/en/publications/ck0af4xrinal00b33gjidsg3b/290419-developments-in-contract-rights-of-third-parties</b:URL>
    <b:YearAccessed>2022</b:YearAccessed>
    <b:MonthAccessed>03</b:MonthAccessed>
    <b:DayAccessed>04</b:DayAccessed>
    <b:RefOrder>3</b:RefOrder>
  </b:Source>
  <b:Source>
    <b:Tag>Rog01</b:Tag>
    <b:SourceType>Book</b:SourceType>
    <b:Guid>{243A00CB-523A-2F4F-B595-2A2E4B71807D}</b:Guid>
    <b:Title>Contract Law</b:Title>
    <b:Year>2001</b:Year>
    <b:Author>
      <b:Author>
        <b:NameList>
          <b:Person>
            <b:Last>Halson</b:Last>
            <b:First>Roger</b:First>
          </b:Person>
        </b:NameList>
      </b:Author>
    </b:Author>
    <b:Publisher>Longman</b:Publisher>
    <b:RefOrder>4</b:RefOrder>
  </b:Source>
  <b:Source>
    <b:Tag>Rog</b:Tag>
    <b:SourceType>Book</b:SourceType>
    <b:Guid>{094FD966-2B8C-8F45-996D-64ACBA10B676}</b:Guid>
    <b:Author>
      <b:Author>
        <b:NameList>
          <b:Person>
            <b:Last>Halson</b:Last>
            <b:First>Roger</b:First>
          </b:Person>
        </b:NameList>
      </b:Author>
    </b:Author>
    <b:Title>Contract Law </b:Title>
    <b:Publisher>Pearson</b:Publisher>
    <b:Edition>Second </b:Edition>
    <b:RefOrder>5</b:RefOrder>
  </b:Source>
  <b:Source>
    <b:Tag>Joh21</b:Tag>
    <b:SourceType>BookSection</b:SourceType>
    <b:Guid>{216EC489-578B-0C41-AD66-FA56E41DA9D3}</b:Guid>
    <b:Title>Introduction to Contract Law </b:Title>
    <b:Publisher>Transnational Press London </b:Publisher>
    <b:Year>2021</b:Year>
    <b:Author>
      <b:Author>
        <b:NameList>
          <b:Person>
            <b:Last>Hoekstra</b:Last>
            <b:First>Johanna</b:First>
          </b:Person>
        </b:NameList>
      </b:Author>
    </b:Author>
    <b:Pages>160</b:Pages>
    <b:RefOrder>6</b:RefOrder>
  </b:Source>
</b:Sources>
</file>

<file path=customXml/itemProps1.xml><?xml version="1.0" encoding="utf-8"?>
<ds:datastoreItem xmlns:ds="http://schemas.openxmlformats.org/officeDocument/2006/customXml" ds:itemID="{3853BD28-F5DF-FB4B-9B67-2F6F182CC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1947</Words>
  <Characters>11100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Withers (2100681)</dc:creator>
  <cp:keywords/>
  <dc:description/>
  <cp:lastModifiedBy>Al Ikete (1902411)</cp:lastModifiedBy>
  <cp:revision>2</cp:revision>
  <dcterms:created xsi:type="dcterms:W3CDTF">2022-03-04T19:54:00Z</dcterms:created>
  <dcterms:modified xsi:type="dcterms:W3CDTF">2022-03-04T19:54:00Z</dcterms:modified>
</cp:coreProperties>
</file>