
<file path=[Content_Types].xml><?xml version="1.0" encoding="utf-8"?>
<Types xmlns="http://schemas.openxmlformats.org/package/2006/content-types">
  <Default Extension="xml" ContentType="application/xml"/>
  <Default Extension="png" ContentType="image/png"/>
  <Default Extension="gif" ContentType="image/gif"/>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media/image3.svg" ContentType="image/svg+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rFonts w:ascii="Arial" w:hAnsi="Arial" w:cs="Arial"/>
          <w:b/>
          <w:bCs/>
        </w:rPr>
        <w:id w:val="-471591736"/>
        <w:docPartObj>
          <w:docPartGallery w:val="autotext"/>
        </w:docPartObj>
      </w:sdtPr>
      <w:sdtEndPr>
        <w:rPr>
          <w:rFonts w:ascii="Arial" w:hAnsi="Arial" w:cs="Arial"/>
          <w:b/>
          <w:bCs/>
        </w:rPr>
      </w:sdtEndPr>
      <w:sdtContent>
        <w:p w14:paraId="702352FA">
          <w:pPr>
            <w:rPr>
              <w:rFonts w:ascii="Arial" w:hAnsi="Arial" w:cs="Arial"/>
              <w:b/>
              <w:bCs/>
            </w:rPr>
          </w:pPr>
          <w:r>
            <w:rPr>
              <w:rFonts w:ascii="Arial" w:hAnsi="Arial" w:cs="Arial"/>
              <w:b/>
              <w:bCs/>
            </w:rPr>
            <mc:AlternateContent>
              <mc:Choice Requires="wps">
                <w:drawing>
                  <wp:anchor distT="0" distB="0" distL="114300" distR="114300" simplePos="0" relativeHeight="251663360" behindDoc="0" locked="0" layoutInCell="1" allowOverlap="1">
                    <wp:simplePos x="0" y="0"/>
                    <wp:positionH relativeFrom="page">
                      <wp:posOffset>233680</wp:posOffset>
                    </wp:positionH>
                    <wp:positionV relativeFrom="margin">
                      <wp:posOffset>233680</wp:posOffset>
                    </wp:positionV>
                    <wp:extent cx="7081520" cy="7995920"/>
                    <wp:effectExtent l="0" t="0" r="5080" b="5080"/>
                    <wp:wrapNone/>
                    <wp:docPr id="138" name="Text Box 139"/>
                    <wp:cNvGraphicFramePr/>
                    <a:graphic xmlns:a="http://schemas.openxmlformats.org/drawingml/2006/main">
                      <a:graphicData uri="http://schemas.microsoft.com/office/word/2010/wordprocessingShape">
                        <wps:wsp>
                          <wps:cNvSpPr txBox="1"/>
                          <wps:spPr>
                            <a:xfrm>
                              <a:off x="0" y="0"/>
                              <a:ext cx="7081284" cy="799568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Style w:val="4"/>
                                  <w:tblW w:w="5580" w:type="pct"/>
                                  <w:jc w:val="center"/>
                                  <w:tblBorders>
                                    <w:top w:val="none" w:color="auto" w:sz="0" w:space="0"/>
                                    <w:left w:val="none" w:color="auto" w:sz="0" w:space="0"/>
                                    <w:bottom w:val="none" w:color="auto" w:sz="0" w:space="0"/>
                                    <w:right w:val="none" w:color="auto" w:sz="0" w:space="0"/>
                                    <w:insideH w:val="none" w:color="auto" w:sz="0" w:space="0"/>
                                    <w:insideV w:val="single" w:color="ED7D31" w:themeColor="accent2" w:sz="12" w:space="0"/>
                                  </w:tblBorders>
                                  <w:tblLayout w:type="autofit"/>
                                  <w:tblCellMar>
                                    <w:top w:w="1296" w:type="dxa"/>
                                    <w:left w:w="360" w:type="dxa"/>
                                    <w:bottom w:w="1296" w:type="dxa"/>
                                    <w:right w:w="360" w:type="dxa"/>
                                  </w:tblCellMar>
                                </w:tblPr>
                                <w:tblGrid>
                                  <w:gridCol w:w="7384"/>
                                  <w:gridCol w:w="5854"/>
                                </w:tblGrid>
                                <w:tr w14:paraId="03BBE1EE">
                                  <w:tblPrEx>
                                    <w:tblBorders>
                                      <w:top w:val="none" w:color="auto" w:sz="0" w:space="0"/>
                                      <w:left w:val="none" w:color="auto" w:sz="0" w:space="0"/>
                                      <w:bottom w:val="none" w:color="auto" w:sz="0" w:space="0"/>
                                      <w:right w:val="none" w:color="auto" w:sz="0" w:space="0"/>
                                      <w:insideH w:val="none" w:color="auto" w:sz="0" w:space="0"/>
                                      <w:insideV w:val="single" w:color="ED7D31" w:themeColor="accent2" w:sz="12" w:space="0"/>
                                    </w:tblBorders>
                                    <w:tblCellMar>
                                      <w:top w:w="1296" w:type="dxa"/>
                                      <w:left w:w="360" w:type="dxa"/>
                                      <w:bottom w:w="1296" w:type="dxa"/>
                                      <w:right w:w="360" w:type="dxa"/>
                                    </w:tblCellMar>
                                  </w:tblPrEx>
                                  <w:trPr>
                                    <w:jc w:val="center"/>
                                  </w:trPr>
                                  <w:tc>
                                    <w:tcPr>
                                      <w:tcW w:w="2789" w:type="pct"/>
                                      <w:vAlign w:val="center"/>
                                    </w:tcPr>
                                    <w:p w14:paraId="522FA13E">
                                      <w:pPr>
                                        <w:jc w:val="right"/>
                                        <w:rPr>
                                          <w:rFonts w:eastAsiaTheme="minorEastAsia"/>
                                          <w:caps/>
                                          <w:color w:val="1A1A1A" w:themeColor="text1" w:themeTint="E6"/>
                                          <w:sz w:val="36"/>
                                          <w:szCs w:val="36"/>
                                          <w:lang w:eastAsia="en-GB"/>
                                          <w14:textFill>
                                            <w14:solidFill>
                                              <w14:schemeClr w14:val="tx1">
                                                <w14:lumMod w14:val="90000"/>
                                                <w14:lumOff w14:val="10000"/>
                                              </w14:schemeClr>
                                            </w14:solidFill>
                                          </w14:textFill>
                                          <w14:ligatures w14:val="none"/>
                                        </w:rPr>
                                      </w:pPr>
                                      <w:r>
                                        <w:rPr>
                                          <w:rFonts w:eastAsiaTheme="minorEastAsia"/>
                                          <w:caps/>
                                          <w:color w:val="1A1A1A" w:themeColor="text1" w:themeTint="E6"/>
                                          <w:sz w:val="36"/>
                                          <w:szCs w:val="36"/>
                                          <w:lang w:eastAsia="en-GB"/>
                                          <w14:textFill>
                                            <w14:solidFill>
                                              <w14:schemeClr w14:val="tx1">
                                                <w14:lumMod w14:val="90000"/>
                                                <w14:lumOff w14:val="10000"/>
                                              </w14:schemeClr>
                                            </w14:solidFill>
                                          </w14:textFill>
                                          <w14:ligatures w14:val="none"/>
                                        </w:rPr>
                                        <w:drawing>
                                          <wp:inline distT="0" distB="0" distL="0" distR="0">
                                            <wp:extent cx="3621405" cy="5241925"/>
                                            <wp:effectExtent l="0" t="0" r="0" b="0"/>
                                            <wp:docPr id="139"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7"/>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3626777" cy="5249285"/>
                                                    </a:xfrm>
                                                    <a:prstGeom prst="rect">
                                                      <a:avLst/>
                                                    </a:prstGeom>
                                                  </pic:spPr>
                                                </pic:pic>
                                              </a:graphicData>
                                            </a:graphic>
                                          </wp:inline>
                                        </w:drawing>
                                      </w:r>
                                    </w:p>
                                    <w:p w14:paraId="4428C411">
                                      <w:pPr>
                                        <w:pStyle w:val="9"/>
                                        <w:spacing w:line="312" w:lineRule="auto"/>
                                        <w:jc w:val="right"/>
                                        <w:rPr>
                                          <w:caps/>
                                          <w:color w:val="1A1A1A" w:themeColor="text1" w:themeTint="E6"/>
                                          <w:sz w:val="36"/>
                                          <w:szCs w:val="36"/>
                                          <w14:textFill>
                                            <w14:solidFill>
                                              <w14:schemeClr w14:val="tx1">
                                                <w14:lumMod w14:val="90000"/>
                                                <w14:lumOff w14:val="10000"/>
                                              </w14:schemeClr>
                                            </w14:solidFill>
                                          </w14:textFill>
                                        </w:rPr>
                                      </w:pPr>
                                      <w:r>
                                        <w:rPr>
                                          <w:caps/>
                                          <w:color w:val="1A1A1A" w:themeColor="text1" w:themeTint="E6"/>
                                          <w:sz w:val="36"/>
                                          <w:szCs w:val="36"/>
                                          <w14:textFill>
                                            <w14:solidFill>
                                              <w14:schemeClr w14:val="tx1">
                                                <w14:lumMod w14:val="90000"/>
                                                <w14:lumOff w14:val="10000"/>
                                              </w14:schemeClr>
                                            </w14:solidFill>
                                          </w14:textFill>
                                        </w:rPr>
                                        <w:t xml:space="preserve">International Meetings Management for the Hotel Industry, BMIH6007 </w:t>
                                      </w:r>
                                    </w:p>
                                    <w:p w14:paraId="2E9CD7D6">
                                      <w:pPr>
                                        <w:pStyle w:val="9"/>
                                        <w:spacing w:line="312" w:lineRule="auto"/>
                                        <w:jc w:val="right"/>
                                        <w:rPr>
                                          <w:caps/>
                                          <w:color w:val="1A1A1A" w:themeColor="text1" w:themeTint="E6"/>
                                          <w:sz w:val="28"/>
                                          <w:szCs w:val="28"/>
                                          <w14:textFill>
                                            <w14:solidFill>
                                              <w14:schemeClr w14:val="tx1">
                                                <w14:lumMod w14:val="90000"/>
                                                <w14:lumOff w14:val="10000"/>
                                              </w14:schemeClr>
                                            </w14:solidFill>
                                          </w14:textFill>
                                        </w:rPr>
                                      </w:pPr>
                                      <w:r>
                                        <w:rPr>
                                          <w:caps/>
                                          <w:color w:val="1A1A1A" w:themeColor="text1" w:themeTint="E6"/>
                                          <w:sz w:val="28"/>
                                          <w:szCs w:val="28"/>
                                          <w14:textFill>
                                            <w14:solidFill>
                                              <w14:schemeClr w14:val="tx1">
                                                <w14:lumMod w14:val="90000"/>
                                                <w14:lumOff w14:val="10000"/>
                                              </w14:schemeClr>
                                            </w14:solidFill>
                                          </w14:textFill>
                                        </w:rPr>
                                        <w:t xml:space="preserve">Chris Wilkin </w:t>
                                      </w:r>
                                    </w:p>
                                    <w:p w14:paraId="7F2D6F7C">
                                      <w:pPr>
                                        <w:pStyle w:val="9"/>
                                        <w:spacing w:line="312" w:lineRule="auto"/>
                                        <w:jc w:val="right"/>
                                        <w:rPr>
                                          <w:caps/>
                                          <w:color w:val="1A1A1A" w:themeColor="text1" w:themeTint="E6"/>
                                          <w14:textFill>
                                            <w14:solidFill>
                                              <w14:schemeClr w14:val="tx1">
                                                <w14:lumMod w14:val="90000"/>
                                                <w14:lumOff w14:val="10000"/>
                                              </w14:schemeClr>
                                            </w14:solidFill>
                                          </w14:textFill>
                                        </w:rPr>
                                      </w:pPr>
                                    </w:p>
                                    <w:p w14:paraId="08D93F07">
                                      <w:pPr>
                                        <w:jc w:val="right"/>
                                        <w:rPr>
                                          <w:rFonts w:hint="default" w:eastAsiaTheme="minorEastAsia"/>
                                          <w:caps/>
                                          <w:color w:val="1A1A1A" w:themeColor="text1" w:themeTint="E6"/>
                                          <w:sz w:val="36"/>
                                          <w:szCs w:val="36"/>
                                          <w:lang w:val="ro-RO" w:eastAsia="en-GB"/>
                                          <w14:textFill>
                                            <w14:solidFill>
                                              <w14:schemeClr w14:val="tx1">
                                                <w14:lumMod w14:val="90000"/>
                                                <w14:lumOff w14:val="10000"/>
                                              </w14:schemeClr>
                                            </w14:solidFill>
                                          </w14:textFill>
                                          <w14:ligatures w14:val="none"/>
                                        </w:rPr>
                                      </w:pPr>
                                      <w:r>
                                        <w:rPr>
                                          <w:rFonts w:eastAsiaTheme="minorEastAsia"/>
                                          <w:caps/>
                                          <w:color w:val="1A1A1A" w:themeColor="text1" w:themeTint="E6"/>
                                          <w:lang w:eastAsia="en-GB"/>
                                          <w14:textFill>
                                            <w14:solidFill>
                                              <w14:schemeClr w14:val="tx1">
                                                <w14:lumMod w14:val="90000"/>
                                                <w14:lumOff w14:val="10000"/>
                                              </w14:schemeClr>
                                            </w14:solidFill>
                                          </w14:textFill>
                                          <w14:ligatures w14:val="none"/>
                                        </w:rPr>
                                        <w:t>Mihaita Lucian, 2</w:t>
                                      </w:r>
                                      <w:r>
                                        <w:rPr>
                                          <w:rFonts w:hint="default" w:eastAsiaTheme="minorEastAsia"/>
                                          <w:caps/>
                                          <w:color w:val="1A1A1A" w:themeColor="text1" w:themeTint="E6"/>
                                          <w:lang w:val="ro-RO" w:eastAsia="en-GB"/>
                                          <w14:textFill>
                                            <w14:solidFill>
                                              <w14:schemeClr w14:val="tx1">
                                                <w14:lumMod w14:val="90000"/>
                                                <w14:lumOff w14:val="10000"/>
                                              </w14:schemeClr>
                                            </w14:solidFill>
                                          </w14:textFill>
                                          <w14:ligatures w14:val="none"/>
                                        </w:rPr>
                                        <w:t>234126</w:t>
                                      </w:r>
                                    </w:p>
                                  </w:tc>
                                  <w:tc>
                                    <w:tcPr>
                                      <w:tcW w:w="2211" w:type="pct"/>
                                      <w:vAlign w:val="center"/>
                                    </w:tcPr>
                                    <w:p w14:paraId="4A8ED57E">
                                      <w:pPr>
                                        <w:pStyle w:val="9"/>
                                        <w:rPr>
                                          <w:b/>
                                          <w:bCs/>
                                          <w:caps/>
                                          <w:color w:val="ED7D31" w:themeColor="accent2"/>
                                          <w:sz w:val="56"/>
                                          <w:szCs w:val="56"/>
                                          <w14:textFill>
                                            <w14:solidFill>
                                              <w14:schemeClr w14:val="accent2"/>
                                            </w14:solidFill>
                                          </w14:textFill>
                                        </w:rPr>
                                      </w:pPr>
                                      <w:r>
                                        <w:rPr>
                                          <w:b/>
                                          <w:bCs/>
                                          <w:caps/>
                                          <w:color w:val="ED7D31" w:themeColor="accent2"/>
                                          <w:sz w:val="56"/>
                                          <w:szCs w:val="56"/>
                                          <w14:textFill>
                                            <w14:solidFill>
                                              <w14:schemeClr w14:val="accent2"/>
                                            </w14:solidFill>
                                          </w14:textFill>
                                        </w:rPr>
                                        <w:t xml:space="preserve">The Voices of </w:t>
                                      </w:r>
                                    </w:p>
                                    <w:p w14:paraId="6CC16675">
                                      <w:pPr>
                                        <w:pStyle w:val="9"/>
                                        <w:rPr>
                                          <w:b/>
                                          <w:bCs/>
                                          <w:sz w:val="56"/>
                                          <w:szCs w:val="56"/>
                                        </w:rPr>
                                      </w:pPr>
                                      <w:r>
                                        <w:rPr>
                                          <w:b/>
                                          <w:bCs/>
                                          <w:caps/>
                                          <w:color w:val="ED7D31" w:themeColor="accent2"/>
                                          <w:sz w:val="56"/>
                                          <w:szCs w:val="56"/>
                                          <w14:textFill>
                                            <w14:solidFill>
                                              <w14:schemeClr w14:val="accent2"/>
                                            </w14:solidFill>
                                          </w14:textFill>
                                        </w:rPr>
                                        <w:t xml:space="preserve">Inclusion Storytelling Festival </w:t>
                                      </w:r>
                                    </w:p>
                                    <w:p w14:paraId="0A6814B5">
                                      <w:pPr>
                                        <w:pStyle w:val="9"/>
                                      </w:pPr>
                                    </w:p>
                                  </w:tc>
                                </w:tr>
                              </w:tbl>
                              <w:p w14:paraId="48971C00"/>
                            </w:txbxContent>
                          </wps:txbx>
                          <wps:bodyPr rot="0" spcFirstLastPara="0" vertOverflow="overflow" horzOverflow="overflow" vert="horz" wrap="square" lIns="0" tIns="0" rIns="0" bIns="0" numCol="1" spcCol="0" rtlCol="0" fromWordArt="0" anchor="ctr" anchorCtr="0" forceAA="0" compatLnSpc="1">
                            <a:noAutofit/>
                          </wps:bodyPr>
                        </wps:wsp>
                      </a:graphicData>
                    </a:graphic>
                  </wp:anchor>
                </w:drawing>
              </mc:Choice>
              <mc:Fallback>
                <w:pict>
                  <v:shape id="Text Box 139" o:spid="_x0000_s1026" o:spt="202" type="#_x0000_t202" style="position:absolute;left:0pt;margin-left:18.4pt;margin-top:18.4pt;height:629.6pt;width:557.6pt;mso-position-horizontal-relative:page;mso-position-vertical-relative:margin;z-index:251663360;v-text-anchor:middle;mso-width-relative:page;mso-height-relative:page;" fillcolor="#FFFFFF [3201]" filled="t" stroked="f" coordsize="21600,21600" o:gfxdata="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GiVbYzXAAAACwEAAA8AAAAAAAAAAQAgAAAAIgAA&#10;AGRycy9kb3ducmV2LnhtbFBLAQIUABQAAAAIAIdO4kCZo6PwQgIAAJMEAAAOAAAAAAAAAAEAIAAA&#10;ACYBAABkcnMvZTJvRG9jLnhtbFBLBQYAAAAABgAGAFkBAADaBQAAAAA=&#10;">
                    <v:fill on="t" focussize="0,0"/>
                    <v:stroke on="f" weight="0.5pt"/>
                    <v:imagedata o:title=""/>
                    <o:lock v:ext="edit" aspectratio="f"/>
                    <v:textbox inset="0mm,0mm,0mm,0mm">
                      <w:txbxContent>
                        <w:tbl>
                          <w:tblPr>
                            <w:tblStyle w:val="4"/>
                            <w:tblW w:w="5580" w:type="pct"/>
                            <w:jc w:val="center"/>
                            <w:tblBorders>
                              <w:top w:val="none" w:color="auto" w:sz="0" w:space="0"/>
                              <w:left w:val="none" w:color="auto" w:sz="0" w:space="0"/>
                              <w:bottom w:val="none" w:color="auto" w:sz="0" w:space="0"/>
                              <w:right w:val="none" w:color="auto" w:sz="0" w:space="0"/>
                              <w:insideH w:val="none" w:color="auto" w:sz="0" w:space="0"/>
                              <w:insideV w:val="single" w:color="ED7D31" w:themeColor="accent2" w:sz="12" w:space="0"/>
                            </w:tblBorders>
                            <w:tblLayout w:type="autofit"/>
                            <w:tblCellMar>
                              <w:top w:w="1296" w:type="dxa"/>
                              <w:left w:w="360" w:type="dxa"/>
                              <w:bottom w:w="1296" w:type="dxa"/>
                              <w:right w:w="360" w:type="dxa"/>
                            </w:tblCellMar>
                          </w:tblPr>
                          <w:tblGrid>
                            <w:gridCol w:w="7384"/>
                            <w:gridCol w:w="5854"/>
                          </w:tblGrid>
                          <w:tr w14:paraId="03BBE1EE">
                            <w:tblPrEx>
                              <w:tblBorders>
                                <w:top w:val="none" w:color="auto" w:sz="0" w:space="0"/>
                                <w:left w:val="none" w:color="auto" w:sz="0" w:space="0"/>
                                <w:bottom w:val="none" w:color="auto" w:sz="0" w:space="0"/>
                                <w:right w:val="none" w:color="auto" w:sz="0" w:space="0"/>
                                <w:insideH w:val="none" w:color="auto" w:sz="0" w:space="0"/>
                                <w:insideV w:val="single" w:color="ED7D31" w:themeColor="accent2" w:sz="12" w:space="0"/>
                              </w:tblBorders>
                              <w:tblCellMar>
                                <w:top w:w="1296" w:type="dxa"/>
                                <w:left w:w="360" w:type="dxa"/>
                                <w:bottom w:w="1296" w:type="dxa"/>
                                <w:right w:w="360" w:type="dxa"/>
                              </w:tblCellMar>
                            </w:tblPrEx>
                            <w:trPr>
                              <w:jc w:val="center"/>
                            </w:trPr>
                            <w:tc>
                              <w:tcPr>
                                <w:tcW w:w="2789" w:type="pct"/>
                                <w:vAlign w:val="center"/>
                              </w:tcPr>
                              <w:p w14:paraId="522FA13E">
                                <w:pPr>
                                  <w:jc w:val="right"/>
                                  <w:rPr>
                                    <w:rFonts w:eastAsiaTheme="minorEastAsia"/>
                                    <w:caps/>
                                    <w:color w:val="1A1A1A" w:themeColor="text1" w:themeTint="E6"/>
                                    <w:sz w:val="36"/>
                                    <w:szCs w:val="36"/>
                                    <w:lang w:eastAsia="en-GB"/>
                                    <w14:textFill>
                                      <w14:solidFill>
                                        <w14:schemeClr w14:val="tx1">
                                          <w14:lumMod w14:val="90000"/>
                                          <w14:lumOff w14:val="10000"/>
                                        </w14:schemeClr>
                                      </w14:solidFill>
                                    </w14:textFill>
                                    <w14:ligatures w14:val="none"/>
                                  </w:rPr>
                                </w:pPr>
                                <w:r>
                                  <w:rPr>
                                    <w:rFonts w:eastAsiaTheme="minorEastAsia"/>
                                    <w:caps/>
                                    <w:color w:val="1A1A1A" w:themeColor="text1" w:themeTint="E6"/>
                                    <w:sz w:val="36"/>
                                    <w:szCs w:val="36"/>
                                    <w:lang w:eastAsia="en-GB"/>
                                    <w14:textFill>
                                      <w14:solidFill>
                                        <w14:schemeClr w14:val="tx1">
                                          <w14:lumMod w14:val="90000"/>
                                          <w14:lumOff w14:val="10000"/>
                                        </w14:schemeClr>
                                      </w14:solidFill>
                                    </w14:textFill>
                                    <w14:ligatures w14:val="none"/>
                                  </w:rPr>
                                  <w:drawing>
                                    <wp:inline distT="0" distB="0" distL="0" distR="0">
                                      <wp:extent cx="3621405" cy="5241925"/>
                                      <wp:effectExtent l="0" t="0" r="0" b="0"/>
                                      <wp:docPr id="139"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7"/>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3626777" cy="5249285"/>
                                              </a:xfrm>
                                              <a:prstGeom prst="rect">
                                                <a:avLst/>
                                              </a:prstGeom>
                                            </pic:spPr>
                                          </pic:pic>
                                        </a:graphicData>
                                      </a:graphic>
                                    </wp:inline>
                                  </w:drawing>
                                </w:r>
                              </w:p>
                              <w:p w14:paraId="4428C411">
                                <w:pPr>
                                  <w:pStyle w:val="9"/>
                                  <w:spacing w:line="312" w:lineRule="auto"/>
                                  <w:jc w:val="right"/>
                                  <w:rPr>
                                    <w:caps/>
                                    <w:color w:val="1A1A1A" w:themeColor="text1" w:themeTint="E6"/>
                                    <w:sz w:val="36"/>
                                    <w:szCs w:val="36"/>
                                    <w14:textFill>
                                      <w14:solidFill>
                                        <w14:schemeClr w14:val="tx1">
                                          <w14:lumMod w14:val="90000"/>
                                          <w14:lumOff w14:val="10000"/>
                                        </w14:schemeClr>
                                      </w14:solidFill>
                                    </w14:textFill>
                                  </w:rPr>
                                </w:pPr>
                                <w:r>
                                  <w:rPr>
                                    <w:caps/>
                                    <w:color w:val="1A1A1A" w:themeColor="text1" w:themeTint="E6"/>
                                    <w:sz w:val="36"/>
                                    <w:szCs w:val="36"/>
                                    <w14:textFill>
                                      <w14:solidFill>
                                        <w14:schemeClr w14:val="tx1">
                                          <w14:lumMod w14:val="90000"/>
                                          <w14:lumOff w14:val="10000"/>
                                        </w14:schemeClr>
                                      </w14:solidFill>
                                    </w14:textFill>
                                  </w:rPr>
                                  <w:t xml:space="preserve">International Meetings Management for the Hotel Industry, BMIH6007 </w:t>
                                </w:r>
                              </w:p>
                              <w:p w14:paraId="2E9CD7D6">
                                <w:pPr>
                                  <w:pStyle w:val="9"/>
                                  <w:spacing w:line="312" w:lineRule="auto"/>
                                  <w:jc w:val="right"/>
                                  <w:rPr>
                                    <w:caps/>
                                    <w:color w:val="1A1A1A" w:themeColor="text1" w:themeTint="E6"/>
                                    <w:sz w:val="28"/>
                                    <w:szCs w:val="28"/>
                                    <w14:textFill>
                                      <w14:solidFill>
                                        <w14:schemeClr w14:val="tx1">
                                          <w14:lumMod w14:val="90000"/>
                                          <w14:lumOff w14:val="10000"/>
                                        </w14:schemeClr>
                                      </w14:solidFill>
                                    </w14:textFill>
                                  </w:rPr>
                                </w:pPr>
                                <w:r>
                                  <w:rPr>
                                    <w:caps/>
                                    <w:color w:val="1A1A1A" w:themeColor="text1" w:themeTint="E6"/>
                                    <w:sz w:val="28"/>
                                    <w:szCs w:val="28"/>
                                    <w14:textFill>
                                      <w14:solidFill>
                                        <w14:schemeClr w14:val="tx1">
                                          <w14:lumMod w14:val="90000"/>
                                          <w14:lumOff w14:val="10000"/>
                                        </w14:schemeClr>
                                      </w14:solidFill>
                                    </w14:textFill>
                                  </w:rPr>
                                  <w:t xml:space="preserve">Chris Wilkin </w:t>
                                </w:r>
                              </w:p>
                              <w:p w14:paraId="7F2D6F7C">
                                <w:pPr>
                                  <w:pStyle w:val="9"/>
                                  <w:spacing w:line="312" w:lineRule="auto"/>
                                  <w:jc w:val="right"/>
                                  <w:rPr>
                                    <w:caps/>
                                    <w:color w:val="1A1A1A" w:themeColor="text1" w:themeTint="E6"/>
                                    <w14:textFill>
                                      <w14:solidFill>
                                        <w14:schemeClr w14:val="tx1">
                                          <w14:lumMod w14:val="90000"/>
                                          <w14:lumOff w14:val="10000"/>
                                        </w14:schemeClr>
                                      </w14:solidFill>
                                    </w14:textFill>
                                  </w:rPr>
                                </w:pPr>
                              </w:p>
                              <w:p w14:paraId="08D93F07">
                                <w:pPr>
                                  <w:jc w:val="right"/>
                                  <w:rPr>
                                    <w:rFonts w:hint="default" w:eastAsiaTheme="minorEastAsia"/>
                                    <w:caps/>
                                    <w:color w:val="1A1A1A" w:themeColor="text1" w:themeTint="E6"/>
                                    <w:sz w:val="36"/>
                                    <w:szCs w:val="36"/>
                                    <w:lang w:val="ro-RO" w:eastAsia="en-GB"/>
                                    <w14:textFill>
                                      <w14:solidFill>
                                        <w14:schemeClr w14:val="tx1">
                                          <w14:lumMod w14:val="90000"/>
                                          <w14:lumOff w14:val="10000"/>
                                        </w14:schemeClr>
                                      </w14:solidFill>
                                    </w14:textFill>
                                    <w14:ligatures w14:val="none"/>
                                  </w:rPr>
                                </w:pPr>
                                <w:r>
                                  <w:rPr>
                                    <w:rFonts w:eastAsiaTheme="minorEastAsia"/>
                                    <w:caps/>
                                    <w:color w:val="1A1A1A" w:themeColor="text1" w:themeTint="E6"/>
                                    <w:lang w:eastAsia="en-GB"/>
                                    <w14:textFill>
                                      <w14:solidFill>
                                        <w14:schemeClr w14:val="tx1">
                                          <w14:lumMod w14:val="90000"/>
                                          <w14:lumOff w14:val="10000"/>
                                        </w14:schemeClr>
                                      </w14:solidFill>
                                    </w14:textFill>
                                    <w14:ligatures w14:val="none"/>
                                  </w:rPr>
                                  <w:t>Mihaita Lucian, 2</w:t>
                                </w:r>
                                <w:r>
                                  <w:rPr>
                                    <w:rFonts w:hint="default" w:eastAsiaTheme="minorEastAsia"/>
                                    <w:caps/>
                                    <w:color w:val="1A1A1A" w:themeColor="text1" w:themeTint="E6"/>
                                    <w:lang w:val="ro-RO" w:eastAsia="en-GB"/>
                                    <w14:textFill>
                                      <w14:solidFill>
                                        <w14:schemeClr w14:val="tx1">
                                          <w14:lumMod w14:val="90000"/>
                                          <w14:lumOff w14:val="10000"/>
                                        </w14:schemeClr>
                                      </w14:solidFill>
                                    </w14:textFill>
                                    <w14:ligatures w14:val="none"/>
                                  </w:rPr>
                                  <w:t>234126</w:t>
                                </w:r>
                              </w:p>
                            </w:tc>
                            <w:tc>
                              <w:tcPr>
                                <w:tcW w:w="2211" w:type="pct"/>
                                <w:vAlign w:val="center"/>
                              </w:tcPr>
                              <w:p w14:paraId="4A8ED57E">
                                <w:pPr>
                                  <w:pStyle w:val="9"/>
                                  <w:rPr>
                                    <w:b/>
                                    <w:bCs/>
                                    <w:caps/>
                                    <w:color w:val="ED7D31" w:themeColor="accent2"/>
                                    <w:sz w:val="56"/>
                                    <w:szCs w:val="56"/>
                                    <w14:textFill>
                                      <w14:solidFill>
                                        <w14:schemeClr w14:val="accent2"/>
                                      </w14:solidFill>
                                    </w14:textFill>
                                  </w:rPr>
                                </w:pPr>
                                <w:r>
                                  <w:rPr>
                                    <w:b/>
                                    <w:bCs/>
                                    <w:caps/>
                                    <w:color w:val="ED7D31" w:themeColor="accent2"/>
                                    <w:sz w:val="56"/>
                                    <w:szCs w:val="56"/>
                                    <w14:textFill>
                                      <w14:solidFill>
                                        <w14:schemeClr w14:val="accent2"/>
                                      </w14:solidFill>
                                    </w14:textFill>
                                  </w:rPr>
                                  <w:t xml:space="preserve">The Voices of </w:t>
                                </w:r>
                              </w:p>
                              <w:p w14:paraId="6CC16675">
                                <w:pPr>
                                  <w:pStyle w:val="9"/>
                                  <w:rPr>
                                    <w:b/>
                                    <w:bCs/>
                                    <w:sz w:val="56"/>
                                    <w:szCs w:val="56"/>
                                  </w:rPr>
                                </w:pPr>
                                <w:r>
                                  <w:rPr>
                                    <w:b/>
                                    <w:bCs/>
                                    <w:caps/>
                                    <w:color w:val="ED7D31" w:themeColor="accent2"/>
                                    <w:sz w:val="56"/>
                                    <w:szCs w:val="56"/>
                                    <w14:textFill>
                                      <w14:solidFill>
                                        <w14:schemeClr w14:val="accent2"/>
                                      </w14:solidFill>
                                    </w14:textFill>
                                  </w:rPr>
                                  <w:t xml:space="preserve">Inclusion Storytelling Festival </w:t>
                                </w:r>
                              </w:p>
                              <w:p w14:paraId="0A6814B5">
                                <w:pPr>
                                  <w:pStyle w:val="9"/>
                                </w:pPr>
                              </w:p>
                            </w:tc>
                          </w:tr>
                        </w:tbl>
                        <w:p w14:paraId="48971C00"/>
                      </w:txbxContent>
                    </v:textbox>
                  </v:shape>
                </w:pict>
              </mc:Fallback>
            </mc:AlternateContent>
          </w:r>
          <w:r>
            <w:rPr>
              <w:rFonts w:ascii="Arial" w:hAnsi="Arial" w:cs="Arial"/>
              <w:b/>
              <w:bCs/>
            </w:rPr>
            <w:br w:type="page"/>
          </w:r>
        </w:p>
      </w:sdtContent>
    </w:sdt>
    <w:p w14:paraId="1839868C">
      <w:pPr>
        <w:spacing w:line="360" w:lineRule="auto"/>
        <w:jc w:val="both"/>
        <w:rPr>
          <w:rFonts w:ascii="Arial" w:hAnsi="Arial" w:cs="Arial"/>
          <w:b/>
          <w:bCs/>
        </w:rPr>
      </w:pPr>
    </w:p>
    <w:p w14:paraId="464FA091">
      <w:pPr>
        <w:rPr>
          <w:rFonts w:ascii="Arial" w:hAnsi="Arial" w:cs="Arial"/>
          <w:b/>
          <w:bCs/>
        </w:rPr>
      </w:pPr>
    </w:p>
    <w:p w14:paraId="755E685B">
      <w:pPr>
        <w:spacing w:line="360" w:lineRule="auto"/>
        <w:jc w:val="both"/>
        <w:rPr>
          <w:rFonts w:ascii="Arial" w:hAnsi="Arial" w:cs="Arial"/>
          <w:b/>
          <w:bCs/>
        </w:rPr>
      </w:pPr>
    </w:p>
    <w:p w14:paraId="5953C14B">
      <w:pPr>
        <w:rPr>
          <w:rFonts w:ascii="Arial" w:hAnsi="Arial" w:cs="Arial"/>
          <w:b/>
          <w:bCs/>
        </w:rPr>
      </w:pPr>
      <w:r>
        <w:rPr>
          <w:rFonts w:ascii="Arial" w:hAnsi="Arial" w:cs="Arial"/>
          <w:b/>
          <w:bCs/>
        </w:rPr>
        <w:t>I acknowledge using the Grammarly app and Microsoft Editor option in the Word document on 25.02.2025.</w:t>
      </w:r>
      <w:r>
        <w:rPr>
          <w:rFonts w:ascii="Arial" w:hAnsi="Arial" w:cs="Arial"/>
          <w:b/>
          <w:bCs/>
        </w:rPr>
        <w:br w:type="textWrapping"/>
      </w:r>
    </w:p>
    <w:p w14:paraId="7E3175D6">
      <w:pPr>
        <w:spacing w:line="360" w:lineRule="auto"/>
        <w:jc w:val="both"/>
        <w:rPr>
          <w:rFonts w:ascii="Arial" w:hAnsi="Arial" w:cs="Arial"/>
          <w:b/>
          <w:bCs/>
        </w:rPr>
      </w:pPr>
    </w:p>
    <w:p w14:paraId="0F65D2FD">
      <w:pPr>
        <w:spacing w:line="360" w:lineRule="auto"/>
        <w:jc w:val="both"/>
        <w:rPr>
          <w:rFonts w:ascii="Arial" w:hAnsi="Arial" w:cs="Arial"/>
          <w:b/>
          <w:bCs/>
        </w:rPr>
      </w:pPr>
    </w:p>
    <w:p w14:paraId="747A4816">
      <w:pPr>
        <w:spacing w:line="360" w:lineRule="auto"/>
        <w:jc w:val="both"/>
        <w:rPr>
          <w:rFonts w:ascii="Arial" w:hAnsi="Arial" w:cs="Arial"/>
          <w:b/>
          <w:bCs/>
        </w:rPr>
      </w:pPr>
    </w:p>
    <w:p w14:paraId="4C6A2B65">
      <w:pPr>
        <w:spacing w:line="360" w:lineRule="auto"/>
        <w:jc w:val="both"/>
        <w:rPr>
          <w:rFonts w:ascii="Arial" w:hAnsi="Arial" w:cs="Arial"/>
          <w:b/>
          <w:bCs/>
        </w:rPr>
      </w:pPr>
    </w:p>
    <w:p w14:paraId="10A0AFA9">
      <w:pPr>
        <w:spacing w:line="360" w:lineRule="auto"/>
        <w:jc w:val="both"/>
        <w:rPr>
          <w:rFonts w:ascii="Arial" w:hAnsi="Arial" w:cs="Arial"/>
          <w:b/>
          <w:bCs/>
        </w:rPr>
      </w:pPr>
    </w:p>
    <w:p w14:paraId="5EC89FF7">
      <w:pPr>
        <w:spacing w:line="360" w:lineRule="auto"/>
        <w:jc w:val="both"/>
        <w:rPr>
          <w:rFonts w:ascii="Arial" w:hAnsi="Arial" w:cs="Arial"/>
          <w:b/>
          <w:bCs/>
        </w:rPr>
      </w:pPr>
    </w:p>
    <w:p w14:paraId="0E88409C">
      <w:pPr>
        <w:spacing w:line="360" w:lineRule="auto"/>
        <w:jc w:val="both"/>
        <w:rPr>
          <w:rFonts w:ascii="Arial" w:hAnsi="Arial" w:cs="Arial"/>
          <w:b/>
          <w:bCs/>
        </w:rPr>
      </w:pPr>
    </w:p>
    <w:p w14:paraId="12154AD8">
      <w:pPr>
        <w:spacing w:line="360" w:lineRule="auto"/>
        <w:jc w:val="both"/>
        <w:rPr>
          <w:rFonts w:ascii="Arial" w:hAnsi="Arial" w:cs="Arial"/>
          <w:b/>
          <w:bCs/>
        </w:rPr>
      </w:pPr>
    </w:p>
    <w:p w14:paraId="4A2D6B12">
      <w:pPr>
        <w:spacing w:line="360" w:lineRule="auto"/>
        <w:jc w:val="both"/>
        <w:rPr>
          <w:rFonts w:ascii="Arial" w:hAnsi="Arial" w:cs="Arial"/>
          <w:b/>
          <w:bCs/>
        </w:rPr>
      </w:pPr>
    </w:p>
    <w:p w14:paraId="594DF89E">
      <w:pPr>
        <w:spacing w:line="360" w:lineRule="auto"/>
        <w:jc w:val="both"/>
        <w:rPr>
          <w:rFonts w:ascii="Arial" w:hAnsi="Arial" w:cs="Arial"/>
          <w:b/>
          <w:bCs/>
        </w:rPr>
      </w:pPr>
    </w:p>
    <w:p w14:paraId="19363E86">
      <w:pPr>
        <w:spacing w:line="360" w:lineRule="auto"/>
        <w:jc w:val="both"/>
        <w:rPr>
          <w:rFonts w:ascii="Arial" w:hAnsi="Arial" w:cs="Arial"/>
          <w:b/>
          <w:bCs/>
        </w:rPr>
      </w:pPr>
    </w:p>
    <w:p w14:paraId="712436DE">
      <w:pPr>
        <w:spacing w:line="360" w:lineRule="auto"/>
        <w:jc w:val="both"/>
        <w:rPr>
          <w:rFonts w:ascii="Arial" w:hAnsi="Arial" w:cs="Arial"/>
          <w:b/>
          <w:bCs/>
        </w:rPr>
      </w:pPr>
    </w:p>
    <w:p w14:paraId="327DACAC">
      <w:pPr>
        <w:spacing w:line="360" w:lineRule="auto"/>
        <w:jc w:val="both"/>
        <w:rPr>
          <w:rFonts w:ascii="Arial" w:hAnsi="Arial" w:cs="Arial"/>
          <w:b/>
          <w:bCs/>
        </w:rPr>
      </w:pPr>
    </w:p>
    <w:p w14:paraId="7008C1AE">
      <w:pPr>
        <w:spacing w:line="360" w:lineRule="auto"/>
        <w:jc w:val="both"/>
        <w:rPr>
          <w:rFonts w:ascii="Arial" w:hAnsi="Arial" w:cs="Arial"/>
          <w:b/>
          <w:bCs/>
        </w:rPr>
      </w:pPr>
    </w:p>
    <w:p w14:paraId="31DBFFEA">
      <w:pPr>
        <w:spacing w:line="360" w:lineRule="auto"/>
        <w:jc w:val="both"/>
        <w:rPr>
          <w:rFonts w:ascii="Arial" w:hAnsi="Arial" w:cs="Arial"/>
          <w:b/>
          <w:bCs/>
        </w:rPr>
      </w:pPr>
    </w:p>
    <w:p w14:paraId="671C545C">
      <w:pPr>
        <w:spacing w:line="360" w:lineRule="auto"/>
        <w:jc w:val="both"/>
        <w:rPr>
          <w:rFonts w:ascii="Arial" w:hAnsi="Arial" w:cs="Arial"/>
          <w:b/>
          <w:bCs/>
        </w:rPr>
      </w:pPr>
    </w:p>
    <w:p w14:paraId="76B03F0C">
      <w:pPr>
        <w:spacing w:line="360" w:lineRule="auto"/>
        <w:jc w:val="both"/>
        <w:rPr>
          <w:rFonts w:ascii="Arial" w:hAnsi="Arial" w:cs="Arial"/>
          <w:b/>
          <w:bCs/>
        </w:rPr>
      </w:pPr>
    </w:p>
    <w:p w14:paraId="708126B6">
      <w:pPr>
        <w:spacing w:line="360" w:lineRule="auto"/>
        <w:jc w:val="both"/>
        <w:rPr>
          <w:rFonts w:ascii="Arial" w:hAnsi="Arial" w:cs="Arial"/>
          <w:b/>
          <w:bCs/>
        </w:rPr>
      </w:pPr>
    </w:p>
    <w:p w14:paraId="34BEE6A3">
      <w:pPr>
        <w:spacing w:line="360" w:lineRule="auto"/>
        <w:jc w:val="both"/>
        <w:rPr>
          <w:rFonts w:ascii="Arial" w:hAnsi="Arial" w:cs="Arial"/>
          <w:b/>
          <w:bCs/>
        </w:rPr>
      </w:pPr>
    </w:p>
    <w:p w14:paraId="578911C0">
      <w:pPr>
        <w:spacing w:line="360" w:lineRule="auto"/>
        <w:jc w:val="both"/>
        <w:rPr>
          <w:rFonts w:ascii="Arial" w:hAnsi="Arial" w:cs="Arial"/>
          <w:b/>
          <w:bCs/>
        </w:rPr>
      </w:pPr>
      <w:r>
        <w:rPr>
          <w:rFonts w:ascii="Arial" w:hAnsi="Arial" w:cs="Arial"/>
          <w:b/>
          <w:bCs/>
        </w:rPr>
        <w:t>Executive Summary</w:t>
      </w:r>
    </w:p>
    <w:p w14:paraId="2C75D26E">
      <w:pPr>
        <w:spacing w:line="360" w:lineRule="auto"/>
        <w:jc w:val="both"/>
        <w:rPr>
          <w:rFonts w:ascii="Arial" w:hAnsi="Arial" w:cs="Arial"/>
        </w:rPr>
      </w:pPr>
      <w:r>
        <w:rPr>
          <w:rFonts w:ascii="Arial" w:hAnsi="Arial" w:cs="Arial"/>
        </w:rPr>
        <w:t xml:space="preserve">The Voices of Inclusion Storytelling Festival is a unique cultural and educational event promoting equality, diversity, and inclusion (EDI) in the hospitality industry. The festival, held at Zeitz MOCAA in Cape Town, supports South Africa's equality legislation and acts as a global platform for conversation among industry experts, activists, and storytellers. The event aims to spark meaningful conversations on inclusion and representation by blending academic expertise with interactive storytelling. </w:t>
      </w:r>
    </w:p>
    <w:p w14:paraId="1A5F84E1">
      <w:pPr>
        <w:spacing w:line="360" w:lineRule="auto"/>
        <w:jc w:val="both"/>
        <w:rPr>
          <w:rFonts w:ascii="Arial" w:hAnsi="Arial" w:cs="Arial"/>
        </w:rPr>
      </w:pPr>
      <w:r>
        <w:rPr>
          <w:rFonts w:ascii="Arial" w:hAnsi="Arial" w:cs="Arial"/>
        </w:rPr>
        <w:t>The festival uses a systematic Event Planning Cycle that incorporates the EMBOK Framework to assure optimal execution in five major domains: administration, design, marketing, operations, and risk management. These factors are essential for financial sustainability, logistical efficiency, and attendance involvement.</w:t>
      </w:r>
    </w:p>
    <w:p w14:paraId="09E1D50A">
      <w:pPr>
        <w:spacing w:line="360" w:lineRule="auto"/>
        <w:jc w:val="both"/>
        <w:rPr>
          <w:rFonts w:ascii="Arial" w:hAnsi="Arial" w:cs="Arial"/>
        </w:rPr>
      </w:pPr>
      <w:r>
        <w:rPr>
          <w:rFonts w:ascii="Arial" w:hAnsi="Arial" w:cs="Arial"/>
        </w:rPr>
        <w:t>Over two days, attendees will experience a diverse itinerary, including:</w:t>
      </w:r>
    </w:p>
    <w:p w14:paraId="37B6A771">
      <w:pPr>
        <w:spacing w:line="360" w:lineRule="auto"/>
        <w:ind w:left="360"/>
        <w:jc w:val="both"/>
        <w:rPr>
          <w:rFonts w:ascii="Arial" w:hAnsi="Arial" w:cs="Arial"/>
        </w:rPr>
      </w:pPr>
      <w:r>
        <w:rPr>
          <w:rFonts w:ascii="Segoe UI Emoji" w:hAnsi="Segoe UI Emoji" w:cs="Segoe UI Emoji"/>
        </w:rPr>
        <w:t>🔹</w:t>
      </w:r>
      <w:r>
        <w:rPr>
          <w:rFonts w:ascii="Arial" w:hAnsi="Arial" w:cs="Arial"/>
        </w:rPr>
        <w:t>Keynote speeches from EDI thought leaders</w:t>
      </w:r>
    </w:p>
    <w:p w14:paraId="7542667A">
      <w:pPr>
        <w:spacing w:line="360" w:lineRule="auto"/>
        <w:ind w:left="360"/>
        <w:jc w:val="both"/>
        <w:rPr>
          <w:rFonts w:ascii="Arial" w:hAnsi="Arial" w:cs="Arial"/>
        </w:rPr>
      </w:pPr>
      <w:r>
        <w:rPr>
          <w:rFonts w:ascii="Segoe UI Emoji" w:hAnsi="Segoe UI Emoji" w:cs="Segoe UI Emoji"/>
        </w:rPr>
        <w:t>🔹</w:t>
      </w:r>
      <w:r>
        <w:rPr>
          <w:rFonts w:ascii="Arial" w:hAnsi="Arial" w:cs="Arial"/>
        </w:rPr>
        <w:t>Storytelling panels introducing marginalised voices</w:t>
      </w:r>
    </w:p>
    <w:p w14:paraId="0F623AA7">
      <w:pPr>
        <w:spacing w:line="360" w:lineRule="auto"/>
        <w:ind w:left="360"/>
        <w:jc w:val="both"/>
        <w:rPr>
          <w:rFonts w:ascii="Arial" w:hAnsi="Arial" w:cs="Arial"/>
        </w:rPr>
      </w:pPr>
      <w:r>
        <w:rPr>
          <w:rFonts w:ascii="Segoe UI Emoji" w:hAnsi="Segoe UI Emoji" w:cs="Segoe UI Emoji"/>
        </w:rPr>
        <w:t>🔹</w:t>
      </w:r>
      <w:r>
        <w:rPr>
          <w:rFonts w:ascii="Arial" w:hAnsi="Arial" w:cs="Arial"/>
        </w:rPr>
        <w:t>Interactive workshops focused on inclusive leadership</w:t>
      </w:r>
    </w:p>
    <w:p w14:paraId="4670D489">
      <w:pPr>
        <w:spacing w:line="360" w:lineRule="auto"/>
        <w:ind w:left="360"/>
        <w:jc w:val="both"/>
        <w:rPr>
          <w:rFonts w:ascii="Arial" w:hAnsi="Arial" w:cs="Arial"/>
        </w:rPr>
      </w:pPr>
      <w:r>
        <w:rPr>
          <w:rFonts w:ascii="Segoe UI Emoji" w:hAnsi="Segoe UI Emoji" w:cs="Segoe UI Emoji"/>
        </w:rPr>
        <w:t>🔹</w:t>
      </w:r>
      <w:r>
        <w:rPr>
          <w:rFonts w:ascii="Arial" w:hAnsi="Arial" w:cs="Arial"/>
        </w:rPr>
        <w:t>Cultural performances celebrating hospitality culture</w:t>
      </w:r>
    </w:p>
    <w:p w14:paraId="426F0655">
      <w:pPr>
        <w:spacing w:line="360" w:lineRule="auto"/>
        <w:jc w:val="both"/>
        <w:rPr>
          <w:rFonts w:ascii="Arial" w:hAnsi="Arial" w:cs="Arial"/>
        </w:rPr>
      </w:pPr>
      <w:r>
        <w:rPr>
          <w:rFonts w:ascii="Arial" w:hAnsi="Arial" w:cs="Arial"/>
        </w:rPr>
        <w:t xml:space="preserve">Financially, the festival targets a </w:t>
      </w:r>
      <w:r>
        <w:rPr>
          <w:rFonts w:ascii="Arial" w:hAnsi="Arial" w:cs="Arial"/>
          <w:b/>
          <w:bCs/>
        </w:rPr>
        <w:t>£50,000 profit</w:t>
      </w:r>
      <w:r>
        <w:rPr>
          <w:rFonts w:ascii="Arial" w:hAnsi="Arial" w:cs="Arial"/>
        </w:rPr>
        <w:t>, supported through multiple revenue streams:</w:t>
      </w:r>
    </w:p>
    <w:tbl>
      <w:tblPr>
        <w:tblStyle w:val="10"/>
        <w:tblW w:w="0" w:type="auto"/>
        <w:tblInd w:w="0" w:type="dxa"/>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autofit"/>
        <w:tblCellMar>
          <w:top w:w="0" w:type="dxa"/>
          <w:left w:w="108" w:type="dxa"/>
          <w:bottom w:w="0" w:type="dxa"/>
          <w:right w:w="108" w:type="dxa"/>
        </w:tblCellMar>
      </w:tblPr>
      <w:tblGrid>
        <w:gridCol w:w="3116"/>
        <w:gridCol w:w="3117"/>
        <w:gridCol w:w="3117"/>
      </w:tblGrid>
      <w:tr w14:paraId="634E29BE">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3116" w:type="dxa"/>
          </w:tcPr>
          <w:p w14:paraId="38CA44D0">
            <w:pPr>
              <w:spacing w:after="0" w:line="240" w:lineRule="auto"/>
              <w:jc w:val="center"/>
              <w:rPr>
                <w:rFonts w:ascii="Arial" w:hAnsi="Arial" w:cs="Arial"/>
                <w:b/>
                <w:bCs/>
              </w:rPr>
            </w:pPr>
            <w:r>
              <w:rPr>
                <w:rFonts w:ascii="Arial" w:hAnsi="Arial" w:cs="Arial"/>
                <w:b/>
                <w:bCs/>
              </w:rPr>
              <w:t>Revenue Stream</w:t>
            </w:r>
          </w:p>
        </w:tc>
        <w:tc>
          <w:tcPr>
            <w:tcW w:w="3117" w:type="dxa"/>
          </w:tcPr>
          <w:p w14:paraId="42BEB967">
            <w:pPr>
              <w:spacing w:after="0" w:line="240" w:lineRule="auto"/>
              <w:jc w:val="center"/>
              <w:rPr>
                <w:rFonts w:ascii="Arial" w:hAnsi="Arial" w:cs="Arial"/>
                <w:b/>
                <w:bCs/>
              </w:rPr>
            </w:pPr>
            <w:r>
              <w:rPr>
                <w:rFonts w:ascii="Arial" w:hAnsi="Arial" w:cs="Arial"/>
                <w:b/>
                <w:bCs/>
              </w:rPr>
              <w:t>Projected Income (£)</w:t>
            </w:r>
          </w:p>
        </w:tc>
        <w:tc>
          <w:tcPr>
            <w:tcW w:w="3117" w:type="dxa"/>
          </w:tcPr>
          <w:p w14:paraId="29DB7617">
            <w:pPr>
              <w:spacing w:after="0" w:line="240" w:lineRule="auto"/>
              <w:jc w:val="center"/>
              <w:rPr>
                <w:rFonts w:ascii="Arial" w:hAnsi="Arial" w:cs="Arial"/>
                <w:b/>
                <w:bCs/>
              </w:rPr>
            </w:pPr>
            <w:r>
              <w:rPr>
                <w:rFonts w:ascii="Arial" w:hAnsi="Arial" w:cs="Arial"/>
                <w:b/>
                <w:bCs/>
              </w:rPr>
              <w:t>Percentage of Total Revenue</w:t>
            </w:r>
          </w:p>
        </w:tc>
      </w:tr>
      <w:tr w14:paraId="073B896E">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3116" w:type="dxa"/>
            <w:shd w:val="clear" w:color="auto" w:fill="F1F1F1" w:themeFill="background1" w:themeFillShade="F2"/>
          </w:tcPr>
          <w:p w14:paraId="5036F5AE">
            <w:pPr>
              <w:spacing w:after="0" w:line="240" w:lineRule="auto"/>
              <w:jc w:val="center"/>
              <w:rPr>
                <w:rFonts w:ascii="Arial" w:hAnsi="Arial" w:cs="Arial"/>
              </w:rPr>
            </w:pPr>
            <w:r>
              <w:rPr>
                <w:rFonts w:ascii="Arial" w:hAnsi="Arial" w:cs="Arial"/>
              </w:rPr>
              <w:t>Ticket Sales</w:t>
            </w:r>
          </w:p>
        </w:tc>
        <w:tc>
          <w:tcPr>
            <w:tcW w:w="3117" w:type="dxa"/>
            <w:shd w:val="clear" w:color="auto" w:fill="F1F1F1" w:themeFill="background1" w:themeFillShade="F2"/>
          </w:tcPr>
          <w:p w14:paraId="677BEE7F">
            <w:pPr>
              <w:spacing w:after="0" w:line="240" w:lineRule="auto"/>
              <w:jc w:val="center"/>
              <w:rPr>
                <w:rFonts w:ascii="Arial" w:hAnsi="Arial" w:cs="Arial"/>
              </w:rPr>
            </w:pPr>
            <w:r>
              <w:rPr>
                <w:rFonts w:ascii="Arial" w:hAnsi="Arial" w:cs="Arial"/>
              </w:rPr>
              <w:t>62,000</w:t>
            </w:r>
          </w:p>
        </w:tc>
        <w:tc>
          <w:tcPr>
            <w:tcW w:w="3117" w:type="dxa"/>
            <w:shd w:val="clear" w:color="auto" w:fill="F1F1F1" w:themeFill="background1" w:themeFillShade="F2"/>
          </w:tcPr>
          <w:p w14:paraId="1879799F">
            <w:pPr>
              <w:spacing w:after="0" w:line="240" w:lineRule="auto"/>
              <w:jc w:val="center"/>
              <w:rPr>
                <w:rFonts w:ascii="Arial" w:hAnsi="Arial" w:cs="Arial"/>
              </w:rPr>
            </w:pPr>
            <w:r>
              <w:rPr>
                <w:rFonts w:ascii="Arial" w:hAnsi="Arial" w:cs="Arial"/>
              </w:rPr>
              <w:t>58.5%</w:t>
            </w:r>
          </w:p>
        </w:tc>
      </w:tr>
      <w:tr w14:paraId="0717E1C7">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3116" w:type="dxa"/>
          </w:tcPr>
          <w:p w14:paraId="5A47FD84">
            <w:pPr>
              <w:spacing w:after="0" w:line="240" w:lineRule="auto"/>
              <w:jc w:val="center"/>
              <w:rPr>
                <w:rFonts w:ascii="Arial" w:hAnsi="Arial" w:cs="Arial"/>
              </w:rPr>
            </w:pPr>
            <w:r>
              <w:rPr>
                <w:rFonts w:ascii="Arial" w:hAnsi="Arial" w:cs="Arial"/>
              </w:rPr>
              <w:t>Sponsorships</w:t>
            </w:r>
          </w:p>
        </w:tc>
        <w:tc>
          <w:tcPr>
            <w:tcW w:w="3117" w:type="dxa"/>
          </w:tcPr>
          <w:p w14:paraId="16D58912">
            <w:pPr>
              <w:spacing w:after="0" w:line="240" w:lineRule="auto"/>
              <w:jc w:val="center"/>
              <w:rPr>
                <w:rFonts w:ascii="Arial" w:hAnsi="Arial" w:cs="Arial"/>
              </w:rPr>
            </w:pPr>
            <w:r>
              <w:rPr>
                <w:rFonts w:ascii="Arial" w:hAnsi="Arial" w:cs="Arial"/>
              </w:rPr>
              <w:t>35,000</w:t>
            </w:r>
          </w:p>
        </w:tc>
        <w:tc>
          <w:tcPr>
            <w:tcW w:w="3117" w:type="dxa"/>
          </w:tcPr>
          <w:p w14:paraId="18F84265">
            <w:pPr>
              <w:spacing w:after="0" w:line="240" w:lineRule="auto"/>
              <w:jc w:val="center"/>
              <w:rPr>
                <w:rFonts w:ascii="Arial" w:hAnsi="Arial" w:cs="Arial"/>
              </w:rPr>
            </w:pPr>
            <w:r>
              <w:rPr>
                <w:rFonts w:ascii="Arial" w:hAnsi="Arial" w:cs="Arial"/>
              </w:rPr>
              <w:t>33.0%</w:t>
            </w:r>
          </w:p>
        </w:tc>
      </w:tr>
      <w:tr w14:paraId="455516D5">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3116" w:type="dxa"/>
            <w:shd w:val="clear" w:color="auto" w:fill="F1F1F1" w:themeFill="background1" w:themeFillShade="F2"/>
          </w:tcPr>
          <w:p w14:paraId="28D21BFF">
            <w:pPr>
              <w:spacing w:after="0" w:line="240" w:lineRule="auto"/>
              <w:jc w:val="center"/>
              <w:rPr>
                <w:rFonts w:ascii="Arial" w:hAnsi="Arial" w:cs="Arial"/>
              </w:rPr>
            </w:pPr>
            <w:r>
              <w:rPr>
                <w:rFonts w:ascii="Arial" w:hAnsi="Arial" w:cs="Arial"/>
              </w:rPr>
              <w:t>Merchandise</w:t>
            </w:r>
          </w:p>
        </w:tc>
        <w:tc>
          <w:tcPr>
            <w:tcW w:w="3117" w:type="dxa"/>
            <w:shd w:val="clear" w:color="auto" w:fill="F1F1F1" w:themeFill="background1" w:themeFillShade="F2"/>
          </w:tcPr>
          <w:p w14:paraId="1F88DD4E">
            <w:pPr>
              <w:spacing w:after="0" w:line="240" w:lineRule="auto"/>
              <w:jc w:val="center"/>
              <w:rPr>
                <w:rFonts w:ascii="Arial" w:hAnsi="Arial" w:cs="Arial"/>
              </w:rPr>
            </w:pPr>
            <w:r>
              <w:rPr>
                <w:rFonts w:ascii="Arial" w:hAnsi="Arial" w:cs="Arial"/>
              </w:rPr>
              <w:t>6,000</w:t>
            </w:r>
          </w:p>
        </w:tc>
        <w:tc>
          <w:tcPr>
            <w:tcW w:w="3117" w:type="dxa"/>
            <w:shd w:val="clear" w:color="auto" w:fill="F1F1F1" w:themeFill="background1" w:themeFillShade="F2"/>
          </w:tcPr>
          <w:p w14:paraId="609EC0BE">
            <w:pPr>
              <w:spacing w:after="0" w:line="240" w:lineRule="auto"/>
              <w:jc w:val="center"/>
              <w:rPr>
                <w:rFonts w:ascii="Arial" w:hAnsi="Arial" w:cs="Arial"/>
              </w:rPr>
            </w:pPr>
            <w:r>
              <w:rPr>
                <w:rFonts w:ascii="Arial" w:hAnsi="Arial" w:cs="Arial"/>
              </w:rPr>
              <w:t>5.7%</w:t>
            </w:r>
          </w:p>
        </w:tc>
      </w:tr>
      <w:tr w14:paraId="5C8EAD35">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3116" w:type="dxa"/>
          </w:tcPr>
          <w:p w14:paraId="45DD3582">
            <w:pPr>
              <w:spacing w:after="0" w:line="240" w:lineRule="auto"/>
              <w:jc w:val="center"/>
              <w:rPr>
                <w:rFonts w:ascii="Arial" w:hAnsi="Arial" w:cs="Arial"/>
              </w:rPr>
            </w:pPr>
            <w:r>
              <w:rPr>
                <w:rFonts w:ascii="Arial" w:hAnsi="Arial" w:cs="Arial"/>
              </w:rPr>
              <w:t>Workshops</w:t>
            </w:r>
          </w:p>
        </w:tc>
        <w:tc>
          <w:tcPr>
            <w:tcW w:w="3117" w:type="dxa"/>
          </w:tcPr>
          <w:p w14:paraId="525A9A30">
            <w:pPr>
              <w:spacing w:after="0" w:line="240" w:lineRule="auto"/>
              <w:jc w:val="center"/>
              <w:rPr>
                <w:rFonts w:ascii="Arial" w:hAnsi="Arial" w:cs="Arial"/>
              </w:rPr>
            </w:pPr>
            <w:r>
              <w:rPr>
                <w:rFonts w:ascii="Arial" w:hAnsi="Arial" w:cs="Arial"/>
              </w:rPr>
              <w:t>3,000</w:t>
            </w:r>
          </w:p>
        </w:tc>
        <w:tc>
          <w:tcPr>
            <w:tcW w:w="3117" w:type="dxa"/>
          </w:tcPr>
          <w:p w14:paraId="78D9F4BB">
            <w:pPr>
              <w:spacing w:after="0" w:line="240" w:lineRule="auto"/>
              <w:jc w:val="center"/>
              <w:rPr>
                <w:rFonts w:ascii="Arial" w:hAnsi="Arial" w:cs="Arial"/>
              </w:rPr>
            </w:pPr>
            <w:r>
              <w:rPr>
                <w:rFonts w:ascii="Arial" w:hAnsi="Arial" w:cs="Arial"/>
              </w:rPr>
              <w:t>2.8%</w:t>
            </w:r>
          </w:p>
        </w:tc>
      </w:tr>
      <w:tr w14:paraId="2C749AEB">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3116" w:type="dxa"/>
            <w:shd w:val="clear" w:color="auto" w:fill="F1F1F1" w:themeFill="background1" w:themeFillShade="F2"/>
          </w:tcPr>
          <w:p w14:paraId="640ABF7F">
            <w:pPr>
              <w:spacing w:after="0" w:line="240" w:lineRule="auto"/>
              <w:jc w:val="center"/>
              <w:rPr>
                <w:rFonts w:ascii="Arial" w:hAnsi="Arial" w:cs="Arial"/>
                <w:b/>
                <w:bCs/>
              </w:rPr>
            </w:pPr>
            <w:r>
              <w:rPr>
                <w:rFonts w:ascii="Arial" w:hAnsi="Arial" w:cs="Arial"/>
                <w:b/>
                <w:bCs/>
              </w:rPr>
              <w:t>Total Revenue</w:t>
            </w:r>
          </w:p>
        </w:tc>
        <w:tc>
          <w:tcPr>
            <w:tcW w:w="3117" w:type="dxa"/>
            <w:shd w:val="clear" w:color="auto" w:fill="F1F1F1" w:themeFill="background1" w:themeFillShade="F2"/>
          </w:tcPr>
          <w:p w14:paraId="0B614D5F">
            <w:pPr>
              <w:spacing w:after="0" w:line="240" w:lineRule="auto"/>
              <w:jc w:val="center"/>
              <w:rPr>
                <w:rFonts w:ascii="Arial" w:hAnsi="Arial" w:cs="Arial"/>
                <w:b/>
                <w:bCs/>
              </w:rPr>
            </w:pPr>
            <w:r>
              <w:rPr>
                <w:rFonts w:ascii="Arial" w:hAnsi="Arial" w:cs="Arial"/>
                <w:b/>
                <w:bCs/>
              </w:rPr>
              <w:t>106,000</w:t>
            </w:r>
          </w:p>
        </w:tc>
        <w:tc>
          <w:tcPr>
            <w:tcW w:w="3117" w:type="dxa"/>
            <w:shd w:val="clear" w:color="auto" w:fill="F1F1F1" w:themeFill="background1" w:themeFillShade="F2"/>
          </w:tcPr>
          <w:p w14:paraId="2EE1EE02">
            <w:pPr>
              <w:spacing w:after="0" w:line="240" w:lineRule="auto"/>
              <w:jc w:val="center"/>
              <w:rPr>
                <w:rFonts w:ascii="Arial" w:hAnsi="Arial" w:cs="Arial"/>
                <w:b/>
                <w:bCs/>
              </w:rPr>
            </w:pPr>
            <w:r>
              <w:rPr>
                <w:rFonts w:ascii="Arial" w:hAnsi="Arial" w:cs="Arial"/>
                <w:b/>
                <w:bCs/>
              </w:rPr>
              <w:t>100%</w:t>
            </w:r>
          </w:p>
        </w:tc>
      </w:tr>
    </w:tbl>
    <w:p w14:paraId="7B9C154E">
      <w:pPr>
        <w:spacing w:line="360" w:lineRule="auto"/>
        <w:jc w:val="both"/>
        <w:rPr>
          <w:rFonts w:ascii="Arial" w:hAnsi="Arial" w:cs="Arial"/>
        </w:rPr>
      </w:pPr>
    </w:p>
    <w:p w14:paraId="7E48BBC4">
      <w:pPr>
        <w:spacing w:line="360" w:lineRule="auto"/>
        <w:jc w:val="both"/>
        <w:rPr>
          <w:rFonts w:ascii="Arial" w:hAnsi="Arial" w:cs="Arial"/>
        </w:rPr>
      </w:pPr>
      <w:r>
        <w:rPr>
          <w:rFonts w:ascii="Arial" w:hAnsi="Arial" w:cs="Arial"/>
        </w:rPr>
        <w:t>To maximise reach, the marketing strategy makes use of social media campaigns, influencer collaborations, and corporate alliances. A PESTLE analysis guides strategic decision-making, while a risk management framework reduces financial, logistical, and operational uncertainty.</w:t>
      </w:r>
    </w:p>
    <w:p w14:paraId="47583E39">
      <w:pPr>
        <w:spacing w:line="360" w:lineRule="auto"/>
        <w:jc w:val="both"/>
        <w:rPr>
          <w:rFonts w:ascii="Arial" w:hAnsi="Arial" w:cs="Arial"/>
        </w:rPr>
      </w:pPr>
      <w:r>
        <w:rPr>
          <w:rFonts w:ascii="Arial" w:hAnsi="Arial" w:cs="Arial"/>
        </w:rPr>
        <w:t>The post-event review will assess financial performance, attendance happiness, media attention, and long-term impact. The report's Risk Management and Financial Planning sections include recommendations for reducing financial risk, increasing digital accessibility, and diversifying sponsorship.</w:t>
      </w:r>
    </w:p>
    <w:p w14:paraId="649C89BF">
      <w:pPr>
        <w:spacing w:line="360" w:lineRule="auto"/>
        <w:jc w:val="both"/>
        <w:rPr>
          <w:rFonts w:ascii="Arial" w:hAnsi="Arial" w:cs="Arial"/>
          <w:b/>
          <w:bCs/>
        </w:rPr>
      </w:pPr>
    </w:p>
    <w:p w14:paraId="763B8CB3">
      <w:pPr>
        <w:spacing w:line="360" w:lineRule="auto"/>
        <w:jc w:val="both"/>
        <w:rPr>
          <w:rFonts w:ascii="Arial" w:hAnsi="Arial" w:cs="Arial"/>
          <w:b/>
          <w:bCs/>
        </w:rPr>
      </w:pPr>
    </w:p>
    <w:p w14:paraId="1E2D9C84">
      <w:pPr>
        <w:spacing w:line="360" w:lineRule="auto"/>
        <w:jc w:val="both"/>
        <w:rPr>
          <w:rFonts w:ascii="Arial" w:hAnsi="Arial" w:cs="Arial"/>
          <w:b/>
          <w:bCs/>
        </w:rPr>
      </w:pPr>
    </w:p>
    <w:p w14:paraId="0A4CD6F5">
      <w:pPr>
        <w:spacing w:line="360" w:lineRule="auto"/>
        <w:jc w:val="both"/>
        <w:rPr>
          <w:rFonts w:ascii="Arial" w:hAnsi="Arial" w:cs="Arial"/>
          <w:b/>
          <w:bCs/>
        </w:rPr>
      </w:pPr>
    </w:p>
    <w:p w14:paraId="49C80362">
      <w:pPr>
        <w:spacing w:line="360" w:lineRule="auto"/>
        <w:jc w:val="both"/>
        <w:rPr>
          <w:rFonts w:ascii="Arial" w:hAnsi="Arial" w:cs="Arial"/>
          <w:b/>
          <w:bCs/>
        </w:rPr>
      </w:pPr>
    </w:p>
    <w:p w14:paraId="623CA39F">
      <w:pPr>
        <w:spacing w:line="360" w:lineRule="auto"/>
        <w:jc w:val="both"/>
        <w:rPr>
          <w:rFonts w:ascii="Arial" w:hAnsi="Arial" w:cs="Arial"/>
          <w:b/>
          <w:bCs/>
        </w:rPr>
      </w:pPr>
    </w:p>
    <w:p w14:paraId="70CC236D">
      <w:pPr>
        <w:spacing w:line="360" w:lineRule="auto"/>
        <w:jc w:val="both"/>
        <w:rPr>
          <w:rFonts w:ascii="Arial" w:hAnsi="Arial" w:cs="Arial"/>
          <w:b/>
          <w:bCs/>
        </w:rPr>
      </w:pPr>
    </w:p>
    <w:p w14:paraId="32704791">
      <w:pPr>
        <w:spacing w:line="360" w:lineRule="auto"/>
        <w:jc w:val="both"/>
        <w:rPr>
          <w:rFonts w:ascii="Arial" w:hAnsi="Arial" w:cs="Arial"/>
          <w:b/>
          <w:bCs/>
        </w:rPr>
      </w:pPr>
    </w:p>
    <w:p w14:paraId="11353160">
      <w:pPr>
        <w:spacing w:line="360" w:lineRule="auto"/>
        <w:jc w:val="both"/>
        <w:rPr>
          <w:rFonts w:ascii="Arial" w:hAnsi="Arial" w:cs="Arial"/>
          <w:b/>
          <w:bCs/>
        </w:rPr>
      </w:pPr>
    </w:p>
    <w:p w14:paraId="53D77AD1">
      <w:pPr>
        <w:spacing w:line="360" w:lineRule="auto"/>
        <w:jc w:val="both"/>
        <w:rPr>
          <w:rFonts w:ascii="Arial" w:hAnsi="Arial" w:cs="Arial"/>
          <w:b/>
          <w:bCs/>
        </w:rPr>
      </w:pPr>
    </w:p>
    <w:p w14:paraId="7B900F11">
      <w:pPr>
        <w:spacing w:line="360" w:lineRule="auto"/>
        <w:jc w:val="both"/>
        <w:rPr>
          <w:rFonts w:ascii="Arial" w:hAnsi="Arial" w:cs="Arial"/>
          <w:b/>
          <w:bCs/>
        </w:rPr>
      </w:pPr>
    </w:p>
    <w:p w14:paraId="4B73838B">
      <w:pPr>
        <w:spacing w:line="360" w:lineRule="auto"/>
        <w:jc w:val="both"/>
        <w:rPr>
          <w:rFonts w:ascii="Arial" w:hAnsi="Arial" w:cs="Arial"/>
          <w:b/>
          <w:bCs/>
        </w:rPr>
      </w:pPr>
    </w:p>
    <w:p w14:paraId="39FFD57E">
      <w:pPr>
        <w:spacing w:line="360" w:lineRule="auto"/>
        <w:jc w:val="both"/>
        <w:rPr>
          <w:rFonts w:ascii="Arial" w:hAnsi="Arial" w:cs="Arial"/>
          <w:b/>
          <w:bCs/>
        </w:rPr>
      </w:pPr>
    </w:p>
    <w:p w14:paraId="7CC99007">
      <w:pPr>
        <w:spacing w:line="360" w:lineRule="auto"/>
        <w:jc w:val="both"/>
        <w:rPr>
          <w:rFonts w:ascii="Arial" w:hAnsi="Arial" w:cs="Arial"/>
          <w:b/>
          <w:bCs/>
        </w:rPr>
      </w:pPr>
    </w:p>
    <w:p w14:paraId="3E787EE4">
      <w:pPr>
        <w:spacing w:line="360" w:lineRule="auto"/>
        <w:jc w:val="both"/>
        <w:rPr>
          <w:rFonts w:ascii="Arial" w:hAnsi="Arial" w:cs="Arial"/>
          <w:b/>
          <w:bCs/>
        </w:rPr>
      </w:pPr>
    </w:p>
    <w:p w14:paraId="78010479">
      <w:pPr>
        <w:spacing w:line="360" w:lineRule="auto"/>
        <w:jc w:val="both"/>
        <w:rPr>
          <w:rFonts w:ascii="Arial" w:hAnsi="Arial" w:cs="Arial"/>
          <w:b/>
          <w:bCs/>
        </w:rPr>
      </w:pPr>
    </w:p>
    <w:p w14:paraId="084B5EC9">
      <w:pPr>
        <w:spacing w:line="360" w:lineRule="auto"/>
        <w:jc w:val="both"/>
        <w:rPr>
          <w:rFonts w:ascii="Arial" w:hAnsi="Arial" w:cs="Arial"/>
          <w:b/>
          <w:bCs/>
        </w:rPr>
      </w:pPr>
    </w:p>
    <w:p w14:paraId="21277262">
      <w:pPr>
        <w:spacing w:line="360" w:lineRule="auto"/>
        <w:jc w:val="both"/>
        <w:rPr>
          <w:rFonts w:ascii="Arial" w:hAnsi="Arial" w:cs="Arial"/>
          <w:b/>
          <w:bCs/>
        </w:rPr>
      </w:pPr>
    </w:p>
    <w:p w14:paraId="3EED6F5A">
      <w:pPr>
        <w:spacing w:line="360" w:lineRule="auto"/>
        <w:jc w:val="both"/>
        <w:rPr>
          <w:rFonts w:ascii="Arial" w:hAnsi="Arial" w:cs="Arial"/>
          <w:b/>
          <w:bCs/>
        </w:rPr>
      </w:pPr>
    </w:p>
    <w:p w14:paraId="62B5D44E">
      <w:pPr>
        <w:spacing w:line="360" w:lineRule="auto"/>
        <w:jc w:val="both"/>
        <w:rPr>
          <w:rFonts w:ascii="Arial" w:hAnsi="Arial" w:cs="Arial"/>
          <w:b/>
          <w:bCs/>
        </w:rPr>
      </w:pPr>
    </w:p>
    <w:p w14:paraId="06952E6A">
      <w:pPr>
        <w:spacing w:line="360" w:lineRule="auto"/>
        <w:jc w:val="both"/>
        <w:rPr>
          <w:rFonts w:ascii="Arial" w:hAnsi="Arial" w:cs="Arial"/>
          <w:b/>
          <w:bCs/>
        </w:rPr>
      </w:pPr>
    </w:p>
    <w:p w14:paraId="68F23FB0">
      <w:pPr>
        <w:spacing w:line="360" w:lineRule="auto"/>
        <w:jc w:val="both"/>
        <w:rPr>
          <w:rFonts w:ascii="Arial" w:hAnsi="Arial" w:cs="Arial"/>
          <w:b/>
          <w:bCs/>
        </w:rPr>
      </w:pPr>
    </w:p>
    <w:p w14:paraId="0D48B0EE">
      <w:pPr>
        <w:spacing w:line="360" w:lineRule="auto"/>
        <w:jc w:val="both"/>
        <w:rPr>
          <w:rFonts w:ascii="Arial" w:hAnsi="Arial" w:cs="Arial"/>
          <w:b/>
          <w:bCs/>
        </w:rPr>
      </w:pPr>
    </w:p>
    <w:p w14:paraId="54944D1B">
      <w:pPr>
        <w:spacing w:line="360" w:lineRule="auto"/>
        <w:jc w:val="both"/>
        <w:rPr>
          <w:rFonts w:ascii="Arial" w:hAnsi="Arial" w:cs="Arial"/>
          <w:b/>
          <w:bCs/>
        </w:rPr>
      </w:pPr>
      <w:r>
        <w:rPr>
          <w:rFonts w:ascii="Arial" w:hAnsi="Arial" w:cs="Arial"/>
          <w:b/>
          <w:bCs/>
        </w:rPr>
        <w:t>Table of Contents</w:t>
      </w:r>
    </w:p>
    <w:p w14:paraId="585EF6A0">
      <w:pPr>
        <w:numPr>
          <w:ilvl w:val="0"/>
          <w:numId w:val="1"/>
        </w:numPr>
        <w:spacing w:line="360" w:lineRule="auto"/>
        <w:rPr>
          <w:rFonts w:ascii="Arial" w:hAnsi="Arial" w:cs="Arial"/>
        </w:rPr>
      </w:pPr>
      <w:r>
        <w:rPr>
          <w:rFonts w:ascii="Arial" w:hAnsi="Arial" w:cs="Arial"/>
        </w:rPr>
        <w:t>Introduction ……………………………………………………………5</w:t>
      </w:r>
    </w:p>
    <w:p w14:paraId="4E282E97">
      <w:pPr>
        <w:numPr>
          <w:ilvl w:val="0"/>
          <w:numId w:val="1"/>
        </w:numPr>
        <w:spacing w:line="360" w:lineRule="auto"/>
        <w:rPr>
          <w:rFonts w:ascii="Arial" w:hAnsi="Arial" w:cs="Arial"/>
        </w:rPr>
      </w:pPr>
      <w:r>
        <w:rPr>
          <w:rFonts w:ascii="Arial" w:hAnsi="Arial" w:cs="Arial"/>
        </w:rPr>
        <w:t>The Event Cycle ……………………………………………………...5</w:t>
      </w:r>
    </w:p>
    <w:p w14:paraId="76904838">
      <w:pPr>
        <w:numPr>
          <w:ilvl w:val="0"/>
          <w:numId w:val="1"/>
        </w:numPr>
        <w:spacing w:line="360" w:lineRule="auto"/>
        <w:rPr>
          <w:rFonts w:ascii="Arial" w:hAnsi="Arial" w:cs="Arial"/>
        </w:rPr>
      </w:pPr>
      <w:r>
        <w:rPr>
          <w:rFonts w:ascii="Arial" w:hAnsi="Arial" w:cs="Arial"/>
        </w:rPr>
        <w:t>Event Concept and Experience Design ……………………………8</w:t>
      </w:r>
    </w:p>
    <w:p w14:paraId="182F85BB">
      <w:pPr>
        <w:numPr>
          <w:ilvl w:val="0"/>
          <w:numId w:val="1"/>
        </w:numPr>
        <w:spacing w:line="360" w:lineRule="auto"/>
        <w:rPr>
          <w:rFonts w:ascii="Arial" w:hAnsi="Arial" w:cs="Arial"/>
        </w:rPr>
      </w:pPr>
      <w:r>
        <w:rPr>
          <w:rFonts w:ascii="Arial" w:hAnsi="Arial" w:cs="Arial"/>
        </w:rPr>
        <w:t>Event Aims and SMART Objectives ………………………………10</w:t>
      </w:r>
    </w:p>
    <w:p w14:paraId="722A144C">
      <w:pPr>
        <w:numPr>
          <w:ilvl w:val="0"/>
          <w:numId w:val="1"/>
        </w:numPr>
        <w:spacing w:line="360" w:lineRule="auto"/>
        <w:rPr>
          <w:rFonts w:ascii="Arial" w:hAnsi="Arial" w:cs="Arial"/>
        </w:rPr>
      </w:pPr>
      <w:r>
        <w:rPr>
          <w:rFonts w:ascii="Arial" w:hAnsi="Arial" w:cs="Arial"/>
        </w:rPr>
        <w:t>Key Event Design Considerations (EMBOK Framework) ………11</w:t>
      </w:r>
      <w:r>
        <w:rPr>
          <w:rFonts w:ascii="Arial" w:hAnsi="Arial" w:cs="Arial"/>
        </w:rPr>
        <w:br w:type="textWrapping"/>
      </w:r>
      <w:r>
        <w:rPr>
          <w:rFonts w:ascii="Arial" w:hAnsi="Arial" w:cs="Arial"/>
        </w:rPr>
        <w:t xml:space="preserve">5.1 Administration …………………………………………………...11 </w:t>
      </w:r>
      <w:r>
        <w:rPr>
          <w:rFonts w:ascii="Arial" w:hAnsi="Arial" w:cs="Arial"/>
        </w:rPr>
        <w:br w:type="textWrapping"/>
      </w:r>
      <w:r>
        <w:rPr>
          <w:rFonts w:ascii="Arial" w:hAnsi="Arial" w:cs="Arial"/>
        </w:rPr>
        <w:t>5.2 Design ……………………………………………………………11</w:t>
      </w:r>
      <w:r>
        <w:rPr>
          <w:rFonts w:ascii="Arial" w:hAnsi="Arial" w:cs="Arial"/>
        </w:rPr>
        <w:br w:type="textWrapping"/>
      </w:r>
      <w:r>
        <w:rPr>
          <w:rFonts w:ascii="Arial" w:hAnsi="Arial" w:cs="Arial"/>
        </w:rPr>
        <w:t>5.3 Marketing ………………………………………………………...12</w:t>
      </w:r>
      <w:r>
        <w:rPr>
          <w:rFonts w:ascii="Arial" w:hAnsi="Arial" w:cs="Arial"/>
        </w:rPr>
        <w:br w:type="textWrapping"/>
      </w:r>
      <w:r>
        <w:rPr>
          <w:rFonts w:ascii="Arial" w:hAnsi="Arial" w:cs="Arial"/>
        </w:rPr>
        <w:t>5.4 Operations ……………………………………………………….13</w:t>
      </w:r>
      <w:r>
        <w:rPr>
          <w:rFonts w:ascii="Arial" w:hAnsi="Arial" w:cs="Arial"/>
        </w:rPr>
        <w:br w:type="textWrapping"/>
      </w:r>
      <w:r>
        <w:rPr>
          <w:rFonts w:ascii="Arial" w:hAnsi="Arial" w:cs="Arial"/>
        </w:rPr>
        <w:t>5.5 Risk Management ………………………………………………14</w:t>
      </w:r>
    </w:p>
    <w:p w14:paraId="53599EBF">
      <w:pPr>
        <w:numPr>
          <w:ilvl w:val="0"/>
          <w:numId w:val="1"/>
        </w:numPr>
        <w:spacing w:line="360" w:lineRule="auto"/>
        <w:rPr>
          <w:rFonts w:ascii="Arial" w:hAnsi="Arial" w:cs="Arial"/>
        </w:rPr>
      </w:pPr>
      <w:r>
        <w:rPr>
          <w:rFonts w:ascii="Arial" w:hAnsi="Arial" w:cs="Arial"/>
        </w:rPr>
        <w:t xml:space="preserve">Event Budget and Financial Model…………………………………14 </w:t>
      </w:r>
    </w:p>
    <w:p w14:paraId="302BD809">
      <w:pPr>
        <w:numPr>
          <w:ilvl w:val="0"/>
          <w:numId w:val="1"/>
        </w:numPr>
        <w:spacing w:line="360" w:lineRule="auto"/>
        <w:rPr>
          <w:rFonts w:ascii="Arial" w:hAnsi="Arial" w:cs="Arial"/>
        </w:rPr>
      </w:pPr>
      <w:r>
        <w:rPr>
          <w:rFonts w:ascii="Arial" w:hAnsi="Arial" w:cs="Arial"/>
        </w:rPr>
        <w:t>Situational and Cultural Analysis (PESTLE Framework) ………..15</w:t>
      </w:r>
    </w:p>
    <w:p w14:paraId="1D0B9229">
      <w:pPr>
        <w:numPr>
          <w:ilvl w:val="0"/>
          <w:numId w:val="1"/>
        </w:numPr>
        <w:spacing w:line="360" w:lineRule="auto"/>
        <w:rPr>
          <w:rFonts w:ascii="Arial" w:hAnsi="Arial" w:cs="Arial"/>
        </w:rPr>
      </w:pPr>
      <w:r>
        <w:rPr>
          <w:rFonts w:ascii="Arial" w:hAnsi="Arial" w:cs="Arial"/>
        </w:rPr>
        <w:t>Risk Management and Contingency Planning ……………………16</w:t>
      </w:r>
    </w:p>
    <w:p w14:paraId="5FF2EDE8">
      <w:pPr>
        <w:numPr>
          <w:ilvl w:val="0"/>
          <w:numId w:val="1"/>
        </w:numPr>
        <w:spacing w:line="360" w:lineRule="auto"/>
        <w:rPr>
          <w:rFonts w:ascii="Arial" w:hAnsi="Arial" w:cs="Arial"/>
        </w:rPr>
      </w:pPr>
      <w:r>
        <w:rPr>
          <w:rFonts w:ascii="Arial" w:hAnsi="Arial" w:cs="Arial"/>
        </w:rPr>
        <w:t>Post-Event Evaluation and Impact Assessment ………………….17</w:t>
      </w:r>
    </w:p>
    <w:p w14:paraId="059DD445">
      <w:pPr>
        <w:numPr>
          <w:ilvl w:val="0"/>
          <w:numId w:val="1"/>
        </w:numPr>
        <w:spacing w:line="360" w:lineRule="auto"/>
        <w:rPr>
          <w:rFonts w:ascii="Arial" w:hAnsi="Arial" w:cs="Arial"/>
        </w:rPr>
      </w:pPr>
      <w:r>
        <w:rPr>
          <w:rFonts w:ascii="Arial" w:hAnsi="Arial" w:cs="Arial"/>
        </w:rPr>
        <w:t>Conclusion ……………………………………………………………18</w:t>
      </w:r>
    </w:p>
    <w:p w14:paraId="12E51FA1">
      <w:pPr>
        <w:numPr>
          <w:ilvl w:val="0"/>
          <w:numId w:val="1"/>
        </w:numPr>
        <w:spacing w:line="360" w:lineRule="auto"/>
        <w:rPr>
          <w:rFonts w:ascii="Arial" w:hAnsi="Arial" w:cs="Arial"/>
        </w:rPr>
      </w:pPr>
      <w:r>
        <w:rPr>
          <w:rFonts w:ascii="Arial" w:hAnsi="Arial" w:cs="Arial"/>
        </w:rPr>
        <w:t>References ……………………………………………………………19</w:t>
      </w:r>
    </w:p>
    <w:p w14:paraId="7AFB1EAE">
      <w:pPr>
        <w:numPr>
          <w:ilvl w:val="0"/>
          <w:numId w:val="1"/>
        </w:numPr>
        <w:spacing w:line="360" w:lineRule="auto"/>
        <w:rPr>
          <w:rFonts w:ascii="Arial" w:hAnsi="Arial" w:cs="Arial"/>
          <w:b/>
          <w:bCs/>
        </w:rPr>
      </w:pPr>
      <w:r>
        <w:rPr>
          <w:rFonts w:ascii="Arial" w:hAnsi="Arial" w:cs="Arial"/>
        </w:rPr>
        <w:t>Appendix ………………………………………………………………24</w:t>
      </w:r>
      <w:r>
        <w:rPr>
          <w:rFonts w:ascii="Arial" w:hAnsi="Arial" w:cs="Arial"/>
          <w:b/>
          <w:bCs/>
        </w:rPr>
        <w:br w:type="textWrapping"/>
      </w:r>
    </w:p>
    <w:p w14:paraId="7FAC8C2F">
      <w:pPr>
        <w:spacing w:line="360" w:lineRule="auto"/>
        <w:jc w:val="both"/>
        <w:rPr>
          <w:rFonts w:ascii="Arial" w:hAnsi="Arial" w:cs="Arial"/>
          <w:b/>
          <w:bCs/>
        </w:rPr>
      </w:pPr>
    </w:p>
    <w:p w14:paraId="6BB93289">
      <w:pPr>
        <w:spacing w:line="360" w:lineRule="auto"/>
        <w:jc w:val="both"/>
        <w:rPr>
          <w:rFonts w:ascii="Arial" w:hAnsi="Arial" w:cs="Arial"/>
          <w:b/>
          <w:bCs/>
        </w:rPr>
      </w:pPr>
    </w:p>
    <w:p w14:paraId="0B7A7DB1">
      <w:pPr>
        <w:spacing w:line="360" w:lineRule="auto"/>
        <w:jc w:val="both"/>
        <w:rPr>
          <w:rFonts w:ascii="Arial" w:hAnsi="Arial" w:cs="Arial"/>
          <w:b/>
          <w:bCs/>
        </w:rPr>
      </w:pPr>
    </w:p>
    <w:p w14:paraId="007D90A6">
      <w:pPr>
        <w:spacing w:line="360" w:lineRule="auto"/>
        <w:jc w:val="both"/>
        <w:rPr>
          <w:rFonts w:ascii="Arial" w:hAnsi="Arial" w:cs="Arial"/>
          <w:b/>
          <w:bCs/>
        </w:rPr>
      </w:pPr>
    </w:p>
    <w:p w14:paraId="111C063F">
      <w:pPr>
        <w:spacing w:line="360" w:lineRule="auto"/>
        <w:jc w:val="both"/>
        <w:rPr>
          <w:rFonts w:ascii="Arial" w:hAnsi="Arial" w:cs="Arial"/>
          <w:b/>
          <w:bCs/>
        </w:rPr>
      </w:pPr>
    </w:p>
    <w:p w14:paraId="1D127A52">
      <w:pPr>
        <w:spacing w:line="360" w:lineRule="auto"/>
        <w:jc w:val="both"/>
        <w:rPr>
          <w:rFonts w:ascii="Arial" w:hAnsi="Arial" w:cs="Arial"/>
          <w:b/>
          <w:bCs/>
        </w:rPr>
      </w:pPr>
    </w:p>
    <w:p w14:paraId="2C2B0550">
      <w:pPr>
        <w:spacing w:line="360" w:lineRule="auto"/>
        <w:jc w:val="both"/>
        <w:rPr>
          <w:rFonts w:ascii="Arial" w:hAnsi="Arial" w:cs="Arial"/>
          <w:b/>
          <w:bCs/>
        </w:rPr>
      </w:pPr>
      <w:r>
        <w:rPr>
          <w:rFonts w:ascii="Arial" w:hAnsi="Arial" w:cs="Arial"/>
          <w:b/>
          <w:bCs/>
        </w:rPr>
        <w:t>Introduction</w:t>
      </w:r>
    </w:p>
    <w:p w14:paraId="1FBE1157">
      <w:pPr>
        <w:spacing w:line="360" w:lineRule="auto"/>
        <w:jc w:val="both"/>
        <w:rPr>
          <w:rFonts w:ascii="Arial" w:hAnsi="Arial" w:cs="Arial"/>
        </w:rPr>
      </w:pPr>
      <w:r>
        <w:drawing>
          <wp:inline distT="0" distB="0" distL="0" distR="0">
            <wp:extent cx="5943600" cy="3343275"/>
            <wp:effectExtent l="0" t="0" r="0" b="9525"/>
            <wp:docPr id="98221020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210203" name="Graphic 1"/>
                    <pic:cNvPicPr>
                      <a:picLocks noChangeAspect="1"/>
                    </pic:cNvPicPr>
                  </pic:nvPicPr>
                  <pic:blipFill>
                    <a:blip r:embed="rId8">
                      <a:extLst>
                        <a:ext uri="{96DAC541-7B7A-43D3-8B79-37D633B846F1}">
                          <asvg:svgBlip xmlns:asvg="http://schemas.microsoft.com/office/drawing/2016/SVG/main" r:embed="rId9"/>
                        </a:ext>
                      </a:extLst>
                    </a:blip>
                    <a:stretch>
                      <a:fillRect/>
                    </a:stretch>
                  </pic:blipFill>
                  <pic:spPr>
                    <a:xfrm>
                      <a:off x="0" y="0"/>
                      <a:ext cx="5943600" cy="3343275"/>
                    </a:xfrm>
                    <a:prstGeom prst="rect">
                      <a:avLst/>
                    </a:prstGeom>
                  </pic:spPr>
                </pic:pic>
              </a:graphicData>
            </a:graphic>
          </wp:inline>
        </w:drawing>
      </w:r>
      <w:r>
        <w:rPr>
          <w:rFonts w:ascii="Arial" w:hAnsi="Arial" w:cs="Arial"/>
        </w:rPr>
        <w:t>The Voices of Inclusion Storytelling Festival is a cultural and educational event committed to advancing equality, diversity, and inclusion (EDI) in the hospitality sector. It is hosted at Zeitz MOCAA in Cape Town and is consistent with South Africa's equality policies. This report analyses the event feasibility study by focusing on strategic planning and delivery. The analysis is structured by the Event Planning Cycle and the EMBOK Framework, which cover finance, logistics, marketing, risk management, and attendee experience. The report guarantees that the event is financially sustainable, engaging, and impactful by incorporating practical considerations and theoretical insights.</w:t>
      </w:r>
    </w:p>
    <w:p w14:paraId="59ABFB2A">
      <w:pPr>
        <w:spacing w:line="360" w:lineRule="auto"/>
        <w:jc w:val="both"/>
        <w:rPr>
          <w:rFonts w:ascii="Arial" w:hAnsi="Arial" w:cs="Arial"/>
          <w:b/>
          <w:bCs/>
        </w:rPr>
      </w:pPr>
    </w:p>
    <w:p w14:paraId="35CF5BD1">
      <w:pPr>
        <w:spacing w:line="360" w:lineRule="auto"/>
        <w:jc w:val="both"/>
        <w:rPr>
          <w:rFonts w:ascii="Arial" w:hAnsi="Arial" w:cs="Arial"/>
          <w:b/>
          <w:bCs/>
        </w:rPr>
      </w:pPr>
      <w:r>
        <w:rPr>
          <w:rFonts w:ascii="Arial" w:hAnsi="Arial" w:cs="Arial"/>
        </w:rPr>
        <w:drawing>
          <wp:anchor distT="0" distB="0" distL="114300" distR="114300" simplePos="0" relativeHeight="251659264" behindDoc="0" locked="0" layoutInCell="1" allowOverlap="1">
            <wp:simplePos x="0" y="0"/>
            <wp:positionH relativeFrom="margin">
              <wp:posOffset>4030345</wp:posOffset>
            </wp:positionH>
            <wp:positionV relativeFrom="paragraph">
              <wp:posOffset>156210</wp:posOffset>
            </wp:positionV>
            <wp:extent cx="1913255" cy="1819275"/>
            <wp:effectExtent l="0" t="0" r="6985" b="9525"/>
            <wp:wrapSquare wrapText="bothSides"/>
            <wp:docPr id="1355821093"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821093" name="Picture 1" descr="A diagram of a diagram&#10;&#10;AI-generated content may be incorrect."/>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13255" cy="1819275"/>
                    </a:xfrm>
                    <a:prstGeom prst="rect">
                      <a:avLst/>
                    </a:prstGeom>
                  </pic:spPr>
                </pic:pic>
              </a:graphicData>
            </a:graphic>
          </wp:anchor>
        </w:drawing>
      </w:r>
      <w:r>
        <w:rPr>
          <w:rFonts w:ascii="Arial" w:hAnsi="Arial" w:cs="Arial"/>
          <w:b/>
          <w:bCs/>
        </w:rPr>
        <w:t>The Event Cycle</w:t>
      </w:r>
    </w:p>
    <w:p w14:paraId="6F02276E">
      <w:pPr>
        <w:spacing w:line="360" w:lineRule="auto"/>
        <w:jc w:val="both"/>
        <w:rPr>
          <w:rFonts w:ascii="Arial" w:hAnsi="Arial" w:cs="Arial"/>
        </w:rPr>
      </w:pPr>
      <w:r>
        <w:rPr>
          <w:rFonts w:ascii="Arial" w:hAnsi="Arial" w:cs="Arial"/>
        </w:rPr>
        <w:t>Events are not happening in isolation. As previously mentioned in the presentation feasibility study, they follow a structured process known as the Event Planning Cycle (Bowdin et al., 2011; Getz and Page, 2024), guaranteeing that each stage, from concept to evaluation, is planned and executed efficiently. This report adheres to the Event Management Body of Knowledge (EMBOK) model (Silvers et al., 2006), which provides a structured framework for event design, operations, and risk management.</w:t>
      </w:r>
    </w:p>
    <w:p w14:paraId="40AFA43E">
      <w:pPr>
        <w:spacing w:line="360" w:lineRule="auto"/>
        <w:jc w:val="both"/>
        <w:rPr>
          <w:rFonts w:ascii="Arial" w:hAnsi="Arial" w:cs="Arial"/>
        </w:rPr>
      </w:pPr>
      <w:r>
        <w:rPr>
          <w:rFonts w:ascii="Arial" w:hAnsi="Arial" w:cs="Arial"/>
        </w:rPr>
        <w:t>The EMBOK model is particularly beneficial because it breaks down event planning into five domains: Administration, Design, Marketing, Operations, and Risk Management (Silvers et al., 2006). Each of these domains corresponds to specific phases of the Event Planning Cycle, guaranteeing that all elements of event planning are considered (Yakovchuk, 2022).</w:t>
      </w:r>
    </w:p>
    <w:p w14:paraId="2D3CACFA">
      <w:pPr>
        <w:spacing w:line="360" w:lineRule="auto"/>
        <w:jc w:val="both"/>
        <w:rPr>
          <w:rFonts w:ascii="Arial" w:hAnsi="Arial" w:cs="Arial"/>
        </w:rPr>
      </w:pPr>
      <w:r>
        <w:drawing>
          <wp:inline distT="0" distB="0" distL="0" distR="0">
            <wp:extent cx="5940425" cy="2498090"/>
            <wp:effectExtent l="0" t="0" r="3175" b="0"/>
            <wp:docPr id="1581153718" name="Picture 1" descr="EMBOK - Event Management Body of Knowledge - Pha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153718" name="Picture 1" descr="EMBOK - Event Management Body of Knowledge - Phas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5954621" cy="2504599"/>
                    </a:xfrm>
                    <a:prstGeom prst="rect">
                      <a:avLst/>
                    </a:prstGeom>
                    <a:noFill/>
                    <a:ln>
                      <a:noFill/>
                    </a:ln>
                  </pic:spPr>
                </pic:pic>
              </a:graphicData>
            </a:graphic>
          </wp:inline>
        </w:drawing>
      </w:r>
      <w:r>
        <w:rPr>
          <w:rFonts w:ascii="Arial" w:hAnsi="Arial" w:cs="Arial"/>
        </w:rPr>
        <w:t>The Event Planning Cycle for the Voices of Inclusion Storytelling Festival is divided into five critical phases:</w:t>
      </w:r>
    </w:p>
    <w:p w14:paraId="0BC4AD1E">
      <w:pPr>
        <w:pStyle w:val="11"/>
        <w:numPr>
          <w:ilvl w:val="0"/>
          <w:numId w:val="2"/>
        </w:numPr>
        <w:spacing w:line="360" w:lineRule="auto"/>
        <w:jc w:val="both"/>
        <w:rPr>
          <w:rFonts w:ascii="Arial" w:hAnsi="Arial" w:cs="Arial"/>
          <w:b/>
          <w:bCs/>
        </w:rPr>
      </w:pPr>
      <w:r>
        <w:rPr>
          <w:rFonts w:ascii="Arial" w:hAnsi="Arial" w:cs="Arial"/>
          <w:b/>
          <w:bCs/>
        </w:rPr>
        <w:t xml:space="preserve">Initiation (January 2025) </w:t>
      </w:r>
    </w:p>
    <w:p w14:paraId="13321784">
      <w:pPr>
        <w:spacing w:line="360" w:lineRule="auto"/>
        <w:jc w:val="both"/>
        <w:rPr>
          <w:rFonts w:ascii="Arial" w:hAnsi="Arial" w:cs="Arial"/>
        </w:rPr>
      </w:pPr>
      <w:r>
        <w:rPr>
          <w:rFonts w:ascii="Arial" w:hAnsi="Arial" w:cs="Arial"/>
        </w:rPr>
        <w:t>The event begins with stakeholder engagement, venue investigation, and preliminary feasibility determinations. Zeitz MOCAA was selected as the primary venue for the event due to its strategic alignment with the event's mission of amplifying diverse voices in an artistic and cultural setting and its visually catching space (Zeitz MOCAA, 2024). Securing funding and partnerships necessitates early discussions with corporate sponsors (Marriott, Hilton), local NGOs, and government representatives.</w:t>
      </w:r>
    </w:p>
    <w:p w14:paraId="03BCDE9A">
      <w:pPr>
        <w:spacing w:line="360" w:lineRule="auto"/>
        <w:jc w:val="both"/>
        <w:rPr>
          <w:rFonts w:ascii="Arial" w:hAnsi="Arial" w:cs="Arial"/>
        </w:rPr>
      </w:pPr>
      <w:r>
        <w:rPr>
          <w:rFonts w:ascii="Arial" w:hAnsi="Arial" w:cs="Arial"/>
        </w:rPr>
        <w:t>Financial feasibility is a significant obstacle at this point. The sustainability of an event is significantly impacted by its selection of early-stage sponsorships, according to Coulot et al. (2024). This is consistent with the festival's strategy, which involves the creation of long-term sponsorship agreements before beginning full-scale planning.</w:t>
      </w:r>
    </w:p>
    <w:p w14:paraId="2D344731">
      <w:pPr>
        <w:spacing w:line="360" w:lineRule="auto"/>
        <w:jc w:val="both"/>
        <w:rPr>
          <w:rFonts w:ascii="Arial" w:hAnsi="Arial" w:cs="Arial"/>
        </w:rPr>
      </w:pPr>
    </w:p>
    <w:p w14:paraId="4FF1877B">
      <w:pPr>
        <w:spacing w:line="360" w:lineRule="auto"/>
        <w:jc w:val="both"/>
        <w:rPr>
          <w:rFonts w:ascii="Arial" w:hAnsi="Arial" w:cs="Arial"/>
        </w:rPr>
      </w:pPr>
    </w:p>
    <w:p w14:paraId="7FB45D88">
      <w:pPr>
        <w:pStyle w:val="11"/>
        <w:numPr>
          <w:ilvl w:val="0"/>
          <w:numId w:val="2"/>
        </w:numPr>
        <w:spacing w:line="360" w:lineRule="auto"/>
        <w:jc w:val="both"/>
        <w:rPr>
          <w:rFonts w:ascii="Arial" w:hAnsi="Arial" w:cs="Arial"/>
          <w:b/>
          <w:bCs/>
        </w:rPr>
      </w:pPr>
      <w:r>
        <w:rPr>
          <w:rFonts w:ascii="Arial" w:hAnsi="Arial" w:cs="Arial"/>
          <w:b/>
          <w:bCs/>
        </w:rPr>
        <w:t>Planning (February–August 2025)</w:t>
      </w:r>
    </w:p>
    <w:p w14:paraId="1D9F63C6">
      <w:pPr>
        <w:spacing w:line="360" w:lineRule="auto"/>
        <w:jc w:val="both"/>
        <w:rPr>
          <w:rFonts w:ascii="Arial" w:hAnsi="Arial" w:cs="Arial"/>
        </w:rPr>
      </w:pPr>
      <w:r>
        <w:rPr>
          <w:rFonts w:ascii="Arial" w:hAnsi="Arial" w:cs="Arial"/>
        </w:rPr>
        <w:t>This is the most resource-intensive phase. It involves:</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85"/>
        <w:gridCol w:w="3448"/>
        <w:gridCol w:w="3117"/>
      </w:tblGrid>
      <w:tr w14:paraId="4945D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85" w:type="dxa"/>
          </w:tcPr>
          <w:p w14:paraId="52EF849D">
            <w:pPr>
              <w:spacing w:after="0" w:line="360" w:lineRule="auto"/>
              <w:jc w:val="center"/>
              <w:rPr>
                <w:rFonts w:ascii="Arial" w:hAnsi="Arial" w:cs="Arial"/>
              </w:rPr>
            </w:pPr>
            <w:r>
              <w:rPr>
                <w:rFonts w:ascii="Arial" w:hAnsi="Arial" w:cs="Arial"/>
                <w:b/>
                <w:bCs/>
              </w:rPr>
              <w:t>Budgeting</w:t>
            </w:r>
          </w:p>
        </w:tc>
        <w:tc>
          <w:tcPr>
            <w:tcW w:w="3448" w:type="dxa"/>
          </w:tcPr>
          <w:p w14:paraId="49BF5CE4">
            <w:pPr>
              <w:spacing w:after="0" w:line="360" w:lineRule="auto"/>
              <w:jc w:val="center"/>
              <w:rPr>
                <w:rFonts w:ascii="Arial" w:hAnsi="Arial" w:cs="Arial"/>
              </w:rPr>
            </w:pPr>
            <w:r>
              <w:rPr>
                <w:rFonts w:ascii="Arial" w:hAnsi="Arial" w:cs="Arial"/>
                <w:b/>
                <w:bCs/>
              </w:rPr>
              <w:t>Marketing and Outreach</w:t>
            </w:r>
          </w:p>
        </w:tc>
        <w:tc>
          <w:tcPr>
            <w:tcW w:w="3117" w:type="dxa"/>
          </w:tcPr>
          <w:p w14:paraId="4D5B7935">
            <w:pPr>
              <w:spacing w:after="0" w:line="360" w:lineRule="auto"/>
              <w:jc w:val="center"/>
              <w:rPr>
                <w:rFonts w:ascii="Arial" w:hAnsi="Arial" w:cs="Arial"/>
              </w:rPr>
            </w:pPr>
            <w:r>
              <w:rPr>
                <w:rFonts w:ascii="Arial" w:hAnsi="Arial" w:cs="Arial"/>
                <w:b/>
                <w:bCs/>
              </w:rPr>
              <w:t>Logistics</w:t>
            </w:r>
          </w:p>
        </w:tc>
      </w:tr>
      <w:tr w14:paraId="5E84A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85" w:type="dxa"/>
          </w:tcPr>
          <w:p w14:paraId="3B3025DF">
            <w:pPr>
              <w:spacing w:after="0" w:line="360" w:lineRule="auto"/>
              <w:jc w:val="both"/>
              <w:rPr>
                <w:rFonts w:ascii="Arial" w:hAnsi="Arial" w:cs="Arial"/>
              </w:rPr>
            </w:pPr>
            <w:r>
              <w:rPr>
                <w:rFonts w:ascii="Segoe UI Emoji" w:hAnsi="Segoe UI Emoji" w:cs="Segoe UI Emoji"/>
              </w:rPr>
              <w:t>🔹</w:t>
            </w:r>
            <w:r>
              <w:rPr>
                <w:rFonts w:ascii="Arial" w:hAnsi="Arial" w:cs="Arial"/>
              </w:rPr>
              <w:t>securing grants</w:t>
            </w:r>
          </w:p>
          <w:p w14:paraId="7AA433D3">
            <w:pPr>
              <w:spacing w:after="0" w:line="360" w:lineRule="auto"/>
              <w:jc w:val="both"/>
              <w:rPr>
                <w:rFonts w:ascii="Arial" w:hAnsi="Arial" w:cs="Arial"/>
              </w:rPr>
            </w:pPr>
            <w:r>
              <w:rPr>
                <w:rFonts w:ascii="Segoe UI Emoji" w:hAnsi="Segoe UI Emoji" w:cs="Segoe UI Emoji"/>
              </w:rPr>
              <w:t>🔹</w:t>
            </w:r>
            <w:r>
              <w:rPr>
                <w:rFonts w:ascii="Arial" w:hAnsi="Arial" w:cs="Arial"/>
              </w:rPr>
              <w:t>ticket pricing strategies</w:t>
            </w:r>
          </w:p>
          <w:p w14:paraId="31BFFAB5">
            <w:pPr>
              <w:spacing w:after="0" w:line="360" w:lineRule="auto"/>
              <w:jc w:val="both"/>
              <w:rPr>
                <w:rFonts w:ascii="Arial" w:hAnsi="Arial" w:cs="Arial"/>
              </w:rPr>
            </w:pPr>
            <w:r>
              <w:rPr>
                <w:rFonts w:ascii="Segoe UI Emoji" w:hAnsi="Segoe UI Emoji" w:cs="Segoe UI Emoji"/>
              </w:rPr>
              <w:t>🔹</w:t>
            </w:r>
            <w:r>
              <w:rPr>
                <w:rFonts w:ascii="Arial" w:hAnsi="Arial" w:cs="Arial"/>
              </w:rPr>
              <w:t>cost projections.</w:t>
            </w:r>
          </w:p>
          <w:p w14:paraId="16BE69AD">
            <w:pPr>
              <w:spacing w:after="0" w:line="360" w:lineRule="auto"/>
              <w:jc w:val="both"/>
              <w:rPr>
                <w:rFonts w:ascii="Arial" w:hAnsi="Arial" w:cs="Arial"/>
              </w:rPr>
            </w:pPr>
          </w:p>
        </w:tc>
        <w:tc>
          <w:tcPr>
            <w:tcW w:w="3448" w:type="dxa"/>
          </w:tcPr>
          <w:p w14:paraId="695DB515">
            <w:pPr>
              <w:spacing w:after="0" w:line="360" w:lineRule="auto"/>
              <w:jc w:val="both"/>
              <w:rPr>
                <w:rFonts w:ascii="Arial" w:hAnsi="Arial" w:cs="Arial"/>
              </w:rPr>
            </w:pPr>
            <w:r>
              <w:rPr>
                <w:rFonts w:ascii="Segoe UI Emoji" w:hAnsi="Segoe UI Emoji" w:cs="Segoe UI Emoji"/>
              </w:rPr>
              <w:t>🔹</w:t>
            </w:r>
            <w:r>
              <w:rPr>
                <w:rFonts w:ascii="Arial" w:hAnsi="Arial" w:cs="Arial"/>
              </w:rPr>
              <w:t xml:space="preserve">Implementing a 7Ps marketing strategy </w:t>
            </w:r>
          </w:p>
          <w:p w14:paraId="0DA9BD4E">
            <w:pPr>
              <w:spacing w:after="0" w:line="360" w:lineRule="auto"/>
              <w:jc w:val="both"/>
              <w:rPr>
                <w:rFonts w:ascii="Arial" w:hAnsi="Arial" w:cs="Arial"/>
              </w:rPr>
            </w:pPr>
            <w:r>
              <w:rPr>
                <w:rFonts w:ascii="Arial" w:hAnsi="Arial" w:cs="Arial"/>
              </w:rPr>
              <w:t>(covered in detail later)</w:t>
            </w:r>
          </w:p>
          <w:p w14:paraId="000E60BE">
            <w:pPr>
              <w:spacing w:after="0" w:line="360" w:lineRule="auto"/>
              <w:jc w:val="both"/>
              <w:rPr>
                <w:rFonts w:ascii="Arial" w:hAnsi="Arial" w:cs="Arial"/>
              </w:rPr>
            </w:pPr>
            <w:r>
              <w:rPr>
                <w:rFonts w:ascii="Segoe UI Emoji" w:hAnsi="Segoe UI Emoji" w:cs="Segoe UI Emoji"/>
              </w:rPr>
              <w:t>🔹</w:t>
            </w:r>
            <w:r>
              <w:rPr>
                <w:rFonts w:ascii="Arial" w:hAnsi="Arial" w:cs="Arial"/>
              </w:rPr>
              <w:t xml:space="preserve">including influencer collaborations </w:t>
            </w:r>
          </w:p>
          <w:p w14:paraId="09FF615D">
            <w:pPr>
              <w:spacing w:after="0" w:line="360" w:lineRule="auto"/>
              <w:jc w:val="both"/>
              <w:rPr>
                <w:rFonts w:ascii="Arial" w:hAnsi="Arial" w:cs="Arial"/>
              </w:rPr>
            </w:pPr>
            <w:r>
              <w:rPr>
                <w:rFonts w:ascii="Segoe UI Emoji" w:hAnsi="Segoe UI Emoji" w:cs="Segoe UI Emoji"/>
              </w:rPr>
              <w:t>🔹</w:t>
            </w:r>
            <w:r>
              <w:rPr>
                <w:rFonts w:ascii="Arial" w:hAnsi="Arial" w:cs="Arial"/>
              </w:rPr>
              <w:t xml:space="preserve">ticket promotions </w:t>
            </w:r>
          </w:p>
          <w:p w14:paraId="21E8BE0F">
            <w:pPr>
              <w:spacing w:after="0" w:line="360" w:lineRule="auto"/>
              <w:jc w:val="both"/>
              <w:rPr>
                <w:rFonts w:ascii="Arial" w:hAnsi="Arial" w:cs="Arial"/>
              </w:rPr>
            </w:pPr>
            <w:r>
              <w:rPr>
                <w:rFonts w:ascii="Arial" w:hAnsi="Arial" w:cs="Arial"/>
              </w:rPr>
              <w:t>(Batat, 2022).</w:t>
            </w:r>
          </w:p>
        </w:tc>
        <w:tc>
          <w:tcPr>
            <w:tcW w:w="3117" w:type="dxa"/>
          </w:tcPr>
          <w:p w14:paraId="74E68973">
            <w:pPr>
              <w:spacing w:after="0" w:line="360" w:lineRule="auto"/>
              <w:jc w:val="both"/>
              <w:rPr>
                <w:rFonts w:ascii="Arial" w:hAnsi="Arial" w:cs="Arial"/>
              </w:rPr>
            </w:pPr>
            <w:r>
              <w:rPr>
                <w:rFonts w:ascii="Segoe UI Emoji" w:hAnsi="Segoe UI Emoji" w:cs="Segoe UI Emoji"/>
              </w:rPr>
              <w:t>🔹</w:t>
            </w:r>
            <w:r>
              <w:rPr>
                <w:rFonts w:ascii="Arial" w:hAnsi="Arial" w:cs="Arial"/>
              </w:rPr>
              <w:t xml:space="preserve">booking keynote speakers </w:t>
            </w:r>
            <w:r>
              <w:rPr>
                <w:rFonts w:ascii="Segoe UI Emoji" w:hAnsi="Segoe UI Emoji" w:cs="Segoe UI Emoji"/>
              </w:rPr>
              <w:t>🔹</w:t>
            </w:r>
            <w:r>
              <w:rPr>
                <w:rFonts w:ascii="Arial" w:hAnsi="Arial" w:cs="Arial"/>
              </w:rPr>
              <w:t xml:space="preserve">finalizing travel </w:t>
            </w:r>
            <w:r>
              <w:rPr>
                <w:rFonts w:ascii="Segoe UI Emoji" w:hAnsi="Segoe UI Emoji" w:cs="Segoe UI Emoji"/>
              </w:rPr>
              <w:t>🔹</w:t>
            </w:r>
            <w:r>
              <w:rPr>
                <w:rFonts w:ascii="Arial" w:hAnsi="Arial" w:cs="Arial"/>
              </w:rPr>
              <w:t xml:space="preserve">arrangements coordinating live-streaming platforms </w:t>
            </w:r>
          </w:p>
          <w:p w14:paraId="78CFFF5E">
            <w:pPr>
              <w:spacing w:after="0" w:line="360" w:lineRule="auto"/>
              <w:jc w:val="both"/>
              <w:rPr>
                <w:rFonts w:ascii="Arial" w:hAnsi="Arial" w:cs="Arial"/>
              </w:rPr>
            </w:pPr>
            <w:r>
              <w:rPr>
                <w:rFonts w:ascii="Arial" w:hAnsi="Arial" w:cs="Arial"/>
              </w:rPr>
              <w:t>(Reid and Ritchie, 2011).</w:t>
            </w:r>
          </w:p>
        </w:tc>
      </w:tr>
    </w:tbl>
    <w:p w14:paraId="20F6CB31">
      <w:pPr>
        <w:spacing w:line="360" w:lineRule="auto"/>
        <w:jc w:val="both"/>
        <w:rPr>
          <w:rFonts w:ascii="Arial" w:hAnsi="Arial" w:cs="Arial"/>
        </w:rPr>
      </w:pPr>
    </w:p>
    <w:p w14:paraId="2F25BA39">
      <w:pPr>
        <w:spacing w:line="360" w:lineRule="auto"/>
        <w:jc w:val="both"/>
        <w:rPr>
          <w:rFonts w:ascii="Arial" w:hAnsi="Arial" w:cs="Arial"/>
        </w:rPr>
      </w:pPr>
      <w:r>
        <w:rPr>
          <w:rFonts w:ascii="Arial" w:hAnsi="Arial" w:cs="Arial"/>
        </w:rPr>
        <w:t>Risk management planning is also a component of this phase. Emergency preparedness is particularly essential when dealing with large-scale events, as evidenced by research on event failures (Makda, Bayat and Ukpere, 2012). As a result, the planning phase incorporates fallback plans, including a secondary venue (CTICC) and supplementary virtual participation options.</w:t>
      </w:r>
    </w:p>
    <w:p w14:paraId="468805C9">
      <w:pPr>
        <w:pStyle w:val="11"/>
        <w:numPr>
          <w:ilvl w:val="0"/>
          <w:numId w:val="2"/>
        </w:numPr>
        <w:spacing w:line="360" w:lineRule="auto"/>
        <w:jc w:val="both"/>
        <w:rPr>
          <w:rFonts w:ascii="Arial" w:hAnsi="Arial" w:cs="Arial"/>
          <w:b/>
          <w:bCs/>
        </w:rPr>
      </w:pPr>
      <w:r>
        <w:rPr>
          <w:rFonts w:ascii="Arial" w:hAnsi="Arial" w:cs="Arial"/>
          <w:b/>
          <w:bCs/>
        </w:rPr>
        <w:t>Implementation (September 2025 - Lead-up to Event Days)</w:t>
      </w:r>
    </w:p>
    <w:p w14:paraId="6B52CD74">
      <w:pPr>
        <w:spacing w:line="360" w:lineRule="auto"/>
        <w:jc w:val="both"/>
        <w:rPr>
          <w:rFonts w:ascii="Arial" w:hAnsi="Arial" w:cs="Arial"/>
        </w:rPr>
      </w:pPr>
      <w:r>
        <w:rPr>
          <w:rFonts w:ascii="Arial" w:hAnsi="Arial" w:cs="Arial"/>
        </w:rPr>
        <w:t>As the event approaches, final logistical checks are handled:</w:t>
      </w:r>
    </w:p>
    <w:p w14:paraId="4B1BBE1F">
      <w:pPr>
        <w:spacing w:line="360" w:lineRule="auto"/>
        <w:jc w:val="both"/>
        <w:rPr>
          <w:rFonts w:ascii="Arial" w:hAnsi="Arial" w:cs="Arial"/>
        </w:rPr>
      </w:pPr>
      <w:r>
        <w:rPr>
          <w:rFonts w:ascii="Segoe UI Emoji" w:hAnsi="Segoe UI Emoji" w:cs="Segoe UI Emoji"/>
        </w:rPr>
        <w:t>🔹</w:t>
      </w:r>
      <w:r>
        <w:rPr>
          <w:rFonts w:ascii="Arial" w:hAnsi="Arial" w:cs="Arial"/>
        </w:rPr>
        <w:t>Testing digital check-in systems (Cvent, 2024).</w:t>
      </w:r>
    </w:p>
    <w:p w14:paraId="4D345182">
      <w:pPr>
        <w:spacing w:line="360" w:lineRule="auto"/>
        <w:jc w:val="both"/>
        <w:rPr>
          <w:rFonts w:ascii="Arial" w:hAnsi="Arial" w:cs="Arial"/>
        </w:rPr>
      </w:pPr>
      <w:r>
        <w:rPr>
          <w:rFonts w:ascii="Segoe UI Emoji" w:hAnsi="Segoe UI Emoji" w:cs="Segoe UI Emoji"/>
        </w:rPr>
        <w:t>🔹</w:t>
      </w:r>
      <w:r>
        <w:rPr>
          <w:rFonts w:ascii="Arial" w:hAnsi="Arial" w:cs="Arial"/>
        </w:rPr>
        <w:t>Ensuring health and safety compliance (Nadda et al., 2020).</w:t>
      </w:r>
    </w:p>
    <w:p w14:paraId="6B27D65E">
      <w:pPr>
        <w:spacing w:line="360" w:lineRule="auto"/>
        <w:jc w:val="both"/>
        <w:rPr>
          <w:rFonts w:ascii="Arial" w:hAnsi="Arial" w:cs="Arial"/>
        </w:rPr>
      </w:pPr>
      <w:r>
        <w:rPr>
          <w:rFonts w:ascii="Segoe UI Emoji" w:hAnsi="Segoe UI Emoji" w:cs="Segoe UI Emoji"/>
        </w:rPr>
        <w:t>🔹</w:t>
      </w:r>
      <w:r>
        <w:rPr>
          <w:rFonts w:ascii="Arial" w:hAnsi="Arial" w:cs="Arial"/>
        </w:rPr>
        <w:t>Conducting final marketing pushes to drive last-minute ticket sales (Wirantari et al., 2022).</w:t>
      </w:r>
    </w:p>
    <w:p w14:paraId="499FEBD5">
      <w:pPr>
        <w:spacing w:line="360" w:lineRule="auto"/>
        <w:jc w:val="both"/>
        <w:rPr>
          <w:rFonts w:ascii="Arial" w:hAnsi="Arial" w:cs="Arial"/>
        </w:rPr>
      </w:pPr>
      <w:r>
        <w:rPr>
          <w:rFonts w:ascii="Arial" w:hAnsi="Arial" w:cs="Arial"/>
        </w:rPr>
        <w:t>Contingency plans, including backup speakers and pre-recorded content for live streaming, are implemented by event coordinators in response to technical malfunctions or last-minute cancellations (Moyle et al., 2014).</w:t>
      </w:r>
    </w:p>
    <w:p w14:paraId="2E8B91AB">
      <w:pPr>
        <w:pStyle w:val="11"/>
        <w:numPr>
          <w:ilvl w:val="0"/>
          <w:numId w:val="2"/>
        </w:numPr>
        <w:spacing w:line="360" w:lineRule="auto"/>
        <w:jc w:val="both"/>
        <w:rPr>
          <w:rFonts w:ascii="Arial" w:hAnsi="Arial" w:cs="Arial"/>
          <w:b/>
          <w:bCs/>
        </w:rPr>
      </w:pPr>
      <w:r>
        <w:rPr>
          <w:rFonts w:ascii="Arial" w:hAnsi="Arial" w:cs="Arial"/>
          <w:b/>
          <w:bCs/>
        </w:rPr>
        <w:t>Event Days (September 15–16, 2025)</w:t>
      </w:r>
    </w:p>
    <w:p w14:paraId="6923F739">
      <w:pPr>
        <w:spacing w:line="360" w:lineRule="auto"/>
        <w:jc w:val="both"/>
        <w:rPr>
          <w:rFonts w:ascii="Arial" w:hAnsi="Arial" w:cs="Arial"/>
        </w:rPr>
      </w:pPr>
      <w:r>
        <w:rPr>
          <w:rFonts w:ascii="Arial" w:hAnsi="Arial" w:cs="Arial"/>
        </w:rPr>
        <w:t xml:space="preserve">Over two days, the festival will bring together industry professionals, activists, and storytellers for interactive storytelling, panel discussions, and seminars. Service Scapes Theory (expanded in the Appendix) is used to meticulously curate the attendee experience to ensure that the venue's design facilitates inclusivity, networking, and interaction (Rice and Mündel, 2019). </w:t>
      </w:r>
      <w:r>
        <w:rPr>
          <w:rFonts w:ascii="Arial" w:hAnsi="Arial" w:cs="Arial"/>
        </w:rPr>
        <w:br w:type="textWrapping"/>
      </w:r>
      <w:r>
        <w:rPr>
          <w:rFonts w:ascii="Arial" w:hAnsi="Arial" w:cs="Arial"/>
        </w:rPr>
        <w:t>The hybrid model guarantees that the event is globally accessible by providing online participants access to exclusive digital networking spaces and real-time discussions (Akyar et al., 2020).</w:t>
      </w:r>
    </w:p>
    <w:p w14:paraId="1210A87C">
      <w:pPr>
        <w:pStyle w:val="11"/>
        <w:numPr>
          <w:ilvl w:val="0"/>
          <w:numId w:val="2"/>
        </w:numPr>
        <w:spacing w:line="360" w:lineRule="auto"/>
        <w:jc w:val="both"/>
        <w:rPr>
          <w:rFonts w:ascii="Arial" w:hAnsi="Arial" w:cs="Arial"/>
          <w:b/>
          <w:bCs/>
        </w:rPr>
      </w:pPr>
      <w:r>
        <w:rPr>
          <w:rFonts w:ascii="Arial" w:hAnsi="Arial" w:cs="Arial"/>
          <w:b/>
          <w:bCs/>
        </w:rPr>
        <w:t>Closure and Evaluation (October 2025)</w:t>
      </w:r>
    </w:p>
    <w:p w14:paraId="241C5D6A">
      <w:pPr>
        <w:spacing w:line="360" w:lineRule="auto"/>
        <w:jc w:val="both"/>
        <w:rPr>
          <w:rFonts w:ascii="Arial" w:hAnsi="Arial" w:cs="Arial"/>
        </w:rPr>
      </w:pPr>
      <w:r>
        <w:rPr>
          <w:rFonts w:ascii="Arial" w:hAnsi="Arial" w:cs="Arial"/>
        </w:rPr>
        <w:t>Financial and operational evaluations are implemented following the completion of the event:</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16"/>
        <w:gridCol w:w="3117"/>
        <w:gridCol w:w="3117"/>
      </w:tblGrid>
      <w:tr w14:paraId="418C7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6" w:type="dxa"/>
          </w:tcPr>
          <w:p w14:paraId="53944EAD">
            <w:pPr>
              <w:spacing w:after="0" w:line="360" w:lineRule="auto"/>
              <w:jc w:val="center"/>
              <w:rPr>
                <w:rFonts w:ascii="Arial" w:hAnsi="Arial" w:cs="Arial"/>
              </w:rPr>
            </w:pPr>
            <w:r>
              <w:rPr>
                <w:rFonts w:ascii="Arial" w:hAnsi="Arial" w:cs="Arial"/>
                <w:b/>
                <w:bCs/>
              </w:rPr>
              <w:t>Financial performance</w:t>
            </w:r>
          </w:p>
        </w:tc>
        <w:tc>
          <w:tcPr>
            <w:tcW w:w="3117" w:type="dxa"/>
          </w:tcPr>
          <w:p w14:paraId="7B9B30B0">
            <w:pPr>
              <w:spacing w:after="0" w:line="360" w:lineRule="auto"/>
              <w:jc w:val="center"/>
              <w:rPr>
                <w:rFonts w:ascii="Arial" w:hAnsi="Arial" w:cs="Arial"/>
              </w:rPr>
            </w:pPr>
            <w:r>
              <w:rPr>
                <w:rFonts w:ascii="Arial" w:hAnsi="Arial" w:cs="Arial"/>
                <w:b/>
                <w:bCs/>
              </w:rPr>
              <w:t>Attendee feedback</w:t>
            </w:r>
          </w:p>
        </w:tc>
        <w:tc>
          <w:tcPr>
            <w:tcW w:w="3117" w:type="dxa"/>
          </w:tcPr>
          <w:p w14:paraId="0BA7DB15">
            <w:pPr>
              <w:spacing w:after="0" w:line="360" w:lineRule="auto"/>
              <w:jc w:val="center"/>
              <w:rPr>
                <w:rFonts w:ascii="Arial" w:hAnsi="Arial" w:cs="Arial"/>
              </w:rPr>
            </w:pPr>
            <w:r>
              <w:rPr>
                <w:rFonts w:ascii="Arial" w:hAnsi="Arial" w:cs="Arial"/>
                <w:b/>
                <w:bCs/>
              </w:rPr>
              <w:t>Sponsor and media analysis</w:t>
            </w:r>
          </w:p>
        </w:tc>
      </w:tr>
      <w:tr w14:paraId="331FF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6" w:type="dxa"/>
          </w:tcPr>
          <w:p w14:paraId="097FCF05">
            <w:pPr>
              <w:spacing w:after="0" w:line="360" w:lineRule="auto"/>
              <w:jc w:val="both"/>
              <w:rPr>
                <w:rFonts w:ascii="Arial" w:hAnsi="Arial" w:cs="Arial"/>
              </w:rPr>
            </w:pPr>
            <w:r>
              <w:rPr>
                <w:rFonts w:ascii="Arial" w:hAnsi="Arial" w:cs="Arial"/>
              </w:rPr>
              <w:t>Did the event meet its £50,000 profit target?</w:t>
            </w:r>
          </w:p>
          <w:p w14:paraId="328F4205">
            <w:pPr>
              <w:spacing w:after="0" w:line="360" w:lineRule="auto"/>
              <w:jc w:val="both"/>
              <w:rPr>
                <w:rFonts w:ascii="Arial" w:hAnsi="Arial" w:cs="Arial"/>
              </w:rPr>
            </w:pPr>
          </w:p>
          <w:p w14:paraId="51FD160B">
            <w:pPr>
              <w:spacing w:after="0" w:line="360" w:lineRule="auto"/>
              <w:jc w:val="both"/>
              <w:rPr>
                <w:rFonts w:ascii="Arial" w:hAnsi="Arial" w:cs="Arial"/>
              </w:rPr>
            </w:pPr>
            <w:r>
              <w:rPr>
                <w:rFonts w:ascii="Arial" w:hAnsi="Arial" w:cs="Arial"/>
              </w:rPr>
              <w:t>(Wrathall and Steriopoulos, 2022).</w:t>
            </w:r>
          </w:p>
        </w:tc>
        <w:tc>
          <w:tcPr>
            <w:tcW w:w="3117" w:type="dxa"/>
          </w:tcPr>
          <w:p w14:paraId="37279B27">
            <w:pPr>
              <w:spacing w:after="0" w:line="360" w:lineRule="auto"/>
              <w:jc w:val="both"/>
              <w:rPr>
                <w:rFonts w:ascii="Arial" w:hAnsi="Arial" w:cs="Arial"/>
              </w:rPr>
            </w:pPr>
            <w:r>
              <w:rPr>
                <w:rFonts w:ascii="Arial" w:hAnsi="Arial" w:cs="Arial"/>
              </w:rPr>
              <w:t>Surveys and engagement analytics measure satisfaction</w:t>
            </w:r>
          </w:p>
          <w:p w14:paraId="5F83445F">
            <w:pPr>
              <w:spacing w:after="0" w:line="360" w:lineRule="auto"/>
              <w:jc w:val="both"/>
              <w:rPr>
                <w:rFonts w:ascii="Arial" w:hAnsi="Arial" w:cs="Arial"/>
              </w:rPr>
            </w:pPr>
          </w:p>
          <w:p w14:paraId="1A24B7C1">
            <w:pPr>
              <w:spacing w:after="0" w:line="360" w:lineRule="auto"/>
              <w:jc w:val="both"/>
              <w:rPr>
                <w:rFonts w:ascii="Arial" w:hAnsi="Arial" w:cs="Arial"/>
              </w:rPr>
            </w:pPr>
            <w:r>
              <w:rPr>
                <w:rFonts w:ascii="Arial" w:hAnsi="Arial" w:cs="Arial"/>
              </w:rPr>
              <w:t>(Michopoulou et al., 2020).</w:t>
            </w:r>
          </w:p>
        </w:tc>
        <w:tc>
          <w:tcPr>
            <w:tcW w:w="3117" w:type="dxa"/>
          </w:tcPr>
          <w:p w14:paraId="68B1710D">
            <w:pPr>
              <w:spacing w:after="0" w:line="360" w:lineRule="auto"/>
              <w:jc w:val="both"/>
              <w:rPr>
                <w:rFonts w:ascii="Arial" w:hAnsi="Arial" w:cs="Arial"/>
              </w:rPr>
            </w:pPr>
            <w:r>
              <w:rPr>
                <w:rFonts w:ascii="Arial" w:hAnsi="Arial" w:cs="Arial"/>
              </w:rPr>
              <w:t>Reviewing press coverage and brand impact</w:t>
            </w:r>
          </w:p>
          <w:p w14:paraId="26CDE0DD">
            <w:pPr>
              <w:spacing w:after="0" w:line="360" w:lineRule="auto"/>
              <w:jc w:val="both"/>
              <w:rPr>
                <w:rFonts w:ascii="Arial" w:hAnsi="Arial" w:cs="Arial"/>
              </w:rPr>
            </w:pPr>
          </w:p>
          <w:p w14:paraId="54C8B23D">
            <w:pPr>
              <w:spacing w:after="0" w:line="360" w:lineRule="auto"/>
              <w:jc w:val="both"/>
              <w:rPr>
                <w:rFonts w:ascii="Arial" w:hAnsi="Arial" w:cs="Arial"/>
              </w:rPr>
            </w:pPr>
            <w:r>
              <w:rPr>
                <w:rFonts w:ascii="Arial" w:hAnsi="Arial" w:cs="Arial"/>
              </w:rPr>
              <w:t>(Lacey et al., 2010).</w:t>
            </w:r>
          </w:p>
          <w:p w14:paraId="20CEA86C">
            <w:pPr>
              <w:spacing w:after="0" w:line="360" w:lineRule="auto"/>
              <w:jc w:val="both"/>
              <w:rPr>
                <w:rFonts w:ascii="Arial" w:hAnsi="Arial" w:cs="Arial"/>
              </w:rPr>
            </w:pPr>
          </w:p>
        </w:tc>
      </w:tr>
    </w:tbl>
    <w:p w14:paraId="412F6DCE">
      <w:pPr>
        <w:spacing w:line="360" w:lineRule="auto"/>
        <w:jc w:val="both"/>
        <w:rPr>
          <w:rFonts w:ascii="Arial" w:hAnsi="Arial" w:cs="Arial"/>
        </w:rPr>
      </w:pPr>
    </w:p>
    <w:p w14:paraId="1EB9D024">
      <w:pPr>
        <w:spacing w:line="360" w:lineRule="auto"/>
        <w:jc w:val="both"/>
        <w:rPr>
          <w:rFonts w:ascii="Arial" w:hAnsi="Arial" w:cs="Arial"/>
        </w:rPr>
      </w:pPr>
      <w:r>
        <w:rPr>
          <w:rFonts w:ascii="Arial" w:hAnsi="Arial" w:cs="Arial"/>
        </w:rPr>
        <w:t>A final impact report is produced, which evaluates the festival's success in achieving its DEI objectives and sets the groundwork for potential future editions.</w:t>
      </w:r>
    </w:p>
    <w:p w14:paraId="35D29AEF">
      <w:pPr>
        <w:spacing w:line="360" w:lineRule="auto"/>
        <w:jc w:val="both"/>
        <w:rPr>
          <w:rFonts w:ascii="Arial" w:hAnsi="Arial" w:cs="Arial"/>
        </w:rPr>
      </w:pPr>
      <w:r>
        <w:rPr>
          <w:rFonts w:ascii="Arial" w:hAnsi="Arial" w:cs="Arial"/>
        </w:rPr>
        <w:t>This event is strategically structured following the Event Cycle, which includes planning, marketing, risk management, and evaluation. The festival transforms from a mere gathering to a rigorously planned platform for change by incorporating the EMBOK framework into each phase.</w:t>
      </w:r>
    </w:p>
    <w:p w14:paraId="673120D4">
      <w:pPr>
        <w:spacing w:line="360" w:lineRule="auto"/>
        <w:jc w:val="both"/>
        <w:rPr>
          <w:rFonts w:ascii="Arial" w:hAnsi="Arial" w:cs="Arial"/>
        </w:rPr>
      </w:pPr>
    </w:p>
    <w:p w14:paraId="62C55807">
      <w:pPr>
        <w:spacing w:line="360" w:lineRule="auto"/>
        <w:jc w:val="both"/>
        <w:rPr>
          <w:rFonts w:ascii="Arial" w:hAnsi="Arial" w:cs="Arial"/>
          <w:b/>
          <w:bCs/>
        </w:rPr>
      </w:pPr>
      <w:r>
        <w:rPr>
          <w:rFonts w:ascii="Arial" w:hAnsi="Arial" w:cs="Arial"/>
          <w:b/>
          <w:bCs/>
        </w:rPr>
        <w:t>Event Concept and Experience Design</w:t>
      </w:r>
    </w:p>
    <w:p w14:paraId="47CEFDC7">
      <w:pPr>
        <w:pStyle w:val="11"/>
        <w:numPr>
          <w:ilvl w:val="0"/>
          <w:numId w:val="3"/>
        </w:numPr>
        <w:spacing w:line="360" w:lineRule="auto"/>
        <w:jc w:val="both"/>
        <w:rPr>
          <w:rFonts w:ascii="Arial" w:hAnsi="Arial" w:cs="Arial"/>
          <w:b/>
          <w:bCs/>
        </w:rPr>
      </w:pPr>
      <w:r>
        <w:rPr>
          <w:rFonts w:ascii="Arial" w:hAnsi="Arial" w:cs="Arial"/>
          <w:b/>
          <w:bCs/>
        </w:rPr>
        <w:t>Thematic Considerations</w:t>
      </w:r>
    </w:p>
    <w:p w14:paraId="7B6B5731">
      <w:pPr>
        <w:spacing w:line="360" w:lineRule="auto"/>
        <w:jc w:val="both"/>
        <w:rPr>
          <w:rFonts w:ascii="Arial" w:hAnsi="Arial" w:cs="Arial"/>
        </w:rPr>
      </w:pPr>
      <w:r>
        <w:rPr>
          <w:rFonts w:ascii="Arial" w:hAnsi="Arial" w:cs="Arial"/>
        </w:rPr>
        <mc:AlternateContent>
          <mc:Choice Requires="wpg">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1075690" cy="1771015"/>
                <wp:effectExtent l="0" t="0" r="0" b="12065"/>
                <wp:wrapSquare wrapText="bothSides"/>
                <wp:docPr id="14" name="Google Shape;1557;p65"/>
                <wp:cNvGraphicFramePr/>
                <a:graphic xmlns:a="http://schemas.openxmlformats.org/drawingml/2006/main">
                  <a:graphicData uri="http://schemas.microsoft.com/office/word/2010/wordprocessingGroup">
                    <wpg:wgp>
                      <wpg:cNvGrpSpPr/>
                      <wpg:grpSpPr>
                        <a:xfrm>
                          <a:off x="0" y="0"/>
                          <a:ext cx="1075932" cy="1770942"/>
                          <a:chOff x="0" y="0"/>
                          <a:chExt cx="1075932" cy="1770943"/>
                        </a:xfrm>
                      </wpg:grpSpPr>
                      <wps:wsp>
                        <wps:cNvPr id="1310380427" name="Google Shape;1558;p65"/>
                        <wps:cNvSpPr/>
                        <wps:spPr>
                          <a:xfrm>
                            <a:off x="403181" y="16683"/>
                            <a:ext cx="153774" cy="42455"/>
                          </a:xfrm>
                          <a:custGeom>
                            <a:avLst/>
                            <a:gdLst/>
                            <a:ahLst/>
                            <a:cxnLst/>
                            <a:rect l="l" t="t" r="r" b="b"/>
                            <a:pathLst>
                              <a:path w="7494" h="2069" extrusionOk="0">
                                <a:moveTo>
                                  <a:pt x="1" y="0"/>
                                </a:moveTo>
                                <a:cubicBezTo>
                                  <a:pt x="478" y="491"/>
                                  <a:pt x="1019" y="903"/>
                                  <a:pt x="1613" y="1226"/>
                                </a:cubicBezTo>
                                <a:cubicBezTo>
                                  <a:pt x="2623" y="1780"/>
                                  <a:pt x="3744" y="2069"/>
                                  <a:pt x="4889" y="2069"/>
                                </a:cubicBezTo>
                                <a:cubicBezTo>
                                  <a:pt x="5103" y="2069"/>
                                  <a:pt x="5318" y="2058"/>
                                  <a:pt x="5533" y="2038"/>
                                </a:cubicBezTo>
                                <a:cubicBezTo>
                                  <a:pt x="6204" y="1987"/>
                                  <a:pt x="6862" y="1832"/>
                                  <a:pt x="7494" y="1574"/>
                                </a:cubicBezTo>
                                <a:lnTo>
                                  <a:pt x="7494" y="1574"/>
                                </a:lnTo>
                                <a:cubicBezTo>
                                  <a:pt x="6862" y="1806"/>
                                  <a:pt x="6191" y="1935"/>
                                  <a:pt x="5520" y="1974"/>
                                </a:cubicBezTo>
                                <a:cubicBezTo>
                                  <a:pt x="5340" y="1988"/>
                                  <a:pt x="5160" y="1994"/>
                                  <a:pt x="4981" y="1994"/>
                                </a:cubicBezTo>
                                <a:cubicBezTo>
                                  <a:pt x="3822" y="1994"/>
                                  <a:pt x="2677" y="1708"/>
                                  <a:pt x="1638" y="1161"/>
                                </a:cubicBezTo>
                                <a:cubicBezTo>
                                  <a:pt x="1045" y="852"/>
                                  <a:pt x="491" y="465"/>
                                  <a:pt x="1" y="0"/>
                                </a:cubicBezTo>
                                <a:close/>
                              </a:path>
                            </a:pathLst>
                          </a:custGeom>
                          <a:solidFill>
                            <a:schemeClr val="lt1"/>
                          </a:solidFill>
                          <a:ln>
                            <a:noFill/>
                          </a:ln>
                        </wps:spPr>
                        <wps:bodyPr spcFirstLastPara="1" wrap="square" lIns="91425" tIns="91425" rIns="91425" bIns="91425" anchor="ctr" anchorCtr="0">
                          <a:noAutofit/>
                        </wps:bodyPr>
                      </wps:wsp>
                      <wps:wsp>
                        <wps:cNvPr id="523721114" name="Google Shape;1559;p65"/>
                        <wps:cNvSpPr/>
                        <wps:spPr>
                          <a:xfrm>
                            <a:off x="81140" y="337938"/>
                            <a:ext cx="904813" cy="782804"/>
                          </a:xfrm>
                          <a:custGeom>
                            <a:avLst/>
                            <a:gdLst/>
                            <a:ahLst/>
                            <a:cxnLst/>
                            <a:rect l="l" t="t" r="r" b="b"/>
                            <a:pathLst>
                              <a:path w="44095" h="38149" extrusionOk="0">
                                <a:moveTo>
                                  <a:pt x="14419" y="1"/>
                                </a:moveTo>
                                <a:lnTo>
                                  <a:pt x="9273" y="362"/>
                                </a:lnTo>
                                <a:cubicBezTo>
                                  <a:pt x="9273" y="362"/>
                                  <a:pt x="3109" y="2322"/>
                                  <a:pt x="1561" y="3883"/>
                                </a:cubicBezTo>
                                <a:cubicBezTo>
                                  <a:pt x="1" y="5443"/>
                                  <a:pt x="336" y="11995"/>
                                  <a:pt x="542" y="14084"/>
                                </a:cubicBezTo>
                                <a:cubicBezTo>
                                  <a:pt x="736" y="16173"/>
                                  <a:pt x="2077" y="20055"/>
                                  <a:pt x="2077" y="20055"/>
                                </a:cubicBezTo>
                                <a:lnTo>
                                  <a:pt x="865" y="38149"/>
                                </a:lnTo>
                                <a:lnTo>
                                  <a:pt x="29160" y="38149"/>
                                </a:lnTo>
                                <a:lnTo>
                                  <a:pt x="29160" y="17037"/>
                                </a:lnTo>
                                <a:lnTo>
                                  <a:pt x="32345" y="19591"/>
                                </a:lnTo>
                                <a:lnTo>
                                  <a:pt x="44094" y="7416"/>
                                </a:lnTo>
                                <a:lnTo>
                                  <a:pt x="39516" y="2670"/>
                                </a:lnTo>
                                <a:lnTo>
                                  <a:pt x="29856" y="11943"/>
                                </a:lnTo>
                                <a:cubicBezTo>
                                  <a:pt x="29856" y="11943"/>
                                  <a:pt x="23950" y="4270"/>
                                  <a:pt x="22789" y="3277"/>
                                </a:cubicBezTo>
                                <a:cubicBezTo>
                                  <a:pt x="21628" y="2296"/>
                                  <a:pt x="14419" y="1"/>
                                  <a:pt x="14419" y="1"/>
                                </a:cubicBezTo>
                                <a:close/>
                              </a:path>
                            </a:pathLst>
                          </a:custGeom>
                          <a:solidFill>
                            <a:schemeClr val="dk1"/>
                          </a:solidFill>
                          <a:ln>
                            <a:noFill/>
                          </a:ln>
                        </wps:spPr>
                        <wps:bodyPr spcFirstLastPara="1" wrap="square" lIns="91425" tIns="91425" rIns="91425" bIns="91425" anchor="ctr" anchorCtr="0">
                          <a:noAutofit/>
                        </wps:bodyPr>
                      </wps:wsp>
                      <wps:wsp>
                        <wps:cNvPr id="436063775" name="Google Shape;1560;p65"/>
                        <wps:cNvSpPr/>
                        <wps:spPr>
                          <a:xfrm>
                            <a:off x="891973" y="221058"/>
                            <a:ext cx="183959" cy="230969"/>
                          </a:xfrm>
                          <a:custGeom>
                            <a:avLst/>
                            <a:gdLst/>
                            <a:ahLst/>
                            <a:cxnLst/>
                            <a:rect l="l" t="t" r="r" b="b"/>
                            <a:pathLst>
                              <a:path w="8965" h="11256" extrusionOk="0">
                                <a:moveTo>
                                  <a:pt x="8323" y="1"/>
                                </a:moveTo>
                                <a:cubicBezTo>
                                  <a:pt x="7600" y="1"/>
                                  <a:pt x="3793" y="4730"/>
                                  <a:pt x="3793" y="4730"/>
                                </a:cubicBezTo>
                                <a:cubicBezTo>
                                  <a:pt x="3793" y="4730"/>
                                  <a:pt x="2606" y="5065"/>
                                  <a:pt x="2142" y="5323"/>
                                </a:cubicBezTo>
                                <a:cubicBezTo>
                                  <a:pt x="1665" y="5568"/>
                                  <a:pt x="1" y="8366"/>
                                  <a:pt x="1" y="8366"/>
                                </a:cubicBezTo>
                                <a:lnTo>
                                  <a:pt x="2787" y="11255"/>
                                </a:lnTo>
                                <a:lnTo>
                                  <a:pt x="3986" y="9979"/>
                                </a:lnTo>
                                <a:cubicBezTo>
                                  <a:pt x="3986" y="9979"/>
                                  <a:pt x="4022" y="9980"/>
                                  <a:pt x="4086" y="9980"/>
                                </a:cubicBezTo>
                                <a:cubicBezTo>
                                  <a:pt x="4612" y="9980"/>
                                  <a:pt x="7057" y="9858"/>
                                  <a:pt x="7907" y="7618"/>
                                </a:cubicBezTo>
                                <a:cubicBezTo>
                                  <a:pt x="8435" y="6226"/>
                                  <a:pt x="5701" y="4369"/>
                                  <a:pt x="5701" y="4369"/>
                                </a:cubicBezTo>
                                <a:cubicBezTo>
                                  <a:pt x="5701" y="4369"/>
                                  <a:pt x="8964" y="255"/>
                                  <a:pt x="8371" y="9"/>
                                </a:cubicBezTo>
                                <a:cubicBezTo>
                                  <a:pt x="8357" y="4"/>
                                  <a:pt x="8341" y="1"/>
                                  <a:pt x="8323" y="1"/>
                                </a:cubicBezTo>
                                <a:close/>
                              </a:path>
                            </a:pathLst>
                          </a:custGeom>
                          <a:solidFill>
                            <a:srgbClr val="F19F99"/>
                          </a:solidFill>
                          <a:ln>
                            <a:noFill/>
                          </a:ln>
                        </wps:spPr>
                        <wps:bodyPr spcFirstLastPara="1" wrap="square" lIns="91425" tIns="91425" rIns="91425" bIns="91425" anchor="ctr" anchorCtr="0">
                          <a:noAutofit/>
                        </wps:bodyPr>
                      </wps:wsp>
                      <wps:wsp>
                        <wps:cNvPr id="2039155746" name="Google Shape;1561;p65"/>
                        <wps:cNvSpPr/>
                        <wps:spPr>
                          <a:xfrm>
                            <a:off x="271419" y="345346"/>
                            <a:ext cx="150327" cy="201687"/>
                          </a:xfrm>
                          <a:custGeom>
                            <a:avLst/>
                            <a:gdLst/>
                            <a:ahLst/>
                            <a:cxnLst/>
                            <a:rect l="l" t="t" r="r" b="b"/>
                            <a:pathLst>
                              <a:path w="7326" h="9829" extrusionOk="0">
                                <a:moveTo>
                                  <a:pt x="0" y="1"/>
                                </a:moveTo>
                                <a:lnTo>
                                  <a:pt x="3121" y="9828"/>
                                </a:lnTo>
                                <a:lnTo>
                                  <a:pt x="7326" y="9557"/>
                                </a:lnTo>
                                <a:lnTo>
                                  <a:pt x="5314" y="272"/>
                                </a:lnTo>
                                <a:lnTo>
                                  <a:pt x="0" y="1"/>
                                </a:lnTo>
                                <a:close/>
                              </a:path>
                            </a:pathLst>
                          </a:custGeom>
                          <a:solidFill>
                            <a:schemeClr val="accent4"/>
                          </a:solidFill>
                          <a:ln>
                            <a:noFill/>
                          </a:ln>
                        </wps:spPr>
                        <wps:bodyPr spcFirstLastPara="1" wrap="square" lIns="91425" tIns="91425" rIns="91425" bIns="91425" anchor="ctr" anchorCtr="0">
                          <a:noAutofit/>
                        </wps:bodyPr>
                      </wps:wsp>
                      <wps:wsp>
                        <wps:cNvPr id="902154140" name="Google Shape;1562;p65"/>
                        <wps:cNvSpPr/>
                        <wps:spPr>
                          <a:xfrm>
                            <a:off x="207808" y="40506"/>
                            <a:ext cx="226639" cy="360981"/>
                          </a:xfrm>
                          <a:custGeom>
                            <a:avLst/>
                            <a:gdLst/>
                            <a:ahLst/>
                            <a:cxnLst/>
                            <a:rect l="l" t="t" r="r" b="b"/>
                            <a:pathLst>
                              <a:path w="11045" h="17592" extrusionOk="0">
                                <a:moveTo>
                                  <a:pt x="2778" y="0"/>
                                </a:moveTo>
                                <a:cubicBezTo>
                                  <a:pt x="2778" y="0"/>
                                  <a:pt x="1727" y="4747"/>
                                  <a:pt x="1357" y="4747"/>
                                </a:cubicBezTo>
                                <a:cubicBezTo>
                                  <a:pt x="1353" y="4747"/>
                                  <a:pt x="1350" y="4747"/>
                                  <a:pt x="1346" y="4746"/>
                                </a:cubicBezTo>
                                <a:cubicBezTo>
                                  <a:pt x="1266" y="4725"/>
                                  <a:pt x="1147" y="4702"/>
                                  <a:pt x="1015" y="4702"/>
                                </a:cubicBezTo>
                                <a:cubicBezTo>
                                  <a:pt x="578" y="4702"/>
                                  <a:pt x="1" y="4955"/>
                                  <a:pt x="199" y="6371"/>
                                </a:cubicBezTo>
                                <a:cubicBezTo>
                                  <a:pt x="422" y="7861"/>
                                  <a:pt x="1410" y="8021"/>
                                  <a:pt x="1822" y="8021"/>
                                </a:cubicBezTo>
                                <a:cubicBezTo>
                                  <a:pt x="1935" y="8021"/>
                                  <a:pt x="2004" y="8009"/>
                                  <a:pt x="2004" y="8009"/>
                                </a:cubicBezTo>
                                <a:lnTo>
                                  <a:pt x="3384" y="10395"/>
                                </a:lnTo>
                                <a:lnTo>
                                  <a:pt x="3100" y="14857"/>
                                </a:lnTo>
                                <a:cubicBezTo>
                                  <a:pt x="3100" y="14857"/>
                                  <a:pt x="4068" y="17591"/>
                                  <a:pt x="6737" y="17591"/>
                                </a:cubicBezTo>
                                <a:cubicBezTo>
                                  <a:pt x="9407" y="17591"/>
                                  <a:pt x="8246" y="14496"/>
                                  <a:pt x="8246" y="14496"/>
                                </a:cubicBezTo>
                                <a:lnTo>
                                  <a:pt x="7666" y="14032"/>
                                </a:lnTo>
                                <a:lnTo>
                                  <a:pt x="7459" y="12574"/>
                                </a:lnTo>
                                <a:cubicBezTo>
                                  <a:pt x="7459" y="12574"/>
                                  <a:pt x="9626" y="11826"/>
                                  <a:pt x="10335" y="8925"/>
                                </a:cubicBezTo>
                                <a:cubicBezTo>
                                  <a:pt x="11045" y="6023"/>
                                  <a:pt x="10568" y="1187"/>
                                  <a:pt x="10568" y="1187"/>
                                </a:cubicBezTo>
                                <a:lnTo>
                                  <a:pt x="2778" y="0"/>
                                </a:lnTo>
                                <a:close/>
                              </a:path>
                            </a:pathLst>
                          </a:custGeom>
                          <a:solidFill>
                            <a:srgbClr val="F19F99"/>
                          </a:solidFill>
                          <a:ln>
                            <a:noFill/>
                          </a:ln>
                        </wps:spPr>
                        <wps:bodyPr spcFirstLastPara="1" wrap="square" lIns="91425" tIns="91425" rIns="91425" bIns="91425" anchor="ctr" anchorCtr="0">
                          <a:noAutofit/>
                        </wps:bodyPr>
                      </wps:wsp>
                      <wps:wsp>
                        <wps:cNvPr id="1449221912" name="Google Shape;1563;p65"/>
                        <wps:cNvSpPr/>
                        <wps:spPr>
                          <a:xfrm>
                            <a:off x="201549" y="0"/>
                            <a:ext cx="249580" cy="173104"/>
                          </a:xfrm>
                          <a:custGeom>
                            <a:avLst/>
                            <a:gdLst/>
                            <a:ahLst/>
                            <a:cxnLst/>
                            <a:rect l="l" t="t" r="r" b="b"/>
                            <a:pathLst>
                              <a:path w="12163" h="8436" extrusionOk="0">
                                <a:moveTo>
                                  <a:pt x="5536" y="0"/>
                                </a:moveTo>
                                <a:cubicBezTo>
                                  <a:pt x="3059" y="0"/>
                                  <a:pt x="3083" y="1974"/>
                                  <a:pt x="3083" y="1974"/>
                                </a:cubicBezTo>
                                <a:cubicBezTo>
                                  <a:pt x="3083" y="1974"/>
                                  <a:pt x="2893" y="1914"/>
                                  <a:pt x="2602" y="1914"/>
                                </a:cubicBezTo>
                                <a:cubicBezTo>
                                  <a:pt x="2181" y="1914"/>
                                  <a:pt x="1547" y="2040"/>
                                  <a:pt x="968" y="2658"/>
                                </a:cubicBezTo>
                                <a:cubicBezTo>
                                  <a:pt x="1" y="3689"/>
                                  <a:pt x="723" y="6952"/>
                                  <a:pt x="723" y="6952"/>
                                </a:cubicBezTo>
                                <a:cubicBezTo>
                                  <a:pt x="723" y="6952"/>
                                  <a:pt x="871" y="6674"/>
                                  <a:pt x="1315" y="6674"/>
                                </a:cubicBezTo>
                                <a:cubicBezTo>
                                  <a:pt x="1413" y="6674"/>
                                  <a:pt x="1524" y="6688"/>
                                  <a:pt x="1651" y="6720"/>
                                </a:cubicBezTo>
                                <a:cubicBezTo>
                                  <a:pt x="2361" y="6888"/>
                                  <a:pt x="2490" y="8435"/>
                                  <a:pt x="2490" y="8435"/>
                                </a:cubicBezTo>
                                <a:cubicBezTo>
                                  <a:pt x="2490" y="8435"/>
                                  <a:pt x="3470" y="7868"/>
                                  <a:pt x="3702" y="6295"/>
                                </a:cubicBezTo>
                                <a:cubicBezTo>
                                  <a:pt x="3934" y="4734"/>
                                  <a:pt x="3522" y="2864"/>
                                  <a:pt x="3521" y="2864"/>
                                </a:cubicBezTo>
                                <a:lnTo>
                                  <a:pt x="3521" y="2864"/>
                                </a:lnTo>
                                <a:cubicBezTo>
                                  <a:pt x="3522" y="2864"/>
                                  <a:pt x="3767" y="3122"/>
                                  <a:pt x="4914" y="3715"/>
                                </a:cubicBezTo>
                                <a:cubicBezTo>
                                  <a:pt x="6075" y="4308"/>
                                  <a:pt x="7494" y="4399"/>
                                  <a:pt x="7494" y="4399"/>
                                </a:cubicBezTo>
                                <a:lnTo>
                                  <a:pt x="6462" y="3122"/>
                                </a:lnTo>
                                <a:lnTo>
                                  <a:pt x="6462" y="3122"/>
                                </a:lnTo>
                                <a:cubicBezTo>
                                  <a:pt x="6462" y="3122"/>
                                  <a:pt x="7906" y="4076"/>
                                  <a:pt x="8977" y="4218"/>
                                </a:cubicBezTo>
                                <a:cubicBezTo>
                                  <a:pt x="9168" y="4241"/>
                                  <a:pt x="9361" y="4252"/>
                                  <a:pt x="9554" y="4252"/>
                                </a:cubicBezTo>
                                <a:cubicBezTo>
                                  <a:pt x="10023" y="4252"/>
                                  <a:pt x="10493" y="4184"/>
                                  <a:pt x="10950" y="4038"/>
                                </a:cubicBezTo>
                                <a:lnTo>
                                  <a:pt x="11027" y="5701"/>
                                </a:lnTo>
                                <a:cubicBezTo>
                                  <a:pt x="11027" y="5701"/>
                                  <a:pt x="12162" y="5237"/>
                                  <a:pt x="12136" y="3161"/>
                                </a:cubicBezTo>
                                <a:cubicBezTo>
                                  <a:pt x="12124" y="1084"/>
                                  <a:pt x="8770" y="220"/>
                                  <a:pt x="5907" y="14"/>
                                </a:cubicBezTo>
                                <a:cubicBezTo>
                                  <a:pt x="5778" y="5"/>
                                  <a:pt x="5654" y="0"/>
                                  <a:pt x="5536" y="0"/>
                                </a:cubicBezTo>
                                <a:close/>
                              </a:path>
                            </a:pathLst>
                          </a:custGeom>
                          <a:solidFill>
                            <a:schemeClr val="accent3"/>
                          </a:solidFill>
                          <a:ln>
                            <a:noFill/>
                          </a:ln>
                        </wps:spPr>
                        <wps:bodyPr spcFirstLastPara="1" wrap="square" lIns="91425" tIns="91425" rIns="91425" bIns="91425" anchor="ctr" anchorCtr="0">
                          <a:noAutofit/>
                        </wps:bodyPr>
                      </wps:wsp>
                      <wps:wsp>
                        <wps:cNvPr id="588677632" name="Google Shape;1564;p65"/>
                        <wps:cNvSpPr/>
                        <wps:spPr>
                          <a:xfrm>
                            <a:off x="312171" y="511473"/>
                            <a:ext cx="212255" cy="53556"/>
                          </a:xfrm>
                          <a:custGeom>
                            <a:avLst/>
                            <a:gdLst/>
                            <a:ahLst/>
                            <a:cxnLst/>
                            <a:rect l="l" t="t" r="r" b="b"/>
                            <a:pathLst>
                              <a:path w="10344" h="2610" extrusionOk="0">
                                <a:moveTo>
                                  <a:pt x="2228" y="0"/>
                                </a:moveTo>
                                <a:cubicBezTo>
                                  <a:pt x="1103" y="0"/>
                                  <a:pt x="323" y="56"/>
                                  <a:pt x="323" y="56"/>
                                </a:cubicBezTo>
                                <a:cubicBezTo>
                                  <a:pt x="323" y="56"/>
                                  <a:pt x="0" y="907"/>
                                  <a:pt x="52" y="1590"/>
                                </a:cubicBezTo>
                                <a:cubicBezTo>
                                  <a:pt x="78" y="1990"/>
                                  <a:pt x="284" y="2364"/>
                                  <a:pt x="594" y="2609"/>
                                </a:cubicBezTo>
                                <a:lnTo>
                                  <a:pt x="10344" y="2609"/>
                                </a:lnTo>
                                <a:cubicBezTo>
                                  <a:pt x="10344" y="2609"/>
                                  <a:pt x="9492" y="881"/>
                                  <a:pt x="6642" y="352"/>
                                </a:cubicBezTo>
                                <a:cubicBezTo>
                                  <a:pt x="5139" y="68"/>
                                  <a:pt x="3473" y="0"/>
                                  <a:pt x="2228" y="0"/>
                                </a:cubicBezTo>
                                <a:close/>
                              </a:path>
                            </a:pathLst>
                          </a:custGeom>
                          <a:solidFill>
                            <a:srgbClr val="F19F99"/>
                          </a:solidFill>
                          <a:ln>
                            <a:noFill/>
                          </a:ln>
                        </wps:spPr>
                        <wps:bodyPr spcFirstLastPara="1" wrap="square" lIns="91425" tIns="91425" rIns="91425" bIns="91425" anchor="ctr" anchorCtr="0">
                          <a:noAutofit/>
                        </wps:bodyPr>
                      </wps:wsp>
                      <wps:wsp>
                        <wps:cNvPr id="1143158783" name="Google Shape;1565;p65"/>
                        <wps:cNvSpPr/>
                        <wps:spPr>
                          <a:xfrm>
                            <a:off x="149676" y="512868"/>
                            <a:ext cx="169923" cy="132865"/>
                          </a:xfrm>
                          <a:custGeom>
                            <a:avLst/>
                            <a:gdLst/>
                            <a:ahLst/>
                            <a:cxnLst/>
                            <a:rect l="l" t="t" r="r" b="b"/>
                            <a:pathLst>
                              <a:path w="8281" h="6475" extrusionOk="0">
                                <a:moveTo>
                                  <a:pt x="8281" y="0"/>
                                </a:moveTo>
                                <a:lnTo>
                                  <a:pt x="7687" y="297"/>
                                </a:lnTo>
                                <a:lnTo>
                                  <a:pt x="7107" y="607"/>
                                </a:lnTo>
                                <a:lnTo>
                                  <a:pt x="6527" y="929"/>
                                </a:lnTo>
                                <a:lnTo>
                                  <a:pt x="5959" y="1277"/>
                                </a:lnTo>
                                <a:cubicBezTo>
                                  <a:pt x="5211" y="1741"/>
                                  <a:pt x="4489" y="2244"/>
                                  <a:pt x="3793" y="2799"/>
                                </a:cubicBezTo>
                                <a:cubicBezTo>
                                  <a:pt x="3109" y="3341"/>
                                  <a:pt x="2426" y="3921"/>
                                  <a:pt x="1794" y="4527"/>
                                </a:cubicBezTo>
                                <a:lnTo>
                                  <a:pt x="1329" y="4991"/>
                                </a:lnTo>
                                <a:lnTo>
                                  <a:pt x="865" y="5481"/>
                                </a:lnTo>
                                <a:lnTo>
                                  <a:pt x="427" y="5959"/>
                                </a:lnTo>
                                <a:lnTo>
                                  <a:pt x="1" y="6475"/>
                                </a:lnTo>
                                <a:lnTo>
                                  <a:pt x="452" y="5997"/>
                                </a:lnTo>
                                <a:lnTo>
                                  <a:pt x="930" y="5533"/>
                                </a:lnTo>
                                <a:lnTo>
                                  <a:pt x="1407" y="5069"/>
                                </a:lnTo>
                                <a:lnTo>
                                  <a:pt x="1884" y="4617"/>
                                </a:lnTo>
                                <a:cubicBezTo>
                                  <a:pt x="2542" y="4037"/>
                                  <a:pt x="3212" y="3470"/>
                                  <a:pt x="3896" y="2928"/>
                                </a:cubicBezTo>
                                <a:cubicBezTo>
                                  <a:pt x="4579" y="2373"/>
                                  <a:pt x="5301" y="1858"/>
                                  <a:pt x="6037" y="1380"/>
                                </a:cubicBezTo>
                                <a:lnTo>
                                  <a:pt x="6578" y="1019"/>
                                </a:lnTo>
                                <a:lnTo>
                                  <a:pt x="7146" y="671"/>
                                </a:lnTo>
                                <a:lnTo>
                                  <a:pt x="7713" y="323"/>
                                </a:lnTo>
                                <a:lnTo>
                                  <a:pt x="8281" y="0"/>
                                </a:lnTo>
                                <a:close/>
                              </a:path>
                            </a:pathLst>
                          </a:custGeom>
                          <a:solidFill>
                            <a:schemeClr val="dk1"/>
                          </a:solidFill>
                          <a:ln>
                            <a:noFill/>
                          </a:ln>
                        </wps:spPr>
                        <wps:bodyPr spcFirstLastPara="1" wrap="square" lIns="91425" tIns="91425" rIns="91425" bIns="91425" anchor="ctr" anchorCtr="0">
                          <a:noAutofit/>
                        </wps:bodyPr>
                      </wps:wsp>
                      <wps:wsp>
                        <wps:cNvPr id="476513867" name="Google Shape;1566;p65"/>
                        <wps:cNvSpPr/>
                        <wps:spPr>
                          <a:xfrm>
                            <a:off x="125073" y="710554"/>
                            <a:ext cx="118049" cy="83371"/>
                          </a:xfrm>
                          <a:custGeom>
                            <a:avLst/>
                            <a:gdLst/>
                            <a:ahLst/>
                            <a:cxnLst/>
                            <a:rect l="l" t="t" r="r" b="b"/>
                            <a:pathLst>
                              <a:path w="5753" h="4063" extrusionOk="0">
                                <a:moveTo>
                                  <a:pt x="5752" y="0"/>
                                </a:moveTo>
                                <a:lnTo>
                                  <a:pt x="5752" y="0"/>
                                </a:lnTo>
                                <a:cubicBezTo>
                                  <a:pt x="5404" y="348"/>
                                  <a:pt x="5043" y="684"/>
                                  <a:pt x="4682" y="1032"/>
                                </a:cubicBezTo>
                                <a:cubicBezTo>
                                  <a:pt x="4321" y="1380"/>
                                  <a:pt x="3947" y="1703"/>
                                  <a:pt x="3573" y="2025"/>
                                </a:cubicBezTo>
                                <a:cubicBezTo>
                                  <a:pt x="3199" y="2347"/>
                                  <a:pt x="2825" y="2657"/>
                                  <a:pt x="2438" y="2979"/>
                                </a:cubicBezTo>
                                <a:cubicBezTo>
                                  <a:pt x="2070" y="3274"/>
                                  <a:pt x="1713" y="3568"/>
                                  <a:pt x="1335" y="3863"/>
                                </a:cubicBezTo>
                                <a:lnTo>
                                  <a:pt x="1335" y="3863"/>
                                </a:lnTo>
                                <a:cubicBezTo>
                                  <a:pt x="1107" y="3574"/>
                                  <a:pt x="890" y="3295"/>
                                  <a:pt x="684" y="2992"/>
                                </a:cubicBezTo>
                                <a:lnTo>
                                  <a:pt x="336" y="2515"/>
                                </a:lnTo>
                                <a:lnTo>
                                  <a:pt x="1" y="2038"/>
                                </a:lnTo>
                                <a:lnTo>
                                  <a:pt x="1" y="2038"/>
                                </a:lnTo>
                                <a:cubicBezTo>
                                  <a:pt x="104" y="2205"/>
                                  <a:pt x="207" y="2373"/>
                                  <a:pt x="297" y="2541"/>
                                </a:cubicBezTo>
                                <a:cubicBezTo>
                                  <a:pt x="400" y="2721"/>
                                  <a:pt x="504" y="2876"/>
                                  <a:pt x="607" y="3044"/>
                                </a:cubicBezTo>
                                <a:cubicBezTo>
                                  <a:pt x="826" y="3366"/>
                                  <a:pt x="1045" y="3689"/>
                                  <a:pt x="1277" y="4011"/>
                                </a:cubicBezTo>
                                <a:lnTo>
                                  <a:pt x="1316" y="4063"/>
                                </a:lnTo>
                                <a:lnTo>
                                  <a:pt x="1368" y="4024"/>
                                </a:lnTo>
                                <a:cubicBezTo>
                                  <a:pt x="1767" y="3714"/>
                                  <a:pt x="2167" y="3418"/>
                                  <a:pt x="2541" y="3108"/>
                                </a:cubicBezTo>
                                <a:cubicBezTo>
                                  <a:pt x="2928" y="2799"/>
                                  <a:pt x="3302" y="2463"/>
                                  <a:pt x="3676" y="2141"/>
                                </a:cubicBezTo>
                                <a:cubicBezTo>
                                  <a:pt x="4050" y="1806"/>
                                  <a:pt x="4398" y="1457"/>
                                  <a:pt x="4759" y="1109"/>
                                </a:cubicBezTo>
                                <a:cubicBezTo>
                                  <a:pt x="5108" y="761"/>
                                  <a:pt x="5430" y="387"/>
                                  <a:pt x="5752" y="0"/>
                                </a:cubicBezTo>
                                <a:close/>
                              </a:path>
                            </a:pathLst>
                          </a:custGeom>
                          <a:solidFill>
                            <a:schemeClr val="dk1"/>
                          </a:solidFill>
                          <a:ln>
                            <a:noFill/>
                          </a:ln>
                        </wps:spPr>
                        <wps:bodyPr spcFirstLastPara="1" wrap="square" lIns="91425" tIns="91425" rIns="91425" bIns="91425" anchor="ctr" anchorCtr="0">
                          <a:noAutofit/>
                        </wps:bodyPr>
                      </wps:wsp>
                      <wps:wsp>
                        <wps:cNvPr id="1662612042" name="Google Shape;1567;p65"/>
                        <wps:cNvSpPr/>
                        <wps:spPr>
                          <a:xfrm>
                            <a:off x="169539" y="434011"/>
                            <a:ext cx="35212" cy="156934"/>
                          </a:xfrm>
                          <a:custGeom>
                            <a:avLst/>
                            <a:gdLst/>
                            <a:ahLst/>
                            <a:cxnLst/>
                            <a:rect l="l" t="t" r="r" b="b"/>
                            <a:pathLst>
                              <a:path w="1716" h="7648" extrusionOk="0">
                                <a:moveTo>
                                  <a:pt x="0" y="0"/>
                                </a:moveTo>
                                <a:lnTo>
                                  <a:pt x="0" y="0"/>
                                </a:lnTo>
                                <a:cubicBezTo>
                                  <a:pt x="439" y="490"/>
                                  <a:pt x="748" y="1084"/>
                                  <a:pt x="890" y="1741"/>
                                </a:cubicBezTo>
                                <a:cubicBezTo>
                                  <a:pt x="1045" y="2373"/>
                                  <a:pt x="1161" y="3031"/>
                                  <a:pt x="1212" y="3689"/>
                                </a:cubicBezTo>
                                <a:cubicBezTo>
                                  <a:pt x="1277" y="4346"/>
                                  <a:pt x="1354" y="5017"/>
                                  <a:pt x="1445" y="5675"/>
                                </a:cubicBezTo>
                                <a:lnTo>
                                  <a:pt x="1574" y="6668"/>
                                </a:lnTo>
                                <a:cubicBezTo>
                                  <a:pt x="1625" y="6990"/>
                                  <a:pt x="1664" y="7326"/>
                                  <a:pt x="1715" y="7648"/>
                                </a:cubicBezTo>
                                <a:cubicBezTo>
                                  <a:pt x="1703" y="7313"/>
                                  <a:pt x="1677" y="6990"/>
                                  <a:pt x="1651" y="6655"/>
                                </a:cubicBezTo>
                                <a:lnTo>
                                  <a:pt x="1574" y="5662"/>
                                </a:lnTo>
                                <a:cubicBezTo>
                                  <a:pt x="1509" y="4991"/>
                                  <a:pt x="1445" y="4334"/>
                                  <a:pt x="1380" y="3676"/>
                                </a:cubicBezTo>
                                <a:cubicBezTo>
                                  <a:pt x="1316" y="3005"/>
                                  <a:pt x="1200" y="2347"/>
                                  <a:pt x="1019" y="1703"/>
                                </a:cubicBezTo>
                                <a:cubicBezTo>
                                  <a:pt x="929" y="1380"/>
                                  <a:pt x="787" y="1071"/>
                                  <a:pt x="632" y="774"/>
                                </a:cubicBezTo>
                                <a:cubicBezTo>
                                  <a:pt x="464" y="477"/>
                                  <a:pt x="245" y="220"/>
                                  <a:pt x="0" y="0"/>
                                </a:cubicBezTo>
                                <a:close/>
                              </a:path>
                            </a:pathLst>
                          </a:custGeom>
                          <a:solidFill>
                            <a:schemeClr val="accent3"/>
                          </a:solidFill>
                          <a:ln>
                            <a:noFill/>
                          </a:ln>
                        </wps:spPr>
                        <wps:bodyPr spcFirstLastPara="1" wrap="square" lIns="91425" tIns="91425" rIns="91425" bIns="91425" anchor="ctr" anchorCtr="0">
                          <a:noAutofit/>
                        </wps:bodyPr>
                      </wps:wsp>
                      <wps:wsp>
                        <wps:cNvPr id="1650602654" name="Google Shape;1568;p65"/>
                        <wps:cNvSpPr/>
                        <wps:spPr>
                          <a:xfrm>
                            <a:off x="226686" y="415749"/>
                            <a:ext cx="67243" cy="125190"/>
                          </a:xfrm>
                          <a:custGeom>
                            <a:avLst/>
                            <a:gdLst/>
                            <a:ahLst/>
                            <a:cxnLst/>
                            <a:rect l="l" t="t" r="r" b="b"/>
                            <a:pathLst>
                              <a:path w="3277" h="6101" extrusionOk="0">
                                <a:moveTo>
                                  <a:pt x="3277" y="0"/>
                                </a:moveTo>
                                <a:lnTo>
                                  <a:pt x="3277" y="0"/>
                                </a:lnTo>
                                <a:cubicBezTo>
                                  <a:pt x="3173" y="181"/>
                                  <a:pt x="3070" y="362"/>
                                  <a:pt x="2980" y="529"/>
                                </a:cubicBezTo>
                                <a:lnTo>
                                  <a:pt x="2683" y="1071"/>
                                </a:lnTo>
                                <a:lnTo>
                                  <a:pt x="2135" y="2106"/>
                                </a:lnTo>
                                <a:lnTo>
                                  <a:pt x="2135" y="2106"/>
                                </a:lnTo>
                                <a:lnTo>
                                  <a:pt x="1149" y="2206"/>
                                </a:lnTo>
                                <a:cubicBezTo>
                                  <a:pt x="800" y="2232"/>
                                  <a:pt x="465" y="2257"/>
                                  <a:pt x="130" y="2296"/>
                                </a:cubicBezTo>
                                <a:lnTo>
                                  <a:pt x="1" y="2309"/>
                                </a:lnTo>
                                <a:lnTo>
                                  <a:pt x="65" y="2425"/>
                                </a:lnTo>
                                <a:cubicBezTo>
                                  <a:pt x="414" y="3044"/>
                                  <a:pt x="749" y="3663"/>
                                  <a:pt x="1097" y="4269"/>
                                </a:cubicBezTo>
                                <a:cubicBezTo>
                                  <a:pt x="1458" y="4888"/>
                                  <a:pt x="1806" y="5494"/>
                                  <a:pt x="2180" y="6100"/>
                                </a:cubicBezTo>
                                <a:cubicBezTo>
                                  <a:pt x="1871" y="5469"/>
                                  <a:pt x="1536" y="4837"/>
                                  <a:pt x="1213" y="4205"/>
                                </a:cubicBezTo>
                                <a:cubicBezTo>
                                  <a:pt x="909" y="3621"/>
                                  <a:pt x="582" y="3037"/>
                                  <a:pt x="265" y="2454"/>
                                </a:cubicBezTo>
                                <a:lnTo>
                                  <a:pt x="265" y="2454"/>
                                </a:lnTo>
                                <a:cubicBezTo>
                                  <a:pt x="562" y="2429"/>
                                  <a:pt x="867" y="2395"/>
                                  <a:pt x="1162" y="2361"/>
                                </a:cubicBezTo>
                                <a:lnTo>
                                  <a:pt x="2180" y="2244"/>
                                </a:lnTo>
                                <a:lnTo>
                                  <a:pt x="2219" y="2244"/>
                                </a:lnTo>
                                <a:lnTo>
                                  <a:pt x="2245" y="2219"/>
                                </a:lnTo>
                                <a:lnTo>
                                  <a:pt x="2761" y="1110"/>
                                </a:lnTo>
                                <a:lnTo>
                                  <a:pt x="3019" y="555"/>
                                </a:lnTo>
                                <a:cubicBezTo>
                                  <a:pt x="3109" y="374"/>
                                  <a:pt x="3186" y="194"/>
                                  <a:pt x="3277" y="0"/>
                                </a:cubicBezTo>
                                <a:close/>
                              </a:path>
                            </a:pathLst>
                          </a:custGeom>
                          <a:solidFill>
                            <a:schemeClr val="accent3"/>
                          </a:solidFill>
                          <a:ln>
                            <a:noFill/>
                          </a:ln>
                        </wps:spPr>
                        <wps:bodyPr spcFirstLastPara="1" wrap="square" lIns="91425" tIns="91425" rIns="91425" bIns="91425" anchor="ctr" anchorCtr="0">
                          <a:noAutofit/>
                        </wps:bodyPr>
                      </wps:wsp>
                      <wps:wsp>
                        <wps:cNvPr id="1716199208" name="Google Shape;1569;p65"/>
                        <wps:cNvSpPr/>
                        <wps:spPr>
                          <a:xfrm>
                            <a:off x="219278" y="350640"/>
                            <a:ext cx="52161" cy="109842"/>
                          </a:xfrm>
                          <a:custGeom>
                            <a:avLst/>
                            <a:gdLst/>
                            <a:ahLst/>
                            <a:cxnLst/>
                            <a:rect l="l" t="t" r="r" b="b"/>
                            <a:pathLst>
                              <a:path w="2542" h="5353" extrusionOk="0">
                                <a:moveTo>
                                  <a:pt x="1755" y="1"/>
                                </a:moveTo>
                                <a:lnTo>
                                  <a:pt x="1755" y="1"/>
                                </a:lnTo>
                                <a:cubicBezTo>
                                  <a:pt x="1445" y="659"/>
                                  <a:pt x="1149" y="1329"/>
                                  <a:pt x="852" y="2000"/>
                                </a:cubicBezTo>
                                <a:cubicBezTo>
                                  <a:pt x="568" y="2670"/>
                                  <a:pt x="297" y="3354"/>
                                  <a:pt x="27" y="4025"/>
                                </a:cubicBezTo>
                                <a:lnTo>
                                  <a:pt x="1" y="4102"/>
                                </a:lnTo>
                                <a:lnTo>
                                  <a:pt x="65" y="4128"/>
                                </a:lnTo>
                                <a:cubicBezTo>
                                  <a:pt x="465" y="4347"/>
                                  <a:pt x="878" y="4540"/>
                                  <a:pt x="1290" y="4760"/>
                                </a:cubicBezTo>
                                <a:cubicBezTo>
                                  <a:pt x="1703" y="4966"/>
                                  <a:pt x="2116" y="5160"/>
                                  <a:pt x="2541" y="5353"/>
                                </a:cubicBezTo>
                                <a:cubicBezTo>
                                  <a:pt x="2142" y="5121"/>
                                  <a:pt x="1742" y="4889"/>
                                  <a:pt x="1342" y="4657"/>
                                </a:cubicBezTo>
                                <a:cubicBezTo>
                                  <a:pt x="961" y="4435"/>
                                  <a:pt x="580" y="4226"/>
                                  <a:pt x="199" y="4017"/>
                                </a:cubicBezTo>
                                <a:lnTo>
                                  <a:pt x="199" y="4017"/>
                                </a:lnTo>
                                <a:cubicBezTo>
                                  <a:pt x="472" y="3369"/>
                                  <a:pt x="745" y="2710"/>
                                  <a:pt x="994" y="2051"/>
                                </a:cubicBezTo>
                                <a:cubicBezTo>
                                  <a:pt x="1252" y="1368"/>
                                  <a:pt x="1523" y="684"/>
                                  <a:pt x="1755" y="1"/>
                                </a:cubicBezTo>
                                <a:close/>
                              </a:path>
                            </a:pathLst>
                          </a:custGeom>
                          <a:solidFill>
                            <a:schemeClr val="accent3"/>
                          </a:solidFill>
                          <a:ln>
                            <a:noFill/>
                          </a:ln>
                        </wps:spPr>
                        <wps:bodyPr spcFirstLastPara="1" wrap="square" lIns="91425" tIns="91425" rIns="91425" bIns="91425" anchor="ctr" anchorCtr="0">
                          <a:noAutofit/>
                        </wps:bodyPr>
                      </wps:wsp>
                      <wps:wsp>
                        <wps:cNvPr id="83965816" name="Google Shape;1570;p65"/>
                        <wps:cNvSpPr/>
                        <wps:spPr>
                          <a:xfrm>
                            <a:off x="393675" y="411768"/>
                            <a:ext cx="73317" cy="106948"/>
                          </a:xfrm>
                          <a:custGeom>
                            <a:avLst/>
                            <a:gdLst/>
                            <a:ahLst/>
                            <a:cxnLst/>
                            <a:rect l="l" t="t" r="r" b="b"/>
                            <a:pathLst>
                              <a:path w="3573" h="5212" extrusionOk="0">
                                <a:moveTo>
                                  <a:pt x="1" y="1"/>
                                </a:moveTo>
                                <a:cubicBezTo>
                                  <a:pt x="259" y="285"/>
                                  <a:pt x="529" y="581"/>
                                  <a:pt x="813" y="865"/>
                                </a:cubicBezTo>
                                <a:lnTo>
                                  <a:pt x="1626" y="1716"/>
                                </a:lnTo>
                                <a:lnTo>
                                  <a:pt x="1664" y="1755"/>
                                </a:lnTo>
                                <a:lnTo>
                                  <a:pt x="1703" y="1742"/>
                                </a:lnTo>
                                <a:cubicBezTo>
                                  <a:pt x="2013" y="1600"/>
                                  <a:pt x="2309" y="1458"/>
                                  <a:pt x="2606" y="1329"/>
                                </a:cubicBezTo>
                                <a:lnTo>
                                  <a:pt x="3365" y="982"/>
                                </a:lnTo>
                                <a:lnTo>
                                  <a:pt x="3199" y="1923"/>
                                </a:lnTo>
                                <a:cubicBezTo>
                                  <a:pt x="3135" y="2284"/>
                                  <a:pt x="3070" y="2645"/>
                                  <a:pt x="3006" y="3019"/>
                                </a:cubicBezTo>
                                <a:lnTo>
                                  <a:pt x="2838" y="4115"/>
                                </a:lnTo>
                                <a:cubicBezTo>
                                  <a:pt x="2773" y="4476"/>
                                  <a:pt x="2722" y="4850"/>
                                  <a:pt x="2670" y="5211"/>
                                </a:cubicBezTo>
                                <a:cubicBezTo>
                                  <a:pt x="2761" y="4850"/>
                                  <a:pt x="2838" y="4489"/>
                                  <a:pt x="2915" y="4128"/>
                                </a:cubicBezTo>
                                <a:lnTo>
                                  <a:pt x="3135" y="3032"/>
                                </a:lnTo>
                                <a:cubicBezTo>
                                  <a:pt x="3212" y="2671"/>
                                  <a:pt x="3276" y="2297"/>
                                  <a:pt x="3341" y="1935"/>
                                </a:cubicBezTo>
                                <a:lnTo>
                                  <a:pt x="3547" y="852"/>
                                </a:lnTo>
                                <a:lnTo>
                                  <a:pt x="3573" y="685"/>
                                </a:lnTo>
                                <a:lnTo>
                                  <a:pt x="3431" y="762"/>
                                </a:lnTo>
                                <a:lnTo>
                                  <a:pt x="2528" y="1187"/>
                                </a:lnTo>
                                <a:cubicBezTo>
                                  <a:pt x="2246" y="1322"/>
                                  <a:pt x="1964" y="1458"/>
                                  <a:pt x="1681" y="1593"/>
                                </a:cubicBezTo>
                                <a:lnTo>
                                  <a:pt x="1681" y="1593"/>
                                </a:lnTo>
                                <a:lnTo>
                                  <a:pt x="865" y="801"/>
                                </a:lnTo>
                                <a:cubicBezTo>
                                  <a:pt x="581" y="530"/>
                                  <a:pt x="284" y="259"/>
                                  <a:pt x="1" y="1"/>
                                </a:cubicBezTo>
                                <a:close/>
                              </a:path>
                            </a:pathLst>
                          </a:custGeom>
                          <a:solidFill>
                            <a:schemeClr val="accent3"/>
                          </a:solidFill>
                          <a:ln>
                            <a:noFill/>
                          </a:ln>
                        </wps:spPr>
                        <wps:bodyPr spcFirstLastPara="1" wrap="square" lIns="91425" tIns="91425" rIns="91425" bIns="91425" anchor="ctr" anchorCtr="0">
                          <a:noAutofit/>
                        </wps:bodyPr>
                      </wps:wsp>
                      <wps:wsp>
                        <wps:cNvPr id="1808263821" name="Google Shape;1571;p65"/>
                        <wps:cNvSpPr/>
                        <wps:spPr>
                          <a:xfrm>
                            <a:off x="410624" y="348793"/>
                            <a:ext cx="52941" cy="97140"/>
                          </a:xfrm>
                          <a:custGeom>
                            <a:avLst/>
                            <a:gdLst/>
                            <a:ahLst/>
                            <a:cxnLst/>
                            <a:rect l="l" t="t" r="r" b="b"/>
                            <a:pathLst>
                              <a:path w="2580" h="4734" extrusionOk="0">
                                <a:moveTo>
                                  <a:pt x="0" y="1"/>
                                </a:moveTo>
                                <a:lnTo>
                                  <a:pt x="0" y="1"/>
                                </a:lnTo>
                                <a:cubicBezTo>
                                  <a:pt x="387" y="491"/>
                                  <a:pt x="787" y="968"/>
                                  <a:pt x="1187" y="1432"/>
                                </a:cubicBezTo>
                                <a:cubicBezTo>
                                  <a:pt x="1572" y="1880"/>
                                  <a:pt x="1969" y="2327"/>
                                  <a:pt x="2379" y="2763"/>
                                </a:cubicBezTo>
                                <a:lnTo>
                                  <a:pt x="2379" y="2763"/>
                                </a:lnTo>
                                <a:cubicBezTo>
                                  <a:pt x="2112" y="3080"/>
                                  <a:pt x="1856" y="3398"/>
                                  <a:pt x="1612" y="3715"/>
                                </a:cubicBezTo>
                                <a:cubicBezTo>
                                  <a:pt x="1483" y="3882"/>
                                  <a:pt x="1341" y="4050"/>
                                  <a:pt x="1212" y="4218"/>
                                </a:cubicBezTo>
                                <a:cubicBezTo>
                                  <a:pt x="1096" y="4398"/>
                                  <a:pt x="954" y="4566"/>
                                  <a:pt x="838" y="4734"/>
                                </a:cubicBezTo>
                                <a:cubicBezTo>
                                  <a:pt x="980" y="4592"/>
                                  <a:pt x="1122" y="4424"/>
                                  <a:pt x="1277" y="4269"/>
                                </a:cubicBezTo>
                                <a:cubicBezTo>
                                  <a:pt x="1419" y="4102"/>
                                  <a:pt x="1561" y="3947"/>
                                  <a:pt x="1702" y="3779"/>
                                </a:cubicBezTo>
                                <a:cubicBezTo>
                                  <a:pt x="1986" y="3457"/>
                                  <a:pt x="2270" y="3134"/>
                                  <a:pt x="2541" y="2812"/>
                                </a:cubicBezTo>
                                <a:lnTo>
                                  <a:pt x="2579" y="2760"/>
                                </a:lnTo>
                                <a:lnTo>
                                  <a:pt x="2541" y="2709"/>
                                </a:lnTo>
                                <a:cubicBezTo>
                                  <a:pt x="2128" y="2245"/>
                                  <a:pt x="1702" y="1780"/>
                                  <a:pt x="1290" y="1342"/>
                                </a:cubicBezTo>
                                <a:cubicBezTo>
                                  <a:pt x="864" y="890"/>
                                  <a:pt x="438" y="439"/>
                                  <a:pt x="0" y="1"/>
                                </a:cubicBezTo>
                                <a:close/>
                              </a:path>
                            </a:pathLst>
                          </a:custGeom>
                          <a:solidFill>
                            <a:schemeClr val="accent3"/>
                          </a:solidFill>
                          <a:ln>
                            <a:noFill/>
                          </a:ln>
                        </wps:spPr>
                        <wps:bodyPr spcFirstLastPara="1" wrap="square" lIns="91425" tIns="91425" rIns="91425" bIns="91425" anchor="ctr" anchorCtr="0">
                          <a:noAutofit/>
                        </wps:bodyPr>
                      </wps:wsp>
                      <wps:wsp>
                        <wps:cNvPr id="490306986" name="Google Shape;1572;p65"/>
                        <wps:cNvSpPr/>
                        <wps:spPr>
                          <a:xfrm>
                            <a:off x="861810" y="418662"/>
                            <a:ext cx="92113" cy="101367"/>
                          </a:xfrm>
                          <a:custGeom>
                            <a:avLst/>
                            <a:gdLst/>
                            <a:ahLst/>
                            <a:cxnLst/>
                            <a:rect l="l" t="t" r="r" b="b"/>
                            <a:pathLst>
                              <a:path w="4489" h="4940" extrusionOk="0">
                                <a:moveTo>
                                  <a:pt x="1" y="0"/>
                                </a:moveTo>
                                <a:lnTo>
                                  <a:pt x="1" y="0"/>
                                </a:lnTo>
                                <a:cubicBezTo>
                                  <a:pt x="168" y="220"/>
                                  <a:pt x="349" y="426"/>
                                  <a:pt x="529" y="645"/>
                                </a:cubicBezTo>
                                <a:lnTo>
                                  <a:pt x="1071" y="1277"/>
                                </a:lnTo>
                                <a:cubicBezTo>
                                  <a:pt x="1432" y="1690"/>
                                  <a:pt x="1806" y="2102"/>
                                  <a:pt x="2180" y="2528"/>
                                </a:cubicBezTo>
                                <a:cubicBezTo>
                                  <a:pt x="2554" y="2941"/>
                                  <a:pt x="2928" y="3340"/>
                                  <a:pt x="3315" y="3740"/>
                                </a:cubicBezTo>
                                <a:lnTo>
                                  <a:pt x="3895" y="4346"/>
                                </a:lnTo>
                                <a:cubicBezTo>
                                  <a:pt x="4089" y="4540"/>
                                  <a:pt x="4282" y="4746"/>
                                  <a:pt x="4489" y="4940"/>
                                </a:cubicBezTo>
                                <a:cubicBezTo>
                                  <a:pt x="4308" y="4720"/>
                                  <a:pt x="4128" y="4501"/>
                                  <a:pt x="3947" y="4295"/>
                                </a:cubicBezTo>
                                <a:lnTo>
                                  <a:pt x="3405" y="3663"/>
                                </a:lnTo>
                                <a:cubicBezTo>
                                  <a:pt x="3044" y="3237"/>
                                  <a:pt x="2683" y="2825"/>
                                  <a:pt x="2309" y="2412"/>
                                </a:cubicBezTo>
                                <a:cubicBezTo>
                                  <a:pt x="1922" y="1999"/>
                                  <a:pt x="1548" y="1587"/>
                                  <a:pt x="1161" y="1187"/>
                                </a:cubicBezTo>
                                <a:lnTo>
                                  <a:pt x="594" y="581"/>
                                </a:lnTo>
                                <a:cubicBezTo>
                                  <a:pt x="388" y="387"/>
                                  <a:pt x="194" y="194"/>
                                  <a:pt x="1" y="0"/>
                                </a:cubicBezTo>
                                <a:close/>
                              </a:path>
                            </a:pathLst>
                          </a:custGeom>
                          <a:solidFill>
                            <a:schemeClr val="accent3"/>
                          </a:solidFill>
                          <a:ln>
                            <a:noFill/>
                          </a:ln>
                        </wps:spPr>
                        <wps:bodyPr spcFirstLastPara="1" wrap="square" lIns="91425" tIns="91425" rIns="91425" bIns="91425" anchor="ctr" anchorCtr="0">
                          <a:noAutofit/>
                        </wps:bodyPr>
                      </wps:wsp>
                      <wps:wsp>
                        <wps:cNvPr id="1940930118" name="Google Shape;1573;p65"/>
                        <wps:cNvSpPr/>
                        <wps:spPr>
                          <a:xfrm>
                            <a:off x="370118" y="543299"/>
                            <a:ext cx="83659" cy="20930"/>
                          </a:xfrm>
                          <a:custGeom>
                            <a:avLst/>
                            <a:gdLst/>
                            <a:ahLst/>
                            <a:cxnLst/>
                            <a:rect l="l" t="t" r="r" b="b"/>
                            <a:pathLst>
                              <a:path w="4077" h="1020" extrusionOk="0">
                                <a:moveTo>
                                  <a:pt x="1" y="1"/>
                                </a:moveTo>
                                <a:lnTo>
                                  <a:pt x="1" y="1"/>
                                </a:lnTo>
                                <a:cubicBezTo>
                                  <a:pt x="349" y="104"/>
                                  <a:pt x="684" y="181"/>
                                  <a:pt x="1033" y="258"/>
                                </a:cubicBezTo>
                                <a:cubicBezTo>
                                  <a:pt x="1381" y="336"/>
                                  <a:pt x="1716" y="413"/>
                                  <a:pt x="2064" y="478"/>
                                </a:cubicBezTo>
                                <a:cubicBezTo>
                                  <a:pt x="2412" y="542"/>
                                  <a:pt x="2761" y="620"/>
                                  <a:pt x="3109" y="671"/>
                                </a:cubicBezTo>
                                <a:cubicBezTo>
                                  <a:pt x="3277" y="710"/>
                                  <a:pt x="3457" y="736"/>
                                  <a:pt x="3625" y="774"/>
                                </a:cubicBezTo>
                                <a:cubicBezTo>
                                  <a:pt x="3792" y="813"/>
                                  <a:pt x="3947" y="890"/>
                                  <a:pt x="4076" y="1019"/>
                                </a:cubicBezTo>
                                <a:cubicBezTo>
                                  <a:pt x="3973" y="878"/>
                                  <a:pt x="3818" y="774"/>
                                  <a:pt x="3638" y="723"/>
                                </a:cubicBezTo>
                                <a:cubicBezTo>
                                  <a:pt x="3470" y="658"/>
                                  <a:pt x="3302" y="620"/>
                                  <a:pt x="3122" y="581"/>
                                </a:cubicBezTo>
                                <a:cubicBezTo>
                                  <a:pt x="2786" y="504"/>
                                  <a:pt x="2438" y="426"/>
                                  <a:pt x="2090" y="362"/>
                                </a:cubicBezTo>
                                <a:cubicBezTo>
                                  <a:pt x="1742" y="297"/>
                                  <a:pt x="1394" y="220"/>
                                  <a:pt x="1058" y="168"/>
                                </a:cubicBezTo>
                                <a:cubicBezTo>
                                  <a:pt x="710" y="104"/>
                                  <a:pt x="349" y="52"/>
                                  <a:pt x="1" y="1"/>
                                </a:cubicBezTo>
                                <a:close/>
                              </a:path>
                            </a:pathLst>
                          </a:custGeom>
                          <a:solidFill>
                            <a:srgbClr val="752B18"/>
                          </a:solidFill>
                          <a:ln>
                            <a:noFill/>
                          </a:ln>
                        </wps:spPr>
                        <wps:bodyPr spcFirstLastPara="1" wrap="square" lIns="91425" tIns="91425" rIns="91425" bIns="91425" anchor="ctr" anchorCtr="0">
                          <a:noAutofit/>
                        </wps:bodyPr>
                      </wps:wsp>
                      <wps:wsp>
                        <wps:cNvPr id="1969459536" name="Google Shape;1574;p65"/>
                        <wps:cNvSpPr/>
                        <wps:spPr>
                          <a:xfrm>
                            <a:off x="393141" y="534311"/>
                            <a:ext cx="102434" cy="30451"/>
                          </a:xfrm>
                          <a:custGeom>
                            <a:avLst/>
                            <a:gdLst/>
                            <a:ahLst/>
                            <a:cxnLst/>
                            <a:rect l="l" t="t" r="r" b="b"/>
                            <a:pathLst>
                              <a:path w="4992" h="1484" extrusionOk="0">
                                <a:moveTo>
                                  <a:pt x="1" y="0"/>
                                </a:moveTo>
                                <a:lnTo>
                                  <a:pt x="1" y="0"/>
                                </a:lnTo>
                                <a:cubicBezTo>
                                  <a:pt x="439" y="103"/>
                                  <a:pt x="865" y="206"/>
                                  <a:pt x="1290" y="297"/>
                                </a:cubicBezTo>
                                <a:cubicBezTo>
                                  <a:pt x="1729" y="387"/>
                                  <a:pt x="2167" y="464"/>
                                  <a:pt x="2593" y="542"/>
                                </a:cubicBezTo>
                                <a:cubicBezTo>
                                  <a:pt x="3032" y="606"/>
                                  <a:pt x="3457" y="696"/>
                                  <a:pt x="3883" y="813"/>
                                </a:cubicBezTo>
                                <a:cubicBezTo>
                                  <a:pt x="4321" y="916"/>
                                  <a:pt x="4695" y="1148"/>
                                  <a:pt x="4992" y="1483"/>
                                </a:cubicBezTo>
                                <a:cubicBezTo>
                                  <a:pt x="4863" y="1290"/>
                                  <a:pt x="4708" y="1122"/>
                                  <a:pt x="4528" y="993"/>
                                </a:cubicBezTo>
                                <a:cubicBezTo>
                                  <a:pt x="4334" y="877"/>
                                  <a:pt x="4128" y="787"/>
                                  <a:pt x="3921" y="709"/>
                                </a:cubicBezTo>
                                <a:cubicBezTo>
                                  <a:pt x="3496" y="580"/>
                                  <a:pt x="3057" y="490"/>
                                  <a:pt x="2632" y="413"/>
                                </a:cubicBezTo>
                                <a:cubicBezTo>
                                  <a:pt x="2193" y="335"/>
                                  <a:pt x="1755" y="258"/>
                                  <a:pt x="1316" y="194"/>
                                </a:cubicBezTo>
                                <a:cubicBezTo>
                                  <a:pt x="878" y="129"/>
                                  <a:pt x="439" y="52"/>
                                  <a:pt x="1" y="0"/>
                                </a:cubicBezTo>
                                <a:close/>
                              </a:path>
                            </a:pathLst>
                          </a:custGeom>
                          <a:solidFill>
                            <a:srgbClr val="752B18"/>
                          </a:solidFill>
                          <a:ln>
                            <a:noFill/>
                          </a:ln>
                        </wps:spPr>
                        <wps:bodyPr spcFirstLastPara="1" wrap="square" lIns="91425" tIns="91425" rIns="91425" bIns="91425" anchor="ctr" anchorCtr="0">
                          <a:noAutofit/>
                        </wps:bodyPr>
                      </wps:wsp>
                      <wps:wsp>
                        <wps:cNvPr id="1601399129" name="Google Shape;1575;p65"/>
                        <wps:cNvSpPr/>
                        <wps:spPr>
                          <a:xfrm>
                            <a:off x="414851" y="521609"/>
                            <a:ext cx="101100" cy="43153"/>
                          </a:xfrm>
                          <a:custGeom>
                            <a:avLst/>
                            <a:gdLst/>
                            <a:ahLst/>
                            <a:cxnLst/>
                            <a:rect l="l" t="t" r="r" b="b"/>
                            <a:pathLst>
                              <a:path w="4927" h="2103" extrusionOk="0">
                                <a:moveTo>
                                  <a:pt x="0" y="0"/>
                                </a:moveTo>
                                <a:cubicBezTo>
                                  <a:pt x="439" y="168"/>
                                  <a:pt x="877" y="284"/>
                                  <a:pt x="1329" y="387"/>
                                </a:cubicBezTo>
                                <a:cubicBezTo>
                                  <a:pt x="1767" y="490"/>
                                  <a:pt x="2219" y="567"/>
                                  <a:pt x="2657" y="709"/>
                                </a:cubicBezTo>
                                <a:cubicBezTo>
                                  <a:pt x="3096" y="825"/>
                                  <a:pt x="3508" y="993"/>
                                  <a:pt x="3908" y="1212"/>
                                </a:cubicBezTo>
                                <a:cubicBezTo>
                                  <a:pt x="4308" y="1444"/>
                                  <a:pt x="4656" y="1741"/>
                                  <a:pt x="4927" y="2102"/>
                                </a:cubicBezTo>
                                <a:cubicBezTo>
                                  <a:pt x="4695" y="1715"/>
                                  <a:pt x="4359" y="1380"/>
                                  <a:pt x="3960" y="1135"/>
                                </a:cubicBezTo>
                                <a:cubicBezTo>
                                  <a:pt x="3560" y="903"/>
                                  <a:pt x="3134" y="709"/>
                                  <a:pt x="2696" y="593"/>
                                </a:cubicBezTo>
                                <a:cubicBezTo>
                                  <a:pt x="2244" y="464"/>
                                  <a:pt x="1793" y="374"/>
                                  <a:pt x="1355" y="284"/>
                                </a:cubicBezTo>
                                <a:cubicBezTo>
                                  <a:pt x="903" y="206"/>
                                  <a:pt x="452" y="129"/>
                                  <a:pt x="0" y="0"/>
                                </a:cubicBezTo>
                                <a:close/>
                              </a:path>
                            </a:pathLst>
                          </a:custGeom>
                          <a:solidFill>
                            <a:srgbClr val="752B18"/>
                          </a:solidFill>
                          <a:ln>
                            <a:noFill/>
                          </a:ln>
                        </wps:spPr>
                        <wps:bodyPr spcFirstLastPara="1" wrap="square" lIns="91425" tIns="91425" rIns="91425" bIns="91425" anchor="ctr" anchorCtr="0">
                          <a:noAutofit/>
                        </wps:bodyPr>
                      </wps:wsp>
                      <wps:wsp>
                        <wps:cNvPr id="137153436" name="Google Shape;1576;p65"/>
                        <wps:cNvSpPr/>
                        <wps:spPr>
                          <a:xfrm>
                            <a:off x="296822" y="277610"/>
                            <a:ext cx="66177" cy="35028"/>
                          </a:xfrm>
                          <a:custGeom>
                            <a:avLst/>
                            <a:gdLst/>
                            <a:ahLst/>
                            <a:cxnLst/>
                            <a:rect l="l" t="t" r="r" b="b"/>
                            <a:pathLst>
                              <a:path w="3225" h="1707" extrusionOk="0">
                                <a:moveTo>
                                  <a:pt x="0" y="0"/>
                                </a:moveTo>
                                <a:lnTo>
                                  <a:pt x="0" y="0"/>
                                </a:lnTo>
                                <a:cubicBezTo>
                                  <a:pt x="1" y="1"/>
                                  <a:pt x="620" y="877"/>
                                  <a:pt x="1380" y="1316"/>
                                </a:cubicBezTo>
                                <a:cubicBezTo>
                                  <a:pt x="1853" y="1574"/>
                                  <a:pt x="2379" y="1706"/>
                                  <a:pt x="2906" y="1706"/>
                                </a:cubicBezTo>
                                <a:cubicBezTo>
                                  <a:pt x="3012" y="1706"/>
                                  <a:pt x="3119" y="1701"/>
                                  <a:pt x="3225" y="1690"/>
                                </a:cubicBezTo>
                                <a:lnTo>
                                  <a:pt x="3121" y="1019"/>
                                </a:lnTo>
                                <a:cubicBezTo>
                                  <a:pt x="2908" y="1065"/>
                                  <a:pt x="2692" y="1089"/>
                                  <a:pt x="2477" y="1089"/>
                                </a:cubicBezTo>
                                <a:cubicBezTo>
                                  <a:pt x="2148" y="1089"/>
                                  <a:pt x="1822" y="1033"/>
                                  <a:pt x="1509" y="916"/>
                                </a:cubicBezTo>
                                <a:cubicBezTo>
                                  <a:pt x="955" y="710"/>
                                  <a:pt x="439" y="400"/>
                                  <a:pt x="0" y="0"/>
                                </a:cubicBezTo>
                                <a:close/>
                              </a:path>
                            </a:pathLst>
                          </a:custGeom>
                          <a:solidFill>
                            <a:srgbClr val="752B18"/>
                          </a:solidFill>
                          <a:ln>
                            <a:noFill/>
                          </a:ln>
                        </wps:spPr>
                        <wps:bodyPr spcFirstLastPara="1" wrap="square" lIns="91425" tIns="91425" rIns="91425" bIns="91425" anchor="ctr" anchorCtr="0">
                          <a:noAutofit/>
                        </wps:bodyPr>
                      </wps:wsp>
                      <wps:wsp>
                        <wps:cNvPr id="792773472" name="Google Shape;1577;p65"/>
                        <wps:cNvSpPr/>
                        <wps:spPr>
                          <a:xfrm>
                            <a:off x="353189" y="125970"/>
                            <a:ext cx="20397" cy="73707"/>
                          </a:xfrm>
                          <a:custGeom>
                            <a:avLst/>
                            <a:gdLst/>
                            <a:ahLst/>
                            <a:cxnLst/>
                            <a:rect l="l" t="t" r="r" b="b"/>
                            <a:pathLst>
                              <a:path w="994" h="3592" extrusionOk="0">
                                <a:moveTo>
                                  <a:pt x="503" y="1"/>
                                </a:moveTo>
                                <a:cubicBezTo>
                                  <a:pt x="478" y="594"/>
                                  <a:pt x="491" y="1187"/>
                                  <a:pt x="555" y="1780"/>
                                </a:cubicBezTo>
                                <a:cubicBezTo>
                                  <a:pt x="594" y="2077"/>
                                  <a:pt x="632" y="2361"/>
                                  <a:pt x="697" y="2657"/>
                                </a:cubicBezTo>
                                <a:cubicBezTo>
                                  <a:pt x="746" y="2929"/>
                                  <a:pt x="807" y="3212"/>
                                  <a:pt x="880" y="3485"/>
                                </a:cubicBezTo>
                                <a:lnTo>
                                  <a:pt x="880" y="3485"/>
                                </a:lnTo>
                                <a:cubicBezTo>
                                  <a:pt x="766" y="3518"/>
                                  <a:pt x="650" y="3534"/>
                                  <a:pt x="534" y="3534"/>
                                </a:cubicBezTo>
                                <a:cubicBezTo>
                                  <a:pt x="349" y="3534"/>
                                  <a:pt x="166" y="3493"/>
                                  <a:pt x="0" y="3418"/>
                                </a:cubicBezTo>
                                <a:lnTo>
                                  <a:pt x="0" y="3418"/>
                                </a:lnTo>
                                <a:cubicBezTo>
                                  <a:pt x="191" y="3531"/>
                                  <a:pt x="411" y="3591"/>
                                  <a:pt x="632" y="3591"/>
                                </a:cubicBezTo>
                                <a:cubicBezTo>
                                  <a:pt x="741" y="3591"/>
                                  <a:pt x="849" y="3577"/>
                                  <a:pt x="955" y="3547"/>
                                </a:cubicBezTo>
                                <a:lnTo>
                                  <a:pt x="993" y="3547"/>
                                </a:lnTo>
                                <a:lnTo>
                                  <a:pt x="993" y="3496"/>
                                </a:lnTo>
                                <a:cubicBezTo>
                                  <a:pt x="929" y="3212"/>
                                  <a:pt x="865" y="2928"/>
                                  <a:pt x="813" y="2632"/>
                                </a:cubicBezTo>
                                <a:cubicBezTo>
                                  <a:pt x="774" y="2348"/>
                                  <a:pt x="723" y="2051"/>
                                  <a:pt x="684" y="1768"/>
                                </a:cubicBezTo>
                                <a:cubicBezTo>
                                  <a:pt x="607" y="1174"/>
                                  <a:pt x="542" y="594"/>
                                  <a:pt x="503" y="1"/>
                                </a:cubicBezTo>
                                <a:close/>
                              </a:path>
                            </a:pathLst>
                          </a:custGeom>
                          <a:solidFill>
                            <a:srgbClr val="752B18"/>
                          </a:solidFill>
                          <a:ln>
                            <a:noFill/>
                          </a:ln>
                        </wps:spPr>
                        <wps:bodyPr spcFirstLastPara="1" wrap="square" lIns="91425" tIns="91425" rIns="91425" bIns="91425" anchor="ctr" anchorCtr="0">
                          <a:noAutofit/>
                        </wps:bodyPr>
                      </wps:wsp>
                      <wps:wsp>
                        <wps:cNvPr id="388025006" name="Google Shape;1578;p65"/>
                        <wps:cNvSpPr/>
                        <wps:spPr>
                          <a:xfrm>
                            <a:off x="329099" y="225798"/>
                            <a:ext cx="36279" cy="17421"/>
                          </a:xfrm>
                          <a:custGeom>
                            <a:avLst/>
                            <a:gdLst/>
                            <a:ahLst/>
                            <a:cxnLst/>
                            <a:rect l="l" t="t" r="r" b="b"/>
                            <a:pathLst>
                              <a:path w="1768" h="849" extrusionOk="0">
                                <a:moveTo>
                                  <a:pt x="191" y="1"/>
                                </a:moveTo>
                                <a:cubicBezTo>
                                  <a:pt x="128" y="1"/>
                                  <a:pt x="64" y="4"/>
                                  <a:pt x="1" y="11"/>
                                </a:cubicBezTo>
                                <a:cubicBezTo>
                                  <a:pt x="426" y="385"/>
                                  <a:pt x="1045" y="849"/>
                                  <a:pt x="1536" y="849"/>
                                </a:cubicBezTo>
                                <a:cubicBezTo>
                                  <a:pt x="1613" y="849"/>
                                  <a:pt x="1690" y="836"/>
                                  <a:pt x="1768" y="810"/>
                                </a:cubicBezTo>
                                <a:cubicBezTo>
                                  <a:pt x="1587" y="552"/>
                                  <a:pt x="1355" y="359"/>
                                  <a:pt x="1084" y="217"/>
                                </a:cubicBezTo>
                                <a:cubicBezTo>
                                  <a:pt x="806" y="78"/>
                                  <a:pt x="501" y="1"/>
                                  <a:pt x="191" y="1"/>
                                </a:cubicBezTo>
                                <a:close/>
                              </a:path>
                            </a:pathLst>
                          </a:custGeom>
                          <a:solidFill>
                            <a:srgbClr val="AD3B32"/>
                          </a:solidFill>
                          <a:ln>
                            <a:noFill/>
                          </a:ln>
                        </wps:spPr>
                        <wps:bodyPr spcFirstLastPara="1" wrap="square" lIns="91425" tIns="91425" rIns="91425" bIns="91425" anchor="ctr" anchorCtr="0">
                          <a:noAutofit/>
                        </wps:bodyPr>
                      </wps:wsp>
                      <wps:wsp>
                        <wps:cNvPr id="118166475" name="Google Shape;1579;p65"/>
                        <wps:cNvSpPr/>
                        <wps:spPr>
                          <a:xfrm>
                            <a:off x="319845" y="213569"/>
                            <a:ext cx="74385" cy="28872"/>
                          </a:xfrm>
                          <a:custGeom>
                            <a:avLst/>
                            <a:gdLst/>
                            <a:ahLst/>
                            <a:cxnLst/>
                            <a:rect l="l" t="t" r="r" b="b"/>
                            <a:pathLst>
                              <a:path w="3625" h="1407" extrusionOk="0">
                                <a:moveTo>
                                  <a:pt x="3624" y="0"/>
                                </a:moveTo>
                                <a:cubicBezTo>
                                  <a:pt x="3624" y="1"/>
                                  <a:pt x="3199" y="413"/>
                                  <a:pt x="2103" y="452"/>
                                </a:cubicBezTo>
                                <a:cubicBezTo>
                                  <a:pt x="2058" y="453"/>
                                  <a:pt x="2014" y="453"/>
                                  <a:pt x="1970" y="453"/>
                                </a:cubicBezTo>
                                <a:cubicBezTo>
                                  <a:pt x="1305" y="453"/>
                                  <a:pt x="641" y="362"/>
                                  <a:pt x="0" y="181"/>
                                </a:cubicBezTo>
                                <a:lnTo>
                                  <a:pt x="0" y="181"/>
                                </a:lnTo>
                                <a:cubicBezTo>
                                  <a:pt x="1" y="181"/>
                                  <a:pt x="181" y="375"/>
                                  <a:pt x="452" y="607"/>
                                </a:cubicBezTo>
                                <a:cubicBezTo>
                                  <a:pt x="515" y="601"/>
                                  <a:pt x="577" y="598"/>
                                  <a:pt x="640" y="598"/>
                                </a:cubicBezTo>
                                <a:cubicBezTo>
                                  <a:pt x="1267" y="598"/>
                                  <a:pt x="1856" y="890"/>
                                  <a:pt x="2232" y="1406"/>
                                </a:cubicBezTo>
                                <a:cubicBezTo>
                                  <a:pt x="2954" y="1174"/>
                                  <a:pt x="3624" y="1"/>
                                  <a:pt x="3624" y="0"/>
                                </a:cubicBezTo>
                                <a:close/>
                              </a:path>
                            </a:pathLst>
                          </a:custGeom>
                          <a:solidFill>
                            <a:schemeClr val="accent3"/>
                          </a:solidFill>
                          <a:ln>
                            <a:noFill/>
                          </a:ln>
                        </wps:spPr>
                        <wps:bodyPr spcFirstLastPara="1" wrap="square" lIns="91425" tIns="91425" rIns="91425" bIns="91425" anchor="ctr" anchorCtr="0">
                          <a:noAutofit/>
                        </wps:bodyPr>
                      </wps:wsp>
                      <wps:wsp>
                        <wps:cNvPr id="1564928826" name="Google Shape;1580;p65"/>
                        <wps:cNvSpPr/>
                        <wps:spPr>
                          <a:xfrm>
                            <a:off x="318778" y="140786"/>
                            <a:ext cx="14323" cy="21731"/>
                          </a:xfrm>
                          <a:custGeom>
                            <a:avLst/>
                            <a:gdLst/>
                            <a:ahLst/>
                            <a:cxnLst/>
                            <a:rect l="l" t="t" r="r" b="b"/>
                            <a:pathLst>
                              <a:path w="698" h="1059" extrusionOk="0">
                                <a:moveTo>
                                  <a:pt x="349" y="1"/>
                                </a:moveTo>
                                <a:cubicBezTo>
                                  <a:pt x="156" y="1"/>
                                  <a:pt x="1" y="233"/>
                                  <a:pt x="1" y="530"/>
                                </a:cubicBezTo>
                                <a:cubicBezTo>
                                  <a:pt x="1" y="826"/>
                                  <a:pt x="156" y="1058"/>
                                  <a:pt x="349" y="1058"/>
                                </a:cubicBezTo>
                                <a:cubicBezTo>
                                  <a:pt x="543" y="1058"/>
                                  <a:pt x="697" y="826"/>
                                  <a:pt x="697" y="530"/>
                                </a:cubicBezTo>
                                <a:cubicBezTo>
                                  <a:pt x="697" y="233"/>
                                  <a:pt x="543" y="1"/>
                                  <a:pt x="349" y="1"/>
                                </a:cubicBezTo>
                                <a:close/>
                              </a:path>
                            </a:pathLst>
                          </a:custGeom>
                          <a:solidFill>
                            <a:schemeClr val="accent3"/>
                          </a:solidFill>
                          <a:ln>
                            <a:noFill/>
                          </a:ln>
                        </wps:spPr>
                        <wps:bodyPr spcFirstLastPara="1" wrap="square" lIns="91425" tIns="91425" rIns="91425" bIns="91425" anchor="ctr" anchorCtr="0">
                          <a:noAutofit/>
                        </wps:bodyPr>
                      </wps:wsp>
                      <wps:wsp>
                        <wps:cNvPr id="1374193440" name="Google Shape;1581;p65"/>
                        <wps:cNvSpPr/>
                        <wps:spPr>
                          <a:xfrm>
                            <a:off x="296555" y="103440"/>
                            <a:ext cx="47914" cy="31293"/>
                          </a:xfrm>
                          <a:custGeom>
                            <a:avLst/>
                            <a:gdLst/>
                            <a:ahLst/>
                            <a:cxnLst/>
                            <a:rect l="l" t="t" r="r" b="b"/>
                            <a:pathLst>
                              <a:path w="2335" h="1525" extrusionOk="0">
                                <a:moveTo>
                                  <a:pt x="1642" y="1"/>
                                </a:moveTo>
                                <a:cubicBezTo>
                                  <a:pt x="1619" y="1"/>
                                  <a:pt x="1597" y="1"/>
                                  <a:pt x="1574" y="3"/>
                                </a:cubicBezTo>
                                <a:cubicBezTo>
                                  <a:pt x="1316" y="28"/>
                                  <a:pt x="1058" y="132"/>
                                  <a:pt x="839" y="286"/>
                                </a:cubicBezTo>
                                <a:cubicBezTo>
                                  <a:pt x="633" y="428"/>
                                  <a:pt x="439" y="609"/>
                                  <a:pt x="297" y="828"/>
                                </a:cubicBezTo>
                                <a:cubicBezTo>
                                  <a:pt x="155" y="1034"/>
                                  <a:pt x="52" y="1266"/>
                                  <a:pt x="1" y="1511"/>
                                </a:cubicBezTo>
                                <a:lnTo>
                                  <a:pt x="39" y="1524"/>
                                </a:lnTo>
                                <a:cubicBezTo>
                                  <a:pt x="130" y="1305"/>
                                  <a:pt x="259" y="1099"/>
                                  <a:pt x="426" y="931"/>
                                </a:cubicBezTo>
                                <a:cubicBezTo>
                                  <a:pt x="581" y="763"/>
                                  <a:pt x="774" y="622"/>
                                  <a:pt x="981" y="518"/>
                                </a:cubicBezTo>
                                <a:cubicBezTo>
                                  <a:pt x="1187" y="441"/>
                                  <a:pt x="1406" y="377"/>
                                  <a:pt x="1626" y="338"/>
                                </a:cubicBezTo>
                                <a:cubicBezTo>
                                  <a:pt x="1858" y="299"/>
                                  <a:pt x="2090" y="260"/>
                                  <a:pt x="2322" y="235"/>
                                </a:cubicBezTo>
                                <a:lnTo>
                                  <a:pt x="2335" y="196"/>
                                </a:lnTo>
                                <a:cubicBezTo>
                                  <a:pt x="2134" y="66"/>
                                  <a:pt x="1890" y="1"/>
                                  <a:pt x="1642" y="1"/>
                                </a:cubicBezTo>
                                <a:close/>
                              </a:path>
                            </a:pathLst>
                          </a:custGeom>
                          <a:solidFill>
                            <a:schemeClr val="accent3"/>
                          </a:solidFill>
                          <a:ln>
                            <a:noFill/>
                          </a:ln>
                        </wps:spPr>
                        <wps:bodyPr spcFirstLastPara="1" wrap="square" lIns="91425" tIns="91425" rIns="91425" bIns="91425" anchor="ctr" anchorCtr="0">
                          <a:noAutofit/>
                        </wps:bodyPr>
                      </wps:wsp>
                      <wps:wsp>
                        <wps:cNvPr id="42997409" name="Google Shape;1582;p65"/>
                        <wps:cNvSpPr/>
                        <wps:spPr>
                          <a:xfrm>
                            <a:off x="386534" y="140786"/>
                            <a:ext cx="14035" cy="21730"/>
                          </a:xfrm>
                          <a:custGeom>
                            <a:avLst/>
                            <a:gdLst/>
                            <a:ahLst/>
                            <a:cxnLst/>
                            <a:rect l="l" t="t" r="r" b="b"/>
                            <a:pathLst>
                              <a:path w="684" h="1059" extrusionOk="0">
                                <a:moveTo>
                                  <a:pt x="336" y="1"/>
                                </a:moveTo>
                                <a:cubicBezTo>
                                  <a:pt x="155" y="1"/>
                                  <a:pt x="0" y="233"/>
                                  <a:pt x="0" y="530"/>
                                </a:cubicBezTo>
                                <a:cubicBezTo>
                                  <a:pt x="0" y="826"/>
                                  <a:pt x="155" y="1058"/>
                                  <a:pt x="336" y="1058"/>
                                </a:cubicBezTo>
                                <a:cubicBezTo>
                                  <a:pt x="529" y="1058"/>
                                  <a:pt x="684" y="826"/>
                                  <a:pt x="684" y="530"/>
                                </a:cubicBezTo>
                                <a:cubicBezTo>
                                  <a:pt x="684" y="233"/>
                                  <a:pt x="529" y="1"/>
                                  <a:pt x="336" y="1"/>
                                </a:cubicBezTo>
                                <a:close/>
                              </a:path>
                            </a:pathLst>
                          </a:custGeom>
                          <a:solidFill>
                            <a:schemeClr val="accent3"/>
                          </a:solidFill>
                          <a:ln>
                            <a:noFill/>
                          </a:ln>
                        </wps:spPr>
                        <wps:bodyPr spcFirstLastPara="1" wrap="square" lIns="91425" tIns="91425" rIns="91425" bIns="91425" anchor="ctr" anchorCtr="0">
                          <a:noAutofit/>
                        </wps:bodyPr>
                      </wps:wsp>
                      <wps:wsp>
                        <wps:cNvPr id="1993000298" name="Google Shape;1583;p65"/>
                        <wps:cNvSpPr/>
                        <wps:spPr>
                          <a:xfrm>
                            <a:off x="370385" y="103440"/>
                            <a:ext cx="47667" cy="31292"/>
                          </a:xfrm>
                          <a:custGeom>
                            <a:avLst/>
                            <a:gdLst/>
                            <a:ahLst/>
                            <a:cxnLst/>
                            <a:rect l="l" t="t" r="r" b="b"/>
                            <a:pathLst>
                              <a:path w="2323" h="1525" extrusionOk="0">
                                <a:moveTo>
                                  <a:pt x="681" y="1"/>
                                </a:moveTo>
                                <a:cubicBezTo>
                                  <a:pt x="435" y="1"/>
                                  <a:pt x="202" y="66"/>
                                  <a:pt x="1" y="196"/>
                                </a:cubicBezTo>
                                <a:lnTo>
                                  <a:pt x="1" y="235"/>
                                </a:lnTo>
                                <a:cubicBezTo>
                                  <a:pt x="233" y="260"/>
                                  <a:pt x="478" y="299"/>
                                  <a:pt x="710" y="338"/>
                                </a:cubicBezTo>
                                <a:cubicBezTo>
                                  <a:pt x="929" y="377"/>
                                  <a:pt x="1136" y="441"/>
                                  <a:pt x="1355" y="518"/>
                                </a:cubicBezTo>
                                <a:cubicBezTo>
                                  <a:pt x="1561" y="622"/>
                                  <a:pt x="1742" y="763"/>
                                  <a:pt x="1897" y="931"/>
                                </a:cubicBezTo>
                                <a:cubicBezTo>
                                  <a:pt x="2064" y="1099"/>
                                  <a:pt x="2193" y="1305"/>
                                  <a:pt x="2296" y="1524"/>
                                </a:cubicBezTo>
                                <a:lnTo>
                                  <a:pt x="2322" y="1524"/>
                                </a:lnTo>
                                <a:cubicBezTo>
                                  <a:pt x="2271" y="1279"/>
                                  <a:pt x="2180" y="1034"/>
                                  <a:pt x="2038" y="828"/>
                                </a:cubicBezTo>
                                <a:cubicBezTo>
                                  <a:pt x="1884" y="622"/>
                                  <a:pt x="1703" y="428"/>
                                  <a:pt x="1484" y="286"/>
                                </a:cubicBezTo>
                                <a:cubicBezTo>
                                  <a:pt x="1265" y="132"/>
                                  <a:pt x="1020" y="28"/>
                                  <a:pt x="749" y="3"/>
                                </a:cubicBezTo>
                                <a:cubicBezTo>
                                  <a:pt x="726" y="1"/>
                                  <a:pt x="704" y="1"/>
                                  <a:pt x="681" y="1"/>
                                </a:cubicBezTo>
                                <a:close/>
                              </a:path>
                            </a:pathLst>
                          </a:custGeom>
                          <a:solidFill>
                            <a:schemeClr val="accent3"/>
                          </a:solidFill>
                          <a:ln>
                            <a:noFill/>
                          </a:ln>
                        </wps:spPr>
                        <wps:bodyPr spcFirstLastPara="1" wrap="square" lIns="91425" tIns="91425" rIns="91425" bIns="91425" anchor="ctr" anchorCtr="0">
                          <a:noAutofit/>
                        </wps:bodyPr>
                      </wps:wsp>
                      <wps:wsp>
                        <wps:cNvPr id="1338314598" name="Google Shape;1584;p65"/>
                        <wps:cNvSpPr/>
                        <wps:spPr>
                          <a:xfrm>
                            <a:off x="210557" y="148521"/>
                            <a:ext cx="34945" cy="49186"/>
                          </a:xfrm>
                          <a:custGeom>
                            <a:avLst/>
                            <a:gdLst/>
                            <a:ahLst/>
                            <a:cxnLst/>
                            <a:rect l="l" t="t" r="r" b="b"/>
                            <a:pathLst>
                              <a:path w="1703" h="2397" extrusionOk="0">
                                <a:moveTo>
                                  <a:pt x="751" y="0"/>
                                </a:moveTo>
                                <a:cubicBezTo>
                                  <a:pt x="663" y="0"/>
                                  <a:pt x="574" y="21"/>
                                  <a:pt x="490" y="62"/>
                                </a:cubicBezTo>
                                <a:cubicBezTo>
                                  <a:pt x="490" y="62"/>
                                  <a:pt x="0" y="669"/>
                                  <a:pt x="568" y="1546"/>
                                </a:cubicBezTo>
                                <a:cubicBezTo>
                                  <a:pt x="1091" y="2374"/>
                                  <a:pt x="1638" y="2397"/>
                                  <a:pt x="1697" y="2397"/>
                                </a:cubicBezTo>
                                <a:cubicBezTo>
                                  <a:pt x="1701" y="2397"/>
                                  <a:pt x="1703" y="2397"/>
                                  <a:pt x="1703" y="2397"/>
                                </a:cubicBezTo>
                                <a:cubicBezTo>
                                  <a:pt x="1457" y="2216"/>
                                  <a:pt x="1264" y="1997"/>
                                  <a:pt x="1135" y="1739"/>
                                </a:cubicBezTo>
                                <a:cubicBezTo>
                                  <a:pt x="1109" y="1700"/>
                                  <a:pt x="1096" y="1662"/>
                                  <a:pt x="1122" y="1636"/>
                                </a:cubicBezTo>
                                <a:cubicBezTo>
                                  <a:pt x="1135" y="1623"/>
                                  <a:pt x="1148" y="1610"/>
                                  <a:pt x="1174" y="1610"/>
                                </a:cubicBezTo>
                                <a:cubicBezTo>
                                  <a:pt x="1341" y="1571"/>
                                  <a:pt x="1509" y="1558"/>
                                  <a:pt x="1677" y="1558"/>
                                </a:cubicBezTo>
                                <a:cubicBezTo>
                                  <a:pt x="1638" y="1313"/>
                                  <a:pt x="1586" y="1068"/>
                                  <a:pt x="1522" y="836"/>
                                </a:cubicBezTo>
                                <a:cubicBezTo>
                                  <a:pt x="1470" y="591"/>
                                  <a:pt x="1354" y="359"/>
                                  <a:pt x="1187" y="179"/>
                                </a:cubicBezTo>
                                <a:cubicBezTo>
                                  <a:pt x="1063" y="63"/>
                                  <a:pt x="908" y="0"/>
                                  <a:pt x="751" y="0"/>
                                </a:cubicBezTo>
                                <a:close/>
                              </a:path>
                            </a:pathLst>
                          </a:custGeom>
                          <a:solidFill>
                            <a:srgbClr val="F08576"/>
                          </a:solidFill>
                          <a:ln>
                            <a:noFill/>
                          </a:ln>
                        </wps:spPr>
                        <wps:bodyPr spcFirstLastPara="1" wrap="square" lIns="91425" tIns="91425" rIns="91425" bIns="91425" anchor="ctr" anchorCtr="0">
                          <a:noAutofit/>
                        </wps:bodyPr>
                      </wps:wsp>
                      <wps:wsp>
                        <wps:cNvPr id="1706839545" name="Google Shape;1585;p65"/>
                        <wps:cNvSpPr/>
                        <wps:spPr>
                          <a:xfrm>
                            <a:off x="220345" y="148029"/>
                            <a:ext cx="25957" cy="49678"/>
                          </a:xfrm>
                          <a:custGeom>
                            <a:avLst/>
                            <a:gdLst/>
                            <a:ahLst/>
                            <a:cxnLst/>
                            <a:rect l="l" t="t" r="r" b="b"/>
                            <a:pathLst>
                              <a:path w="1265" h="2421" extrusionOk="0">
                                <a:moveTo>
                                  <a:pt x="301" y="0"/>
                                </a:moveTo>
                                <a:cubicBezTo>
                                  <a:pt x="196" y="0"/>
                                  <a:pt x="93" y="30"/>
                                  <a:pt x="0" y="86"/>
                                </a:cubicBezTo>
                                <a:cubicBezTo>
                                  <a:pt x="68" y="60"/>
                                  <a:pt x="140" y="47"/>
                                  <a:pt x="211" y="47"/>
                                </a:cubicBezTo>
                                <a:cubicBezTo>
                                  <a:pt x="318" y="47"/>
                                  <a:pt x="424" y="76"/>
                                  <a:pt x="516" y="138"/>
                                </a:cubicBezTo>
                                <a:cubicBezTo>
                                  <a:pt x="671" y="228"/>
                                  <a:pt x="787" y="370"/>
                                  <a:pt x="864" y="538"/>
                                </a:cubicBezTo>
                                <a:cubicBezTo>
                                  <a:pt x="929" y="705"/>
                                  <a:pt x="980" y="873"/>
                                  <a:pt x="1019" y="1054"/>
                                </a:cubicBezTo>
                                <a:cubicBezTo>
                                  <a:pt x="1052" y="1209"/>
                                  <a:pt x="1076" y="1364"/>
                                  <a:pt x="1107" y="1519"/>
                                </a:cubicBezTo>
                                <a:lnTo>
                                  <a:pt x="1107" y="1519"/>
                                </a:lnTo>
                                <a:cubicBezTo>
                                  <a:pt x="996" y="1523"/>
                                  <a:pt x="891" y="1536"/>
                                  <a:pt x="787" y="1557"/>
                                </a:cubicBezTo>
                                <a:lnTo>
                                  <a:pt x="697" y="1582"/>
                                </a:lnTo>
                                <a:cubicBezTo>
                                  <a:pt x="671" y="1582"/>
                                  <a:pt x="658" y="1595"/>
                                  <a:pt x="632" y="1595"/>
                                </a:cubicBezTo>
                                <a:cubicBezTo>
                                  <a:pt x="606" y="1608"/>
                                  <a:pt x="581" y="1634"/>
                                  <a:pt x="581" y="1660"/>
                                </a:cubicBezTo>
                                <a:cubicBezTo>
                                  <a:pt x="568" y="1711"/>
                                  <a:pt x="594" y="1750"/>
                                  <a:pt x="619" y="1789"/>
                                </a:cubicBezTo>
                                <a:lnTo>
                                  <a:pt x="671" y="1866"/>
                                </a:lnTo>
                                <a:cubicBezTo>
                                  <a:pt x="735" y="1982"/>
                                  <a:pt x="826" y="2085"/>
                                  <a:pt x="916" y="2176"/>
                                </a:cubicBezTo>
                                <a:cubicBezTo>
                                  <a:pt x="1006" y="2266"/>
                                  <a:pt x="1109" y="2343"/>
                                  <a:pt x="1226" y="2421"/>
                                </a:cubicBezTo>
                                <a:cubicBezTo>
                                  <a:pt x="1032" y="2240"/>
                                  <a:pt x="864" y="2047"/>
                                  <a:pt x="735" y="1827"/>
                                </a:cubicBezTo>
                                <a:cubicBezTo>
                                  <a:pt x="710" y="1776"/>
                                  <a:pt x="684" y="1686"/>
                                  <a:pt x="684" y="1686"/>
                                </a:cubicBezTo>
                                <a:lnTo>
                                  <a:pt x="723" y="1686"/>
                                </a:lnTo>
                                <a:lnTo>
                                  <a:pt x="813" y="1673"/>
                                </a:lnTo>
                                <a:cubicBezTo>
                                  <a:pt x="929" y="1647"/>
                                  <a:pt x="1058" y="1647"/>
                                  <a:pt x="1187" y="1647"/>
                                </a:cubicBezTo>
                                <a:lnTo>
                                  <a:pt x="1264" y="1647"/>
                                </a:lnTo>
                                <a:lnTo>
                                  <a:pt x="1251" y="1570"/>
                                </a:lnTo>
                                <a:cubicBezTo>
                                  <a:pt x="1226" y="1389"/>
                                  <a:pt x="1187" y="1196"/>
                                  <a:pt x="1148" y="1015"/>
                                </a:cubicBezTo>
                                <a:cubicBezTo>
                                  <a:pt x="1109" y="834"/>
                                  <a:pt x="1045" y="641"/>
                                  <a:pt x="955" y="473"/>
                                </a:cubicBezTo>
                                <a:cubicBezTo>
                                  <a:pt x="877" y="293"/>
                                  <a:pt x="735" y="151"/>
                                  <a:pt x="555" y="61"/>
                                </a:cubicBezTo>
                                <a:cubicBezTo>
                                  <a:pt x="474" y="20"/>
                                  <a:pt x="387" y="0"/>
                                  <a:pt x="301" y="0"/>
                                </a:cubicBezTo>
                                <a:close/>
                              </a:path>
                            </a:pathLst>
                          </a:custGeom>
                          <a:solidFill>
                            <a:srgbClr val="752B18"/>
                          </a:solidFill>
                          <a:ln>
                            <a:noFill/>
                          </a:ln>
                        </wps:spPr>
                        <wps:bodyPr spcFirstLastPara="1" wrap="square" lIns="91425" tIns="91425" rIns="91425" bIns="91425" anchor="ctr" anchorCtr="0">
                          <a:noAutofit/>
                        </wps:bodyPr>
                      </wps:wsp>
                      <wps:wsp>
                        <wps:cNvPr id="1342217800" name="Google Shape;1586;p65"/>
                        <wps:cNvSpPr/>
                        <wps:spPr>
                          <a:xfrm>
                            <a:off x="946494" y="309375"/>
                            <a:ext cx="63529" cy="109308"/>
                          </a:xfrm>
                          <a:custGeom>
                            <a:avLst/>
                            <a:gdLst/>
                            <a:ahLst/>
                            <a:cxnLst/>
                            <a:rect l="l" t="t" r="r" b="b"/>
                            <a:pathLst>
                              <a:path w="3096" h="5327" extrusionOk="0">
                                <a:moveTo>
                                  <a:pt x="3096" y="0"/>
                                </a:moveTo>
                                <a:lnTo>
                                  <a:pt x="3044" y="13"/>
                                </a:lnTo>
                                <a:lnTo>
                                  <a:pt x="2090" y="219"/>
                                </a:lnTo>
                                <a:lnTo>
                                  <a:pt x="1136" y="426"/>
                                </a:lnTo>
                                <a:lnTo>
                                  <a:pt x="2077" y="271"/>
                                </a:lnTo>
                                <a:lnTo>
                                  <a:pt x="2990" y="113"/>
                                </a:lnTo>
                                <a:lnTo>
                                  <a:pt x="2990" y="113"/>
                                </a:lnTo>
                                <a:cubicBezTo>
                                  <a:pt x="2971" y="354"/>
                                  <a:pt x="2906" y="594"/>
                                  <a:pt x="2773" y="800"/>
                                </a:cubicBezTo>
                                <a:cubicBezTo>
                                  <a:pt x="2644" y="1019"/>
                                  <a:pt x="2477" y="1212"/>
                                  <a:pt x="2270" y="1380"/>
                                </a:cubicBezTo>
                                <a:cubicBezTo>
                                  <a:pt x="2077" y="1548"/>
                                  <a:pt x="1858" y="1702"/>
                                  <a:pt x="1626" y="1818"/>
                                </a:cubicBezTo>
                                <a:cubicBezTo>
                                  <a:pt x="1393" y="1935"/>
                                  <a:pt x="1148" y="2012"/>
                                  <a:pt x="890" y="2038"/>
                                </a:cubicBezTo>
                                <a:lnTo>
                                  <a:pt x="826" y="2038"/>
                                </a:lnTo>
                                <a:lnTo>
                                  <a:pt x="839" y="2102"/>
                                </a:lnTo>
                                <a:cubicBezTo>
                                  <a:pt x="865" y="2373"/>
                                  <a:pt x="865" y="2657"/>
                                  <a:pt x="839" y="2940"/>
                                </a:cubicBezTo>
                                <a:cubicBezTo>
                                  <a:pt x="813" y="3224"/>
                                  <a:pt x="762" y="3495"/>
                                  <a:pt x="697" y="3779"/>
                                </a:cubicBezTo>
                                <a:cubicBezTo>
                                  <a:pt x="620" y="4050"/>
                                  <a:pt x="529" y="4320"/>
                                  <a:pt x="413" y="4578"/>
                                </a:cubicBezTo>
                                <a:cubicBezTo>
                                  <a:pt x="310" y="4836"/>
                                  <a:pt x="168" y="5094"/>
                                  <a:pt x="1" y="5326"/>
                                </a:cubicBezTo>
                                <a:cubicBezTo>
                                  <a:pt x="181" y="5094"/>
                                  <a:pt x="336" y="4862"/>
                                  <a:pt x="465" y="4604"/>
                                </a:cubicBezTo>
                                <a:cubicBezTo>
                                  <a:pt x="723" y="4088"/>
                                  <a:pt x="878" y="3521"/>
                                  <a:pt x="942" y="2953"/>
                                </a:cubicBezTo>
                                <a:cubicBezTo>
                                  <a:pt x="978" y="2689"/>
                                  <a:pt x="981" y="2413"/>
                                  <a:pt x="949" y="2147"/>
                                </a:cubicBezTo>
                                <a:lnTo>
                                  <a:pt x="949" y="2147"/>
                                </a:lnTo>
                                <a:cubicBezTo>
                                  <a:pt x="1200" y="2116"/>
                                  <a:pt x="1450" y="2041"/>
                                  <a:pt x="1677" y="1922"/>
                                </a:cubicBezTo>
                                <a:cubicBezTo>
                                  <a:pt x="1922" y="1806"/>
                                  <a:pt x="2141" y="1651"/>
                                  <a:pt x="2348" y="1470"/>
                                </a:cubicBezTo>
                                <a:cubicBezTo>
                                  <a:pt x="2567" y="1290"/>
                                  <a:pt x="2735" y="1083"/>
                                  <a:pt x="2877" y="851"/>
                                </a:cubicBezTo>
                                <a:cubicBezTo>
                                  <a:pt x="3018" y="606"/>
                                  <a:pt x="3096" y="335"/>
                                  <a:pt x="3096" y="52"/>
                                </a:cubicBezTo>
                                <a:lnTo>
                                  <a:pt x="3096" y="0"/>
                                </a:lnTo>
                                <a:close/>
                              </a:path>
                            </a:pathLst>
                          </a:custGeom>
                          <a:solidFill>
                            <a:srgbClr val="752B18"/>
                          </a:solidFill>
                          <a:ln>
                            <a:noFill/>
                          </a:ln>
                        </wps:spPr>
                        <wps:bodyPr spcFirstLastPara="1" wrap="square" lIns="91425" tIns="91425" rIns="91425" bIns="91425" anchor="ctr" anchorCtr="0">
                          <a:noAutofit/>
                        </wps:bodyPr>
                      </wps:wsp>
                      <wps:wsp>
                        <wps:cNvPr id="665601900" name="Google Shape;1587;p65"/>
                        <wps:cNvSpPr/>
                        <wps:spPr>
                          <a:xfrm>
                            <a:off x="957616" y="401200"/>
                            <a:ext cx="17216" cy="24152"/>
                          </a:xfrm>
                          <a:custGeom>
                            <a:avLst/>
                            <a:gdLst/>
                            <a:ahLst/>
                            <a:cxnLst/>
                            <a:rect l="l" t="t" r="r" b="b"/>
                            <a:pathLst>
                              <a:path w="839" h="1177" extrusionOk="0">
                                <a:moveTo>
                                  <a:pt x="26" y="0"/>
                                </a:moveTo>
                                <a:cubicBezTo>
                                  <a:pt x="0" y="258"/>
                                  <a:pt x="65" y="529"/>
                                  <a:pt x="181" y="761"/>
                                </a:cubicBezTo>
                                <a:cubicBezTo>
                                  <a:pt x="245" y="877"/>
                                  <a:pt x="348" y="980"/>
                                  <a:pt x="452" y="1071"/>
                                </a:cubicBezTo>
                                <a:cubicBezTo>
                                  <a:pt x="553" y="1138"/>
                                  <a:pt x="664" y="1176"/>
                                  <a:pt x="785" y="1176"/>
                                </a:cubicBezTo>
                                <a:cubicBezTo>
                                  <a:pt x="803" y="1176"/>
                                  <a:pt x="821" y="1175"/>
                                  <a:pt x="839" y="1174"/>
                                </a:cubicBezTo>
                                <a:cubicBezTo>
                                  <a:pt x="722" y="1135"/>
                                  <a:pt x="606" y="1071"/>
                                  <a:pt x="516" y="980"/>
                                </a:cubicBezTo>
                                <a:cubicBezTo>
                                  <a:pt x="426" y="903"/>
                                  <a:pt x="361" y="813"/>
                                  <a:pt x="297" y="697"/>
                                </a:cubicBezTo>
                                <a:cubicBezTo>
                                  <a:pt x="181" y="477"/>
                                  <a:pt x="91" y="232"/>
                                  <a:pt x="26" y="0"/>
                                </a:cubicBezTo>
                                <a:close/>
                              </a:path>
                            </a:pathLst>
                          </a:custGeom>
                          <a:solidFill>
                            <a:srgbClr val="034154"/>
                          </a:solidFill>
                          <a:ln>
                            <a:noFill/>
                          </a:ln>
                        </wps:spPr>
                        <wps:bodyPr spcFirstLastPara="1" wrap="square" lIns="91425" tIns="91425" rIns="91425" bIns="91425" anchor="ctr" anchorCtr="0">
                          <a:noAutofit/>
                        </wps:bodyPr>
                      </wps:wsp>
                      <wps:wsp>
                        <wps:cNvPr id="1139528210" name="Google Shape;1588;p65"/>
                        <wps:cNvSpPr/>
                        <wps:spPr>
                          <a:xfrm>
                            <a:off x="959996" y="324970"/>
                            <a:ext cx="64062" cy="83925"/>
                          </a:xfrm>
                          <a:custGeom>
                            <a:avLst/>
                            <a:gdLst/>
                            <a:ahLst/>
                            <a:cxnLst/>
                            <a:rect l="l" t="t" r="r" b="b"/>
                            <a:pathLst>
                              <a:path w="3122" h="4090" extrusionOk="0">
                                <a:moveTo>
                                  <a:pt x="3121" y="1"/>
                                </a:moveTo>
                                <a:lnTo>
                                  <a:pt x="3121" y="1"/>
                                </a:lnTo>
                                <a:cubicBezTo>
                                  <a:pt x="2915" y="388"/>
                                  <a:pt x="2696" y="775"/>
                                  <a:pt x="2477" y="1136"/>
                                </a:cubicBezTo>
                                <a:cubicBezTo>
                                  <a:pt x="2244" y="1497"/>
                                  <a:pt x="1999" y="1858"/>
                                  <a:pt x="1741" y="2193"/>
                                </a:cubicBezTo>
                                <a:cubicBezTo>
                                  <a:pt x="1483" y="2529"/>
                                  <a:pt x="1200" y="2864"/>
                                  <a:pt x="916" y="3173"/>
                                </a:cubicBezTo>
                                <a:cubicBezTo>
                                  <a:pt x="619" y="3496"/>
                                  <a:pt x="323" y="3793"/>
                                  <a:pt x="0" y="4089"/>
                                </a:cubicBezTo>
                                <a:cubicBezTo>
                                  <a:pt x="349" y="3831"/>
                                  <a:pt x="684" y="3547"/>
                                  <a:pt x="993" y="3238"/>
                                </a:cubicBezTo>
                                <a:cubicBezTo>
                                  <a:pt x="1600" y="2632"/>
                                  <a:pt x="2128" y="1935"/>
                                  <a:pt x="2567" y="1175"/>
                                </a:cubicBezTo>
                                <a:cubicBezTo>
                                  <a:pt x="2773" y="801"/>
                                  <a:pt x="2967" y="414"/>
                                  <a:pt x="3121" y="1"/>
                                </a:cubicBezTo>
                                <a:close/>
                              </a:path>
                            </a:pathLst>
                          </a:custGeom>
                          <a:solidFill>
                            <a:srgbClr val="752B18"/>
                          </a:solidFill>
                          <a:ln>
                            <a:noFill/>
                          </a:ln>
                        </wps:spPr>
                        <wps:bodyPr spcFirstLastPara="1" wrap="square" lIns="91425" tIns="91425" rIns="91425" bIns="91425" anchor="ctr" anchorCtr="0">
                          <a:noAutofit/>
                        </wps:bodyPr>
                      </wps:wsp>
                      <wps:wsp>
                        <wps:cNvPr id="1043821722" name="Google Shape;1589;p65"/>
                        <wps:cNvSpPr/>
                        <wps:spPr>
                          <a:xfrm>
                            <a:off x="965290" y="350127"/>
                            <a:ext cx="83105" cy="70136"/>
                          </a:xfrm>
                          <a:custGeom>
                            <a:avLst/>
                            <a:gdLst/>
                            <a:ahLst/>
                            <a:cxnLst/>
                            <a:rect l="l" t="t" r="r" b="b"/>
                            <a:pathLst>
                              <a:path w="4050" h="3418" extrusionOk="0">
                                <a:moveTo>
                                  <a:pt x="4050" y="0"/>
                                </a:moveTo>
                                <a:cubicBezTo>
                                  <a:pt x="3818" y="387"/>
                                  <a:pt x="3547" y="761"/>
                                  <a:pt x="3263" y="1109"/>
                                </a:cubicBezTo>
                                <a:cubicBezTo>
                                  <a:pt x="2967" y="1445"/>
                                  <a:pt x="2657" y="1767"/>
                                  <a:pt x="2309" y="2051"/>
                                </a:cubicBezTo>
                                <a:cubicBezTo>
                                  <a:pt x="1973" y="2347"/>
                                  <a:pt x="1599" y="2605"/>
                                  <a:pt x="1213" y="2837"/>
                                </a:cubicBezTo>
                                <a:cubicBezTo>
                                  <a:pt x="826" y="3057"/>
                                  <a:pt x="413" y="3263"/>
                                  <a:pt x="0" y="3418"/>
                                </a:cubicBezTo>
                                <a:cubicBezTo>
                                  <a:pt x="439" y="3302"/>
                                  <a:pt x="864" y="3134"/>
                                  <a:pt x="1264" y="2915"/>
                                </a:cubicBezTo>
                                <a:cubicBezTo>
                                  <a:pt x="2064" y="2489"/>
                                  <a:pt x="2773" y="1883"/>
                                  <a:pt x="3341" y="1161"/>
                                </a:cubicBezTo>
                                <a:cubicBezTo>
                                  <a:pt x="3611" y="813"/>
                                  <a:pt x="3856" y="413"/>
                                  <a:pt x="4050" y="0"/>
                                </a:cubicBezTo>
                                <a:close/>
                              </a:path>
                            </a:pathLst>
                          </a:custGeom>
                          <a:solidFill>
                            <a:srgbClr val="752B18"/>
                          </a:solidFill>
                          <a:ln>
                            <a:noFill/>
                          </a:ln>
                        </wps:spPr>
                        <wps:bodyPr spcFirstLastPara="1" wrap="square" lIns="91425" tIns="91425" rIns="91425" bIns="91425" anchor="ctr" anchorCtr="0">
                          <a:noAutofit/>
                        </wps:bodyPr>
                      </wps:wsp>
                      <wps:wsp>
                        <wps:cNvPr id="1653123485" name="Google Shape;1590;p65"/>
                        <wps:cNvSpPr/>
                        <wps:spPr>
                          <a:xfrm>
                            <a:off x="31661" y="616857"/>
                            <a:ext cx="655797" cy="1154086"/>
                          </a:xfrm>
                          <a:custGeom>
                            <a:avLst/>
                            <a:gdLst/>
                            <a:ahLst/>
                            <a:cxnLst/>
                            <a:rect l="l" t="t" r="r" b="b"/>
                            <a:pathLst>
                              <a:path w="27239" h="56243" extrusionOk="0">
                                <a:moveTo>
                                  <a:pt x="1" y="1"/>
                                </a:moveTo>
                                <a:lnTo>
                                  <a:pt x="4747" y="56243"/>
                                </a:lnTo>
                                <a:lnTo>
                                  <a:pt x="22493" y="56243"/>
                                </a:lnTo>
                                <a:lnTo>
                                  <a:pt x="27239" y="1"/>
                                </a:lnTo>
                                <a:close/>
                              </a:path>
                            </a:pathLst>
                          </a:custGeom>
                          <a:solidFill>
                            <a:schemeClr val="dk2"/>
                          </a:solidFill>
                          <a:ln>
                            <a:noFill/>
                          </a:ln>
                        </wps:spPr>
                        <wps:bodyPr spcFirstLastPara="1" wrap="square" lIns="91425" tIns="91425" rIns="91425" bIns="91425" anchor="ctr" anchorCtr="0">
                          <a:noAutofit/>
                        </wps:bodyPr>
                      </wps:wsp>
                      <wps:wsp>
                        <wps:cNvPr id="1469870714" name="Google Shape;1591;p65"/>
                        <wps:cNvSpPr/>
                        <wps:spPr>
                          <a:xfrm>
                            <a:off x="96886" y="616857"/>
                            <a:ext cx="655773" cy="1154086"/>
                          </a:xfrm>
                          <a:custGeom>
                            <a:avLst/>
                            <a:gdLst/>
                            <a:ahLst/>
                            <a:cxnLst/>
                            <a:rect l="l" t="t" r="r" b="b"/>
                            <a:pathLst>
                              <a:path w="27238" h="56243" extrusionOk="0">
                                <a:moveTo>
                                  <a:pt x="0" y="1"/>
                                </a:moveTo>
                                <a:lnTo>
                                  <a:pt x="4746" y="56243"/>
                                </a:lnTo>
                                <a:lnTo>
                                  <a:pt x="22492" y="56243"/>
                                </a:lnTo>
                                <a:lnTo>
                                  <a:pt x="27238" y="1"/>
                                </a:lnTo>
                                <a:close/>
                              </a:path>
                            </a:pathLst>
                          </a:custGeom>
                          <a:solidFill>
                            <a:schemeClr val="lt2"/>
                          </a:solidFill>
                          <a:ln>
                            <a:noFill/>
                          </a:ln>
                        </wps:spPr>
                        <wps:bodyPr spcFirstLastPara="1" wrap="square" lIns="91425" tIns="91425" rIns="91425" bIns="91425" anchor="ctr" anchorCtr="0">
                          <a:noAutofit/>
                        </wps:bodyPr>
                      </wps:wsp>
                      <wps:wsp>
                        <wps:cNvPr id="467834659" name="Google Shape;1592;p65"/>
                        <wps:cNvSpPr/>
                        <wps:spPr>
                          <a:xfrm>
                            <a:off x="0" y="565003"/>
                            <a:ext cx="787442" cy="51874"/>
                          </a:xfrm>
                          <a:custGeom>
                            <a:avLst/>
                            <a:gdLst/>
                            <a:ahLst/>
                            <a:cxnLst/>
                            <a:rect l="l" t="t" r="r" b="b"/>
                            <a:pathLst>
                              <a:path w="32707" h="2528" extrusionOk="0">
                                <a:moveTo>
                                  <a:pt x="0" y="0"/>
                                </a:moveTo>
                                <a:lnTo>
                                  <a:pt x="0" y="2528"/>
                                </a:lnTo>
                                <a:lnTo>
                                  <a:pt x="32706" y="2528"/>
                                </a:lnTo>
                                <a:lnTo>
                                  <a:pt x="32706" y="0"/>
                                </a:lnTo>
                                <a:close/>
                              </a:path>
                            </a:pathLst>
                          </a:custGeom>
                          <a:solidFill>
                            <a:schemeClr val="dk2"/>
                          </a:solidFill>
                          <a:ln>
                            <a:noFill/>
                          </a:ln>
                        </wps:spPr>
                        <wps:bodyPr spcFirstLastPara="1" wrap="square" lIns="91425" tIns="91425" rIns="91425" bIns="91425" anchor="ctr" anchorCtr="0">
                          <a:noAutofit/>
                        </wps:bodyPr>
                      </wps:wsp>
                      <wps:wsp>
                        <wps:cNvPr id="2096050768" name="Google Shape;1593;p65"/>
                        <wps:cNvSpPr/>
                        <wps:spPr>
                          <a:xfrm>
                            <a:off x="182576" y="616857"/>
                            <a:ext cx="484715" cy="852940"/>
                          </a:xfrm>
                          <a:custGeom>
                            <a:avLst/>
                            <a:gdLst/>
                            <a:ahLst/>
                            <a:cxnLst/>
                            <a:rect l="l" t="t" r="r" b="b"/>
                            <a:pathLst>
                              <a:path w="20133" h="41567" fill="none" extrusionOk="0">
                                <a:moveTo>
                                  <a:pt x="20132" y="1"/>
                                </a:moveTo>
                                <a:lnTo>
                                  <a:pt x="16624" y="41566"/>
                                </a:lnTo>
                                <a:lnTo>
                                  <a:pt x="3496" y="41566"/>
                                </a:lnTo>
                                <a:lnTo>
                                  <a:pt x="1" y="1"/>
                                </a:lnTo>
                              </a:path>
                            </a:pathLst>
                          </a:custGeom>
                          <a:solidFill>
                            <a:schemeClr val="accent1"/>
                          </a:solidFill>
                          <a:ln w="4200" cap="flat" cmpd="sng">
                            <a:solidFill>
                              <a:schemeClr val="dk1"/>
                            </a:solidFill>
                            <a:prstDash val="solid"/>
                            <a:miter lim="12896"/>
                            <a:headEnd type="none" w="sm" len="sm"/>
                            <a:tailEnd type="none" w="sm" len="sm"/>
                          </a:ln>
                        </wps:spPr>
                        <wps:bodyPr spcFirstLastPara="1" wrap="square" lIns="91425" tIns="91425" rIns="91425" bIns="91425" anchor="ctr" anchorCtr="0">
                          <a:noAutofit/>
                        </wps:bodyPr>
                      </wps:wsp>
                    </wpg:wgp>
                  </a:graphicData>
                </a:graphic>
              </wp:anchor>
            </w:drawing>
          </mc:Choice>
          <mc:Fallback>
            <w:pict>
              <v:group id="Google Shape;1557;p65" o:spid="_x0000_s1026" o:spt="203" style="position:absolute;left:0pt;margin-left:0pt;margin-top:0pt;height:139.45pt;width:84.7pt;mso-wrap-distance-bottom:0pt;mso-wrap-distance-left:9pt;mso-wrap-distance-right:9pt;mso-wrap-distance-top:0pt;z-index:251660288;mso-width-relative:page;mso-height-relative:page;" coordsize="1075932,1770943" o:gfxdata="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">
                <o:lock v:ext="edit" aspectratio="f"/>
                <v:shape id="Google Shape;1558;p65" o:spid="_x0000_s1026" o:spt="100" style="position:absolute;left:403181;top:16683;height:42455;width:153774;v-text-anchor:middle;" fillcolor="#FFFFFF [3201]" filled="t" stroked="f" coordsize="7494,2069" o:gfxdata="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GPT&#10;5VzCAAAA4wAAAA8AAAAAAAAAAQAgAAAAIgAAAGRycy9kb3ducmV2LnhtbFBLAQIUABQAAAAIAIdO&#10;4kAzLwWeOwAAADkAAAAQAAAAAAAAAAEAIAAAABEBAABkcnMvc2hhcGV4bWwueG1sUEsFBgAAAAAG&#10;AAYAWwEAALsDAAAAAA==&#10;" path="m1,0c478,491,1019,903,1613,1226c2623,1780,3744,2069,4889,2069c5103,2069,5318,2058,5533,2038c6204,1987,6862,1832,7494,1574l7494,1574c6862,1806,6191,1935,5520,1974c5340,1988,5160,1994,4981,1994c3822,1994,2677,1708,1638,1161c1045,852,491,465,1,0xe">
                  <v:fill on="t" focussize="0,0"/>
                  <v:stroke on="f"/>
                  <v:imagedata o:title=""/>
                  <o:lock v:ext="edit" aspectratio="f"/>
                  <v:textbox inset="7.1988188976378pt,7.1988188976378pt,7.1988188976378pt,7.1988188976378pt"/>
                </v:shape>
                <v:shape id="Google Shape;1559;p65" o:spid="_x0000_s1026" o:spt="100" style="position:absolute;left:81140;top:337938;height:782804;width:904813;v-text-anchor:middle;" fillcolor="#000000 [3200]" filled="t" stroked="f" coordsize="44095,38149" o:gfxdata="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" path="m14419,1l9273,362c9273,362,3109,2322,1561,3883c1,5443,336,11995,542,14084c736,16173,2077,20055,2077,20055l865,38149,29160,38149,29160,17037,32345,19591,44094,7416,39516,2670,29856,11943c29856,11943,23950,4270,22789,3277c21628,2296,14419,1,14419,1xe">
                  <v:fill on="t" focussize="0,0"/>
                  <v:stroke on="f"/>
                  <v:imagedata o:title=""/>
                  <o:lock v:ext="edit" aspectratio="f"/>
                  <v:textbox inset="7.1988188976378pt,7.1988188976378pt,7.1988188976378pt,7.1988188976378pt"/>
                </v:shape>
                <v:shape id="Google Shape;1560;p65" o:spid="_x0000_s1026" o:spt="100" style="position:absolute;left:891973;top:221058;height:230969;width:183959;v-text-anchor:middle;" fillcolor="#F19F99" filled="t" stroked="f" coordsize="8965,11256" o:gfxdata="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" path="m8323,1c7600,1,3793,4730,3793,4730c3793,4730,2606,5065,2142,5323c1665,5568,1,8366,1,8366l2787,11255,3986,9979c3986,9979,4022,9980,4086,9980c4612,9980,7057,9858,7907,7618c8435,6226,5701,4369,5701,4369c5701,4369,8964,255,8371,9c8357,4,8341,1,8323,1xe">
                  <v:fill on="t" focussize="0,0"/>
                  <v:stroke on="f"/>
                  <v:imagedata o:title=""/>
                  <o:lock v:ext="edit" aspectratio="f"/>
                  <v:textbox inset="7.1988188976378pt,7.1988188976378pt,7.1988188976378pt,7.1988188976378pt"/>
                </v:shape>
                <v:shape id="Google Shape;1561;p65" o:spid="_x0000_s1026" o:spt="100" style="position:absolute;left:271419;top:345346;height:201687;width:150327;v-text-anchor:middle;" fillcolor="#FFC000 [3207]" filled="t" stroked="f" coordsize="7326,9829" o:gfxdata="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" path="m0,1l3121,9828,7326,9557,5314,272,0,1xe">
                  <v:fill on="t" focussize="0,0"/>
                  <v:stroke on="f"/>
                  <v:imagedata o:title=""/>
                  <o:lock v:ext="edit" aspectratio="f"/>
                  <v:textbox inset="7.1988188976378pt,7.1988188976378pt,7.1988188976378pt,7.1988188976378pt"/>
                </v:shape>
                <v:shape id="Google Shape;1562;p65" o:spid="_x0000_s1026" o:spt="100" style="position:absolute;left:207808;top:40506;height:360981;width:226639;v-text-anchor:middle;" fillcolor="#F19F99" filled="t" stroked="f" coordsize="11045,17592" o:gfxdata="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4Uh+&#10;w8EAAADiAAAADwAAAAAAAAABACAAAAAiAAAAZHJzL2Rvd25yZXYueG1sUEsBAhQAFAAAAAgAh07i&#10;QDMvBZ47AAAAOQAAABAAAAAAAAAAAQAgAAAAEAEAAGRycy9zaGFwZXhtbC54bWxQSwUGAAAAAAYA&#10;BgBbAQAAugMAAAAA&#10;" path="m2778,0c2778,0,1727,4747,1357,4747c1353,4747,1350,4747,1346,4746c1266,4725,1147,4702,1015,4702c578,4702,1,4955,199,6371c422,7861,1410,8021,1822,8021c1935,8021,2004,8009,2004,8009l3384,10395,3100,14857c3100,14857,4068,17591,6737,17591c9407,17591,8246,14496,8246,14496l7666,14032,7459,12574c7459,12574,9626,11826,10335,8925c11045,6023,10568,1187,10568,1187l2778,0xe">
                  <v:fill on="t" focussize="0,0"/>
                  <v:stroke on="f"/>
                  <v:imagedata o:title=""/>
                  <o:lock v:ext="edit" aspectratio="f"/>
                  <v:textbox inset="7.1988188976378pt,7.1988188976378pt,7.1988188976378pt,7.1988188976378pt"/>
                </v:shape>
                <v:shape id="Google Shape;1563;p65" o:spid="_x0000_s1026" o:spt="100" style="position:absolute;left:201549;top:0;height:173104;width:249580;v-text-anchor:middle;" fillcolor="#A5A5A5 [3206]" filled="t" stroked="f" coordsize="12163,8436" o:gfxdata="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kwQJG/&#10;AAAA4wAAAA8AAAAAAAAAAQAgAAAAIgAAAGRycy9kb3ducmV2LnhtbFBLAQIUABQAAAAIAIdO4kAz&#10;LwWeOwAAADkAAAAQAAAAAAAAAAEAIAAAAA4BAABkcnMvc2hhcGV4bWwueG1sUEsFBgAAAAAGAAYA&#10;WwEAALgDAAAAAA==&#10;" path="m5536,0c3059,0,3083,1974,3083,1974c3083,1974,2893,1914,2602,1914c2181,1914,1547,2040,968,2658c1,3689,723,6952,723,6952c723,6952,871,6674,1315,6674c1413,6674,1524,6688,1651,6720c2361,6888,2490,8435,2490,8435c2490,8435,3470,7868,3702,6295c3934,4734,3522,2864,3521,2864l3521,2864c3522,2864,3767,3122,4914,3715c6075,4308,7494,4399,7494,4399l6462,3122,6462,3122c6462,3122,7906,4076,8977,4218c9168,4241,9361,4252,9554,4252c10023,4252,10493,4184,10950,4038l11027,5701c11027,5701,12162,5237,12136,3161c12124,1084,8770,220,5907,14c5778,5,5654,0,5536,0xe">
                  <v:fill on="t" focussize="0,0"/>
                  <v:stroke on="f"/>
                  <v:imagedata o:title=""/>
                  <o:lock v:ext="edit" aspectratio="f"/>
                  <v:textbox inset="7.1988188976378pt,7.1988188976378pt,7.1988188976378pt,7.1988188976378pt"/>
                </v:shape>
                <v:shape id="Google Shape;1564;p65" o:spid="_x0000_s1026" o:spt="100" style="position:absolute;left:312171;top:511473;height:53556;width:212255;v-text-anchor:middle;" fillcolor="#F19F99" filled="t" stroked="f" coordsize="10344,2610" o:gfxdata="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" path="m2228,0c1103,0,323,56,323,56c323,56,0,907,52,1590c78,1990,284,2364,594,2609l10344,2609c10344,2609,9492,881,6642,352c5139,68,3473,0,2228,0xe">
                  <v:fill on="t" focussize="0,0"/>
                  <v:stroke on="f"/>
                  <v:imagedata o:title=""/>
                  <o:lock v:ext="edit" aspectratio="f"/>
                  <v:textbox inset="7.1988188976378pt,7.1988188976378pt,7.1988188976378pt,7.1988188976378pt"/>
                </v:shape>
                <v:shape id="Google Shape;1565;p65" o:spid="_x0000_s1026" o:spt="100" style="position:absolute;left:149676;top:512868;height:132865;width:169923;v-text-anchor:middle;" fillcolor="#000000 [3200]" filled="t" stroked="f" coordsize="8281,6475" o:gfxdata="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DZW+u&#10;wAAAAOMAAAAPAAAAAAAAAAEAIAAAACIAAABkcnMvZG93bnJldi54bWxQSwECFAAUAAAACACHTuJA&#10;My8FnjsAAAA5AAAAEAAAAAAAAAABACAAAAAPAQAAZHJzL3NoYXBleG1sLnhtbFBLBQYAAAAABgAG&#10;AFsBAAC5AwAAAAA=&#10;" path="m8281,0l7687,297,7107,607,6527,929,5959,1277c5211,1741,4489,2244,3793,2799c3109,3341,2426,3921,1794,4527l1329,4991,865,5481,427,5959,1,6475,452,5997,930,5533,1407,5069,1884,4617c2542,4037,3212,3470,3896,2928c4579,2373,5301,1858,6037,1380l6578,1019,7146,671,7713,323,8281,0xe">
                  <v:fill on="t" focussize="0,0"/>
                  <v:stroke on="f"/>
                  <v:imagedata o:title=""/>
                  <o:lock v:ext="edit" aspectratio="f"/>
                  <v:textbox inset="7.1988188976378pt,7.1988188976378pt,7.1988188976378pt,7.1988188976378pt"/>
                </v:shape>
                <v:shape id="Google Shape;1566;p65" o:spid="_x0000_s1026" o:spt="100" style="position:absolute;left:125073;top:710554;height:83371;width:118049;v-text-anchor:middle;" fillcolor="#000000 [3200]" filled="t" stroked="f" coordsize="5753,4063" o:gfxdata="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" path="m5752,0l5752,0c5404,348,5043,684,4682,1032c4321,1380,3947,1703,3573,2025c3199,2347,2825,2657,2438,2979c2070,3274,1713,3568,1335,3863l1335,3863c1107,3574,890,3295,684,2992l336,2515,1,2038,1,2038c104,2205,207,2373,297,2541c400,2721,504,2876,607,3044c826,3366,1045,3689,1277,4011l1316,4063,1368,4024c1767,3714,2167,3418,2541,3108c2928,2799,3302,2463,3676,2141c4050,1806,4398,1457,4759,1109c5108,761,5430,387,5752,0xe">
                  <v:fill on="t" focussize="0,0"/>
                  <v:stroke on="f"/>
                  <v:imagedata o:title=""/>
                  <o:lock v:ext="edit" aspectratio="f"/>
                  <v:textbox inset="7.1988188976378pt,7.1988188976378pt,7.1988188976378pt,7.1988188976378pt"/>
                </v:shape>
                <v:shape id="Google Shape;1567;p65" o:spid="_x0000_s1026" o:spt="100" style="position:absolute;left:169539;top:434011;height:156934;width:35212;v-text-anchor:middle;" fillcolor="#A5A5A5 [3206]" filled="t" stroked="f" coordsize="1716,7648" o:gfxdata="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sJ2F&#10;wAAAAOMAAAAPAAAAAAAAAAEAIAAAACIAAABkcnMvZG93bnJldi54bWxQSwECFAAUAAAACACHTuJA&#10;My8FnjsAAAA5AAAAEAAAAAAAAAABACAAAAAPAQAAZHJzL3NoYXBleG1sLnhtbFBLBQYAAAAABgAG&#10;AFsBAAC5AwAAAAA=&#10;" path="m0,0l0,0c439,490,748,1084,890,1741c1045,2373,1161,3031,1212,3689c1277,4346,1354,5017,1445,5675l1574,6668c1625,6990,1664,7326,1715,7648c1703,7313,1677,6990,1651,6655l1574,5662c1509,4991,1445,4334,1380,3676c1316,3005,1200,2347,1019,1703c929,1380,787,1071,632,774c464,477,245,220,0,0xe">
                  <v:fill on="t" focussize="0,0"/>
                  <v:stroke on="f"/>
                  <v:imagedata o:title=""/>
                  <o:lock v:ext="edit" aspectratio="f"/>
                  <v:textbox inset="7.1988188976378pt,7.1988188976378pt,7.1988188976378pt,7.1988188976378pt"/>
                </v:shape>
                <v:shape id="Google Shape;1568;p65" o:spid="_x0000_s1026" o:spt="100" style="position:absolute;left:226686;top:415749;height:125190;width:67243;v-text-anchor:middle;" fillcolor="#A5A5A5 [3206]" filled="t" stroked="f" coordsize="3277,6101" o:gfxdata="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R6fP&#10;gcEAAADjAAAADwAAAAAAAAABACAAAAAiAAAAZHJzL2Rvd25yZXYueG1sUEsBAhQAFAAAAAgAh07i&#10;QDMvBZ47AAAAOQAAABAAAAAAAAAAAQAgAAAAEAEAAGRycy9zaGFwZXhtbC54bWxQSwUGAAAAAAYA&#10;BgBbAQAAugMAAAAA&#10;" path="m3277,0l3277,0c3173,181,3070,362,2980,529l2683,1071,2135,2106,2135,2106,1149,2206c800,2232,465,2257,130,2296l1,2309,65,2425c414,3044,749,3663,1097,4269c1458,4888,1806,5494,2180,6100c1871,5469,1536,4837,1213,4205c909,3621,582,3037,265,2454l265,2454c562,2429,867,2395,1162,2361l2180,2244,2219,2244,2245,2219,2761,1110,3019,555c3109,374,3186,194,3277,0xe">
                  <v:fill on="t" focussize="0,0"/>
                  <v:stroke on="f"/>
                  <v:imagedata o:title=""/>
                  <o:lock v:ext="edit" aspectratio="f"/>
                  <v:textbox inset="7.1988188976378pt,7.1988188976378pt,7.1988188976378pt,7.1988188976378pt"/>
                </v:shape>
                <v:shape id="Google Shape;1569;p65" o:spid="_x0000_s1026" o:spt="100" style="position:absolute;left:219278;top:350640;height:109842;width:52161;v-text-anchor:middle;" fillcolor="#A5A5A5 [3206]" filled="t" stroked="f" coordsize="2542,5353" o:gfxdata="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" path="m1755,1l1755,1c1445,659,1149,1329,852,2000c568,2670,297,3354,27,4025l1,4102,65,4128c465,4347,878,4540,1290,4760c1703,4966,2116,5160,2541,5353c2142,5121,1742,4889,1342,4657c961,4435,580,4226,199,4017l199,4017c472,3369,745,2710,994,2051c1252,1368,1523,684,1755,1xe">
                  <v:fill on="t" focussize="0,0"/>
                  <v:stroke on="f"/>
                  <v:imagedata o:title=""/>
                  <o:lock v:ext="edit" aspectratio="f"/>
                  <v:textbox inset="7.1988188976378pt,7.1988188976378pt,7.1988188976378pt,7.1988188976378pt"/>
                </v:shape>
                <v:shape id="Google Shape;1570;p65" o:spid="_x0000_s1026" o:spt="100" style="position:absolute;left:393675;top:411768;height:106948;width:73317;v-text-anchor:middle;" fillcolor="#A5A5A5 [3206]" filled="t" stroked="f" coordsize="3573,5212" o:gfxdata="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bGB5&#10;M8EAAADhAAAADwAAAAAAAAABACAAAAAiAAAAZHJzL2Rvd25yZXYueG1sUEsBAhQAFAAAAAgAh07i&#10;QDMvBZ47AAAAOQAAABAAAAAAAAAAAQAgAAAAEAEAAGRycy9zaGFwZXhtbC54bWxQSwUGAAAAAAYA&#10;BgBbAQAAugMAAAAA&#10;" path="m1,1c259,285,529,581,813,865l1626,1716,1664,1755,1703,1742c2013,1600,2309,1458,2606,1329l3365,982,3199,1923c3135,2284,3070,2645,3006,3019l2838,4115c2773,4476,2722,4850,2670,5211c2761,4850,2838,4489,2915,4128l3135,3032c3212,2671,3276,2297,3341,1935l3547,852,3573,685,3431,762,2528,1187c2246,1322,1964,1458,1681,1593l1681,1593,865,801c581,530,284,259,1,1xe">
                  <v:fill on="t" focussize="0,0"/>
                  <v:stroke on="f"/>
                  <v:imagedata o:title=""/>
                  <o:lock v:ext="edit" aspectratio="f"/>
                  <v:textbox inset="7.1988188976378pt,7.1988188976378pt,7.1988188976378pt,7.1988188976378pt"/>
                </v:shape>
                <v:shape id="Google Shape;1571;p65" o:spid="_x0000_s1026" o:spt="100" style="position:absolute;left:410624;top:348793;height:97140;width:52941;v-text-anchor:middle;" fillcolor="#A5A5A5 [3206]" filled="t" stroked="f" coordsize="2580,4734" o:gfxdata="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xffrq/&#10;AAAA4wAAAA8AAAAAAAAAAQAgAAAAIgAAAGRycy9kb3ducmV2LnhtbFBLAQIUABQAAAAIAIdO4kAz&#10;LwWeOwAAADkAAAAQAAAAAAAAAAEAIAAAAA4BAABkcnMvc2hhcGV4bWwueG1sUEsFBgAAAAAGAAYA&#10;WwEAALgDAAAAAA==&#10;" path="m0,1l0,1c387,491,787,968,1187,1432c1572,1880,1969,2327,2379,2763l2379,2763c2112,3080,1856,3398,1612,3715c1483,3882,1341,4050,1212,4218c1096,4398,954,4566,838,4734c980,4592,1122,4424,1277,4269c1419,4102,1561,3947,1702,3779c1986,3457,2270,3134,2541,2812l2579,2760,2541,2709c2128,2245,1702,1780,1290,1342c864,890,438,439,0,1xe">
                  <v:fill on="t" focussize="0,0"/>
                  <v:stroke on="f"/>
                  <v:imagedata o:title=""/>
                  <o:lock v:ext="edit" aspectratio="f"/>
                  <v:textbox inset="7.1988188976378pt,7.1988188976378pt,7.1988188976378pt,7.1988188976378pt"/>
                </v:shape>
                <v:shape id="Google Shape;1572;p65" o:spid="_x0000_s1026" o:spt="100" style="position:absolute;left:861810;top:418662;height:101367;width:92113;v-text-anchor:middle;" fillcolor="#A5A5A5 [3206]" filled="t" stroked="f" coordsize="4489,4940" o:gfxdata="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" path="m1,0l1,0c168,220,349,426,529,645l1071,1277c1432,1690,1806,2102,2180,2528c2554,2941,2928,3340,3315,3740l3895,4346c4089,4540,4282,4746,4489,4940c4308,4720,4128,4501,3947,4295l3405,3663c3044,3237,2683,2825,2309,2412c1922,1999,1548,1587,1161,1187l594,581c388,387,194,194,1,0xe">
                  <v:fill on="t" focussize="0,0"/>
                  <v:stroke on="f"/>
                  <v:imagedata o:title=""/>
                  <o:lock v:ext="edit" aspectratio="f"/>
                  <v:textbox inset="7.1988188976378pt,7.1988188976378pt,7.1988188976378pt,7.1988188976378pt"/>
                </v:shape>
                <v:shape id="Google Shape;1573;p65" o:spid="_x0000_s1026" o:spt="100" style="position:absolute;left:370118;top:543299;height:20930;width:83659;v-text-anchor:middle;" fillcolor="#752B18" filled="t" stroked="f" coordsize="4077,1020" o:gfxdata="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" path="m1,1l1,1c349,104,684,181,1033,258c1381,336,1716,413,2064,478c2412,542,2761,620,3109,671c3277,710,3457,736,3625,774c3792,813,3947,890,4076,1019c3973,878,3818,774,3638,723c3470,658,3302,620,3122,581c2786,504,2438,426,2090,362c1742,297,1394,220,1058,168c710,104,349,52,1,1xe">
                  <v:fill on="t" focussize="0,0"/>
                  <v:stroke on="f"/>
                  <v:imagedata o:title=""/>
                  <o:lock v:ext="edit" aspectratio="f"/>
                  <v:textbox inset="7.1988188976378pt,7.1988188976378pt,7.1988188976378pt,7.1988188976378pt"/>
                </v:shape>
                <v:shape id="Google Shape;1574;p65" o:spid="_x0000_s1026" o:spt="100" style="position:absolute;left:393141;top:534311;height:30451;width:102434;v-text-anchor:middle;" fillcolor="#752B18" filled="t" stroked="f" coordsize="4992,1484" o:gfxdata="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OMSEc&#10;wAAAAOMAAAAPAAAAAAAAAAEAIAAAACIAAABkcnMvZG93bnJldi54bWxQSwECFAAUAAAACACHTuJA&#10;My8FnjsAAAA5AAAAEAAAAAAAAAABACAAAAAPAQAAZHJzL3NoYXBleG1sLnhtbFBLBQYAAAAABgAG&#10;AFsBAAC5AwAAAAA=&#10;" path="m1,0l1,0c439,103,865,206,1290,297c1729,387,2167,464,2593,542c3032,606,3457,696,3883,813c4321,916,4695,1148,4992,1483c4863,1290,4708,1122,4528,993c4334,877,4128,787,3921,709c3496,580,3057,490,2632,413c2193,335,1755,258,1316,194c878,129,439,52,1,0xe">
                  <v:fill on="t" focussize="0,0"/>
                  <v:stroke on="f"/>
                  <v:imagedata o:title=""/>
                  <o:lock v:ext="edit" aspectratio="f"/>
                  <v:textbox inset="7.1988188976378pt,7.1988188976378pt,7.1988188976378pt,7.1988188976378pt"/>
                </v:shape>
                <v:shape id="Google Shape;1575;p65" o:spid="_x0000_s1026" o:spt="100" style="position:absolute;left:414851;top:521609;height:43153;width:101100;v-text-anchor:middle;" fillcolor="#752B18" filled="t" stroked="f" coordsize="4927,2103" o:gfxdata="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G2Z&#10;o+DCAAAA4wAAAA8AAAAAAAAAAQAgAAAAIgAAAGRycy9kb3ducmV2LnhtbFBLAQIUABQAAAAIAIdO&#10;4kAzLwWeOwAAADkAAAAQAAAAAAAAAAEAIAAAABEBAABkcnMvc2hhcGV4bWwueG1sUEsFBgAAAAAG&#10;AAYAWwEAALsDAAAAAA==&#10;" path="m0,0c439,168,877,284,1329,387c1767,490,2219,567,2657,709c3096,825,3508,993,3908,1212c4308,1444,4656,1741,4927,2102c4695,1715,4359,1380,3960,1135c3560,903,3134,709,2696,593c2244,464,1793,374,1355,284c903,206,452,129,0,0xe">
                  <v:fill on="t" focussize="0,0"/>
                  <v:stroke on="f"/>
                  <v:imagedata o:title=""/>
                  <o:lock v:ext="edit" aspectratio="f"/>
                  <v:textbox inset="7.1988188976378pt,7.1988188976378pt,7.1988188976378pt,7.1988188976378pt"/>
                </v:shape>
                <v:shape id="Google Shape;1576;p65" o:spid="_x0000_s1026" o:spt="100" style="position:absolute;left:296822;top:277610;height:35028;width:66177;v-text-anchor:middle;" fillcolor="#752B18" filled="t" stroked="f" coordsize="3225,1707" o:gfxdata="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Eb4&#10;tWHCAAAA4gAAAA8AAAAAAAAAAQAgAAAAIgAAAGRycy9kb3ducmV2LnhtbFBLAQIUABQAAAAIAIdO&#10;4kAzLwWeOwAAADkAAAAQAAAAAAAAAAEAIAAAABEBAABkcnMvc2hhcGV4bWwueG1sUEsFBgAAAAAG&#10;AAYAWwEAALsDAAAAAA==&#10;" path="m0,0l0,0c1,1,620,877,1380,1316c1853,1574,2379,1706,2906,1706c3012,1706,3119,1701,3225,1690l3121,1019c2908,1065,2692,1089,2477,1089c2148,1089,1822,1033,1509,916c955,710,439,400,0,0xe">
                  <v:fill on="t" focussize="0,0"/>
                  <v:stroke on="f"/>
                  <v:imagedata o:title=""/>
                  <o:lock v:ext="edit" aspectratio="f"/>
                  <v:textbox inset="7.1988188976378pt,7.1988188976378pt,7.1988188976378pt,7.1988188976378pt"/>
                </v:shape>
                <v:shape id="Google Shape;1577;p65" o:spid="_x0000_s1026" o:spt="100" style="position:absolute;left:353189;top:125970;height:73707;width:20397;v-text-anchor:middle;" fillcolor="#752B18" filled="t" stroked="f" coordsize="994,3592" o:gfxdata="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" path="m503,1c478,594,491,1187,555,1780c594,2077,632,2361,697,2657c746,2929,807,3212,880,3485l880,3485c766,3518,650,3534,534,3534c349,3534,166,3493,0,3418l0,3418c191,3531,411,3591,632,3591c741,3591,849,3577,955,3547l993,3547,993,3496c929,3212,865,2928,813,2632c774,2348,723,2051,684,1768c607,1174,542,594,503,1xe">
                  <v:fill on="t" focussize="0,0"/>
                  <v:stroke on="f"/>
                  <v:imagedata o:title=""/>
                  <o:lock v:ext="edit" aspectratio="f"/>
                  <v:textbox inset="7.1988188976378pt,7.1988188976378pt,7.1988188976378pt,7.1988188976378pt"/>
                </v:shape>
                <v:shape id="Google Shape;1578;p65" o:spid="_x0000_s1026" o:spt="100" style="position:absolute;left:329099;top:225798;height:17421;width:36279;v-text-anchor:middle;" fillcolor="#AD3B32" filled="t" stroked="f" coordsize="1768,849" o:gfxdata="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MlV&#10;kjnCAAAA4gAAAA8AAAAAAAAAAQAgAAAAIgAAAGRycy9kb3ducmV2LnhtbFBLAQIUABQAAAAIAIdO&#10;4kAzLwWeOwAAADkAAAAQAAAAAAAAAAEAIAAAABEBAABkcnMvc2hhcGV4bWwueG1sUEsFBgAAAAAG&#10;AAYAWwEAALsDAAAAAA==&#10;" path="m191,1c128,1,64,4,1,11c426,385,1045,849,1536,849c1613,849,1690,836,1768,810c1587,552,1355,359,1084,217c806,78,501,1,191,1xe">
                  <v:fill on="t" focussize="0,0"/>
                  <v:stroke on="f"/>
                  <v:imagedata o:title=""/>
                  <o:lock v:ext="edit" aspectratio="f"/>
                  <v:textbox inset="7.1988188976378pt,7.1988188976378pt,7.1988188976378pt,7.1988188976378pt"/>
                </v:shape>
                <v:shape id="Google Shape;1579;p65" o:spid="_x0000_s1026" o:spt="100" style="position:absolute;left:319845;top:213569;height:28872;width:74385;v-text-anchor:middle;" fillcolor="#A5A5A5 [3206]" filled="t" stroked="f" coordsize="3625,1407" o:gfxdata="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2WgYGr4A&#10;AADiAAAADwAAAAAAAAABACAAAAAiAAAAZHJzL2Rvd25yZXYueG1sUEsBAhQAFAAAAAgAh07iQDMv&#10;BZ47AAAAOQAAABAAAAAAAAAAAQAgAAAADQEAAGRycy9zaGFwZXhtbC54bWxQSwUGAAAAAAYABgBb&#10;AQAAtwMAAAAA&#10;" path="m3624,0c3624,1,3199,413,2103,452c2058,453,2014,453,1970,453c1305,453,641,362,0,181l0,181c1,181,181,375,452,607c515,601,577,598,640,598c1267,598,1856,890,2232,1406c2954,1174,3624,1,3624,0xe">
                  <v:fill on="t" focussize="0,0"/>
                  <v:stroke on="f"/>
                  <v:imagedata o:title=""/>
                  <o:lock v:ext="edit" aspectratio="f"/>
                  <v:textbox inset="7.1988188976378pt,7.1988188976378pt,7.1988188976378pt,7.1988188976378pt"/>
                </v:shape>
                <v:shape id="Google Shape;1580;p65" o:spid="_x0000_s1026" o:spt="100" style="position:absolute;left:318778;top:140786;height:21731;width:14323;v-text-anchor:middle;" fillcolor="#A5A5A5 [3206]" filled="t" stroked="f" coordsize="698,1059" o:gfxdata="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JDt&#10;8x/CAAAA4wAAAA8AAAAAAAAAAQAgAAAAIgAAAGRycy9kb3ducmV2LnhtbFBLAQIUABQAAAAIAIdO&#10;4kAzLwWeOwAAADkAAAAQAAAAAAAAAAEAIAAAABEBAABkcnMvc2hhcGV4bWwueG1sUEsFBgAAAAAG&#10;AAYAWwEAALsDAAAAAA==&#10;" path="m349,1c156,1,1,233,1,530c1,826,156,1058,349,1058c543,1058,697,826,697,530c697,233,543,1,349,1xe">
                  <v:fill on="t" focussize="0,0"/>
                  <v:stroke on="f"/>
                  <v:imagedata o:title=""/>
                  <o:lock v:ext="edit" aspectratio="f"/>
                  <v:textbox inset="7.1988188976378pt,7.1988188976378pt,7.1988188976378pt,7.1988188976378pt"/>
                </v:shape>
                <v:shape id="Google Shape;1581;p65" o:spid="_x0000_s1026" o:spt="100" style="position:absolute;left:296555;top:103440;height:31293;width:47914;v-text-anchor:middle;" fillcolor="#A5A5A5 [3206]" filled="t" stroked="f" coordsize="2335,1525" o:gfxdata="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" path="m1642,1c1619,1,1597,1,1574,3c1316,28,1058,132,839,286c633,428,439,609,297,828c155,1034,52,1266,1,1511l39,1524c130,1305,259,1099,426,931c581,763,774,622,981,518c1187,441,1406,377,1626,338c1858,299,2090,260,2322,235l2335,196c2134,66,1890,1,1642,1xe">
                  <v:fill on="t" focussize="0,0"/>
                  <v:stroke on="f"/>
                  <v:imagedata o:title=""/>
                  <o:lock v:ext="edit" aspectratio="f"/>
                  <v:textbox inset="7.1988188976378pt,7.1988188976378pt,7.1988188976378pt,7.1988188976378pt"/>
                </v:shape>
                <v:shape id="Google Shape;1582;p65" o:spid="_x0000_s1026" o:spt="100" style="position:absolute;left:386534;top:140786;height:21730;width:14035;v-text-anchor:middle;" fillcolor="#A5A5A5 [3206]" filled="t" stroked="f" coordsize="684,1059" o:gfxdata="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HWO&#10;XZzCAAAA4QAAAA8AAAAAAAAAAQAgAAAAIgAAAGRycy9kb3ducmV2LnhtbFBLAQIUABQAAAAIAIdO&#10;4kAzLwWeOwAAADkAAAAQAAAAAAAAAAEAIAAAABEBAABkcnMvc2hhcGV4bWwueG1sUEsFBgAAAAAG&#10;AAYAWwEAALsDAAAAAA==&#10;" path="m336,1c155,1,0,233,0,530c0,826,155,1058,336,1058c529,1058,684,826,684,530c684,233,529,1,336,1xe">
                  <v:fill on="t" focussize="0,0"/>
                  <v:stroke on="f"/>
                  <v:imagedata o:title=""/>
                  <o:lock v:ext="edit" aspectratio="f"/>
                  <v:textbox inset="7.1988188976378pt,7.1988188976378pt,7.1988188976378pt,7.1988188976378pt"/>
                </v:shape>
                <v:shape id="Google Shape;1583;p65" o:spid="_x0000_s1026" o:spt="100" style="position:absolute;left:370385;top:103440;height:31292;width:47667;v-text-anchor:middle;" fillcolor="#A5A5A5 [3206]" filled="t" stroked="f" coordsize="2323,1525" o:gfxdata="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" path="m681,1c435,1,202,66,1,196l1,235c233,260,478,299,710,338c929,377,1136,441,1355,518c1561,622,1742,763,1897,931c2064,1099,2193,1305,2296,1524l2322,1524c2271,1279,2180,1034,2038,828c1884,622,1703,428,1484,286c1265,132,1020,28,749,3c726,1,704,1,681,1xe">
                  <v:fill on="t" focussize="0,0"/>
                  <v:stroke on="f"/>
                  <v:imagedata o:title=""/>
                  <o:lock v:ext="edit" aspectratio="f"/>
                  <v:textbox inset="7.1988188976378pt,7.1988188976378pt,7.1988188976378pt,7.1988188976378pt"/>
                </v:shape>
                <v:shape id="Google Shape;1584;p65" o:spid="_x0000_s1026" o:spt="100" style="position:absolute;left:210557;top:148521;height:49186;width:34945;v-text-anchor:middle;" fillcolor="#F08576" filled="t" stroked="f" coordsize="1703,2397" o:gfxdata="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" path="m751,0c663,0,574,21,490,62c490,62,0,669,568,1546c1091,2374,1638,2397,1697,2397c1701,2397,1703,2397,1703,2397c1457,2216,1264,1997,1135,1739c1109,1700,1096,1662,1122,1636c1135,1623,1148,1610,1174,1610c1341,1571,1509,1558,1677,1558c1638,1313,1586,1068,1522,836c1470,591,1354,359,1187,179c1063,63,908,0,751,0xe">
                  <v:fill on="t" focussize="0,0"/>
                  <v:stroke on="f"/>
                  <v:imagedata o:title=""/>
                  <o:lock v:ext="edit" aspectratio="f"/>
                  <v:textbox inset="7.1988188976378pt,7.1988188976378pt,7.1988188976378pt,7.1988188976378pt"/>
                </v:shape>
                <v:shape id="Google Shape;1585;p65" o:spid="_x0000_s1026" o:spt="100" style="position:absolute;left:220345;top:148029;height:49678;width:25957;v-text-anchor:middle;" fillcolor="#752B18" filled="t" stroked="f" coordsize="1265,2421" o:gfxdata="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Og9o&#10;xMEAAADjAAAADwAAAAAAAAABACAAAAAiAAAAZHJzL2Rvd25yZXYueG1sUEsBAhQAFAAAAAgAh07i&#10;QDMvBZ47AAAAOQAAABAAAAAAAAAAAQAgAAAAEAEAAGRycy9zaGFwZXhtbC54bWxQSwUGAAAAAAYA&#10;BgBbAQAAugMAAAAA&#10;" path="m301,0c196,0,93,30,0,86c68,60,140,47,211,47c318,47,424,76,516,138c671,228,787,370,864,538c929,705,980,873,1019,1054c1052,1209,1076,1364,1107,1519l1107,1519c996,1523,891,1536,787,1557l697,1582c671,1582,658,1595,632,1595c606,1608,581,1634,581,1660c568,1711,594,1750,619,1789l671,1866c735,1982,826,2085,916,2176c1006,2266,1109,2343,1226,2421c1032,2240,864,2047,735,1827c710,1776,684,1686,684,1686l723,1686,813,1673c929,1647,1058,1647,1187,1647l1264,1647,1251,1570c1226,1389,1187,1196,1148,1015c1109,834,1045,641,955,473c877,293,735,151,555,61c474,20,387,0,301,0xe">
                  <v:fill on="t" focussize="0,0"/>
                  <v:stroke on="f"/>
                  <v:imagedata o:title=""/>
                  <o:lock v:ext="edit" aspectratio="f"/>
                  <v:textbox inset="7.1988188976378pt,7.1988188976378pt,7.1988188976378pt,7.1988188976378pt"/>
                </v:shape>
                <v:shape id="Google Shape;1586;p65" o:spid="_x0000_s1026" o:spt="100" style="position:absolute;left:946494;top:309375;height:109308;width:63529;v-text-anchor:middle;" fillcolor="#752B18" filled="t" stroked="f" coordsize="3096,5327" o:gfxdata="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" path="m3096,0l3044,13,2090,219,1136,426,2077,271,2990,113,2990,113c2971,354,2906,594,2773,800c2644,1019,2477,1212,2270,1380c2077,1548,1858,1702,1626,1818c1393,1935,1148,2012,890,2038l826,2038,839,2102c865,2373,865,2657,839,2940c813,3224,762,3495,697,3779c620,4050,529,4320,413,4578c310,4836,168,5094,1,5326c181,5094,336,4862,465,4604c723,4088,878,3521,942,2953c978,2689,981,2413,949,2147l949,2147c1200,2116,1450,2041,1677,1922c1922,1806,2141,1651,2348,1470c2567,1290,2735,1083,2877,851c3018,606,3096,335,3096,52l3096,0xe">
                  <v:fill on="t" focussize="0,0"/>
                  <v:stroke on="f"/>
                  <v:imagedata o:title=""/>
                  <o:lock v:ext="edit" aspectratio="f"/>
                  <v:textbox inset="7.1988188976378pt,7.1988188976378pt,7.1988188976378pt,7.1988188976378pt"/>
                </v:shape>
                <v:shape id="Google Shape;1587;p65" o:spid="_x0000_s1026" o:spt="100" style="position:absolute;left:957616;top:401200;height:24152;width:17216;v-text-anchor:middle;" fillcolor="#034154" filled="t" stroked="f" coordsize="839,1177" o:gfxdata="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C/b&#10;mGTCAAAA4gAAAA8AAAAAAAAAAQAgAAAAIgAAAGRycy9kb3ducmV2LnhtbFBLAQIUABQAAAAIAIdO&#10;4kAzLwWeOwAAADkAAAAQAAAAAAAAAAEAIAAAABEBAABkcnMvc2hhcGV4bWwueG1sUEsFBgAAAAAG&#10;AAYAWwEAALsDAAAAAA==&#10;" path="m26,0c0,258,65,529,181,761c245,877,348,980,452,1071c553,1138,664,1176,785,1176c803,1176,821,1175,839,1174c722,1135,606,1071,516,980c426,903,361,813,297,697c181,477,91,232,26,0xe">
                  <v:fill on="t" focussize="0,0"/>
                  <v:stroke on="f"/>
                  <v:imagedata o:title=""/>
                  <o:lock v:ext="edit" aspectratio="f"/>
                  <v:textbox inset="7.1988188976378pt,7.1988188976378pt,7.1988188976378pt,7.1988188976378pt"/>
                </v:shape>
                <v:shape id="Google Shape;1588;p65" o:spid="_x0000_s1026" o:spt="100" style="position:absolute;left:959996;top:324970;height:83925;width:64062;v-text-anchor:middle;" fillcolor="#752B18" filled="t" stroked="f" coordsize="3122,4090" o:gfxdata="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" path="m3121,1l3121,1c2915,388,2696,775,2477,1136c2244,1497,1999,1858,1741,2193c1483,2529,1200,2864,916,3173c619,3496,323,3793,0,4089c349,3831,684,3547,993,3238c1600,2632,2128,1935,2567,1175c2773,801,2967,414,3121,1xe">
                  <v:fill on="t" focussize="0,0"/>
                  <v:stroke on="f"/>
                  <v:imagedata o:title=""/>
                  <o:lock v:ext="edit" aspectratio="f"/>
                  <v:textbox inset="7.1988188976378pt,7.1988188976378pt,7.1988188976378pt,7.1988188976378pt"/>
                </v:shape>
                <v:shape id="Google Shape;1589;p65" o:spid="_x0000_s1026" o:spt="100" style="position:absolute;left:965290;top:350127;height:70136;width:83105;v-text-anchor:middle;" fillcolor="#752B18" filled="t" stroked="f" coordsize="4050,3418" o:gfxdata="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22Aa&#10;w8EAAADjAAAADwAAAAAAAAABACAAAAAiAAAAZHJzL2Rvd25yZXYueG1sUEsBAhQAFAAAAAgAh07i&#10;QDMvBZ47AAAAOQAAABAAAAAAAAAAAQAgAAAAEAEAAGRycy9zaGFwZXhtbC54bWxQSwUGAAAAAAYA&#10;BgBbAQAAugMAAAAA&#10;" path="m4050,0c3818,387,3547,761,3263,1109c2967,1445,2657,1767,2309,2051c1973,2347,1599,2605,1213,2837c826,3057,413,3263,0,3418c439,3302,864,3134,1264,2915c2064,2489,2773,1883,3341,1161c3611,813,3856,413,4050,0xe">
                  <v:fill on="t" focussize="0,0"/>
                  <v:stroke on="f"/>
                  <v:imagedata o:title=""/>
                  <o:lock v:ext="edit" aspectratio="f"/>
                  <v:textbox inset="7.1988188976378pt,7.1988188976378pt,7.1988188976378pt,7.1988188976378pt"/>
                </v:shape>
                <v:shape id="Google Shape;1590;p65" o:spid="_x0000_s1026" o:spt="100" style="position:absolute;left:31661;top:616857;height:1154086;width:655797;v-text-anchor:middle;" fillcolor="#44546A [3202]" filled="t" stroked="f" coordsize="27239,56243" o:gfxdata="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pypL&#10;CsEAAADjAAAADwAAAAAAAAABACAAAAAiAAAAZHJzL2Rvd25yZXYueG1sUEsBAhQAFAAAAAgAh07i&#10;QDMvBZ47AAAAOQAAABAAAAAAAAAAAQAgAAAAEAEAAGRycy9zaGFwZXhtbC54bWxQSwUGAAAAAAYA&#10;BgBbAQAAugMAAAAA&#10;" path="m1,1l4747,56243,22493,56243,27239,1xe">
                  <v:fill on="t" focussize="0,0"/>
                  <v:stroke on="f"/>
                  <v:imagedata o:title=""/>
                  <o:lock v:ext="edit" aspectratio="f"/>
                  <v:textbox inset="7.1988188976378pt,7.1988188976378pt,7.1988188976378pt,7.1988188976378pt"/>
                </v:shape>
                <v:shape id="Google Shape;1591;p65" o:spid="_x0000_s1026" o:spt="100" style="position:absolute;left:96886;top:616857;height:1154086;width:655773;v-text-anchor:middle;" fillcolor="#E7E6E6 [3203]" filled="t" stroked="f" coordsize="27238,56243" o:gfxdata="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H9d&#10;Ty/CAAAA4wAAAA8AAAAAAAAAAQAgAAAAIgAAAGRycy9kb3ducmV2LnhtbFBLAQIUABQAAAAIAIdO&#10;4kAzLwWeOwAAADkAAAAQAAAAAAAAAAEAIAAAABEBAABkcnMvc2hhcGV4bWwueG1sUEsFBgAAAAAG&#10;AAYAWwEAALsDAAAAAA==&#10;" path="m0,1l4746,56243,22492,56243,27238,1xe">
                  <v:fill on="t" focussize="0,0"/>
                  <v:stroke on="f"/>
                  <v:imagedata o:title=""/>
                  <o:lock v:ext="edit" aspectratio="f"/>
                  <v:textbox inset="7.1988188976378pt,7.1988188976378pt,7.1988188976378pt,7.1988188976378pt"/>
                </v:shape>
                <v:shape id="Google Shape;1592;p65" o:spid="_x0000_s1026" o:spt="100" style="position:absolute;left:0;top:565003;height:51874;width:787442;v-text-anchor:middle;" fillcolor="#44546A [3202]" filled="t" stroked="f" coordsize="32707,2528" o:gfxdata="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" path="m0,0l0,2528,32706,2528,32706,0xe">
                  <v:fill on="t" focussize="0,0"/>
                  <v:stroke on="f"/>
                  <v:imagedata o:title=""/>
                  <o:lock v:ext="edit" aspectratio="f"/>
                  <v:textbox inset="7.1988188976378pt,7.1988188976378pt,7.1988188976378pt,7.1988188976378pt"/>
                </v:shape>
                <v:shape id="Google Shape;1593;p65" o:spid="_x0000_s1026" o:spt="100" style="position:absolute;left:182576;top:616857;height:852940;width:484715;v-text-anchor:middle;" fillcolor="#5B9BD5 [3204]" filled="t" stroked="t" coordsize="20133,41567" o:gfxdata="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rqI5&#10;k8EAAADjAAAADwAAAAAAAAABACAAAAAiAAAAZHJzL2Rvd25yZXYueG1sUEsBAhQAFAAAAAgAh07i&#10;QDMvBZ47AAAAOQAAABAAAAAAAAAAAQAgAAAAEAEAAGRycy9zaGFwZXhtbC54bWxQSwUGAAAAAAYA&#10;BgBbAQAAugMAAAAA&#10;" path="m20132,1nfl16624,41566,3496,41566,1,1e">
                  <v:fill on="t" focussize="0,0"/>
                  <v:stroke weight="0.330708661417323pt" color="#000000 [3200]" miterlimit="0" joinstyle="miter" startarrowwidth="narrow" startarrowlength="short" endarrowwidth="narrow" endarrowlength="short"/>
                  <v:imagedata o:title=""/>
                  <o:lock v:ext="edit" aspectratio="f"/>
                  <v:textbox inset="7.1988188976378pt,7.1988188976378pt,7.1988188976378pt,7.1988188976378pt"/>
                </v:shape>
                <w10:wrap type="square"/>
              </v:group>
            </w:pict>
          </mc:Fallback>
        </mc:AlternateContent>
      </w:r>
      <w:r>
        <w:rPr>
          <w:rFonts w:ascii="Arial" w:hAnsi="Arial" w:cs="Arial"/>
        </w:rPr>
        <w:t>In essence, the Voices of Inclusion Storytelling Festival celebrates the hospitality industry's diversity, equality, and representation. The theme "Equality, Diversity, and Inclusion within Industry" is not just a tagline; it affects every aspect of the event, including venue selection, speaker program, and catering options.</w:t>
      </w:r>
    </w:p>
    <w:p w14:paraId="5FFCF7F2">
      <w:pPr>
        <w:spacing w:line="360" w:lineRule="auto"/>
        <w:jc w:val="both"/>
        <w:rPr>
          <w:rFonts w:ascii="Arial" w:hAnsi="Arial" w:cs="Arial"/>
        </w:rPr>
      </w:pPr>
      <w:r>
        <w:rPr>
          <w:rFonts w:ascii="Arial" w:hAnsi="Arial" w:cs="Arial"/>
        </w:rPr>
        <w:t>The festival centres storytelling and inclusivity at the heart of a cultural landmark by presenting the event at Zeitz MOCAA, a globally recognised contemporary art museum in Cape Town. The selection of speakers, performances, and seminars represents a wide range of experiences, guaranteeing that the voices of under-represented communities are amplified rather than tokenised (Rice and Mündel, 2019).</w:t>
      </w:r>
    </w:p>
    <w:p w14:paraId="71BCD9E4">
      <w:pPr>
        <w:spacing w:line="360" w:lineRule="auto"/>
        <w:jc w:val="both"/>
        <w:rPr>
          <w:rFonts w:ascii="Arial" w:hAnsi="Arial" w:cs="Arial"/>
        </w:rPr>
      </w:pPr>
      <w:r>
        <w:rPr>
          <w:rFonts w:ascii="Arial" w:hAnsi="Arial" w:cs="Arial"/>
        </w:rPr>
        <w:t>The event's design is engaging because the attendees will not just observe; they will participate. Every aspect of the festival is intended to challenge preconceived notions and initiate conversations that exceed the event's limits, whether through interactive panel discussions, live narratives, or themed networking sessions.</w:t>
      </w:r>
    </w:p>
    <w:p w14:paraId="0231CA52">
      <w:pPr>
        <w:pStyle w:val="11"/>
        <w:numPr>
          <w:ilvl w:val="0"/>
          <w:numId w:val="3"/>
        </w:numPr>
        <w:spacing w:line="360" w:lineRule="auto"/>
        <w:jc w:val="both"/>
        <w:rPr>
          <w:rFonts w:ascii="Arial" w:hAnsi="Arial" w:cs="Arial"/>
          <w:b/>
          <w:bCs/>
        </w:rPr>
      </w:pPr>
      <w:r>
        <w:rPr>
          <w:rFonts w:ascii="Arial" w:hAnsi="Arial" w:cs="Arial"/>
          <w:b/>
          <w:bCs/>
        </w:rPr>
        <w:t>Event Experience and Attendee Journey</w:t>
      </w:r>
    </w:p>
    <w:p w14:paraId="7DDCC34C">
      <w:pPr>
        <w:spacing w:line="360" w:lineRule="auto"/>
        <w:jc w:val="both"/>
        <w:rPr>
          <w:rFonts w:ascii="Arial" w:hAnsi="Arial" w:cs="Arial"/>
        </w:rPr>
      </w:pPr>
      <w:r>
        <w:rPr>
          <w:rFonts w:ascii="Arial" w:hAnsi="Arial" w:cs="Arial"/>
        </w:rPr>
        <w:t>The attendee journey is carefully organised to guarantee a meaningful, engaging, and harmonious experience. Upon entering Zeitz MOCAA's beautiful atrium, visitors will be greeted by interactive digital installations illustrating stories of inclusion in the hospitality industry.</w:t>
      </w:r>
    </w:p>
    <w:p w14:paraId="0C771909">
      <w:pPr>
        <w:spacing w:line="360" w:lineRule="auto"/>
        <w:jc w:val="both"/>
        <w:rPr>
          <w:rFonts w:ascii="Arial" w:hAnsi="Arial" w:cs="Arial"/>
        </w:rPr>
      </w:pPr>
      <w:r>
        <w:rPr>
          <w:rFonts w:ascii="Arial" w:hAnsi="Arial" w:cs="Arial"/>
        </w:rPr>
        <w:t>Service Scapes Theory is used to design networking spaces, which underscores the influence of physical environments on human interaction (Marling and Jespersen, 2014). Open, fluid spaces promote organic discussions, while more intimate settings foster deeper storytelling connections. In addition, the festival encourages accessibility by providing sign language interpretation, sensory-friendly spaces, and digital participation options for individuals unable to attend in person (Akyar et al., 2020).</w:t>
      </w:r>
    </w:p>
    <w:p w14:paraId="5230C73A">
      <w:pPr>
        <w:pStyle w:val="11"/>
        <w:numPr>
          <w:ilvl w:val="0"/>
          <w:numId w:val="3"/>
        </w:numPr>
        <w:spacing w:line="360" w:lineRule="auto"/>
        <w:jc w:val="both"/>
        <w:rPr>
          <w:rFonts w:ascii="Arial" w:hAnsi="Arial" w:cs="Arial"/>
          <w:b/>
          <w:bCs/>
        </w:rPr>
      </w:pPr>
      <w:r>
        <w:rPr>
          <w:rFonts w:ascii="Arial" w:hAnsi="Arial" w:cs="Arial"/>
          <w:b/>
          <w:bCs/>
        </w:rPr>
        <w:t>Itinerary Breakdown</w:t>
      </w:r>
    </w:p>
    <w:p w14:paraId="6942F86E">
      <w:pPr>
        <w:spacing w:line="360" w:lineRule="auto"/>
        <w:jc w:val="both"/>
        <w:rPr>
          <w:rFonts w:ascii="Arial" w:hAnsi="Arial" w:cs="Arial"/>
        </w:rPr>
      </w:pPr>
      <w:r>
        <w:rPr>
          <w:rFonts w:ascii="Arial" w:hAnsi="Arial" w:cs="Arial"/>
        </w:rPr>
        <w:t>The festival is a two-day event that includes academic insight, cultural performances, and hands-on workshops.</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5"/>
        <w:gridCol w:w="4675"/>
      </w:tblGrid>
      <w:tr w14:paraId="6AF1D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75" w:type="dxa"/>
          </w:tcPr>
          <w:p w14:paraId="1D0D8083">
            <w:pPr>
              <w:spacing w:after="0" w:line="360" w:lineRule="auto"/>
              <w:jc w:val="center"/>
              <w:rPr>
                <w:rFonts w:ascii="Arial" w:hAnsi="Arial" w:cs="Arial"/>
              </w:rPr>
            </w:pPr>
            <w:r>
              <w:rPr>
                <w:rFonts w:ascii="Arial" w:hAnsi="Arial" w:cs="Arial"/>
                <w:b/>
                <w:bCs/>
              </w:rPr>
              <w:t>Day 1</w:t>
            </w:r>
          </w:p>
          <w:p w14:paraId="212C285E">
            <w:pPr>
              <w:spacing w:after="0" w:line="360" w:lineRule="auto"/>
              <w:jc w:val="center"/>
              <w:rPr>
                <w:rFonts w:ascii="Arial" w:hAnsi="Arial" w:cs="Arial"/>
              </w:rPr>
            </w:pPr>
          </w:p>
        </w:tc>
        <w:tc>
          <w:tcPr>
            <w:tcW w:w="4675" w:type="dxa"/>
          </w:tcPr>
          <w:p w14:paraId="67A159D1">
            <w:pPr>
              <w:spacing w:after="0" w:line="360" w:lineRule="auto"/>
              <w:jc w:val="center"/>
              <w:rPr>
                <w:rFonts w:ascii="Arial" w:hAnsi="Arial" w:cs="Arial"/>
              </w:rPr>
            </w:pPr>
            <w:r>
              <w:rPr>
                <w:rFonts w:ascii="Arial" w:hAnsi="Arial" w:cs="Arial"/>
                <w:b/>
                <w:bCs/>
              </w:rPr>
              <w:t>Day 2</w:t>
            </w:r>
          </w:p>
          <w:p w14:paraId="361551DA">
            <w:pPr>
              <w:spacing w:after="0" w:line="360" w:lineRule="auto"/>
              <w:jc w:val="center"/>
              <w:rPr>
                <w:rFonts w:ascii="Arial" w:hAnsi="Arial" w:cs="Arial"/>
              </w:rPr>
            </w:pPr>
          </w:p>
        </w:tc>
      </w:tr>
      <w:tr w14:paraId="7375D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75" w:type="dxa"/>
          </w:tcPr>
          <w:p w14:paraId="6CD2DE0D">
            <w:pPr>
              <w:spacing w:after="0" w:line="360" w:lineRule="auto"/>
              <w:jc w:val="both"/>
              <w:rPr>
                <w:rFonts w:ascii="Arial" w:hAnsi="Arial" w:cs="Arial"/>
              </w:rPr>
            </w:pPr>
            <w:r>
              <w:rPr>
                <w:rFonts w:ascii="Segoe UI Emoji" w:hAnsi="Segoe UI Emoji" w:cs="Segoe UI Emoji"/>
              </w:rPr>
              <w:t>🔹</w:t>
            </w:r>
            <w:r>
              <w:rPr>
                <w:rFonts w:ascii="Arial" w:hAnsi="Arial" w:cs="Arial"/>
              </w:rPr>
              <w:t>Keynote speech from a leading DEI expert.</w:t>
            </w:r>
          </w:p>
          <w:p w14:paraId="709D8F7B">
            <w:pPr>
              <w:spacing w:after="0" w:line="360" w:lineRule="auto"/>
              <w:jc w:val="both"/>
              <w:rPr>
                <w:rFonts w:ascii="Arial" w:hAnsi="Arial" w:cs="Arial"/>
              </w:rPr>
            </w:pPr>
            <w:r>
              <w:rPr>
                <w:rFonts w:ascii="Segoe UI Emoji" w:hAnsi="Segoe UI Emoji" w:cs="Segoe UI Emoji"/>
              </w:rPr>
              <w:t>🔹</w:t>
            </w:r>
            <w:r>
              <w:rPr>
                <w:rFonts w:ascii="Arial" w:hAnsi="Arial" w:cs="Arial"/>
              </w:rPr>
              <w:t>Storytelling panels presenting voices from hospitality professionals, activists, and marginalised communities.</w:t>
            </w:r>
          </w:p>
          <w:p w14:paraId="5B08012B">
            <w:pPr>
              <w:spacing w:after="0" w:line="360" w:lineRule="auto"/>
              <w:jc w:val="both"/>
              <w:rPr>
                <w:rFonts w:ascii="Arial" w:hAnsi="Arial" w:cs="Arial"/>
              </w:rPr>
            </w:pPr>
            <w:r>
              <w:rPr>
                <w:rFonts w:ascii="Segoe UI Emoji" w:hAnsi="Segoe UI Emoji" w:cs="Segoe UI Emoji"/>
              </w:rPr>
              <w:t>🔹</w:t>
            </w:r>
            <w:r>
              <w:rPr>
                <w:rFonts w:ascii="Arial" w:hAnsi="Arial" w:cs="Arial"/>
              </w:rPr>
              <w:t>Themed networking sessions, allowing attendees to engage in focused discussions on inclusivity in their fields.</w:t>
            </w:r>
          </w:p>
        </w:tc>
        <w:tc>
          <w:tcPr>
            <w:tcW w:w="4675" w:type="dxa"/>
          </w:tcPr>
          <w:p w14:paraId="3C91B35B">
            <w:pPr>
              <w:spacing w:after="0" w:line="360" w:lineRule="auto"/>
              <w:jc w:val="both"/>
              <w:rPr>
                <w:rFonts w:ascii="Arial" w:hAnsi="Arial" w:cs="Arial"/>
              </w:rPr>
            </w:pPr>
            <w:r>
              <w:rPr>
                <w:rFonts w:ascii="Segoe UI Emoji" w:hAnsi="Segoe UI Emoji" w:cs="Segoe UI Emoji"/>
              </w:rPr>
              <w:t>🔹</w:t>
            </w:r>
            <w:r>
              <w:rPr>
                <w:rFonts w:ascii="Arial" w:hAnsi="Arial" w:cs="Arial"/>
              </w:rPr>
              <w:t>Workshops on inclusive leadership and community storytelling.</w:t>
            </w:r>
          </w:p>
          <w:p w14:paraId="3C9A8DA4">
            <w:pPr>
              <w:spacing w:after="0" w:line="360" w:lineRule="auto"/>
              <w:jc w:val="both"/>
              <w:rPr>
                <w:rFonts w:ascii="Arial" w:hAnsi="Arial" w:cs="Arial"/>
              </w:rPr>
            </w:pPr>
            <w:r>
              <w:rPr>
                <w:rFonts w:ascii="Segoe UI Emoji" w:hAnsi="Segoe UI Emoji" w:cs="Segoe UI Emoji"/>
              </w:rPr>
              <w:t>🔹</w:t>
            </w:r>
            <w:r>
              <w:rPr>
                <w:rFonts w:ascii="Arial" w:hAnsi="Arial" w:cs="Arial"/>
              </w:rPr>
              <w:t>Cultural performances reflecting the intersection of hospitality and heritage.</w:t>
            </w:r>
          </w:p>
          <w:p w14:paraId="10388F6B">
            <w:pPr>
              <w:spacing w:after="0" w:line="360" w:lineRule="auto"/>
              <w:jc w:val="both"/>
              <w:rPr>
                <w:rFonts w:ascii="Arial" w:hAnsi="Arial" w:cs="Arial"/>
              </w:rPr>
            </w:pPr>
            <w:r>
              <w:rPr>
                <w:rFonts w:ascii="Segoe UI Emoji" w:hAnsi="Segoe UI Emoji" w:cs="Segoe UI Emoji"/>
              </w:rPr>
              <w:t>🔹</w:t>
            </w:r>
            <w:r>
              <w:rPr>
                <w:rFonts w:ascii="Arial" w:hAnsi="Arial" w:cs="Arial"/>
              </w:rPr>
              <w:t>A closing gala celebrating the event’s key takeaways and setting the foundation for future collaboration.</w:t>
            </w:r>
          </w:p>
          <w:p w14:paraId="5D21C455">
            <w:pPr>
              <w:spacing w:after="0" w:line="360" w:lineRule="auto"/>
              <w:jc w:val="both"/>
              <w:rPr>
                <w:rFonts w:ascii="Arial" w:hAnsi="Arial" w:cs="Arial"/>
              </w:rPr>
            </w:pPr>
          </w:p>
        </w:tc>
      </w:tr>
    </w:tbl>
    <w:p w14:paraId="4C616CE4">
      <w:pPr>
        <w:spacing w:line="360" w:lineRule="auto"/>
        <w:jc w:val="both"/>
        <w:rPr>
          <w:rFonts w:ascii="Arial" w:hAnsi="Arial" w:cs="Arial"/>
        </w:rPr>
      </w:pPr>
      <w:r>
        <w:rPr>
          <w:rFonts w:ascii="Arial" w:hAnsi="Arial" w:cs="Arial"/>
        </w:rPr>
        <w:br w:type="textWrapping"/>
      </w:r>
      <w:r>
        <w:rPr>
          <w:rFonts w:ascii="Arial" w:hAnsi="Arial" w:cs="Arial"/>
        </w:rPr>
        <w:t>Concluding this section, the Voices of Inclusion Storytelling Festival is not simply an event but an experience intended to have a lasting influence. Utilising a thoughtful venue selection, engaging storytelling, and a captivating attendee journey cultivates an environment that facilitates genuine discussions regarding inclusion. The festival guarantees that its physical and virtual spaces cultivate connections, encourage dialogue, and promote change by integrating Service Scapes Theory (Marling and Jespersen, 2014; Rice and Mündel, 2019).</w:t>
      </w:r>
    </w:p>
    <w:p w14:paraId="6F382E6D">
      <w:pPr>
        <w:spacing w:line="360" w:lineRule="auto"/>
        <w:jc w:val="both"/>
        <w:rPr>
          <w:rFonts w:ascii="Arial" w:hAnsi="Arial" w:cs="Arial"/>
          <w:b/>
          <w:bCs/>
        </w:rPr>
      </w:pPr>
    </w:p>
    <w:p w14:paraId="509B3FB1">
      <w:pPr>
        <w:spacing w:line="360" w:lineRule="auto"/>
        <w:jc w:val="both"/>
        <w:rPr>
          <w:rFonts w:ascii="Arial" w:hAnsi="Arial" w:cs="Arial"/>
          <w:b/>
          <w:bCs/>
        </w:rPr>
      </w:pPr>
      <w:r>
        <w:rPr>
          <w:rFonts w:ascii="Arial" w:hAnsi="Arial" w:cs="Arial"/>
          <w:b/>
          <w:bCs/>
        </w:rPr>
        <w:t>Event Aims and SMART Objectives</w:t>
      </w:r>
    </w:p>
    <w:p w14:paraId="3B7A318F">
      <w:pPr>
        <w:spacing w:line="360" w:lineRule="auto"/>
        <w:jc w:val="both"/>
        <w:rPr>
          <w:rFonts w:ascii="Arial" w:hAnsi="Arial" w:cs="Arial"/>
        </w:rPr>
      </w:pPr>
      <w:r>
        <w:rPr>
          <w:rFonts w:ascii="Arial" w:hAnsi="Arial" w:cs="Arial"/>
        </w:rPr>
        <w:t>The primary objective of the Voices of Inclusion Storytelling Festival is to empower unheard voices that are not typically heard in the hospitality sector. It involves more than just promoting diversity; it involves actively changing the narrative. The festival aims to cultivate an industry in which equity, diversity, and inclusion (EDI) are not just policies but tangible realities through storytelling, education, and engagement.</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35"/>
        <w:gridCol w:w="7915"/>
      </w:tblGrid>
      <w:tr w14:paraId="5746E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350" w:type="dxa"/>
            <w:gridSpan w:val="2"/>
          </w:tcPr>
          <w:p w14:paraId="4DEB4F1D">
            <w:pPr>
              <w:spacing w:after="0" w:line="360" w:lineRule="auto"/>
              <w:jc w:val="center"/>
              <w:rPr>
                <w:rFonts w:ascii="Arial" w:hAnsi="Arial" w:cs="Arial"/>
              </w:rPr>
            </w:pPr>
            <w:r>
              <w:rPr>
                <w:rFonts w:ascii="Arial" w:hAnsi="Arial" w:cs="Arial"/>
                <w:b/>
                <w:bCs/>
              </w:rPr>
              <w:t>SMART Objectives</w:t>
            </w:r>
          </w:p>
        </w:tc>
      </w:tr>
      <w:tr w14:paraId="01459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35" w:type="dxa"/>
          </w:tcPr>
          <w:p w14:paraId="58F1C9AC">
            <w:pPr>
              <w:spacing w:after="0" w:line="360" w:lineRule="auto"/>
              <w:jc w:val="center"/>
              <w:rPr>
                <w:rFonts w:ascii="Arial" w:hAnsi="Arial" w:cs="Arial"/>
                <w:b/>
                <w:bCs/>
              </w:rPr>
            </w:pPr>
            <w:r>
              <w:rPr>
                <w:rFonts w:ascii="Arial" w:hAnsi="Arial" w:cs="Arial"/>
                <w:b/>
                <w:bCs/>
              </w:rPr>
              <w:t>Specific</w:t>
            </w:r>
          </w:p>
        </w:tc>
        <w:tc>
          <w:tcPr>
            <w:tcW w:w="7915" w:type="dxa"/>
          </w:tcPr>
          <w:p w14:paraId="4ED29FB4">
            <w:pPr>
              <w:spacing w:after="0" w:line="360" w:lineRule="auto"/>
              <w:jc w:val="both"/>
              <w:rPr>
                <w:rFonts w:ascii="Arial" w:hAnsi="Arial" w:cs="Arial"/>
              </w:rPr>
            </w:pPr>
            <w:r>
              <w:rPr>
                <w:rFonts w:ascii="Arial" w:hAnsi="Arial" w:cs="Arial"/>
              </w:rPr>
              <w:t>The festival seeks to guarantee that marginalised perspectives are given space and recognition by promoting diverse voices through interactive storytelling, workshops, and panel discussions (Hcareers, 2020).</w:t>
            </w:r>
          </w:p>
        </w:tc>
      </w:tr>
      <w:tr w14:paraId="65929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35" w:type="dxa"/>
          </w:tcPr>
          <w:p w14:paraId="66929C3D">
            <w:pPr>
              <w:spacing w:after="0" w:line="360" w:lineRule="auto"/>
              <w:jc w:val="center"/>
              <w:rPr>
                <w:rFonts w:ascii="Arial" w:hAnsi="Arial" w:cs="Arial"/>
                <w:b/>
                <w:bCs/>
              </w:rPr>
            </w:pPr>
            <w:r>
              <w:rPr>
                <w:rFonts w:ascii="Arial" w:hAnsi="Arial" w:cs="Arial"/>
                <w:b/>
                <w:bCs/>
              </w:rPr>
              <w:t>Measurable</w:t>
            </w:r>
          </w:p>
        </w:tc>
        <w:tc>
          <w:tcPr>
            <w:tcW w:w="7915" w:type="dxa"/>
          </w:tcPr>
          <w:p w14:paraId="2180CF04">
            <w:pPr>
              <w:spacing w:after="0" w:line="360" w:lineRule="auto"/>
              <w:jc w:val="both"/>
              <w:rPr>
                <w:rFonts w:ascii="Arial" w:hAnsi="Arial" w:cs="Arial"/>
              </w:rPr>
            </w:pPr>
            <w:r>
              <w:rPr>
                <w:rFonts w:ascii="Arial" w:hAnsi="Arial" w:cs="Arial"/>
              </w:rPr>
              <w:t>At least 80% of attendees will participate in post-event feedback surveys, Q&amp;A sessions, and discussions. Social media analytics will also monitor the impact of events and the audience reach (Wrathall and Steriopoulos, 2022).</w:t>
            </w:r>
          </w:p>
        </w:tc>
      </w:tr>
      <w:tr w14:paraId="41C0A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35" w:type="dxa"/>
          </w:tcPr>
          <w:p w14:paraId="44F42913">
            <w:pPr>
              <w:spacing w:after="0" w:line="360" w:lineRule="auto"/>
              <w:jc w:val="center"/>
              <w:rPr>
                <w:rFonts w:ascii="Arial" w:hAnsi="Arial" w:cs="Arial"/>
                <w:b/>
                <w:bCs/>
              </w:rPr>
            </w:pPr>
            <w:r>
              <w:rPr>
                <w:rFonts w:ascii="Arial" w:hAnsi="Arial" w:cs="Arial"/>
                <w:b/>
                <w:bCs/>
              </w:rPr>
              <w:t>Achievable</w:t>
            </w:r>
          </w:p>
        </w:tc>
        <w:tc>
          <w:tcPr>
            <w:tcW w:w="7915" w:type="dxa"/>
          </w:tcPr>
          <w:p w14:paraId="65D89B09">
            <w:pPr>
              <w:spacing w:after="0" w:line="360" w:lineRule="auto"/>
              <w:jc w:val="both"/>
              <w:rPr>
                <w:rFonts w:ascii="Arial" w:hAnsi="Arial" w:cs="Arial"/>
              </w:rPr>
            </w:pPr>
            <w:r>
              <w:rPr>
                <w:rFonts w:ascii="Arial" w:hAnsi="Arial" w:cs="Arial"/>
              </w:rPr>
              <w:t>The event will capitalise on partnerships with Marriott, Hilton, and NGO collaborators to secure five major sponsors and 20 guest speakers (Mombeuil, 2020).</w:t>
            </w:r>
          </w:p>
        </w:tc>
      </w:tr>
      <w:tr w14:paraId="359AA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35" w:type="dxa"/>
          </w:tcPr>
          <w:p w14:paraId="15C72A3F">
            <w:pPr>
              <w:spacing w:after="0" w:line="360" w:lineRule="auto"/>
              <w:jc w:val="center"/>
              <w:rPr>
                <w:rFonts w:ascii="Arial" w:hAnsi="Arial" w:cs="Arial"/>
                <w:b/>
                <w:bCs/>
              </w:rPr>
            </w:pPr>
            <w:r>
              <w:rPr>
                <w:rFonts w:ascii="Arial" w:hAnsi="Arial" w:cs="Arial"/>
                <w:b/>
                <w:bCs/>
              </w:rPr>
              <w:t>Relevant</w:t>
            </w:r>
          </w:p>
        </w:tc>
        <w:tc>
          <w:tcPr>
            <w:tcW w:w="7915" w:type="dxa"/>
          </w:tcPr>
          <w:p w14:paraId="14AC6B3C">
            <w:pPr>
              <w:spacing w:after="0" w:line="360" w:lineRule="auto"/>
              <w:jc w:val="both"/>
              <w:rPr>
                <w:rFonts w:ascii="Arial" w:hAnsi="Arial" w:cs="Arial"/>
              </w:rPr>
            </w:pPr>
            <w:r>
              <w:rPr>
                <w:rFonts w:ascii="Arial" w:hAnsi="Arial" w:cs="Arial"/>
              </w:rPr>
              <w:t>Future editions and post-event outreach initiatives will be supported by a £50,000 profit, guaranteeing financial sustainability (Wrathall and Steriopoulos, 2022).</w:t>
            </w:r>
          </w:p>
        </w:tc>
      </w:tr>
      <w:tr w14:paraId="3F39F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35" w:type="dxa"/>
          </w:tcPr>
          <w:p w14:paraId="090777CA">
            <w:pPr>
              <w:spacing w:after="0" w:line="360" w:lineRule="auto"/>
              <w:jc w:val="both"/>
              <w:rPr>
                <w:rFonts w:ascii="Arial" w:hAnsi="Arial" w:cs="Arial"/>
                <w:b/>
                <w:bCs/>
              </w:rPr>
            </w:pPr>
            <w:r>
              <w:rPr>
                <w:rFonts w:ascii="Arial" w:hAnsi="Arial" w:cs="Arial"/>
                <w:b/>
                <w:bCs/>
              </w:rPr>
              <w:t>Time-bound</w:t>
            </w:r>
          </w:p>
        </w:tc>
        <w:tc>
          <w:tcPr>
            <w:tcW w:w="7915" w:type="dxa"/>
          </w:tcPr>
          <w:p w14:paraId="7E8B4098">
            <w:pPr>
              <w:spacing w:after="0" w:line="360" w:lineRule="auto"/>
              <w:jc w:val="both"/>
              <w:rPr>
                <w:rFonts w:ascii="Arial" w:hAnsi="Arial" w:cs="Arial"/>
              </w:rPr>
            </w:pPr>
            <w:r>
              <w:rPr>
                <w:rFonts w:ascii="Arial" w:hAnsi="Arial" w:cs="Arial"/>
              </w:rPr>
              <w:t>The festival will be effectively executed by September 2025, and a post-event evaluation will be conducted in October to assess the impact and plan for future growth (Diehl and Galindo-Gonzalez, 2012).</w:t>
            </w:r>
          </w:p>
        </w:tc>
      </w:tr>
    </w:tbl>
    <w:p w14:paraId="0170E351">
      <w:pPr>
        <w:spacing w:line="360" w:lineRule="auto"/>
        <w:jc w:val="both"/>
        <w:rPr>
          <w:rFonts w:ascii="Arial" w:hAnsi="Arial" w:cs="Arial"/>
        </w:rPr>
      </w:pPr>
    </w:p>
    <w:p w14:paraId="6423CB24">
      <w:pPr>
        <w:spacing w:line="360" w:lineRule="auto"/>
        <w:jc w:val="both"/>
        <w:rPr>
          <w:rFonts w:ascii="Arial" w:hAnsi="Arial" w:cs="Arial"/>
        </w:rPr>
      </w:pPr>
      <w:r>
        <w:rPr>
          <w:rFonts w:ascii="Arial" w:hAnsi="Arial" w:cs="Arial"/>
        </w:rPr>
        <w:t>In addition to serving as an event, the festival catalyses the long-term transformation of the industry by accomplishing these objectives.</w:t>
      </w:r>
    </w:p>
    <w:p w14:paraId="7C248031">
      <w:pPr>
        <w:spacing w:line="360" w:lineRule="auto"/>
        <w:jc w:val="both"/>
        <w:rPr>
          <w:rFonts w:ascii="Arial" w:hAnsi="Arial" w:cs="Arial"/>
        </w:rPr>
      </w:pPr>
    </w:p>
    <w:p w14:paraId="044A0DCE">
      <w:pPr>
        <w:spacing w:line="360" w:lineRule="auto"/>
        <w:jc w:val="both"/>
        <w:rPr>
          <w:rFonts w:ascii="Arial" w:hAnsi="Arial" w:cs="Arial"/>
          <w:b/>
          <w:bCs/>
        </w:rPr>
      </w:pPr>
    </w:p>
    <w:p w14:paraId="4C35124C">
      <w:pPr>
        <w:spacing w:line="360" w:lineRule="auto"/>
        <w:jc w:val="both"/>
        <w:rPr>
          <w:rFonts w:ascii="Arial" w:hAnsi="Arial" w:cs="Arial"/>
          <w:b/>
          <w:bCs/>
        </w:rPr>
      </w:pPr>
      <w:r>
        <w:rPr>
          <w:rFonts w:ascii="Arial" w:hAnsi="Arial" w:cs="Arial"/>
          <w:b/>
          <w:bCs/>
        </w:rPr>
        <w:t>Key Event Design Considerations (EMBOK Framework)</w:t>
      </w:r>
    </w:p>
    <w:p w14:paraId="2353ECC7">
      <w:pPr>
        <w:spacing w:line="360" w:lineRule="auto"/>
        <w:jc w:val="both"/>
        <w:rPr>
          <w:rFonts w:ascii="Arial" w:hAnsi="Arial" w:cs="Arial"/>
        </w:rPr>
      </w:pPr>
      <w:r>
        <w:drawing>
          <wp:anchor distT="0" distB="0" distL="114300" distR="114300" simplePos="0" relativeHeight="251662336" behindDoc="0" locked="0" layoutInCell="1" allowOverlap="1">
            <wp:simplePos x="0" y="0"/>
            <wp:positionH relativeFrom="margin">
              <wp:align>left</wp:align>
            </wp:positionH>
            <wp:positionV relativeFrom="paragraph">
              <wp:posOffset>241935</wp:posOffset>
            </wp:positionV>
            <wp:extent cx="1465580" cy="1307465"/>
            <wp:effectExtent l="0" t="0" r="12700" b="3175"/>
            <wp:wrapSquare wrapText="bothSides"/>
            <wp:docPr id="2001862755" name="Picture 3" descr="EMBOK - Event Management Body of Knowledge - Domai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862755" name="Picture 3" descr="EMBOK - Event Management Body of Knowledge - Domain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1470422" cy="1311668"/>
                    </a:xfrm>
                    <a:prstGeom prst="rect">
                      <a:avLst/>
                    </a:prstGeom>
                    <a:noFill/>
                    <a:ln>
                      <a:noFill/>
                    </a:ln>
                  </pic:spPr>
                </pic:pic>
              </a:graphicData>
            </a:graphic>
          </wp:anchor>
        </w:drawing>
      </w:r>
      <w:r>
        <w:rPr>
          <w:rFonts w:ascii="Arial" w:hAnsi="Arial" w:cs="Arial"/>
        </w:rPr>
        <w:t>The Event Management Body of Knowledge (EMBOK) framework guarantees that all essential components, administration, design, marketing, operations, and risk management, are strategically aligned during the event planning process (Bowdin et al., 2011; Yakovchuk, 2022). Utilising this framework to organise the festival guarantees a financially sustainable, inclusive, and cohesive event.</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16"/>
        <w:gridCol w:w="3117"/>
        <w:gridCol w:w="3117"/>
      </w:tblGrid>
      <w:tr w14:paraId="6E759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50" w:type="dxa"/>
            <w:gridSpan w:val="3"/>
          </w:tcPr>
          <w:p w14:paraId="00A9001A">
            <w:pPr>
              <w:spacing w:after="0" w:line="360" w:lineRule="auto"/>
              <w:jc w:val="center"/>
              <w:rPr>
                <w:rFonts w:ascii="Arial" w:hAnsi="Arial" w:cs="Arial"/>
                <w:b/>
                <w:bCs/>
              </w:rPr>
            </w:pPr>
            <w:r>
              <w:rPr>
                <w:rFonts w:ascii="Arial" w:hAnsi="Arial" w:cs="Arial"/>
                <w:b/>
                <w:bCs/>
              </w:rPr>
              <w:t>Administration</w:t>
            </w:r>
          </w:p>
        </w:tc>
      </w:tr>
      <w:tr w14:paraId="0A156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6" w:type="dxa"/>
          </w:tcPr>
          <w:p w14:paraId="30DA2303">
            <w:pPr>
              <w:spacing w:after="0" w:line="360" w:lineRule="auto"/>
              <w:jc w:val="center"/>
              <w:rPr>
                <w:rFonts w:ascii="Arial" w:hAnsi="Arial" w:cs="Arial"/>
                <w:b/>
                <w:bCs/>
              </w:rPr>
            </w:pPr>
            <w:r>
              <w:rPr>
                <w:rFonts w:ascii="Arial" w:hAnsi="Arial" w:cs="Arial"/>
                <w:b/>
                <w:bCs/>
              </w:rPr>
              <w:t>Finance</w:t>
            </w:r>
          </w:p>
        </w:tc>
        <w:tc>
          <w:tcPr>
            <w:tcW w:w="3117" w:type="dxa"/>
          </w:tcPr>
          <w:p w14:paraId="3B7DF5FE">
            <w:pPr>
              <w:spacing w:after="0" w:line="360" w:lineRule="auto"/>
              <w:jc w:val="center"/>
              <w:rPr>
                <w:rFonts w:ascii="Arial" w:hAnsi="Arial" w:cs="Arial"/>
                <w:b/>
                <w:bCs/>
              </w:rPr>
            </w:pPr>
            <w:r>
              <w:rPr>
                <w:rFonts w:ascii="Arial" w:hAnsi="Arial" w:cs="Arial"/>
                <w:b/>
                <w:bCs/>
              </w:rPr>
              <w:t>Human Resources</w:t>
            </w:r>
          </w:p>
        </w:tc>
        <w:tc>
          <w:tcPr>
            <w:tcW w:w="3117" w:type="dxa"/>
          </w:tcPr>
          <w:p w14:paraId="6A52EB2F">
            <w:pPr>
              <w:spacing w:after="0" w:line="360" w:lineRule="auto"/>
              <w:jc w:val="center"/>
              <w:rPr>
                <w:rFonts w:ascii="Arial" w:hAnsi="Arial" w:cs="Arial"/>
                <w:b/>
                <w:bCs/>
              </w:rPr>
            </w:pPr>
            <w:r>
              <w:rPr>
                <w:rFonts w:ascii="Arial" w:hAnsi="Arial" w:cs="Arial"/>
                <w:b/>
                <w:bCs/>
              </w:rPr>
              <w:t>Stakeholder Engagement</w:t>
            </w:r>
          </w:p>
        </w:tc>
      </w:tr>
      <w:tr w14:paraId="23E80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6" w:type="dxa"/>
          </w:tcPr>
          <w:p w14:paraId="726CF988">
            <w:pPr>
              <w:spacing w:after="0" w:line="360" w:lineRule="auto"/>
              <w:jc w:val="both"/>
              <w:rPr>
                <w:rFonts w:ascii="Arial" w:hAnsi="Arial" w:cs="Arial"/>
              </w:rPr>
            </w:pPr>
            <w:r>
              <w:rPr>
                <w:rFonts w:ascii="Arial" w:hAnsi="Arial" w:cs="Arial"/>
              </w:rPr>
              <w:t>A clearly defined budget is necessary to manage a festival of this nature. The £106,000 anticipated revenue is carefully organised through sponsorships, workshops, merchandise, and ticket sales (Wrathall and Steriopoulos, 2022). A financial buffer from corporate sponsors (Marriott, Hilton) provides stability, given the unpredictability of event financing. Research indicates that events that receive funding from various sources are more resilient to economic fluctuations (Antwerpen, 2023).</w:t>
            </w:r>
          </w:p>
        </w:tc>
        <w:tc>
          <w:tcPr>
            <w:tcW w:w="3117" w:type="dxa"/>
          </w:tcPr>
          <w:p w14:paraId="36C63970">
            <w:pPr>
              <w:spacing w:after="0" w:line="360" w:lineRule="auto"/>
              <w:jc w:val="both"/>
              <w:rPr>
                <w:rFonts w:ascii="Arial" w:hAnsi="Arial" w:cs="Arial"/>
              </w:rPr>
            </w:pPr>
            <w:r>
              <w:rPr>
                <w:rFonts w:ascii="Arial" w:hAnsi="Arial" w:cs="Arial"/>
              </w:rPr>
              <w:t>A hybrid workforce will be used for the event, consisting of paid staff for essential logistical responsibilities and volunteers for on-site coordination. Diversity employment is prioritised to guarantee that the festival's values of inclusion are reflected in the staff and speakers (Michopoulou et al., 2020).</w:t>
            </w:r>
          </w:p>
          <w:p w14:paraId="59ADCB5E">
            <w:pPr>
              <w:spacing w:after="0" w:line="360" w:lineRule="auto"/>
              <w:jc w:val="both"/>
              <w:rPr>
                <w:rFonts w:ascii="Arial" w:hAnsi="Arial" w:cs="Arial"/>
                <w:b/>
                <w:bCs/>
              </w:rPr>
            </w:pPr>
          </w:p>
        </w:tc>
        <w:tc>
          <w:tcPr>
            <w:tcW w:w="3117" w:type="dxa"/>
          </w:tcPr>
          <w:p w14:paraId="7B5FC3D0">
            <w:pPr>
              <w:spacing w:after="0" w:line="360" w:lineRule="auto"/>
              <w:jc w:val="both"/>
              <w:rPr>
                <w:rFonts w:ascii="Arial" w:hAnsi="Arial" w:cs="Arial"/>
              </w:rPr>
            </w:pPr>
            <w:r>
              <w:rPr>
                <w:rFonts w:ascii="Arial" w:hAnsi="Arial" w:cs="Arial"/>
              </w:rPr>
              <w:t>The festival partners with government entities, NGOs, and corporate sponsors. Local tourism agencies encourage international attendance, while hospitality brands prioritising DEI offer sponsorship (Getz and Page, 2024).</w:t>
            </w:r>
          </w:p>
        </w:tc>
      </w:tr>
      <w:tr w14:paraId="4B0DF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50" w:type="dxa"/>
            <w:gridSpan w:val="3"/>
          </w:tcPr>
          <w:p w14:paraId="60698486">
            <w:pPr>
              <w:spacing w:after="0" w:line="360" w:lineRule="auto"/>
              <w:jc w:val="center"/>
              <w:rPr>
                <w:rFonts w:ascii="Arial" w:hAnsi="Arial" w:cs="Arial"/>
                <w:b/>
                <w:bCs/>
              </w:rPr>
            </w:pPr>
            <w:r>
              <w:rPr>
                <w:rFonts w:ascii="Arial" w:hAnsi="Arial" w:cs="Arial"/>
                <w:b/>
                <w:bCs/>
              </w:rPr>
              <w:t>Design</w:t>
            </w:r>
          </w:p>
        </w:tc>
      </w:tr>
      <w:tr w14:paraId="0DD3D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6" w:type="dxa"/>
          </w:tcPr>
          <w:p w14:paraId="70E580E5">
            <w:pPr>
              <w:spacing w:after="0" w:line="360" w:lineRule="auto"/>
              <w:jc w:val="center"/>
              <w:rPr>
                <w:rFonts w:ascii="Arial" w:hAnsi="Arial" w:cs="Arial"/>
                <w:b/>
                <w:bCs/>
              </w:rPr>
            </w:pPr>
            <w:r>
              <w:rPr>
                <w:rFonts w:ascii="Arial" w:hAnsi="Arial" w:cs="Arial"/>
                <w:b/>
                <w:bCs/>
              </w:rPr>
              <w:t>Venue Selection</w:t>
            </w:r>
          </w:p>
        </w:tc>
        <w:tc>
          <w:tcPr>
            <w:tcW w:w="3117" w:type="dxa"/>
          </w:tcPr>
          <w:p w14:paraId="2F8ED717">
            <w:pPr>
              <w:spacing w:after="0" w:line="360" w:lineRule="auto"/>
              <w:jc w:val="center"/>
              <w:rPr>
                <w:rFonts w:ascii="Arial" w:hAnsi="Arial" w:cs="Arial"/>
                <w:b/>
                <w:bCs/>
              </w:rPr>
            </w:pPr>
            <w:r>
              <w:rPr>
                <w:rFonts w:ascii="Arial" w:hAnsi="Arial" w:cs="Arial"/>
                <w:b/>
                <w:bCs/>
              </w:rPr>
              <w:t>Event Layout and Flow</w:t>
            </w:r>
          </w:p>
        </w:tc>
        <w:tc>
          <w:tcPr>
            <w:tcW w:w="3117" w:type="dxa"/>
          </w:tcPr>
          <w:p w14:paraId="15DE579D">
            <w:pPr>
              <w:spacing w:after="0" w:line="360" w:lineRule="auto"/>
              <w:jc w:val="center"/>
              <w:rPr>
                <w:rFonts w:ascii="Arial" w:hAnsi="Arial" w:cs="Arial"/>
                <w:b/>
                <w:bCs/>
              </w:rPr>
            </w:pPr>
            <w:r>
              <w:rPr>
                <w:rFonts w:ascii="Arial" w:hAnsi="Arial" w:cs="Arial"/>
                <w:b/>
                <w:bCs/>
              </w:rPr>
              <w:t>Cultural Sensitivity</w:t>
            </w:r>
          </w:p>
        </w:tc>
      </w:tr>
      <w:tr w14:paraId="654A9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6" w:type="dxa"/>
          </w:tcPr>
          <w:p w14:paraId="459F941E">
            <w:pPr>
              <w:spacing w:after="0" w:line="360" w:lineRule="auto"/>
              <w:jc w:val="both"/>
              <w:rPr>
                <w:rFonts w:ascii="Arial" w:hAnsi="Arial" w:cs="Arial"/>
              </w:rPr>
            </w:pPr>
            <w:r>
              <w:rPr>
                <w:rFonts w:ascii="Arial" w:hAnsi="Arial" w:cs="Arial"/>
              </w:rPr>
              <w:t>Zeitz MOCAA was selected not only for its aesthetic appeal but also for its cultural relevance to inclusivity and storytelling. The museum is an optimal venue for an event that promotes diverse narratives due to its central location, accessibility, and hybrid event capabilities (Zeitz MOCAA, 2024).</w:t>
            </w:r>
          </w:p>
          <w:p w14:paraId="3C592567">
            <w:pPr>
              <w:spacing w:after="0" w:line="360" w:lineRule="auto"/>
              <w:jc w:val="both"/>
              <w:rPr>
                <w:rFonts w:ascii="Arial" w:hAnsi="Arial" w:cs="Arial"/>
                <w:b/>
                <w:bCs/>
              </w:rPr>
            </w:pPr>
          </w:p>
        </w:tc>
        <w:tc>
          <w:tcPr>
            <w:tcW w:w="3117" w:type="dxa"/>
          </w:tcPr>
          <w:p w14:paraId="508D071A">
            <w:pPr>
              <w:spacing w:after="0" w:line="360" w:lineRule="auto"/>
              <w:jc w:val="both"/>
              <w:rPr>
                <w:rFonts w:ascii="Arial" w:hAnsi="Arial" w:cs="Arial"/>
              </w:rPr>
            </w:pPr>
            <w:r>
              <w:rPr>
                <w:rFonts w:ascii="Arial" w:hAnsi="Arial" w:cs="Arial"/>
              </w:rPr>
              <w:t>The festival's layout is intended to encourage participation. Structured storytelling zones facilitate focused discussions, while open spaces encourage casual networking. This is consistent with Service Scapes Theory, which underlines the impact of physical design on the interactions of attendees (Marling and Jespersen, 2014).</w:t>
            </w:r>
          </w:p>
          <w:p w14:paraId="72EFD9C0">
            <w:pPr>
              <w:spacing w:after="0" w:line="360" w:lineRule="auto"/>
              <w:jc w:val="both"/>
              <w:rPr>
                <w:rFonts w:ascii="Arial" w:hAnsi="Arial" w:cs="Arial"/>
                <w:b/>
                <w:bCs/>
              </w:rPr>
            </w:pPr>
          </w:p>
        </w:tc>
        <w:tc>
          <w:tcPr>
            <w:tcW w:w="3117" w:type="dxa"/>
          </w:tcPr>
          <w:p w14:paraId="50C7C0D8">
            <w:pPr>
              <w:spacing w:after="0" w:line="360" w:lineRule="auto"/>
              <w:jc w:val="both"/>
              <w:rPr>
                <w:rFonts w:ascii="Arial" w:hAnsi="Arial" w:cs="Arial"/>
              </w:rPr>
            </w:pPr>
            <w:r>
              <w:rPr>
                <w:rFonts w:ascii="Arial" w:hAnsi="Arial" w:cs="Arial"/>
              </w:rPr>
              <w:t>Ensuring that all aspects of the event, from performances to catering, reflect cultural inclusivity is a priority. Attendee contentment is improved by events that incorporate multiculturalism, according to research (Talib et al., 2024).</w:t>
            </w:r>
          </w:p>
          <w:p w14:paraId="76819C00">
            <w:pPr>
              <w:spacing w:after="0" w:line="360" w:lineRule="auto"/>
              <w:jc w:val="both"/>
              <w:rPr>
                <w:rFonts w:ascii="Arial" w:hAnsi="Arial" w:cs="Arial"/>
              </w:rPr>
            </w:pPr>
          </w:p>
        </w:tc>
      </w:tr>
      <w:tr w14:paraId="3A9F3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50" w:type="dxa"/>
            <w:gridSpan w:val="3"/>
          </w:tcPr>
          <w:p w14:paraId="7E771CF7">
            <w:pPr>
              <w:spacing w:after="0" w:line="360" w:lineRule="auto"/>
              <w:jc w:val="center"/>
              <w:rPr>
                <w:rFonts w:ascii="Arial" w:hAnsi="Arial" w:cs="Arial"/>
                <w:b/>
                <w:bCs/>
              </w:rPr>
            </w:pPr>
            <w:r>
              <w:rPr>
                <w:rFonts w:ascii="Arial" w:hAnsi="Arial" w:cs="Arial"/>
                <w:b/>
                <w:bCs/>
              </w:rPr>
              <w:t>Marketing</w:t>
            </w:r>
          </w:p>
        </w:tc>
      </w:tr>
      <w:tr w14:paraId="0B415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50" w:type="dxa"/>
            <w:gridSpan w:val="3"/>
          </w:tcPr>
          <w:p w14:paraId="749B776C">
            <w:pPr>
              <w:spacing w:after="0" w:line="360" w:lineRule="auto"/>
              <w:jc w:val="center"/>
              <w:rPr>
                <w:rFonts w:ascii="Arial" w:hAnsi="Arial" w:cs="Arial"/>
                <w:b/>
                <w:bCs/>
              </w:rPr>
            </w:pPr>
            <w:r>
              <w:rPr>
                <w:rFonts w:ascii="Arial" w:hAnsi="Arial" w:cs="Arial"/>
                <w:b/>
                <w:bCs/>
              </w:rPr>
              <w:t>Target Audience and Engagement Strategy</w:t>
            </w:r>
          </w:p>
        </w:tc>
      </w:tr>
      <w:tr w14:paraId="50672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50" w:type="dxa"/>
            <w:gridSpan w:val="3"/>
          </w:tcPr>
          <w:p w14:paraId="627C2A14">
            <w:pPr>
              <w:spacing w:after="0" w:line="360" w:lineRule="auto"/>
              <w:jc w:val="center"/>
              <w:rPr>
                <w:rFonts w:ascii="Arial" w:hAnsi="Arial" w:cs="Arial"/>
              </w:rPr>
            </w:pPr>
            <w:r>
              <w:rPr>
                <w:rFonts w:ascii="Arial" w:hAnsi="Arial" w:cs="Arial"/>
              </w:rPr>
              <w:t>The festival draws the attention of the public, NGOs, and hospitality professionals. Marketing initiatives promote corporate partnerships, DEI advocacy groups, and social media engagement (Dai and Soonthonsmai, 2024).</w:t>
            </w:r>
          </w:p>
        </w:tc>
      </w:tr>
      <w:tr w14:paraId="7DDE8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50" w:type="dxa"/>
            <w:gridSpan w:val="3"/>
          </w:tcPr>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24"/>
            </w:tblGrid>
            <w:tr w14:paraId="7549B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350" w:type="dxa"/>
                </w:tcPr>
                <w:p w14:paraId="63D4C9AC">
                  <w:pPr>
                    <w:spacing w:after="0" w:line="360" w:lineRule="auto"/>
                    <w:jc w:val="center"/>
                    <w:rPr>
                      <w:rFonts w:ascii="Arial" w:hAnsi="Arial" w:cs="Arial"/>
                      <w:b/>
                      <w:bCs/>
                    </w:rPr>
                  </w:pPr>
                  <w:r>
                    <w:rPr>
                      <w:rFonts w:ascii="Arial" w:hAnsi="Arial" w:cs="Arial"/>
                      <w:b/>
                      <w:bCs/>
                    </w:rPr>
                    <w:t>7Ps Framework</w:t>
                  </w:r>
                </w:p>
              </w:tc>
            </w:tr>
          </w:tbl>
          <w:p w14:paraId="2A9AF396">
            <w:pPr>
              <w:spacing w:after="0" w:line="360" w:lineRule="auto"/>
              <w:jc w:val="center"/>
              <w:rPr>
                <w:rFonts w:ascii="Arial" w:hAnsi="Arial" w:cs="Arial"/>
                <w:b/>
                <w:bCs/>
              </w:rPr>
            </w:pPr>
          </w:p>
          <w:p w14:paraId="6C436EB8">
            <w:pPr>
              <w:spacing w:after="0" w:line="360" w:lineRule="auto"/>
              <w:jc w:val="center"/>
              <w:rPr>
                <w:rFonts w:ascii="Arial" w:hAnsi="Arial" w:cs="Arial"/>
              </w:rPr>
            </w:pPr>
            <w:r>
              <w:rPr>
                <w:rFonts w:ascii="Arial" w:hAnsi="Arial" w:cs="Arial"/>
                <w:b/>
                <w:bCs/>
              </w:rPr>
              <w:t>Product</w:t>
            </w:r>
          </w:p>
          <w:p w14:paraId="252BAFF9">
            <w:pPr>
              <w:spacing w:after="0" w:line="360" w:lineRule="auto"/>
              <w:jc w:val="center"/>
              <w:rPr>
                <w:rFonts w:ascii="Arial" w:hAnsi="Arial" w:cs="Arial"/>
              </w:rPr>
            </w:pPr>
            <w:r>
              <w:rPr>
                <w:rFonts w:ascii="Arial" w:hAnsi="Arial" w:cs="Arial"/>
              </w:rPr>
              <w:t>A blend of storytelling, workshops, and networking.</w:t>
            </w:r>
          </w:p>
          <w:p w14:paraId="5A5ADC61">
            <w:pPr>
              <w:spacing w:after="0" w:line="360" w:lineRule="auto"/>
              <w:jc w:val="center"/>
              <w:rPr>
                <w:rFonts w:ascii="Arial" w:hAnsi="Arial" w:cs="Arial"/>
              </w:rPr>
            </w:pPr>
            <w:r>
              <w:rPr>
                <w:rFonts w:ascii="Arial" w:hAnsi="Arial" w:cs="Arial"/>
                <w:b/>
                <w:bCs/>
              </w:rPr>
              <w:t>Price</w:t>
            </w:r>
          </w:p>
          <w:p w14:paraId="180AB4FB">
            <w:pPr>
              <w:spacing w:after="0" w:line="360" w:lineRule="auto"/>
              <w:jc w:val="center"/>
              <w:rPr>
                <w:rFonts w:ascii="Arial" w:hAnsi="Arial" w:cs="Arial"/>
              </w:rPr>
            </w:pPr>
            <w:r>
              <w:rPr>
                <w:rFonts w:ascii="Arial" w:hAnsi="Arial" w:cs="Arial"/>
              </w:rPr>
              <w:t>Tiered ticketing system (£50 general, £75 VIP).</w:t>
            </w:r>
          </w:p>
          <w:p w14:paraId="0CBF2391">
            <w:pPr>
              <w:spacing w:after="0" w:line="360" w:lineRule="auto"/>
              <w:jc w:val="center"/>
              <w:rPr>
                <w:rFonts w:ascii="Arial" w:hAnsi="Arial" w:cs="Arial"/>
              </w:rPr>
            </w:pPr>
            <w:r>
              <w:rPr>
                <w:rFonts w:ascii="Arial" w:hAnsi="Arial" w:cs="Arial"/>
                <w:b/>
                <w:bCs/>
              </w:rPr>
              <w:t>Place</w:t>
            </w:r>
          </w:p>
          <w:p w14:paraId="6DCDCCA2">
            <w:pPr>
              <w:spacing w:after="0" w:line="360" w:lineRule="auto"/>
              <w:jc w:val="center"/>
              <w:rPr>
                <w:rFonts w:ascii="Arial" w:hAnsi="Arial" w:cs="Arial"/>
              </w:rPr>
            </w:pPr>
            <w:r>
              <w:rPr>
                <w:rFonts w:ascii="Arial" w:hAnsi="Arial" w:cs="Arial"/>
              </w:rPr>
              <w:t>Hybrid model (Zeitz MOCAA and live streaming).</w:t>
            </w:r>
          </w:p>
          <w:p w14:paraId="4B4AA132">
            <w:pPr>
              <w:spacing w:after="0" w:line="360" w:lineRule="auto"/>
              <w:jc w:val="center"/>
              <w:rPr>
                <w:rFonts w:ascii="Arial" w:hAnsi="Arial" w:cs="Arial"/>
              </w:rPr>
            </w:pPr>
            <w:r>
              <w:rPr>
                <w:rFonts w:ascii="Arial" w:hAnsi="Arial" w:cs="Arial"/>
                <w:b/>
                <w:bCs/>
              </w:rPr>
              <w:t>Promotion</w:t>
            </w:r>
          </w:p>
          <w:p w14:paraId="0B305FB0">
            <w:pPr>
              <w:spacing w:after="0" w:line="360" w:lineRule="auto"/>
              <w:jc w:val="center"/>
              <w:rPr>
                <w:rFonts w:ascii="Arial" w:hAnsi="Arial" w:cs="Arial"/>
              </w:rPr>
            </w:pPr>
            <w:r>
              <w:rPr>
                <w:rFonts w:ascii="Arial" w:hAnsi="Arial" w:cs="Arial"/>
              </w:rPr>
              <w:t>Social media campaigns, influencer collaborations.</w:t>
            </w:r>
          </w:p>
          <w:p w14:paraId="6351BB38">
            <w:pPr>
              <w:spacing w:after="0" w:line="360" w:lineRule="auto"/>
              <w:jc w:val="center"/>
              <w:rPr>
                <w:rFonts w:ascii="Arial" w:hAnsi="Arial" w:cs="Arial"/>
              </w:rPr>
            </w:pPr>
            <w:r>
              <w:rPr>
                <w:rFonts w:ascii="Arial" w:hAnsi="Arial" w:cs="Arial"/>
                <w:b/>
                <w:bCs/>
              </w:rPr>
              <w:t>People</w:t>
            </w:r>
          </w:p>
          <w:p w14:paraId="59D387BA">
            <w:pPr>
              <w:spacing w:after="0" w:line="360" w:lineRule="auto"/>
              <w:jc w:val="center"/>
              <w:rPr>
                <w:rFonts w:ascii="Arial" w:hAnsi="Arial" w:cs="Arial"/>
              </w:rPr>
            </w:pPr>
            <w:r>
              <w:rPr>
                <w:rFonts w:ascii="Arial" w:hAnsi="Arial" w:cs="Arial"/>
              </w:rPr>
              <w:t>Industry leaders, EDI experts, artists, storytellers.</w:t>
            </w:r>
          </w:p>
          <w:p w14:paraId="471D8110">
            <w:pPr>
              <w:spacing w:after="0" w:line="360" w:lineRule="auto"/>
              <w:jc w:val="center"/>
              <w:rPr>
                <w:rFonts w:ascii="Arial" w:hAnsi="Arial" w:cs="Arial"/>
              </w:rPr>
            </w:pPr>
            <w:r>
              <w:rPr>
                <w:rFonts w:ascii="Arial" w:hAnsi="Arial" w:cs="Arial"/>
                <w:b/>
                <w:bCs/>
              </w:rPr>
              <w:t>Processes</w:t>
            </w:r>
            <w:r>
              <w:drawing>
                <wp:anchor distT="0" distB="0" distL="114300" distR="114300" simplePos="0" relativeHeight="251661312" behindDoc="0" locked="0" layoutInCell="1" allowOverlap="1">
                  <wp:simplePos x="0" y="0"/>
                  <wp:positionH relativeFrom="column">
                    <wp:posOffset>-6350</wp:posOffset>
                  </wp:positionH>
                  <wp:positionV relativeFrom="paragraph">
                    <wp:posOffset>-812800</wp:posOffset>
                  </wp:positionV>
                  <wp:extent cx="2126615" cy="2125980"/>
                  <wp:effectExtent l="0" t="0" r="6985" b="7620"/>
                  <wp:wrapSquare wrapText="bothSides"/>
                  <wp:docPr id="1612606627" name="Picture 2" descr="The 7 Ps of Mark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2606627" name="Picture 2" descr="The 7 Ps of Marketi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a:xfrm>
                            <a:off x="0" y="0"/>
                            <a:ext cx="2126615" cy="2125980"/>
                          </a:xfrm>
                          <a:prstGeom prst="rect">
                            <a:avLst/>
                          </a:prstGeom>
                          <a:noFill/>
                          <a:ln>
                            <a:noFill/>
                          </a:ln>
                        </pic:spPr>
                      </pic:pic>
                    </a:graphicData>
                  </a:graphic>
                </wp:anchor>
              </w:drawing>
            </w:r>
          </w:p>
          <w:p w14:paraId="230ACB88">
            <w:pPr>
              <w:spacing w:after="0" w:line="360" w:lineRule="auto"/>
              <w:jc w:val="center"/>
              <w:rPr>
                <w:rFonts w:ascii="Arial" w:hAnsi="Arial" w:cs="Arial"/>
              </w:rPr>
            </w:pPr>
            <w:r>
              <w:rPr>
                <w:rFonts w:ascii="Arial" w:hAnsi="Arial" w:cs="Arial"/>
              </w:rPr>
              <w:t>Digital ticketing, seamless check-ins.</w:t>
            </w:r>
          </w:p>
          <w:p w14:paraId="46BC0EA2">
            <w:pPr>
              <w:spacing w:after="0" w:line="360" w:lineRule="auto"/>
              <w:jc w:val="center"/>
              <w:rPr>
                <w:rFonts w:ascii="Arial" w:hAnsi="Arial" w:cs="Arial"/>
              </w:rPr>
            </w:pPr>
            <w:r>
              <w:rPr>
                <w:rFonts w:ascii="Arial" w:hAnsi="Arial" w:cs="Arial"/>
                <w:b/>
                <w:bCs/>
              </w:rPr>
              <w:t>Physical Evidence</w:t>
            </w:r>
          </w:p>
          <w:p w14:paraId="6961B657">
            <w:pPr>
              <w:spacing w:after="0" w:line="360" w:lineRule="auto"/>
              <w:jc w:val="center"/>
              <w:rPr>
                <w:rFonts w:ascii="Arial" w:hAnsi="Arial" w:cs="Arial"/>
              </w:rPr>
            </w:pPr>
            <w:r>
              <w:rPr>
                <w:rFonts w:ascii="Arial" w:hAnsi="Arial" w:cs="Arial"/>
              </w:rPr>
              <w:t>Festival branding and event merchandise</w:t>
            </w:r>
          </w:p>
          <w:p w14:paraId="31F778B5">
            <w:pPr>
              <w:spacing w:after="0" w:line="360" w:lineRule="auto"/>
              <w:jc w:val="center"/>
              <w:rPr>
                <w:rFonts w:ascii="Arial" w:hAnsi="Arial" w:cs="Arial"/>
              </w:rPr>
            </w:pPr>
            <w:r>
              <w:rPr>
                <w:rFonts w:ascii="Arial" w:hAnsi="Arial" w:cs="Arial"/>
              </w:rPr>
              <w:t>(Wirantari et al., 2022)</w:t>
            </w:r>
          </w:p>
        </w:tc>
      </w:tr>
      <w:tr w14:paraId="50F53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50" w:type="dxa"/>
            <w:gridSpan w:val="3"/>
          </w:tcPr>
          <w:p w14:paraId="77B0B3F8">
            <w:pPr>
              <w:spacing w:after="0" w:line="360" w:lineRule="auto"/>
              <w:jc w:val="center"/>
              <w:rPr>
                <w:rFonts w:ascii="Arial" w:hAnsi="Arial" w:cs="Arial"/>
                <w:b/>
                <w:bCs/>
              </w:rPr>
            </w:pPr>
            <w:r>
              <w:rPr>
                <w:rFonts w:ascii="Arial" w:hAnsi="Arial" w:cs="Arial"/>
                <w:b/>
                <w:bCs/>
              </w:rPr>
              <w:t>Operations</w:t>
            </w:r>
          </w:p>
        </w:tc>
      </w:tr>
      <w:tr w14:paraId="7A594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6" w:type="dxa"/>
          </w:tcPr>
          <w:p w14:paraId="6A28FA14">
            <w:pPr>
              <w:spacing w:after="0" w:line="360" w:lineRule="auto"/>
              <w:jc w:val="center"/>
              <w:rPr>
                <w:rFonts w:ascii="Arial" w:hAnsi="Arial" w:cs="Arial"/>
                <w:b/>
                <w:bCs/>
              </w:rPr>
            </w:pPr>
            <w:r>
              <w:rPr>
                <w:rFonts w:ascii="Arial" w:hAnsi="Arial" w:cs="Arial"/>
                <w:b/>
                <w:bCs/>
              </w:rPr>
              <w:t>Logistics and Accessibility</w:t>
            </w:r>
          </w:p>
        </w:tc>
        <w:tc>
          <w:tcPr>
            <w:tcW w:w="3117" w:type="dxa"/>
          </w:tcPr>
          <w:p w14:paraId="410EB66B">
            <w:pPr>
              <w:spacing w:after="0" w:line="360" w:lineRule="auto"/>
              <w:jc w:val="center"/>
              <w:rPr>
                <w:rFonts w:ascii="Arial" w:hAnsi="Arial" w:cs="Arial"/>
                <w:b/>
                <w:bCs/>
              </w:rPr>
            </w:pPr>
            <w:r>
              <w:rPr>
                <w:rFonts w:ascii="Arial" w:hAnsi="Arial" w:cs="Arial"/>
                <w:b/>
                <w:bCs/>
              </w:rPr>
              <w:t>Technical Setup</w:t>
            </w:r>
          </w:p>
        </w:tc>
        <w:tc>
          <w:tcPr>
            <w:tcW w:w="3117" w:type="dxa"/>
          </w:tcPr>
          <w:p w14:paraId="6C7908F3">
            <w:pPr>
              <w:spacing w:after="0" w:line="360" w:lineRule="auto"/>
              <w:jc w:val="center"/>
              <w:rPr>
                <w:rFonts w:ascii="Arial" w:hAnsi="Arial" w:cs="Arial"/>
                <w:b/>
                <w:bCs/>
              </w:rPr>
            </w:pPr>
            <w:r>
              <w:rPr>
                <w:rFonts w:ascii="Arial" w:hAnsi="Arial" w:cs="Arial"/>
                <w:b/>
                <w:bCs/>
              </w:rPr>
              <w:t>Waste Management and Sustainability</w:t>
            </w:r>
          </w:p>
        </w:tc>
      </w:tr>
      <w:tr w14:paraId="4854C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6" w:type="dxa"/>
          </w:tcPr>
          <w:p w14:paraId="616EDEE2">
            <w:pPr>
              <w:spacing w:after="0" w:line="360" w:lineRule="auto"/>
              <w:jc w:val="both"/>
              <w:rPr>
                <w:rFonts w:ascii="Arial" w:hAnsi="Arial" w:cs="Arial"/>
              </w:rPr>
            </w:pPr>
            <w:r>
              <w:rPr>
                <w:rFonts w:ascii="Segoe UI Emoji" w:hAnsi="Segoe UI Emoji" w:cs="Segoe UI Emoji"/>
              </w:rPr>
              <w:t>🔹</w:t>
            </w:r>
            <w:r>
              <w:rPr>
                <w:rFonts w:ascii="Arial" w:hAnsi="Arial" w:cs="Arial"/>
              </w:rPr>
              <w:t xml:space="preserve">continuous attendee </w:t>
            </w:r>
            <w:r>
              <w:rPr>
                <w:rFonts w:ascii="Segoe UI Emoji" w:hAnsi="Segoe UI Emoji" w:cs="Segoe UI Emoji"/>
              </w:rPr>
              <w:t>🔹</w:t>
            </w:r>
            <w:r>
              <w:rPr>
                <w:rFonts w:ascii="Arial" w:hAnsi="Arial" w:cs="Arial"/>
              </w:rPr>
              <w:t>movement</w:t>
            </w:r>
          </w:p>
          <w:p w14:paraId="41F0C21E">
            <w:pPr>
              <w:spacing w:after="0" w:line="360" w:lineRule="auto"/>
              <w:jc w:val="both"/>
              <w:rPr>
                <w:rFonts w:ascii="Arial" w:hAnsi="Arial" w:cs="Arial"/>
              </w:rPr>
            </w:pPr>
            <w:r>
              <w:rPr>
                <w:rFonts w:ascii="Segoe UI Emoji" w:hAnsi="Segoe UI Emoji" w:cs="Segoe UI Emoji"/>
              </w:rPr>
              <w:t>🔹</w:t>
            </w:r>
            <w:r>
              <w:rPr>
                <w:rFonts w:ascii="Arial" w:hAnsi="Arial" w:cs="Arial"/>
              </w:rPr>
              <w:t xml:space="preserve">wheelchair-accessible </w:t>
            </w:r>
            <w:r>
              <w:rPr>
                <w:rFonts w:ascii="Segoe UI Emoji" w:hAnsi="Segoe UI Emoji" w:cs="Segoe UI Emoji"/>
              </w:rPr>
              <w:t>🔹</w:t>
            </w:r>
            <w:r>
              <w:rPr>
                <w:rFonts w:ascii="Arial" w:hAnsi="Arial" w:cs="Arial"/>
              </w:rPr>
              <w:t>pathways</w:t>
            </w:r>
          </w:p>
          <w:p w14:paraId="433F2F26">
            <w:pPr>
              <w:spacing w:after="0" w:line="360" w:lineRule="auto"/>
              <w:jc w:val="both"/>
              <w:rPr>
                <w:rFonts w:ascii="Arial" w:hAnsi="Arial" w:cs="Arial"/>
              </w:rPr>
            </w:pPr>
            <w:r>
              <w:rPr>
                <w:rFonts w:ascii="Segoe UI Emoji" w:hAnsi="Segoe UI Emoji" w:cs="Segoe UI Emoji"/>
              </w:rPr>
              <w:t>🔹</w:t>
            </w:r>
            <w:r>
              <w:rPr>
                <w:rFonts w:ascii="Arial" w:hAnsi="Arial" w:cs="Arial"/>
              </w:rPr>
              <w:t>clear signage</w:t>
            </w:r>
          </w:p>
          <w:p w14:paraId="34125A47">
            <w:pPr>
              <w:spacing w:after="0" w:line="360" w:lineRule="auto"/>
              <w:jc w:val="both"/>
              <w:rPr>
                <w:rFonts w:ascii="Arial" w:hAnsi="Arial" w:cs="Arial"/>
              </w:rPr>
            </w:pPr>
            <w:r>
              <w:rPr>
                <w:rFonts w:ascii="Segoe UI Emoji" w:hAnsi="Segoe UI Emoji" w:cs="Segoe UI Emoji"/>
              </w:rPr>
              <w:t>🔹</w:t>
            </w:r>
            <w:r>
              <w:rPr>
                <w:rFonts w:ascii="Arial" w:hAnsi="Arial" w:cs="Arial"/>
              </w:rPr>
              <w:t xml:space="preserve">secure transport links </w:t>
            </w:r>
          </w:p>
          <w:p w14:paraId="7650FEFE">
            <w:pPr>
              <w:spacing w:after="0" w:line="360" w:lineRule="auto"/>
              <w:jc w:val="both"/>
              <w:rPr>
                <w:rFonts w:ascii="Arial" w:hAnsi="Arial" w:cs="Arial"/>
              </w:rPr>
            </w:pPr>
            <w:r>
              <w:rPr>
                <w:rFonts w:ascii="Arial" w:hAnsi="Arial" w:cs="Arial"/>
              </w:rPr>
              <w:t>(Nadda et al., 2020).</w:t>
            </w:r>
          </w:p>
          <w:p w14:paraId="05E4E58A">
            <w:pPr>
              <w:spacing w:after="0" w:line="360" w:lineRule="auto"/>
              <w:jc w:val="both"/>
              <w:rPr>
                <w:rFonts w:ascii="Arial" w:hAnsi="Arial" w:cs="Arial"/>
                <w:b/>
                <w:bCs/>
              </w:rPr>
            </w:pPr>
          </w:p>
        </w:tc>
        <w:tc>
          <w:tcPr>
            <w:tcW w:w="3117" w:type="dxa"/>
          </w:tcPr>
          <w:p w14:paraId="4DB1D8AE">
            <w:pPr>
              <w:spacing w:after="0" w:line="360" w:lineRule="auto"/>
              <w:jc w:val="both"/>
              <w:rPr>
                <w:rFonts w:ascii="Arial" w:hAnsi="Arial" w:cs="Arial"/>
              </w:rPr>
            </w:pPr>
            <w:r>
              <w:rPr>
                <w:rFonts w:ascii="Segoe UI Emoji" w:hAnsi="Segoe UI Emoji" w:cs="Segoe UI Emoji"/>
              </w:rPr>
              <w:t>🔹</w:t>
            </w:r>
            <w:r>
              <w:rPr>
                <w:rFonts w:ascii="Arial" w:hAnsi="Arial" w:cs="Arial"/>
              </w:rPr>
              <w:t>Live streaming</w:t>
            </w:r>
          </w:p>
          <w:p w14:paraId="75EE3F63">
            <w:pPr>
              <w:spacing w:after="0" w:line="360" w:lineRule="auto"/>
              <w:jc w:val="both"/>
              <w:rPr>
                <w:rFonts w:ascii="Arial" w:hAnsi="Arial" w:cs="Arial"/>
              </w:rPr>
            </w:pPr>
            <w:r>
              <w:rPr>
                <w:rFonts w:ascii="Segoe UI Emoji" w:hAnsi="Segoe UI Emoji" w:cs="Segoe UI Emoji"/>
              </w:rPr>
              <w:t>🔹</w:t>
            </w:r>
            <w:r>
              <w:rPr>
                <w:rFonts w:ascii="Arial" w:hAnsi="Arial" w:cs="Arial"/>
              </w:rPr>
              <w:t>AV support</w:t>
            </w:r>
          </w:p>
          <w:p w14:paraId="0B0304E0">
            <w:pPr>
              <w:spacing w:after="0" w:line="360" w:lineRule="auto"/>
              <w:jc w:val="both"/>
              <w:rPr>
                <w:rFonts w:ascii="Arial" w:hAnsi="Arial" w:cs="Arial"/>
              </w:rPr>
            </w:pPr>
            <w:r>
              <w:rPr>
                <w:rFonts w:ascii="Segoe UI Emoji" w:hAnsi="Segoe UI Emoji" w:cs="Segoe UI Emoji"/>
              </w:rPr>
              <w:t>🔹</w:t>
            </w:r>
            <w:r>
              <w:rPr>
                <w:rFonts w:ascii="Arial" w:hAnsi="Arial" w:cs="Arial"/>
              </w:rPr>
              <w:t xml:space="preserve">interactive digital tools </w:t>
            </w:r>
            <w:r>
              <w:rPr>
                <w:rFonts w:ascii="Segoe UI Emoji" w:hAnsi="Segoe UI Emoji" w:cs="Segoe UI Emoji"/>
              </w:rPr>
              <w:t>🔹</w:t>
            </w:r>
            <w:r>
              <w:rPr>
                <w:rFonts w:ascii="Arial" w:hAnsi="Arial" w:cs="Arial"/>
              </w:rPr>
              <w:t xml:space="preserve">improve engagement for </w:t>
            </w:r>
            <w:r>
              <w:rPr>
                <w:rFonts w:ascii="Segoe UI Emoji" w:hAnsi="Segoe UI Emoji" w:cs="Segoe UI Emoji"/>
              </w:rPr>
              <w:t>🔹</w:t>
            </w:r>
            <w:r>
              <w:rPr>
                <w:rFonts w:ascii="Arial" w:hAnsi="Arial" w:cs="Arial"/>
              </w:rPr>
              <w:t xml:space="preserve">virtual attendees </w:t>
            </w:r>
          </w:p>
          <w:p w14:paraId="61D26F18">
            <w:pPr>
              <w:spacing w:after="0" w:line="360" w:lineRule="auto"/>
              <w:jc w:val="both"/>
              <w:rPr>
                <w:rFonts w:ascii="Arial" w:hAnsi="Arial" w:cs="Arial"/>
              </w:rPr>
            </w:pPr>
            <w:r>
              <w:rPr>
                <w:rFonts w:ascii="Arial" w:hAnsi="Arial" w:cs="Arial"/>
              </w:rPr>
              <w:t>(Cvent, 2024).</w:t>
            </w:r>
          </w:p>
        </w:tc>
        <w:tc>
          <w:tcPr>
            <w:tcW w:w="3117" w:type="dxa"/>
          </w:tcPr>
          <w:p w14:paraId="48B06723">
            <w:pPr>
              <w:spacing w:after="0" w:line="360" w:lineRule="auto"/>
              <w:jc w:val="both"/>
              <w:rPr>
                <w:rFonts w:ascii="Arial" w:hAnsi="Arial" w:cs="Arial"/>
              </w:rPr>
            </w:pPr>
            <w:r>
              <w:rPr>
                <w:rFonts w:ascii="Segoe UI Emoji" w:hAnsi="Segoe UI Emoji" w:cs="Segoe UI Emoji"/>
              </w:rPr>
              <w:t>🔹</w:t>
            </w:r>
            <w:r>
              <w:rPr>
                <w:rFonts w:ascii="Arial" w:hAnsi="Arial" w:cs="Arial"/>
              </w:rPr>
              <w:t>partnerships with eco-</w:t>
            </w:r>
            <w:r>
              <w:rPr>
                <w:rFonts w:ascii="Segoe UI Emoji" w:hAnsi="Segoe UI Emoji" w:cs="Segoe UI Emoji"/>
              </w:rPr>
              <w:t>🔹</w:t>
            </w:r>
            <w:r>
              <w:rPr>
                <w:rFonts w:ascii="Arial" w:hAnsi="Arial" w:cs="Arial"/>
              </w:rPr>
              <w:t>conscious suppliers</w:t>
            </w:r>
          </w:p>
          <w:p w14:paraId="018B3470">
            <w:pPr>
              <w:spacing w:after="0" w:line="360" w:lineRule="auto"/>
              <w:jc w:val="both"/>
              <w:rPr>
                <w:rFonts w:ascii="Arial" w:hAnsi="Arial" w:cs="Arial"/>
              </w:rPr>
            </w:pPr>
            <w:r>
              <w:rPr>
                <w:rFonts w:ascii="Segoe UI Emoji" w:hAnsi="Segoe UI Emoji" w:cs="Segoe UI Emoji"/>
              </w:rPr>
              <w:t>🔹</w:t>
            </w:r>
            <w:r>
              <w:rPr>
                <w:rFonts w:ascii="Arial" w:hAnsi="Arial" w:cs="Arial"/>
              </w:rPr>
              <w:t>focus on zero-waste catering</w:t>
            </w:r>
          </w:p>
          <w:p w14:paraId="7B0880B9">
            <w:pPr>
              <w:spacing w:after="0" w:line="360" w:lineRule="auto"/>
              <w:jc w:val="both"/>
              <w:rPr>
                <w:rFonts w:ascii="Arial" w:hAnsi="Arial" w:cs="Arial"/>
              </w:rPr>
            </w:pPr>
            <w:r>
              <w:rPr>
                <w:rFonts w:ascii="Segoe UI Emoji" w:hAnsi="Segoe UI Emoji" w:cs="Segoe UI Emoji"/>
              </w:rPr>
              <w:t>🔹</w:t>
            </w:r>
            <w:r>
              <w:rPr>
                <w:rFonts w:ascii="Arial" w:hAnsi="Arial" w:cs="Arial"/>
              </w:rPr>
              <w:t>digital materials over print</w:t>
            </w:r>
          </w:p>
          <w:p w14:paraId="4D82433F">
            <w:pPr>
              <w:spacing w:after="0" w:line="360" w:lineRule="auto"/>
              <w:jc w:val="both"/>
              <w:rPr>
                <w:rFonts w:ascii="Arial" w:hAnsi="Arial" w:cs="Arial"/>
              </w:rPr>
            </w:pPr>
            <w:r>
              <w:rPr>
                <w:rFonts w:ascii="Segoe UI Emoji" w:hAnsi="Segoe UI Emoji" w:cs="Segoe UI Emoji"/>
              </w:rPr>
              <w:t>🔹</w:t>
            </w:r>
            <w:r>
              <w:rPr>
                <w:rFonts w:ascii="Arial" w:hAnsi="Arial" w:cs="Arial"/>
              </w:rPr>
              <w:t xml:space="preserve">responsible for event waste disposal </w:t>
            </w:r>
          </w:p>
          <w:p w14:paraId="5F728B3F">
            <w:pPr>
              <w:spacing w:after="0" w:line="360" w:lineRule="auto"/>
              <w:jc w:val="both"/>
              <w:rPr>
                <w:rFonts w:ascii="Arial" w:hAnsi="Arial" w:cs="Arial"/>
              </w:rPr>
            </w:pPr>
            <w:r>
              <w:rPr>
                <w:rFonts w:ascii="Arial" w:hAnsi="Arial" w:cs="Arial"/>
              </w:rPr>
              <w:t>(Makda, Bayat and Ukpere, 2012).</w:t>
            </w:r>
          </w:p>
        </w:tc>
      </w:tr>
    </w:tbl>
    <w:p w14:paraId="5E9F447D">
      <w:pPr>
        <w:spacing w:line="360" w:lineRule="auto"/>
        <w:jc w:val="both"/>
        <w:rPr>
          <w:rFonts w:ascii="Arial" w:hAnsi="Arial" w:cs="Arial"/>
          <w:b/>
          <w:bCs/>
        </w:rPr>
      </w:pP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16"/>
        <w:gridCol w:w="3117"/>
        <w:gridCol w:w="3117"/>
      </w:tblGrid>
      <w:tr w14:paraId="7806F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50" w:type="dxa"/>
            <w:gridSpan w:val="3"/>
          </w:tcPr>
          <w:p w14:paraId="6CFE6F76">
            <w:pPr>
              <w:spacing w:after="0" w:line="360" w:lineRule="auto"/>
              <w:jc w:val="center"/>
              <w:rPr>
                <w:rFonts w:ascii="Arial" w:hAnsi="Arial" w:cs="Arial"/>
                <w:b/>
                <w:bCs/>
              </w:rPr>
            </w:pPr>
            <w:r>
              <w:rPr>
                <w:rFonts w:ascii="Arial" w:hAnsi="Arial" w:cs="Arial"/>
                <w:b/>
                <w:bCs/>
              </w:rPr>
              <w:t>Risk Management</w:t>
            </w:r>
          </w:p>
        </w:tc>
      </w:tr>
      <w:tr w14:paraId="1E1BC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6" w:type="dxa"/>
          </w:tcPr>
          <w:p w14:paraId="3EB68BFF">
            <w:pPr>
              <w:spacing w:after="0" w:line="360" w:lineRule="auto"/>
              <w:jc w:val="center"/>
              <w:rPr>
                <w:rFonts w:ascii="Arial" w:hAnsi="Arial" w:cs="Arial"/>
                <w:b/>
                <w:bCs/>
              </w:rPr>
            </w:pPr>
            <w:r>
              <w:rPr>
                <w:rFonts w:ascii="Arial" w:hAnsi="Arial" w:cs="Arial"/>
                <w:b/>
                <w:bCs/>
              </w:rPr>
              <w:t>Security and Crowd Control</w:t>
            </w:r>
          </w:p>
        </w:tc>
        <w:tc>
          <w:tcPr>
            <w:tcW w:w="3117" w:type="dxa"/>
          </w:tcPr>
          <w:p w14:paraId="7C257E8A">
            <w:pPr>
              <w:spacing w:after="0" w:line="360" w:lineRule="auto"/>
              <w:jc w:val="center"/>
              <w:rPr>
                <w:rFonts w:ascii="Arial" w:hAnsi="Arial" w:cs="Arial"/>
                <w:b/>
                <w:bCs/>
              </w:rPr>
            </w:pPr>
            <w:r>
              <w:rPr>
                <w:rFonts w:ascii="Arial" w:hAnsi="Arial" w:cs="Arial"/>
                <w:b/>
                <w:bCs/>
              </w:rPr>
              <w:t>Health and Safety Measures</w:t>
            </w:r>
          </w:p>
        </w:tc>
        <w:tc>
          <w:tcPr>
            <w:tcW w:w="3117" w:type="dxa"/>
          </w:tcPr>
          <w:p w14:paraId="45746A38">
            <w:pPr>
              <w:spacing w:after="0" w:line="360" w:lineRule="auto"/>
              <w:jc w:val="center"/>
              <w:rPr>
                <w:rFonts w:ascii="Arial" w:hAnsi="Arial" w:cs="Arial"/>
                <w:b/>
                <w:bCs/>
              </w:rPr>
            </w:pPr>
            <w:r>
              <w:rPr>
                <w:rFonts w:ascii="Arial" w:hAnsi="Arial" w:cs="Arial"/>
                <w:b/>
                <w:bCs/>
              </w:rPr>
              <w:t>Legal Compliance</w:t>
            </w:r>
          </w:p>
        </w:tc>
      </w:tr>
      <w:tr w14:paraId="61042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6" w:type="dxa"/>
          </w:tcPr>
          <w:p w14:paraId="6D1BE3BA">
            <w:pPr>
              <w:spacing w:after="0" w:line="360" w:lineRule="auto"/>
              <w:jc w:val="both"/>
              <w:rPr>
                <w:rFonts w:ascii="Arial" w:hAnsi="Arial" w:cs="Arial"/>
              </w:rPr>
            </w:pPr>
            <w:r>
              <w:rPr>
                <w:rFonts w:ascii="Segoe UI Emoji" w:hAnsi="Segoe UI Emoji" w:cs="Segoe UI Emoji"/>
              </w:rPr>
              <w:t>🔹</w:t>
            </w:r>
            <w:r>
              <w:rPr>
                <w:rFonts w:ascii="Arial" w:hAnsi="Arial" w:cs="Arial"/>
              </w:rPr>
              <w:t>compliance with South African and UK safety regulations (ensures attendee safety)</w:t>
            </w:r>
          </w:p>
          <w:p w14:paraId="6887816B">
            <w:pPr>
              <w:spacing w:after="0" w:line="360" w:lineRule="auto"/>
              <w:jc w:val="both"/>
              <w:rPr>
                <w:rFonts w:ascii="Arial" w:hAnsi="Arial" w:cs="Arial"/>
              </w:rPr>
            </w:pPr>
            <w:r>
              <w:rPr>
                <w:rFonts w:ascii="Segoe UI Emoji" w:hAnsi="Segoe UI Emoji" w:cs="Segoe UI Emoji"/>
              </w:rPr>
              <w:t>🔹</w:t>
            </w:r>
            <w:r>
              <w:rPr>
                <w:rFonts w:ascii="Arial" w:hAnsi="Arial" w:cs="Arial"/>
              </w:rPr>
              <w:t>trained security staff</w:t>
            </w:r>
          </w:p>
          <w:p w14:paraId="77AE5BA5">
            <w:pPr>
              <w:spacing w:after="0" w:line="360" w:lineRule="auto"/>
              <w:jc w:val="both"/>
              <w:rPr>
                <w:rFonts w:ascii="Arial" w:hAnsi="Arial" w:cs="Arial"/>
              </w:rPr>
            </w:pPr>
            <w:r>
              <w:rPr>
                <w:rFonts w:ascii="Segoe UI Emoji" w:hAnsi="Segoe UI Emoji" w:cs="Segoe UI Emoji"/>
              </w:rPr>
              <w:t>🔹</w:t>
            </w:r>
            <w:r>
              <w:rPr>
                <w:rFonts w:ascii="Arial" w:hAnsi="Arial" w:cs="Arial"/>
              </w:rPr>
              <w:t>entry monitoring,</w:t>
            </w:r>
          </w:p>
          <w:p w14:paraId="06F572A2">
            <w:pPr>
              <w:spacing w:after="0" w:line="360" w:lineRule="auto"/>
              <w:jc w:val="both"/>
              <w:rPr>
                <w:rFonts w:ascii="Arial" w:hAnsi="Arial" w:cs="Arial"/>
              </w:rPr>
            </w:pPr>
            <w:r>
              <w:rPr>
                <w:rFonts w:ascii="Segoe UI Emoji" w:hAnsi="Segoe UI Emoji" w:cs="Segoe UI Emoji"/>
              </w:rPr>
              <w:t>🔹</w:t>
            </w:r>
            <w:r>
              <w:rPr>
                <w:rFonts w:ascii="Arial" w:hAnsi="Arial" w:cs="Arial"/>
              </w:rPr>
              <w:t xml:space="preserve">emergency response protocols </w:t>
            </w:r>
          </w:p>
          <w:p w14:paraId="5822F1B6">
            <w:pPr>
              <w:spacing w:after="0" w:line="360" w:lineRule="auto"/>
              <w:jc w:val="both"/>
              <w:rPr>
                <w:rFonts w:ascii="Arial" w:hAnsi="Arial" w:cs="Arial"/>
                <w:b/>
                <w:bCs/>
              </w:rPr>
            </w:pPr>
            <w:r>
              <w:rPr>
                <w:rFonts w:ascii="Arial" w:hAnsi="Arial" w:cs="Arial"/>
              </w:rPr>
              <w:t>(Arnott, 2020).</w:t>
            </w:r>
          </w:p>
        </w:tc>
        <w:tc>
          <w:tcPr>
            <w:tcW w:w="3117" w:type="dxa"/>
          </w:tcPr>
          <w:p w14:paraId="1F96371B">
            <w:pPr>
              <w:spacing w:after="0" w:line="360" w:lineRule="auto"/>
              <w:jc w:val="both"/>
              <w:rPr>
                <w:rFonts w:ascii="Arial" w:hAnsi="Arial" w:cs="Arial"/>
              </w:rPr>
            </w:pPr>
            <w:r>
              <w:rPr>
                <w:rFonts w:ascii="Segoe UI Emoji" w:hAnsi="Segoe UI Emoji" w:cs="Segoe UI Emoji"/>
              </w:rPr>
              <w:t>🔹</w:t>
            </w:r>
            <w:r>
              <w:rPr>
                <w:rFonts w:ascii="Arial" w:hAnsi="Arial" w:cs="Arial"/>
              </w:rPr>
              <w:t>COVID-19 precautions</w:t>
            </w:r>
          </w:p>
          <w:p w14:paraId="2BC92541">
            <w:pPr>
              <w:spacing w:after="0" w:line="360" w:lineRule="auto"/>
              <w:jc w:val="both"/>
              <w:rPr>
                <w:rFonts w:ascii="Arial" w:hAnsi="Arial" w:cs="Arial"/>
              </w:rPr>
            </w:pPr>
            <w:r>
              <w:rPr>
                <w:rFonts w:ascii="Segoe UI Emoji" w:hAnsi="Segoe UI Emoji" w:cs="Segoe UI Emoji"/>
              </w:rPr>
              <w:t>🔹</w:t>
            </w:r>
            <w:r>
              <w:rPr>
                <w:rFonts w:ascii="Arial" w:hAnsi="Arial" w:cs="Arial"/>
              </w:rPr>
              <w:t>on-site first-aid stations</w:t>
            </w:r>
          </w:p>
          <w:p w14:paraId="74F2E264">
            <w:pPr>
              <w:spacing w:after="0" w:line="360" w:lineRule="auto"/>
              <w:jc w:val="both"/>
              <w:rPr>
                <w:rFonts w:ascii="Arial" w:hAnsi="Arial" w:cs="Arial"/>
              </w:rPr>
            </w:pPr>
            <w:r>
              <w:rPr>
                <w:rFonts w:ascii="Segoe UI Emoji" w:hAnsi="Segoe UI Emoji" w:cs="Segoe UI Emoji"/>
              </w:rPr>
              <w:t>🔹</w:t>
            </w:r>
            <w:r>
              <w:rPr>
                <w:rFonts w:ascii="Arial" w:hAnsi="Arial" w:cs="Arial"/>
              </w:rPr>
              <w:t>planning emergency exits</w:t>
            </w:r>
          </w:p>
          <w:p w14:paraId="08E77D59">
            <w:pPr>
              <w:spacing w:after="0" w:line="360" w:lineRule="auto"/>
              <w:jc w:val="both"/>
              <w:rPr>
                <w:rFonts w:ascii="Arial" w:hAnsi="Arial" w:cs="Arial"/>
              </w:rPr>
            </w:pPr>
            <w:r>
              <w:rPr>
                <w:rFonts w:ascii="Segoe UI Emoji" w:hAnsi="Segoe UI Emoji" w:cs="Segoe UI Emoji"/>
              </w:rPr>
              <w:t>🔹</w:t>
            </w:r>
            <w:r>
              <w:rPr>
                <w:rFonts w:ascii="Arial" w:hAnsi="Arial" w:cs="Arial"/>
              </w:rPr>
              <w:t xml:space="preserve">risk assessment strategy for potential medical emergencies </w:t>
            </w:r>
          </w:p>
          <w:p w14:paraId="4F9FB9B2">
            <w:pPr>
              <w:spacing w:after="0" w:line="360" w:lineRule="auto"/>
              <w:jc w:val="both"/>
              <w:rPr>
                <w:rFonts w:ascii="Arial" w:hAnsi="Arial" w:cs="Arial"/>
              </w:rPr>
            </w:pPr>
            <w:r>
              <w:rPr>
                <w:rFonts w:ascii="Arial" w:hAnsi="Arial" w:cs="Arial"/>
              </w:rPr>
              <w:t>(Moyle et al., 2014).</w:t>
            </w:r>
          </w:p>
          <w:p w14:paraId="5E0746DB">
            <w:pPr>
              <w:spacing w:after="0" w:line="360" w:lineRule="auto"/>
              <w:jc w:val="both"/>
              <w:rPr>
                <w:rFonts w:ascii="Arial" w:hAnsi="Arial" w:cs="Arial"/>
              </w:rPr>
            </w:pPr>
          </w:p>
        </w:tc>
        <w:tc>
          <w:tcPr>
            <w:tcW w:w="3117" w:type="dxa"/>
          </w:tcPr>
          <w:p w14:paraId="760198E4">
            <w:pPr>
              <w:spacing w:after="0" w:line="360" w:lineRule="auto"/>
              <w:jc w:val="both"/>
              <w:rPr>
                <w:rFonts w:ascii="Arial" w:hAnsi="Arial" w:cs="Arial"/>
              </w:rPr>
            </w:pPr>
            <w:r>
              <w:rPr>
                <w:rFonts w:ascii="Segoe UI Emoji" w:hAnsi="Segoe UI Emoji" w:cs="Segoe UI Emoji"/>
              </w:rPr>
              <w:t>🔹</w:t>
            </w:r>
            <w:r>
              <w:rPr>
                <w:rFonts w:ascii="Arial" w:hAnsi="Arial" w:cs="Arial"/>
              </w:rPr>
              <w:t>insurance coverage</w:t>
            </w:r>
          </w:p>
          <w:p w14:paraId="419853EF">
            <w:pPr>
              <w:spacing w:after="0" w:line="360" w:lineRule="auto"/>
              <w:jc w:val="both"/>
              <w:rPr>
                <w:rFonts w:ascii="Arial" w:hAnsi="Arial" w:cs="Arial"/>
              </w:rPr>
            </w:pPr>
            <w:r>
              <w:rPr>
                <w:rFonts w:ascii="Segoe UI Emoji" w:hAnsi="Segoe UI Emoji" w:cs="Segoe UI Emoji"/>
              </w:rPr>
              <w:t>🔹</w:t>
            </w:r>
            <w:r>
              <w:rPr>
                <w:rFonts w:ascii="Arial" w:hAnsi="Arial" w:cs="Arial"/>
              </w:rPr>
              <w:t>liability policies</w:t>
            </w:r>
          </w:p>
          <w:p w14:paraId="3542DC24">
            <w:pPr>
              <w:spacing w:after="0" w:line="360" w:lineRule="auto"/>
              <w:jc w:val="both"/>
              <w:rPr>
                <w:rFonts w:ascii="Arial" w:hAnsi="Arial" w:cs="Arial"/>
              </w:rPr>
            </w:pPr>
            <w:r>
              <w:rPr>
                <w:rFonts w:ascii="Segoe UI Emoji" w:hAnsi="Segoe UI Emoji" w:cs="Segoe UI Emoji"/>
              </w:rPr>
              <w:t>🔹</w:t>
            </w:r>
            <w:r>
              <w:rPr>
                <w:rFonts w:ascii="Arial" w:hAnsi="Arial" w:cs="Arial"/>
              </w:rPr>
              <w:t>contractual obligations are reviewed to mitigate risks (Makda, Bayat and Ukpere, 2012).</w:t>
            </w:r>
          </w:p>
        </w:tc>
      </w:tr>
    </w:tbl>
    <w:p w14:paraId="457D24ED">
      <w:pPr>
        <w:spacing w:line="360" w:lineRule="auto"/>
        <w:jc w:val="both"/>
        <w:rPr>
          <w:rFonts w:ascii="Arial" w:hAnsi="Arial" w:cs="Arial"/>
          <w:b/>
          <w:bCs/>
        </w:rPr>
      </w:pPr>
    </w:p>
    <w:p w14:paraId="2D58A950">
      <w:pPr>
        <w:spacing w:line="360" w:lineRule="auto"/>
        <w:jc w:val="both"/>
        <w:rPr>
          <w:rFonts w:ascii="Arial" w:hAnsi="Arial" w:cs="Arial"/>
        </w:rPr>
      </w:pPr>
      <w:r>
        <w:rPr>
          <w:rFonts w:ascii="Arial" w:hAnsi="Arial" w:cs="Arial"/>
        </w:rPr>
        <w:t>This event guarantees financial stability, inclusive programming, efficient operations, and risk mitigation by implementing the EMBOK framework. A transformative, sustainable, and meaningful experience is achieved by intentionally designing each component, including venue design and marketing strategies.</w:t>
      </w:r>
    </w:p>
    <w:p w14:paraId="31C8EE89">
      <w:pPr>
        <w:spacing w:line="360" w:lineRule="auto"/>
        <w:jc w:val="both"/>
        <w:rPr>
          <w:rFonts w:ascii="Arial" w:hAnsi="Arial" w:cs="Arial"/>
        </w:rPr>
      </w:pPr>
    </w:p>
    <w:p w14:paraId="3D642413">
      <w:pPr>
        <w:spacing w:line="360" w:lineRule="auto"/>
        <w:jc w:val="both"/>
        <w:rPr>
          <w:rFonts w:ascii="Arial" w:hAnsi="Arial" w:cs="Arial"/>
          <w:b/>
          <w:bCs/>
        </w:rPr>
      </w:pPr>
      <w:r>
        <w:rPr>
          <w:rFonts w:ascii="Arial" w:hAnsi="Arial" w:cs="Arial"/>
          <w:b/>
          <w:bCs/>
        </w:rPr>
        <w:t>Event Budget and Financial Model</w:t>
      </w:r>
    </w:p>
    <w:p w14:paraId="7E735AFD">
      <w:pPr>
        <w:spacing w:line="360" w:lineRule="auto"/>
        <w:jc w:val="both"/>
        <w:rPr>
          <w:rFonts w:ascii="Arial" w:hAnsi="Arial" w:cs="Arial"/>
        </w:rPr>
      </w:pPr>
      <w:r>
        <w:rPr>
          <w:rFonts w:ascii="Arial" w:hAnsi="Arial" w:cs="Arial"/>
        </w:rPr>
        <w:t>The Voices of Inclusion Storytelling Festival must be financially viable and impactful, and a well-structured financial model is essential for this. The event generates Numerous revenue streams, including ticket sales, sponsorships, merchandise, and workshops. Operational costs are controlled while accessibility and quality programming are maintained through precise budgeting.</w:t>
      </w:r>
    </w:p>
    <w:p w14:paraId="42A29704">
      <w:pPr>
        <w:pStyle w:val="11"/>
        <w:numPr>
          <w:ilvl w:val="0"/>
          <w:numId w:val="4"/>
        </w:numPr>
        <w:spacing w:line="360" w:lineRule="auto"/>
        <w:jc w:val="both"/>
        <w:rPr>
          <w:rFonts w:ascii="Arial" w:hAnsi="Arial" w:cs="Arial"/>
          <w:b/>
          <w:bCs/>
        </w:rPr>
      </w:pPr>
      <w:r>
        <w:rPr>
          <w:rFonts w:ascii="Arial" w:hAnsi="Arial" w:cs="Arial"/>
          <w:b/>
          <w:bCs/>
        </w:rPr>
        <w:t>Projected Revenue</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16"/>
        <w:gridCol w:w="3117"/>
        <w:gridCol w:w="3117"/>
      </w:tblGrid>
      <w:tr w14:paraId="5CCB7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6" w:type="dxa"/>
            <w:vAlign w:val="center"/>
          </w:tcPr>
          <w:p w14:paraId="40BAC110">
            <w:pPr>
              <w:spacing w:after="0" w:line="360" w:lineRule="auto"/>
              <w:jc w:val="center"/>
              <w:rPr>
                <w:rFonts w:ascii="Arial" w:hAnsi="Arial" w:cs="Arial"/>
                <w:b/>
                <w:bCs/>
              </w:rPr>
            </w:pPr>
            <w:r>
              <w:rPr>
                <w:rFonts w:ascii="Arial" w:hAnsi="Arial" w:cs="Arial"/>
                <w:b/>
                <w:bCs/>
              </w:rPr>
              <w:t>Revenue Stream</w:t>
            </w:r>
          </w:p>
        </w:tc>
        <w:tc>
          <w:tcPr>
            <w:tcW w:w="3117" w:type="dxa"/>
          </w:tcPr>
          <w:p w14:paraId="578D58D4">
            <w:pPr>
              <w:spacing w:after="0" w:line="360" w:lineRule="auto"/>
              <w:jc w:val="center"/>
              <w:rPr>
                <w:rFonts w:ascii="Arial" w:hAnsi="Arial" w:cs="Arial"/>
                <w:b/>
                <w:bCs/>
              </w:rPr>
            </w:pPr>
            <w:r>
              <w:rPr>
                <w:rFonts w:ascii="Arial" w:hAnsi="Arial" w:cs="Arial"/>
                <w:b/>
                <w:bCs/>
              </w:rPr>
              <w:t>£</w:t>
            </w:r>
          </w:p>
        </w:tc>
        <w:tc>
          <w:tcPr>
            <w:tcW w:w="3117" w:type="dxa"/>
          </w:tcPr>
          <w:p w14:paraId="6495AAEF">
            <w:pPr>
              <w:spacing w:after="0" w:line="360" w:lineRule="auto"/>
              <w:jc w:val="center"/>
              <w:rPr>
                <w:rFonts w:ascii="Arial" w:hAnsi="Arial" w:cs="Arial"/>
                <w:b/>
                <w:bCs/>
              </w:rPr>
            </w:pPr>
            <w:r>
              <w:rPr>
                <w:rFonts w:ascii="Arial" w:hAnsi="Arial" w:cs="Arial"/>
                <w:b/>
                <w:bCs/>
              </w:rPr>
              <w:t>Percentage of Total Revenue</w:t>
            </w:r>
          </w:p>
        </w:tc>
      </w:tr>
      <w:tr w14:paraId="45897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6" w:type="dxa"/>
            <w:vAlign w:val="center"/>
          </w:tcPr>
          <w:p w14:paraId="05C38886">
            <w:pPr>
              <w:spacing w:after="0" w:line="360" w:lineRule="auto"/>
              <w:jc w:val="center"/>
              <w:rPr>
                <w:rFonts w:ascii="Arial" w:hAnsi="Arial" w:cs="Arial"/>
                <w:b/>
                <w:bCs/>
              </w:rPr>
            </w:pPr>
            <w:r>
              <w:rPr>
                <w:rFonts w:ascii="Arial" w:hAnsi="Arial" w:cs="Arial"/>
              </w:rPr>
              <w:t>Ticket Sales</w:t>
            </w:r>
          </w:p>
        </w:tc>
        <w:tc>
          <w:tcPr>
            <w:tcW w:w="3117" w:type="dxa"/>
            <w:vAlign w:val="center"/>
          </w:tcPr>
          <w:p w14:paraId="39593C38">
            <w:pPr>
              <w:spacing w:after="0" w:line="360" w:lineRule="auto"/>
              <w:jc w:val="center"/>
              <w:rPr>
                <w:rFonts w:ascii="Arial" w:hAnsi="Arial" w:cs="Arial"/>
                <w:b/>
                <w:bCs/>
              </w:rPr>
            </w:pPr>
            <w:r>
              <w:rPr>
                <w:rFonts w:ascii="Arial" w:hAnsi="Arial" w:cs="Arial"/>
              </w:rPr>
              <w:t>62,000</w:t>
            </w:r>
          </w:p>
        </w:tc>
        <w:tc>
          <w:tcPr>
            <w:tcW w:w="3117" w:type="dxa"/>
            <w:vAlign w:val="center"/>
          </w:tcPr>
          <w:p w14:paraId="2F680B62">
            <w:pPr>
              <w:spacing w:after="0" w:line="360" w:lineRule="auto"/>
              <w:jc w:val="center"/>
              <w:rPr>
                <w:rFonts w:ascii="Arial" w:hAnsi="Arial" w:cs="Arial"/>
                <w:b/>
                <w:bCs/>
              </w:rPr>
            </w:pPr>
            <w:r>
              <w:rPr>
                <w:rFonts w:ascii="Arial" w:hAnsi="Arial" w:cs="Arial"/>
              </w:rPr>
              <w:t>58.5%</w:t>
            </w:r>
          </w:p>
        </w:tc>
      </w:tr>
      <w:tr w14:paraId="097E1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6" w:type="dxa"/>
            <w:vAlign w:val="center"/>
          </w:tcPr>
          <w:p w14:paraId="4680DD07">
            <w:pPr>
              <w:spacing w:after="0" w:line="360" w:lineRule="auto"/>
              <w:jc w:val="center"/>
              <w:rPr>
                <w:rFonts w:ascii="Arial" w:hAnsi="Arial" w:cs="Arial"/>
                <w:b/>
                <w:bCs/>
              </w:rPr>
            </w:pPr>
            <w:r>
              <w:rPr>
                <w:rFonts w:ascii="Arial" w:hAnsi="Arial" w:cs="Arial"/>
              </w:rPr>
              <w:t>Sponsorships</w:t>
            </w:r>
          </w:p>
        </w:tc>
        <w:tc>
          <w:tcPr>
            <w:tcW w:w="3117" w:type="dxa"/>
            <w:vAlign w:val="center"/>
          </w:tcPr>
          <w:p w14:paraId="58AC29C3">
            <w:pPr>
              <w:spacing w:after="0" w:line="360" w:lineRule="auto"/>
              <w:jc w:val="center"/>
              <w:rPr>
                <w:rFonts w:ascii="Arial" w:hAnsi="Arial" w:cs="Arial"/>
                <w:b/>
                <w:bCs/>
              </w:rPr>
            </w:pPr>
            <w:r>
              <w:rPr>
                <w:rFonts w:ascii="Arial" w:hAnsi="Arial" w:cs="Arial"/>
              </w:rPr>
              <w:t>35,000</w:t>
            </w:r>
          </w:p>
        </w:tc>
        <w:tc>
          <w:tcPr>
            <w:tcW w:w="3117" w:type="dxa"/>
            <w:vAlign w:val="center"/>
          </w:tcPr>
          <w:p w14:paraId="5FCAFDF9">
            <w:pPr>
              <w:spacing w:after="0" w:line="360" w:lineRule="auto"/>
              <w:jc w:val="center"/>
              <w:rPr>
                <w:rFonts w:ascii="Arial" w:hAnsi="Arial" w:cs="Arial"/>
                <w:b/>
                <w:bCs/>
              </w:rPr>
            </w:pPr>
            <w:r>
              <w:rPr>
                <w:rFonts w:ascii="Arial" w:hAnsi="Arial" w:cs="Arial"/>
              </w:rPr>
              <w:t>33.0%</w:t>
            </w:r>
          </w:p>
        </w:tc>
      </w:tr>
      <w:tr w14:paraId="61F8F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6" w:type="dxa"/>
            <w:vAlign w:val="center"/>
          </w:tcPr>
          <w:p w14:paraId="44F9394F">
            <w:pPr>
              <w:spacing w:after="0" w:line="360" w:lineRule="auto"/>
              <w:jc w:val="center"/>
              <w:rPr>
                <w:rFonts w:ascii="Arial" w:hAnsi="Arial" w:cs="Arial"/>
                <w:b/>
                <w:bCs/>
              </w:rPr>
            </w:pPr>
            <w:r>
              <w:rPr>
                <w:rFonts w:ascii="Arial" w:hAnsi="Arial" w:cs="Arial"/>
              </w:rPr>
              <w:t>Merchandise</w:t>
            </w:r>
          </w:p>
        </w:tc>
        <w:tc>
          <w:tcPr>
            <w:tcW w:w="3117" w:type="dxa"/>
            <w:vAlign w:val="center"/>
          </w:tcPr>
          <w:p w14:paraId="28185308">
            <w:pPr>
              <w:spacing w:after="0" w:line="360" w:lineRule="auto"/>
              <w:jc w:val="center"/>
              <w:rPr>
                <w:rFonts w:ascii="Arial" w:hAnsi="Arial" w:cs="Arial"/>
                <w:b/>
                <w:bCs/>
              </w:rPr>
            </w:pPr>
            <w:r>
              <w:rPr>
                <w:rFonts w:ascii="Arial" w:hAnsi="Arial" w:cs="Arial"/>
              </w:rPr>
              <w:t>6,000</w:t>
            </w:r>
          </w:p>
        </w:tc>
        <w:tc>
          <w:tcPr>
            <w:tcW w:w="3117" w:type="dxa"/>
            <w:vAlign w:val="center"/>
          </w:tcPr>
          <w:p w14:paraId="483630BF">
            <w:pPr>
              <w:spacing w:after="0" w:line="360" w:lineRule="auto"/>
              <w:jc w:val="center"/>
              <w:rPr>
                <w:rFonts w:ascii="Arial" w:hAnsi="Arial" w:cs="Arial"/>
                <w:b/>
                <w:bCs/>
              </w:rPr>
            </w:pPr>
            <w:r>
              <w:rPr>
                <w:rFonts w:ascii="Arial" w:hAnsi="Arial" w:cs="Arial"/>
              </w:rPr>
              <w:t>5.7%</w:t>
            </w:r>
          </w:p>
        </w:tc>
      </w:tr>
      <w:tr w14:paraId="6061A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6" w:type="dxa"/>
            <w:vAlign w:val="center"/>
          </w:tcPr>
          <w:p w14:paraId="2817A537">
            <w:pPr>
              <w:spacing w:after="0" w:line="360" w:lineRule="auto"/>
              <w:jc w:val="center"/>
              <w:rPr>
                <w:rFonts w:ascii="Arial" w:hAnsi="Arial" w:cs="Arial"/>
                <w:b/>
                <w:bCs/>
              </w:rPr>
            </w:pPr>
            <w:r>
              <w:rPr>
                <w:rFonts w:ascii="Arial" w:hAnsi="Arial" w:cs="Arial"/>
              </w:rPr>
              <w:t>Workshops</w:t>
            </w:r>
          </w:p>
        </w:tc>
        <w:tc>
          <w:tcPr>
            <w:tcW w:w="3117" w:type="dxa"/>
            <w:vAlign w:val="center"/>
          </w:tcPr>
          <w:p w14:paraId="2E29EE39">
            <w:pPr>
              <w:spacing w:after="0" w:line="360" w:lineRule="auto"/>
              <w:jc w:val="center"/>
              <w:rPr>
                <w:rFonts w:ascii="Arial" w:hAnsi="Arial" w:cs="Arial"/>
                <w:b/>
                <w:bCs/>
              </w:rPr>
            </w:pPr>
            <w:r>
              <w:rPr>
                <w:rFonts w:ascii="Arial" w:hAnsi="Arial" w:cs="Arial"/>
              </w:rPr>
              <w:t>3,000</w:t>
            </w:r>
          </w:p>
        </w:tc>
        <w:tc>
          <w:tcPr>
            <w:tcW w:w="3117" w:type="dxa"/>
            <w:vAlign w:val="center"/>
          </w:tcPr>
          <w:p w14:paraId="19A4BFE0">
            <w:pPr>
              <w:spacing w:after="0" w:line="360" w:lineRule="auto"/>
              <w:jc w:val="center"/>
              <w:rPr>
                <w:rFonts w:ascii="Arial" w:hAnsi="Arial" w:cs="Arial"/>
                <w:b/>
                <w:bCs/>
              </w:rPr>
            </w:pPr>
            <w:r>
              <w:rPr>
                <w:rFonts w:ascii="Arial" w:hAnsi="Arial" w:cs="Arial"/>
              </w:rPr>
              <w:t>2.8%</w:t>
            </w:r>
          </w:p>
        </w:tc>
      </w:tr>
      <w:tr w14:paraId="0D90E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6" w:type="dxa"/>
            <w:vAlign w:val="center"/>
          </w:tcPr>
          <w:p w14:paraId="3870D7EB">
            <w:pPr>
              <w:spacing w:after="0" w:line="360" w:lineRule="auto"/>
              <w:jc w:val="center"/>
              <w:rPr>
                <w:rFonts w:ascii="Arial" w:hAnsi="Arial" w:cs="Arial"/>
              </w:rPr>
            </w:pPr>
            <w:r>
              <w:rPr>
                <w:rFonts w:ascii="Arial" w:hAnsi="Arial" w:cs="Arial"/>
                <w:b/>
                <w:bCs/>
              </w:rPr>
              <w:t>Total Revenue</w:t>
            </w:r>
          </w:p>
        </w:tc>
        <w:tc>
          <w:tcPr>
            <w:tcW w:w="3117" w:type="dxa"/>
            <w:vAlign w:val="center"/>
          </w:tcPr>
          <w:p w14:paraId="5C182F6E">
            <w:pPr>
              <w:spacing w:after="0" w:line="360" w:lineRule="auto"/>
              <w:jc w:val="center"/>
              <w:rPr>
                <w:rFonts w:ascii="Arial" w:hAnsi="Arial" w:cs="Arial"/>
              </w:rPr>
            </w:pPr>
            <w:r>
              <w:rPr>
                <w:rFonts w:ascii="Arial" w:hAnsi="Arial" w:cs="Arial"/>
                <w:b/>
                <w:bCs/>
              </w:rPr>
              <w:t>106,000</w:t>
            </w:r>
          </w:p>
        </w:tc>
        <w:tc>
          <w:tcPr>
            <w:tcW w:w="3117" w:type="dxa"/>
            <w:vAlign w:val="center"/>
          </w:tcPr>
          <w:p w14:paraId="26E07FBB">
            <w:pPr>
              <w:spacing w:after="0" w:line="360" w:lineRule="auto"/>
              <w:jc w:val="center"/>
              <w:rPr>
                <w:rFonts w:ascii="Arial" w:hAnsi="Arial" w:cs="Arial"/>
              </w:rPr>
            </w:pPr>
            <w:r>
              <w:rPr>
                <w:rFonts w:ascii="Arial" w:hAnsi="Arial" w:cs="Arial"/>
                <w:b/>
                <w:bCs/>
              </w:rPr>
              <w:t>100%</w:t>
            </w:r>
          </w:p>
        </w:tc>
      </w:tr>
    </w:tbl>
    <w:p w14:paraId="449B7E0E">
      <w:pPr>
        <w:spacing w:line="360" w:lineRule="auto"/>
        <w:jc w:val="both"/>
        <w:rPr>
          <w:rFonts w:ascii="Arial" w:hAnsi="Arial" w:cs="Arial"/>
          <w:b/>
          <w:bCs/>
        </w:rPr>
      </w:pPr>
    </w:p>
    <w:p w14:paraId="2AA79522">
      <w:pPr>
        <w:pStyle w:val="11"/>
        <w:numPr>
          <w:ilvl w:val="0"/>
          <w:numId w:val="4"/>
        </w:numPr>
        <w:spacing w:line="360" w:lineRule="auto"/>
        <w:jc w:val="both"/>
        <w:rPr>
          <w:rFonts w:ascii="Arial" w:hAnsi="Arial" w:cs="Arial"/>
          <w:b/>
          <w:bCs/>
        </w:rPr>
      </w:pPr>
      <w:r>
        <w:rPr>
          <w:rFonts w:ascii="Arial" w:hAnsi="Arial" w:cs="Arial"/>
          <w:b/>
          <w:bCs/>
        </w:rPr>
        <w:t>Expense Breakdown</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16"/>
        <w:gridCol w:w="3117"/>
        <w:gridCol w:w="3117"/>
      </w:tblGrid>
      <w:tr w14:paraId="0E229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6" w:type="dxa"/>
          </w:tcPr>
          <w:p w14:paraId="061DA24E">
            <w:pPr>
              <w:spacing w:after="0" w:line="360" w:lineRule="auto"/>
              <w:jc w:val="center"/>
              <w:rPr>
                <w:rFonts w:ascii="Arial" w:hAnsi="Arial" w:cs="Arial"/>
                <w:b/>
                <w:bCs/>
              </w:rPr>
            </w:pPr>
            <w:r>
              <w:rPr>
                <w:rFonts w:ascii="Arial" w:hAnsi="Arial" w:cs="Arial"/>
                <w:b/>
                <w:bCs/>
              </w:rPr>
              <w:t>Expense Category</w:t>
            </w:r>
          </w:p>
        </w:tc>
        <w:tc>
          <w:tcPr>
            <w:tcW w:w="3117" w:type="dxa"/>
          </w:tcPr>
          <w:p w14:paraId="39E84DEC">
            <w:pPr>
              <w:spacing w:after="0" w:line="360" w:lineRule="auto"/>
              <w:jc w:val="center"/>
              <w:rPr>
                <w:rFonts w:ascii="Arial" w:hAnsi="Arial" w:cs="Arial"/>
                <w:b/>
                <w:bCs/>
              </w:rPr>
            </w:pPr>
            <w:r>
              <w:rPr>
                <w:rFonts w:ascii="Arial" w:hAnsi="Arial" w:cs="Arial"/>
                <w:b/>
                <w:bCs/>
              </w:rPr>
              <w:t>£</w:t>
            </w:r>
          </w:p>
        </w:tc>
        <w:tc>
          <w:tcPr>
            <w:tcW w:w="3117" w:type="dxa"/>
            <w:vAlign w:val="center"/>
          </w:tcPr>
          <w:p w14:paraId="20022A6E">
            <w:pPr>
              <w:spacing w:after="0" w:line="360" w:lineRule="auto"/>
              <w:jc w:val="center"/>
              <w:rPr>
                <w:rFonts w:ascii="Arial" w:hAnsi="Arial" w:cs="Arial"/>
                <w:b/>
                <w:bCs/>
              </w:rPr>
            </w:pPr>
            <w:r>
              <w:rPr>
                <w:rFonts w:ascii="Arial" w:hAnsi="Arial" w:cs="Arial"/>
                <w:b/>
                <w:bCs/>
              </w:rPr>
              <w:t>Fixed/Variable</w:t>
            </w:r>
          </w:p>
        </w:tc>
      </w:tr>
      <w:tr w14:paraId="41377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6" w:type="dxa"/>
            <w:vAlign w:val="center"/>
          </w:tcPr>
          <w:p w14:paraId="5F884C41">
            <w:pPr>
              <w:spacing w:after="0" w:line="360" w:lineRule="auto"/>
              <w:jc w:val="center"/>
              <w:rPr>
                <w:rFonts w:ascii="Arial" w:hAnsi="Arial" w:cs="Arial"/>
                <w:b/>
                <w:bCs/>
              </w:rPr>
            </w:pPr>
            <w:r>
              <w:rPr>
                <w:rFonts w:ascii="Arial" w:hAnsi="Arial" w:cs="Arial"/>
              </w:rPr>
              <w:t>Venue</w:t>
            </w:r>
          </w:p>
        </w:tc>
        <w:tc>
          <w:tcPr>
            <w:tcW w:w="3117" w:type="dxa"/>
            <w:vAlign w:val="center"/>
          </w:tcPr>
          <w:p w14:paraId="0AE255D9">
            <w:pPr>
              <w:spacing w:after="0" w:line="360" w:lineRule="auto"/>
              <w:jc w:val="center"/>
              <w:rPr>
                <w:rFonts w:ascii="Arial" w:hAnsi="Arial" w:cs="Arial"/>
                <w:b/>
                <w:bCs/>
              </w:rPr>
            </w:pPr>
            <w:r>
              <w:rPr>
                <w:rFonts w:ascii="Arial" w:hAnsi="Arial" w:cs="Arial"/>
              </w:rPr>
              <w:t>9,000</w:t>
            </w:r>
          </w:p>
        </w:tc>
        <w:tc>
          <w:tcPr>
            <w:tcW w:w="3117" w:type="dxa"/>
            <w:vAlign w:val="center"/>
          </w:tcPr>
          <w:p w14:paraId="28041F74">
            <w:pPr>
              <w:spacing w:after="0" w:line="360" w:lineRule="auto"/>
              <w:jc w:val="center"/>
              <w:rPr>
                <w:rFonts w:ascii="Arial" w:hAnsi="Arial" w:cs="Arial"/>
                <w:b/>
                <w:bCs/>
              </w:rPr>
            </w:pPr>
            <w:r>
              <w:rPr>
                <w:rFonts w:ascii="Arial" w:hAnsi="Arial" w:cs="Arial"/>
              </w:rPr>
              <w:t>Fixed</w:t>
            </w:r>
          </w:p>
        </w:tc>
      </w:tr>
      <w:tr w14:paraId="5F30D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6" w:type="dxa"/>
            <w:vAlign w:val="center"/>
          </w:tcPr>
          <w:p w14:paraId="073AA9F0">
            <w:pPr>
              <w:spacing w:after="0" w:line="360" w:lineRule="auto"/>
              <w:jc w:val="center"/>
              <w:rPr>
                <w:rFonts w:ascii="Arial" w:hAnsi="Arial" w:cs="Arial"/>
                <w:b/>
                <w:bCs/>
              </w:rPr>
            </w:pPr>
            <w:r>
              <w:rPr>
                <w:rFonts w:ascii="Arial" w:hAnsi="Arial" w:cs="Arial"/>
              </w:rPr>
              <w:t>Staffing</w:t>
            </w:r>
          </w:p>
        </w:tc>
        <w:tc>
          <w:tcPr>
            <w:tcW w:w="3117" w:type="dxa"/>
            <w:vAlign w:val="center"/>
          </w:tcPr>
          <w:p w14:paraId="709622C4">
            <w:pPr>
              <w:spacing w:after="0" w:line="360" w:lineRule="auto"/>
              <w:jc w:val="center"/>
              <w:rPr>
                <w:rFonts w:ascii="Arial" w:hAnsi="Arial" w:cs="Arial"/>
                <w:b/>
                <w:bCs/>
              </w:rPr>
            </w:pPr>
            <w:r>
              <w:rPr>
                <w:rFonts w:ascii="Arial" w:hAnsi="Arial" w:cs="Arial"/>
              </w:rPr>
              <w:t>8,200</w:t>
            </w:r>
          </w:p>
        </w:tc>
        <w:tc>
          <w:tcPr>
            <w:tcW w:w="3117" w:type="dxa"/>
            <w:vAlign w:val="center"/>
          </w:tcPr>
          <w:p w14:paraId="4AC0BD74">
            <w:pPr>
              <w:spacing w:after="0" w:line="360" w:lineRule="auto"/>
              <w:jc w:val="center"/>
              <w:rPr>
                <w:rFonts w:ascii="Arial" w:hAnsi="Arial" w:cs="Arial"/>
                <w:b/>
                <w:bCs/>
              </w:rPr>
            </w:pPr>
            <w:r>
              <w:rPr>
                <w:rFonts w:ascii="Arial" w:hAnsi="Arial" w:cs="Arial"/>
              </w:rPr>
              <w:t>Variable</w:t>
            </w:r>
          </w:p>
        </w:tc>
      </w:tr>
      <w:tr w14:paraId="52D5C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6" w:type="dxa"/>
            <w:vAlign w:val="center"/>
          </w:tcPr>
          <w:p w14:paraId="6F7D1D7E">
            <w:pPr>
              <w:spacing w:after="0" w:line="360" w:lineRule="auto"/>
              <w:jc w:val="center"/>
              <w:rPr>
                <w:rFonts w:ascii="Arial" w:hAnsi="Arial" w:cs="Arial"/>
                <w:b/>
                <w:bCs/>
              </w:rPr>
            </w:pPr>
            <w:r>
              <w:rPr>
                <w:rFonts w:ascii="Arial" w:hAnsi="Arial" w:cs="Arial"/>
              </w:rPr>
              <w:t>Marketing</w:t>
            </w:r>
          </w:p>
        </w:tc>
        <w:tc>
          <w:tcPr>
            <w:tcW w:w="3117" w:type="dxa"/>
            <w:vAlign w:val="center"/>
          </w:tcPr>
          <w:p w14:paraId="2DE16F79">
            <w:pPr>
              <w:spacing w:after="0" w:line="360" w:lineRule="auto"/>
              <w:jc w:val="center"/>
              <w:rPr>
                <w:rFonts w:ascii="Arial" w:hAnsi="Arial" w:cs="Arial"/>
                <w:b/>
                <w:bCs/>
              </w:rPr>
            </w:pPr>
            <w:r>
              <w:rPr>
                <w:rFonts w:ascii="Arial" w:hAnsi="Arial" w:cs="Arial"/>
              </w:rPr>
              <w:t>4,000</w:t>
            </w:r>
          </w:p>
        </w:tc>
        <w:tc>
          <w:tcPr>
            <w:tcW w:w="3117" w:type="dxa"/>
            <w:vAlign w:val="center"/>
          </w:tcPr>
          <w:p w14:paraId="3C7E42CF">
            <w:pPr>
              <w:spacing w:after="0" w:line="360" w:lineRule="auto"/>
              <w:jc w:val="center"/>
              <w:rPr>
                <w:rFonts w:ascii="Arial" w:hAnsi="Arial" w:cs="Arial"/>
                <w:b/>
                <w:bCs/>
              </w:rPr>
            </w:pPr>
            <w:r>
              <w:rPr>
                <w:rFonts w:ascii="Arial" w:hAnsi="Arial" w:cs="Arial"/>
              </w:rPr>
              <w:t>Variable</w:t>
            </w:r>
          </w:p>
        </w:tc>
      </w:tr>
      <w:tr w14:paraId="3AE6E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6" w:type="dxa"/>
            <w:vAlign w:val="center"/>
          </w:tcPr>
          <w:p w14:paraId="6F5ED889">
            <w:pPr>
              <w:spacing w:after="0" w:line="360" w:lineRule="auto"/>
              <w:jc w:val="center"/>
              <w:rPr>
                <w:rFonts w:ascii="Arial" w:hAnsi="Arial" w:cs="Arial"/>
                <w:b/>
                <w:bCs/>
              </w:rPr>
            </w:pPr>
            <w:r>
              <w:rPr>
                <w:rFonts w:ascii="Arial" w:hAnsi="Arial" w:cs="Arial"/>
              </w:rPr>
              <w:t>Miscellaneous</w:t>
            </w:r>
          </w:p>
        </w:tc>
        <w:tc>
          <w:tcPr>
            <w:tcW w:w="3117" w:type="dxa"/>
            <w:vAlign w:val="center"/>
          </w:tcPr>
          <w:p w14:paraId="24A60525">
            <w:pPr>
              <w:spacing w:after="0" w:line="360" w:lineRule="auto"/>
              <w:jc w:val="center"/>
              <w:rPr>
                <w:rFonts w:ascii="Arial" w:hAnsi="Arial" w:cs="Arial"/>
                <w:b/>
                <w:bCs/>
              </w:rPr>
            </w:pPr>
            <w:r>
              <w:rPr>
                <w:rFonts w:ascii="Arial" w:hAnsi="Arial" w:cs="Arial"/>
              </w:rPr>
              <w:t>4,800</w:t>
            </w:r>
          </w:p>
        </w:tc>
        <w:tc>
          <w:tcPr>
            <w:tcW w:w="3117" w:type="dxa"/>
            <w:vAlign w:val="center"/>
          </w:tcPr>
          <w:p w14:paraId="10201C35">
            <w:pPr>
              <w:spacing w:after="0" w:line="360" w:lineRule="auto"/>
              <w:jc w:val="center"/>
              <w:rPr>
                <w:rFonts w:ascii="Arial" w:hAnsi="Arial" w:cs="Arial"/>
                <w:b/>
                <w:bCs/>
              </w:rPr>
            </w:pPr>
            <w:r>
              <w:rPr>
                <w:rFonts w:ascii="Arial" w:hAnsi="Arial" w:cs="Arial"/>
              </w:rPr>
              <w:t>Variable</w:t>
            </w:r>
          </w:p>
        </w:tc>
      </w:tr>
      <w:tr w14:paraId="34F82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6" w:type="dxa"/>
            <w:vAlign w:val="center"/>
          </w:tcPr>
          <w:p w14:paraId="47326174">
            <w:pPr>
              <w:spacing w:after="0" w:line="360" w:lineRule="auto"/>
              <w:jc w:val="center"/>
              <w:rPr>
                <w:rFonts w:ascii="Arial" w:hAnsi="Arial" w:cs="Arial"/>
                <w:b/>
                <w:bCs/>
              </w:rPr>
            </w:pPr>
            <w:r>
              <w:rPr>
                <w:rFonts w:ascii="Arial" w:hAnsi="Arial" w:cs="Arial"/>
                <w:b/>
                <w:bCs/>
              </w:rPr>
              <w:t>Total Expenses</w:t>
            </w:r>
          </w:p>
        </w:tc>
        <w:tc>
          <w:tcPr>
            <w:tcW w:w="3117" w:type="dxa"/>
            <w:vAlign w:val="center"/>
          </w:tcPr>
          <w:p w14:paraId="72D18471">
            <w:pPr>
              <w:spacing w:after="0" w:line="360" w:lineRule="auto"/>
              <w:jc w:val="center"/>
              <w:rPr>
                <w:rFonts w:ascii="Arial" w:hAnsi="Arial" w:cs="Arial"/>
                <w:b/>
                <w:bCs/>
              </w:rPr>
            </w:pPr>
            <w:r>
              <w:rPr>
                <w:rFonts w:ascii="Arial" w:hAnsi="Arial" w:cs="Arial"/>
                <w:b/>
                <w:bCs/>
              </w:rPr>
              <w:t>26,000</w:t>
            </w:r>
          </w:p>
        </w:tc>
        <w:tc>
          <w:tcPr>
            <w:tcW w:w="3117" w:type="dxa"/>
            <w:vAlign w:val="center"/>
          </w:tcPr>
          <w:p w14:paraId="6AD2D311">
            <w:pPr>
              <w:spacing w:after="0" w:line="360" w:lineRule="auto"/>
              <w:jc w:val="center"/>
              <w:rPr>
                <w:rFonts w:ascii="Arial" w:hAnsi="Arial" w:cs="Arial"/>
                <w:b/>
                <w:bCs/>
              </w:rPr>
            </w:pPr>
            <w:r>
              <w:rPr>
                <w:rFonts w:ascii="Arial" w:hAnsi="Arial" w:cs="Arial"/>
              </w:rPr>
              <w:t>—</w:t>
            </w:r>
          </w:p>
        </w:tc>
      </w:tr>
    </w:tbl>
    <w:p w14:paraId="52B4CFA3">
      <w:pPr>
        <w:spacing w:line="360" w:lineRule="auto"/>
        <w:jc w:val="both"/>
        <w:rPr>
          <w:rFonts w:ascii="Arial" w:hAnsi="Arial" w:cs="Arial"/>
          <w:b/>
          <w:bCs/>
        </w:rPr>
      </w:pPr>
    </w:p>
    <w:p w14:paraId="537BA919">
      <w:pPr>
        <w:pStyle w:val="11"/>
        <w:numPr>
          <w:ilvl w:val="0"/>
          <w:numId w:val="4"/>
        </w:numPr>
        <w:spacing w:line="360" w:lineRule="auto"/>
        <w:jc w:val="both"/>
        <w:rPr>
          <w:rFonts w:ascii="Arial" w:hAnsi="Arial" w:cs="Arial"/>
          <w:b/>
          <w:bCs/>
        </w:rPr>
      </w:pPr>
      <w:r>
        <w:rPr>
          <w:rFonts w:ascii="Arial" w:hAnsi="Arial" w:cs="Arial"/>
          <w:b/>
          <w:bCs/>
        </w:rPr>
        <w:t>Break-even Analysis and Contingencies</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16"/>
        <w:gridCol w:w="3117"/>
        <w:gridCol w:w="3117"/>
      </w:tblGrid>
      <w:tr w14:paraId="5476B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6" w:type="dxa"/>
          </w:tcPr>
          <w:p w14:paraId="75994CC9">
            <w:pPr>
              <w:spacing w:after="0" w:line="360" w:lineRule="auto"/>
              <w:jc w:val="center"/>
              <w:rPr>
                <w:rFonts w:ascii="Arial" w:hAnsi="Arial" w:cs="Arial"/>
                <w:b/>
                <w:bCs/>
              </w:rPr>
            </w:pPr>
            <w:r>
              <w:rPr>
                <w:rFonts w:ascii="Arial" w:hAnsi="Arial" w:cs="Arial"/>
                <w:b/>
                <w:bCs/>
              </w:rPr>
              <w:t>Break-even point</w:t>
            </w:r>
          </w:p>
        </w:tc>
        <w:tc>
          <w:tcPr>
            <w:tcW w:w="3117" w:type="dxa"/>
          </w:tcPr>
          <w:p w14:paraId="1523A07A">
            <w:pPr>
              <w:spacing w:after="0" w:line="360" w:lineRule="auto"/>
              <w:jc w:val="center"/>
              <w:rPr>
                <w:rFonts w:ascii="Arial" w:hAnsi="Arial" w:cs="Arial"/>
                <w:b/>
                <w:bCs/>
              </w:rPr>
            </w:pPr>
            <w:r>
              <w:rPr>
                <w:rFonts w:ascii="Arial" w:hAnsi="Arial" w:cs="Arial"/>
                <w:b/>
                <w:bCs/>
              </w:rPr>
              <w:t>Backup strategy</w:t>
            </w:r>
          </w:p>
        </w:tc>
        <w:tc>
          <w:tcPr>
            <w:tcW w:w="3117" w:type="dxa"/>
          </w:tcPr>
          <w:p w14:paraId="12D019B3">
            <w:pPr>
              <w:spacing w:after="0" w:line="360" w:lineRule="auto"/>
              <w:jc w:val="center"/>
              <w:rPr>
                <w:rFonts w:ascii="Arial" w:hAnsi="Arial" w:cs="Arial"/>
                <w:b/>
                <w:bCs/>
              </w:rPr>
            </w:pPr>
            <w:r>
              <w:rPr>
                <w:rFonts w:ascii="Arial" w:hAnsi="Arial" w:cs="Arial"/>
                <w:b/>
                <w:bCs/>
              </w:rPr>
              <w:t>Risk mitigation</w:t>
            </w:r>
          </w:p>
        </w:tc>
      </w:tr>
      <w:tr w14:paraId="61E82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6" w:type="dxa"/>
          </w:tcPr>
          <w:p w14:paraId="6940671B">
            <w:pPr>
              <w:spacing w:after="0" w:line="360" w:lineRule="auto"/>
              <w:jc w:val="both"/>
              <w:rPr>
                <w:rFonts w:ascii="Arial" w:hAnsi="Arial" w:cs="Arial"/>
                <w:b/>
                <w:bCs/>
              </w:rPr>
            </w:pPr>
            <w:r>
              <w:rPr>
                <w:rFonts w:ascii="Arial" w:hAnsi="Arial" w:cs="Arial"/>
              </w:rPr>
              <w:t>The event needs at least 60% ticket sales (£37,200) to cover expenses</w:t>
            </w:r>
          </w:p>
        </w:tc>
        <w:tc>
          <w:tcPr>
            <w:tcW w:w="3117" w:type="dxa"/>
          </w:tcPr>
          <w:p w14:paraId="646AA1B1">
            <w:pPr>
              <w:spacing w:after="0" w:line="360" w:lineRule="auto"/>
              <w:jc w:val="both"/>
              <w:rPr>
                <w:rFonts w:ascii="Arial" w:hAnsi="Arial" w:cs="Arial"/>
              </w:rPr>
            </w:pPr>
            <w:r>
              <w:rPr>
                <w:rFonts w:ascii="Arial" w:hAnsi="Arial" w:cs="Arial"/>
              </w:rPr>
              <w:t xml:space="preserve">Unused sponsorship reserves can fill revenue gaps if ticket sales underperform </w:t>
            </w:r>
          </w:p>
          <w:p w14:paraId="66C060E8">
            <w:pPr>
              <w:spacing w:after="0" w:line="360" w:lineRule="auto"/>
              <w:jc w:val="both"/>
              <w:rPr>
                <w:rFonts w:ascii="Arial" w:hAnsi="Arial" w:cs="Arial"/>
              </w:rPr>
            </w:pPr>
            <w:r>
              <w:rPr>
                <w:rFonts w:ascii="Arial" w:hAnsi="Arial" w:cs="Arial"/>
              </w:rPr>
              <w:t>(Wrathall and Steriopoulos, 2022).</w:t>
            </w:r>
          </w:p>
        </w:tc>
        <w:tc>
          <w:tcPr>
            <w:tcW w:w="3117" w:type="dxa"/>
          </w:tcPr>
          <w:p w14:paraId="44DE6895">
            <w:pPr>
              <w:spacing w:after="0" w:line="360" w:lineRule="auto"/>
              <w:jc w:val="both"/>
              <w:rPr>
                <w:rFonts w:ascii="Arial" w:hAnsi="Arial" w:cs="Arial"/>
              </w:rPr>
            </w:pPr>
            <w:r>
              <w:rPr>
                <w:rFonts w:ascii="Arial" w:hAnsi="Arial" w:cs="Arial"/>
              </w:rPr>
              <w:t xml:space="preserve">Diverse revenue sources guarantee that the event is not over-reliant on one income stream. </w:t>
            </w:r>
          </w:p>
          <w:p w14:paraId="7D5285E9">
            <w:pPr>
              <w:spacing w:after="0" w:line="360" w:lineRule="auto"/>
              <w:jc w:val="both"/>
              <w:rPr>
                <w:rFonts w:ascii="Arial" w:hAnsi="Arial" w:cs="Arial"/>
              </w:rPr>
            </w:pPr>
            <w:r>
              <w:rPr>
                <w:rFonts w:ascii="Arial" w:hAnsi="Arial" w:cs="Arial"/>
              </w:rPr>
              <w:t>(Coulot et al., 2024).</w:t>
            </w:r>
          </w:p>
        </w:tc>
      </w:tr>
    </w:tbl>
    <w:p w14:paraId="19B081E8">
      <w:pPr>
        <w:spacing w:line="360" w:lineRule="auto"/>
        <w:jc w:val="both"/>
        <w:rPr>
          <w:rFonts w:ascii="Arial" w:hAnsi="Arial" w:cs="Arial"/>
          <w:b/>
          <w:bCs/>
        </w:rPr>
      </w:pPr>
    </w:p>
    <w:p w14:paraId="1C86B4EF">
      <w:pPr>
        <w:spacing w:line="360" w:lineRule="auto"/>
        <w:jc w:val="both"/>
        <w:rPr>
          <w:rFonts w:ascii="Arial" w:hAnsi="Arial" w:cs="Arial"/>
        </w:rPr>
      </w:pPr>
      <w:r>
        <w:rPr>
          <w:rFonts w:ascii="Arial" w:hAnsi="Arial" w:cs="Arial"/>
        </w:rPr>
        <w:t>A £50,000 target profit is set aside to fund future events, outreach, and post-event engagement initiatives.</w:t>
      </w:r>
    </w:p>
    <w:p w14:paraId="76D7F39C">
      <w:pPr>
        <w:spacing w:line="360" w:lineRule="auto"/>
        <w:jc w:val="both"/>
        <w:rPr>
          <w:rFonts w:ascii="Arial" w:hAnsi="Arial" w:cs="Arial"/>
        </w:rPr>
      </w:pPr>
    </w:p>
    <w:p w14:paraId="55A9B01E">
      <w:pPr>
        <w:spacing w:line="360" w:lineRule="auto"/>
        <w:jc w:val="both"/>
        <w:rPr>
          <w:rFonts w:ascii="Arial" w:hAnsi="Arial" w:cs="Arial"/>
          <w:b/>
          <w:bCs/>
        </w:rPr>
      </w:pPr>
      <w:r>
        <w:rPr>
          <w:rFonts w:ascii="Arial" w:hAnsi="Arial" w:cs="Arial"/>
          <w:b/>
          <w:bCs/>
        </w:rPr>
        <w:t>Situational and Cultural Analysis (PESTLE Framework)</w:t>
      </w:r>
    </w:p>
    <w:p w14:paraId="29D6407F">
      <w:pPr>
        <w:spacing w:line="360" w:lineRule="auto"/>
        <w:jc w:val="both"/>
        <w:rPr>
          <w:rFonts w:ascii="Arial" w:hAnsi="Arial" w:cs="Arial"/>
          <w:b/>
          <w:bCs/>
        </w:rPr>
      </w:pPr>
      <w:r>
        <w:drawing>
          <wp:inline distT="0" distB="0" distL="0" distR="0">
            <wp:extent cx="5943600" cy="3962400"/>
            <wp:effectExtent l="0" t="0" r="0" b="0"/>
            <wp:docPr id="1134065207" name="Picture 4" descr="PESTLE Analysis Template (iMindMap): iMindMap mind map template |  Bigger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065207" name="Picture 4" descr="PESTLE Analysis Template (iMindMap): iMindMap mind map template |  Biggerplat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5943600" cy="3962400"/>
                    </a:xfrm>
                    <a:prstGeom prst="rect">
                      <a:avLst/>
                    </a:prstGeom>
                    <a:noFill/>
                    <a:ln>
                      <a:noFill/>
                    </a:ln>
                  </pic:spPr>
                </pic:pic>
              </a:graphicData>
            </a:graphic>
          </wp:inline>
        </w:drawing>
      </w:r>
    </w:p>
    <w:p w14:paraId="08E627EE">
      <w:pPr>
        <w:spacing w:line="360" w:lineRule="auto"/>
        <w:jc w:val="both"/>
        <w:rPr>
          <w:rFonts w:ascii="Arial" w:hAnsi="Arial" w:cs="Arial"/>
        </w:rPr>
      </w:pPr>
      <w:r>
        <w:rPr>
          <w:rFonts w:ascii="Arial" w:hAnsi="Arial" w:cs="Arial"/>
        </w:rPr>
        <w:t>An understanding of external influences is essential for event planning. The evaluation of risks, opportunities, and feasibility is facilitated by a PESTLE analysis, which includes Political, Economic, Social, Technological, Legal, and Environmental factors (Jamil, 2023; Ramely et al., 2023).</w:t>
      </w:r>
    </w:p>
    <w:p w14:paraId="5B5E1B97">
      <w:pPr>
        <w:pStyle w:val="11"/>
        <w:numPr>
          <w:ilvl w:val="0"/>
          <w:numId w:val="5"/>
        </w:numPr>
        <w:spacing w:line="360" w:lineRule="auto"/>
        <w:jc w:val="both"/>
        <w:rPr>
          <w:rFonts w:ascii="Arial" w:hAnsi="Arial" w:cs="Arial"/>
          <w:b/>
          <w:bCs/>
        </w:rPr>
      </w:pPr>
      <w:r>
        <w:rPr>
          <w:rFonts w:ascii="Arial" w:hAnsi="Arial" w:cs="Arial"/>
          <w:b/>
          <w:bCs/>
        </w:rPr>
        <w:t>Political and Legal Factors</w:t>
      </w:r>
    </w:p>
    <w:p w14:paraId="1D5AFC3C">
      <w:pPr>
        <w:spacing w:line="360" w:lineRule="auto"/>
        <w:jc w:val="both"/>
        <w:rPr>
          <w:rFonts w:ascii="Arial" w:hAnsi="Arial" w:cs="Arial"/>
        </w:rPr>
      </w:pPr>
      <w:r>
        <w:rPr>
          <w:rFonts w:ascii="Arial" w:hAnsi="Arial" w:cs="Arial"/>
        </w:rPr>
        <w:t>To guarantee inclusivity, the festival must adhere to the equality legislation of the United Kingdom and South Africa. The event's mission is consistent with the Promotion of Equality Act (2000) of South Africa, which mandates non-discriminatory hiring and accessibility standards (Cvent, 2024). Proactive legal planning may be necessary in anticipation of potential modifications to visa regulations that could impact international speakers (Getz and Page, 2024).</w:t>
      </w:r>
    </w:p>
    <w:p w14:paraId="1ACA575E">
      <w:pPr>
        <w:pStyle w:val="11"/>
        <w:numPr>
          <w:ilvl w:val="0"/>
          <w:numId w:val="5"/>
        </w:numPr>
        <w:spacing w:line="360" w:lineRule="auto"/>
        <w:jc w:val="both"/>
        <w:rPr>
          <w:rFonts w:ascii="Arial" w:hAnsi="Arial" w:cs="Arial"/>
          <w:b/>
          <w:bCs/>
        </w:rPr>
      </w:pPr>
      <w:r>
        <w:rPr>
          <w:rFonts w:ascii="Arial" w:hAnsi="Arial" w:cs="Arial"/>
          <w:b/>
          <w:bCs/>
        </w:rPr>
        <w:t>Economic Factors</w:t>
      </w:r>
    </w:p>
    <w:p w14:paraId="35AD6CA1">
      <w:pPr>
        <w:spacing w:line="360" w:lineRule="auto"/>
        <w:jc w:val="both"/>
        <w:rPr>
          <w:rFonts w:ascii="Arial" w:hAnsi="Arial" w:cs="Arial"/>
        </w:rPr>
      </w:pPr>
      <w:r>
        <w:rPr>
          <w:rFonts w:ascii="Arial" w:hAnsi="Arial" w:cs="Arial"/>
        </w:rPr>
        <w:t>Ticket pricing, sponsorships, and attendee affordability continue to be significantly affected by inflation (Coulot et al., 2024). According to Jamil (2023), event marketing research indicates that financial risk is mitigated by diversifying revenue streams, including merchandise and VIP experiences. The festival's hybrid model, including in-person and digital components, strengthens economic resilience by increasing global accessibility.</w:t>
      </w:r>
    </w:p>
    <w:p w14:paraId="447B4104">
      <w:pPr>
        <w:pStyle w:val="11"/>
        <w:numPr>
          <w:ilvl w:val="0"/>
          <w:numId w:val="5"/>
        </w:numPr>
        <w:spacing w:line="360" w:lineRule="auto"/>
        <w:jc w:val="both"/>
        <w:rPr>
          <w:rFonts w:ascii="Arial" w:hAnsi="Arial" w:cs="Arial"/>
          <w:b/>
          <w:bCs/>
        </w:rPr>
      </w:pPr>
      <w:r>
        <w:rPr>
          <w:rFonts w:ascii="Arial" w:hAnsi="Arial" w:cs="Arial"/>
          <w:b/>
          <w:bCs/>
        </w:rPr>
        <w:t>Social Factors</w:t>
      </w:r>
    </w:p>
    <w:p w14:paraId="08968F9A">
      <w:pPr>
        <w:spacing w:line="360" w:lineRule="auto"/>
        <w:jc w:val="both"/>
        <w:rPr>
          <w:rFonts w:ascii="Arial" w:hAnsi="Arial" w:cs="Arial"/>
        </w:rPr>
      </w:pPr>
      <w:r>
        <w:rPr>
          <w:rFonts w:ascii="Arial" w:hAnsi="Arial" w:cs="Arial"/>
        </w:rPr>
        <w:t>The demand for Diversity, Equity, and Inclusion (DEI) in the hospitality industry is increasing (National Restaurant Association, 2022). According to a study on culturally inclusive festivals, events that advocate for social causes generate greater community involvement (Ramely et al., 2023). The festival follows this shift, guaranteeing that the programming is inclusive and speakers are culturally diverse.</w:t>
      </w:r>
    </w:p>
    <w:p w14:paraId="333CC2FC">
      <w:pPr>
        <w:pStyle w:val="11"/>
        <w:numPr>
          <w:ilvl w:val="0"/>
          <w:numId w:val="5"/>
        </w:numPr>
        <w:spacing w:line="360" w:lineRule="auto"/>
        <w:jc w:val="both"/>
        <w:rPr>
          <w:rFonts w:ascii="Arial" w:hAnsi="Arial" w:cs="Arial"/>
          <w:b/>
          <w:bCs/>
        </w:rPr>
      </w:pPr>
      <w:r>
        <w:rPr>
          <w:rFonts w:ascii="Arial" w:hAnsi="Arial" w:cs="Arial"/>
          <w:b/>
          <w:bCs/>
        </w:rPr>
        <w:t>Technological Factors</w:t>
      </w:r>
    </w:p>
    <w:p w14:paraId="3D110F25">
      <w:pPr>
        <w:spacing w:line="360" w:lineRule="auto"/>
        <w:jc w:val="both"/>
        <w:rPr>
          <w:rFonts w:ascii="Arial" w:hAnsi="Arial" w:cs="Arial"/>
        </w:rPr>
      </w:pPr>
      <w:r>
        <w:rPr>
          <w:rFonts w:ascii="Arial" w:hAnsi="Arial" w:cs="Arial"/>
        </w:rPr>
        <w:t>AI-driven event applications improve engagement by offering personalised schedules, networking tools, and accessibility features (Jamil, 2023). Remote attendees can participate through live streaming capabilities, and technical disruptions are mitigated by backup Wi-Fi solutions (Reid and Ritchie, 2011).</w:t>
      </w:r>
    </w:p>
    <w:p w14:paraId="527ED0DD">
      <w:pPr>
        <w:pStyle w:val="11"/>
        <w:numPr>
          <w:ilvl w:val="0"/>
          <w:numId w:val="5"/>
        </w:numPr>
        <w:spacing w:line="360" w:lineRule="auto"/>
        <w:jc w:val="both"/>
        <w:rPr>
          <w:rFonts w:ascii="Arial" w:hAnsi="Arial" w:cs="Arial"/>
          <w:b/>
          <w:bCs/>
        </w:rPr>
      </w:pPr>
      <w:r>
        <w:rPr>
          <w:rFonts w:ascii="Arial" w:hAnsi="Arial" w:cs="Arial"/>
          <w:b/>
          <w:bCs/>
        </w:rPr>
        <w:t>Environmental Factors</w:t>
      </w:r>
    </w:p>
    <w:p w14:paraId="6196923A">
      <w:pPr>
        <w:spacing w:line="360" w:lineRule="auto"/>
        <w:jc w:val="both"/>
        <w:rPr>
          <w:rFonts w:ascii="Arial" w:hAnsi="Arial" w:cs="Arial"/>
        </w:rPr>
      </w:pPr>
      <w:r>
        <w:rPr>
          <w:rFonts w:ascii="Arial" w:hAnsi="Arial" w:cs="Arial"/>
        </w:rPr>
        <w:t>The outdoor networking areas of Cape Town are at risk due to the unpredictable weather. A secondary indoor venue (CTICC) guarantees the event's continuity (Zeitz MOCAA, 2024). The event promotes sustainability by minimising waste through digital tickets, eco-friendly catering, and green energy partnerships (Mokhtar, 2021).</w:t>
      </w:r>
    </w:p>
    <w:p w14:paraId="6874B0EE">
      <w:pPr>
        <w:spacing w:line="360" w:lineRule="auto"/>
        <w:jc w:val="both"/>
        <w:rPr>
          <w:rFonts w:ascii="Arial" w:hAnsi="Arial" w:cs="Arial"/>
        </w:rPr>
      </w:pPr>
    </w:p>
    <w:p w14:paraId="5FB48FF2">
      <w:pPr>
        <w:spacing w:line="360" w:lineRule="auto"/>
        <w:jc w:val="both"/>
        <w:rPr>
          <w:rFonts w:ascii="Arial" w:hAnsi="Arial" w:cs="Arial"/>
          <w:b/>
          <w:bCs/>
        </w:rPr>
      </w:pPr>
      <w:r>
        <w:rPr>
          <w:rFonts w:ascii="Arial" w:hAnsi="Arial" w:cs="Arial"/>
          <w:b/>
          <w:bCs/>
        </w:rPr>
        <w:t>Risk Management and Contingency Planning</w:t>
      </w:r>
    </w:p>
    <w:p w14:paraId="2D032FED">
      <w:pPr>
        <w:spacing w:line="360" w:lineRule="auto"/>
        <w:jc w:val="both"/>
        <w:rPr>
          <w:rFonts w:ascii="Arial" w:hAnsi="Arial" w:cs="Arial"/>
        </w:rPr>
      </w:pPr>
      <w:r>
        <w:rPr>
          <w:rFonts w:ascii="Arial" w:hAnsi="Arial" w:cs="Arial"/>
        </w:rPr>
        <w:t>Risk management is essential to ensuring a harmonious and secure event experience. The Voices of Inclusion Storytelling Festival has various potential risks, including financial uncertainties and logistical challenges (Arnott, 2020; Zrnić and Susnjar, 2015).</w:t>
      </w:r>
    </w:p>
    <w:p w14:paraId="1C5C823E">
      <w:pPr>
        <w:spacing w:line="360" w:lineRule="auto"/>
        <w:jc w:val="both"/>
        <w:rPr>
          <w:rFonts w:ascii="Arial" w:hAnsi="Arial" w:cs="Arial"/>
        </w:rPr>
      </w:pPr>
    </w:p>
    <w:p w14:paraId="47E680CE">
      <w:pPr>
        <w:spacing w:line="360" w:lineRule="auto"/>
        <w:jc w:val="both"/>
        <w:rPr>
          <w:rFonts w:ascii="Arial" w:hAnsi="Arial" w:cs="Arial"/>
        </w:rPr>
      </w:pPr>
    </w:p>
    <w:p w14:paraId="6E5257FC">
      <w:pPr>
        <w:pStyle w:val="11"/>
        <w:numPr>
          <w:ilvl w:val="0"/>
          <w:numId w:val="6"/>
        </w:numPr>
        <w:spacing w:line="360" w:lineRule="auto"/>
        <w:jc w:val="both"/>
        <w:rPr>
          <w:rFonts w:ascii="Arial" w:hAnsi="Arial" w:cs="Arial"/>
          <w:b/>
          <w:bCs/>
        </w:rPr>
      </w:pPr>
      <w:r>
        <w:rPr>
          <w:rFonts w:ascii="Arial" w:hAnsi="Arial" w:cs="Arial"/>
          <w:b/>
          <w:bCs/>
        </w:rPr>
        <w:t>Identified Risks</w:t>
      </w:r>
    </w:p>
    <w:p w14:paraId="748C50ED">
      <w:pPr>
        <w:spacing w:line="360" w:lineRule="auto"/>
        <w:jc w:val="both"/>
        <w:rPr>
          <w:rFonts w:ascii="Arial" w:hAnsi="Arial" w:cs="Arial"/>
        </w:rPr>
      </w:pPr>
      <w:r>
        <w:rPr>
          <w:rFonts w:ascii="Arial" w:hAnsi="Arial" w:cs="Arial"/>
        </w:rPr>
        <w:t>Staff shortages may occur due to illness, last-minute cancellations, or visa difficulties for international speakers. A lack of technical preparedness, such as audiovisual malfunctions or Wi-Fi failures, could disrupt live-streamed sessions. Another concern is the low attendance that may result from economic constraints or competing events (Getu and Mengistu, 2022). Furthermore, sponsorship withdrawals present a financial risk, and it is necessary to be prepared for health emergencies, such as COVID-19 (Dadwal and Dadwal, 2020).</w:t>
      </w:r>
    </w:p>
    <w:p w14:paraId="5368ABCB">
      <w:pPr>
        <w:pStyle w:val="11"/>
        <w:numPr>
          <w:ilvl w:val="0"/>
          <w:numId w:val="6"/>
        </w:numPr>
        <w:spacing w:line="360" w:lineRule="auto"/>
        <w:jc w:val="both"/>
        <w:rPr>
          <w:rFonts w:ascii="Arial" w:hAnsi="Arial" w:cs="Arial"/>
          <w:b/>
          <w:bCs/>
        </w:rPr>
      </w:pPr>
      <w:r>
        <w:rPr>
          <w:rFonts w:ascii="Arial" w:hAnsi="Arial" w:cs="Arial"/>
          <w:b/>
          <w:bCs/>
        </w:rPr>
        <w:t>Mitigation Strategies</w:t>
      </w:r>
    </w:p>
    <w:p w14:paraId="6A165F8D">
      <w:pPr>
        <w:spacing w:line="360" w:lineRule="auto"/>
        <w:jc w:val="both"/>
        <w:rPr>
          <w:rFonts w:ascii="Arial" w:hAnsi="Arial" w:cs="Arial"/>
        </w:rPr>
      </w:pPr>
      <w:r>
        <w:rPr>
          <w:rFonts w:ascii="Arial" w:hAnsi="Arial" w:cs="Arial"/>
        </w:rPr>
        <w:t>A pool of cross-trained staff and on-call volunteers will be available to mitigate staffing shortages. Backup internet providers and spare AV equipment are among the technical redundancies that guarantee efficient execution (Silvers and O'Toole, 2020). Aggressive last-minute promotions and bulk corporate ticket packages will mitigate losses if ticket sales underperform (Ashwin, 2021). Medical concerns will be addressed by implementing health safety measures, such as emergency evacuation plans and first-aid stations.</w:t>
      </w:r>
    </w:p>
    <w:p w14:paraId="14060BA1">
      <w:pPr>
        <w:spacing w:line="360" w:lineRule="auto"/>
        <w:jc w:val="both"/>
        <w:rPr>
          <w:rFonts w:ascii="Arial" w:hAnsi="Arial" w:cs="Arial"/>
        </w:rPr>
      </w:pPr>
      <w:r>
        <w:rPr>
          <w:rFonts w:ascii="Arial" w:hAnsi="Arial" w:cs="Arial"/>
        </w:rPr>
        <w:t>The festival guarantees an enjoyable and resilient attendee experience by proactively identifying risks and implementing mitigation strategies.</w:t>
      </w:r>
    </w:p>
    <w:p w14:paraId="1A5193C7">
      <w:pPr>
        <w:spacing w:line="360" w:lineRule="auto"/>
        <w:jc w:val="both"/>
        <w:rPr>
          <w:rFonts w:ascii="Arial" w:hAnsi="Arial" w:cs="Arial"/>
        </w:rPr>
      </w:pPr>
    </w:p>
    <w:p w14:paraId="46F8D37D">
      <w:pPr>
        <w:spacing w:line="360" w:lineRule="auto"/>
        <w:jc w:val="both"/>
        <w:rPr>
          <w:rFonts w:ascii="Arial" w:hAnsi="Arial" w:cs="Arial"/>
          <w:b/>
          <w:bCs/>
        </w:rPr>
      </w:pPr>
      <w:r>
        <w:rPr>
          <w:rFonts w:ascii="Arial" w:hAnsi="Arial" w:cs="Arial"/>
          <w:b/>
          <w:bCs/>
        </w:rPr>
        <w:t>Post-Event Evaluation and Impact Assessment</w:t>
      </w:r>
    </w:p>
    <w:p w14:paraId="0855AC0D">
      <w:pPr>
        <w:spacing w:line="360" w:lineRule="auto"/>
        <w:jc w:val="both"/>
        <w:rPr>
          <w:rFonts w:ascii="Arial" w:hAnsi="Arial" w:cs="Arial"/>
        </w:rPr>
      </w:pPr>
      <w:r>
        <w:rPr>
          <w:rFonts w:ascii="Arial" w:hAnsi="Arial" w:cs="Arial"/>
        </w:rPr>
        <w:t>The festival establishes a solid foundation for future growth and achieves its objectives through a well-organised evaluation process (Antchak, Ziakas and Getz, 2019).</w:t>
      </w:r>
    </w:p>
    <w:p w14:paraId="0028710C">
      <w:pPr>
        <w:pStyle w:val="11"/>
        <w:numPr>
          <w:ilvl w:val="0"/>
          <w:numId w:val="7"/>
        </w:numPr>
        <w:spacing w:line="360" w:lineRule="auto"/>
        <w:jc w:val="both"/>
        <w:rPr>
          <w:rFonts w:ascii="Arial" w:hAnsi="Arial" w:cs="Arial"/>
          <w:b/>
          <w:bCs/>
        </w:rPr>
      </w:pPr>
      <w:r>
        <w:rPr>
          <w:rFonts w:ascii="Arial" w:hAnsi="Arial" w:cs="Arial"/>
          <w:b/>
          <w:bCs/>
        </w:rPr>
        <w:t>Financial Review and ROI Analysis</w:t>
      </w:r>
    </w:p>
    <w:p w14:paraId="2A8583D8">
      <w:pPr>
        <w:spacing w:line="360" w:lineRule="auto"/>
        <w:jc w:val="both"/>
        <w:rPr>
          <w:rFonts w:ascii="Arial" w:hAnsi="Arial" w:cs="Arial"/>
        </w:rPr>
      </w:pPr>
      <w:r>
        <w:rPr>
          <w:rFonts w:ascii="Arial" w:hAnsi="Arial" w:cs="Arial"/>
        </w:rPr>
        <w:t>The financial efficacy of the event will be evaluated by comparing the projected and actual revenue from ticket sales, sponsorships, workshops, and merchandise. A cost-benefit analysis (CBA) will determine whether the event maintained the affordability of attendants while achieving its £50,000 profit objective (Dwyer, Jago and Forsyth, 2016).</w:t>
      </w:r>
    </w:p>
    <w:p w14:paraId="5F1FCEEF">
      <w:pPr>
        <w:pStyle w:val="11"/>
        <w:numPr>
          <w:ilvl w:val="0"/>
          <w:numId w:val="7"/>
        </w:numPr>
        <w:spacing w:line="360" w:lineRule="auto"/>
        <w:jc w:val="both"/>
        <w:rPr>
          <w:rFonts w:ascii="Arial" w:hAnsi="Arial" w:cs="Arial"/>
          <w:b/>
          <w:bCs/>
        </w:rPr>
      </w:pPr>
      <w:r>
        <w:rPr>
          <w:rFonts w:ascii="Arial" w:hAnsi="Arial" w:cs="Arial"/>
          <w:b/>
          <w:bCs/>
        </w:rPr>
        <w:t>Attendee and Stakeholder Feedback</w:t>
      </w:r>
    </w:p>
    <w:p w14:paraId="4B97F022">
      <w:pPr>
        <w:spacing w:line="360" w:lineRule="auto"/>
        <w:jc w:val="both"/>
        <w:rPr>
          <w:rFonts w:ascii="Arial" w:hAnsi="Arial" w:cs="Arial"/>
        </w:rPr>
      </w:pPr>
      <w:r>
        <w:rPr>
          <w:rFonts w:ascii="Arial" w:hAnsi="Arial" w:cs="Arial"/>
        </w:rPr>
        <w:t>Sponsor interviews, surveys, and focus groups will evaluate potential improvements, engagement, and satisfaction. Research indicates that multi-stakeholder evaluation models improve the credibility of events and foster long-term partnerships (Antón-Maraña, Díez-Hernández and Puche-Regaliza, 2024).</w:t>
      </w:r>
    </w:p>
    <w:p w14:paraId="13947A9F">
      <w:pPr>
        <w:pStyle w:val="11"/>
        <w:numPr>
          <w:ilvl w:val="0"/>
          <w:numId w:val="7"/>
        </w:numPr>
        <w:spacing w:line="360" w:lineRule="auto"/>
        <w:jc w:val="both"/>
        <w:rPr>
          <w:rFonts w:ascii="Arial" w:hAnsi="Arial" w:cs="Arial"/>
          <w:b/>
          <w:bCs/>
        </w:rPr>
      </w:pPr>
      <w:r>
        <w:rPr>
          <w:rFonts w:ascii="Arial" w:hAnsi="Arial" w:cs="Arial"/>
          <w:b/>
          <w:bCs/>
        </w:rPr>
        <w:t>Social Media and Media Analytics</w:t>
      </w:r>
    </w:p>
    <w:p w14:paraId="1D48CFF7">
      <w:pPr>
        <w:spacing w:line="360" w:lineRule="auto"/>
        <w:jc w:val="both"/>
        <w:rPr>
          <w:rFonts w:ascii="Arial" w:hAnsi="Arial" w:cs="Arial"/>
          <w:b/>
          <w:bCs/>
        </w:rPr>
      </w:pPr>
      <w:r>
        <w:rPr>
          <w:rFonts w:ascii="Arial" w:hAnsi="Arial" w:cs="Arial"/>
        </w:rPr>
        <w:t>AI-driven analytics will be employed to evaluate engagement metrics, such as audience sentiment analysis, media coverage, and event hashtag reach (Sana, 2023). Strong social media engagement suggests the potential for future events and a lasting impact.</w:t>
      </w:r>
    </w:p>
    <w:p w14:paraId="672D4947">
      <w:pPr>
        <w:pStyle w:val="11"/>
        <w:numPr>
          <w:ilvl w:val="0"/>
          <w:numId w:val="7"/>
        </w:numPr>
        <w:spacing w:line="360" w:lineRule="auto"/>
        <w:jc w:val="both"/>
        <w:rPr>
          <w:rFonts w:ascii="Arial" w:hAnsi="Arial" w:cs="Arial"/>
          <w:b/>
          <w:bCs/>
        </w:rPr>
      </w:pPr>
      <w:r>
        <w:rPr>
          <w:rFonts w:ascii="Arial" w:hAnsi="Arial" w:cs="Arial"/>
          <w:b/>
          <w:bCs/>
        </w:rPr>
        <w:t>Future Growth Strategy</w:t>
      </w:r>
    </w:p>
    <w:p w14:paraId="5BB3E439">
      <w:pPr>
        <w:spacing w:line="360" w:lineRule="auto"/>
        <w:jc w:val="both"/>
        <w:rPr>
          <w:rFonts w:ascii="Arial" w:hAnsi="Arial" w:cs="Arial"/>
        </w:rPr>
      </w:pPr>
      <w:r>
        <w:rPr>
          <w:rFonts w:ascii="Arial" w:hAnsi="Arial" w:cs="Arial"/>
        </w:rPr>
        <w:t>The evaluation results will determine whether the festival will be an annual event or if it will expand to include regional partnerships and industry collaborations (Brown, Getz and Pettersson, 2015).</w:t>
      </w:r>
    </w:p>
    <w:p w14:paraId="4B125071">
      <w:pPr>
        <w:spacing w:line="360" w:lineRule="auto"/>
        <w:jc w:val="both"/>
        <w:rPr>
          <w:rFonts w:ascii="Arial" w:hAnsi="Arial" w:cs="Arial"/>
          <w:b/>
          <w:bCs/>
        </w:rPr>
      </w:pPr>
    </w:p>
    <w:p w14:paraId="1F474CEE">
      <w:pPr>
        <w:spacing w:line="360" w:lineRule="auto"/>
        <w:jc w:val="both"/>
        <w:rPr>
          <w:rFonts w:ascii="Arial" w:hAnsi="Arial" w:cs="Arial"/>
          <w:b/>
          <w:bCs/>
        </w:rPr>
      </w:pPr>
      <w:r>
        <w:rPr>
          <w:rFonts w:ascii="Arial" w:hAnsi="Arial" w:cs="Arial"/>
          <w:b/>
          <w:bCs/>
        </w:rPr>
        <w:t xml:space="preserve">Conclusion </w:t>
      </w:r>
    </w:p>
    <w:p w14:paraId="61748920">
      <w:pPr>
        <w:spacing w:line="360" w:lineRule="auto"/>
        <w:jc w:val="both"/>
        <w:rPr>
          <w:rFonts w:ascii="Arial" w:hAnsi="Arial" w:cs="Arial"/>
        </w:rPr>
      </w:pPr>
      <w:r>
        <w:rPr>
          <w:rFonts w:ascii="Arial" w:hAnsi="Arial" w:cs="Arial"/>
        </w:rPr>
        <w:t>The Voices of Inclusion Storytelling Festival seeks to achieve financial sustainability and long-term impact while promoting meaningful dialogues addressing diversity. The event perfectly balances strategic planning, risk mitigation, and creative expression by incorporating EMBOK principles (Bowdin et al., 2011). The event will guide future expansions into annual and regional editions by measuring ROI, attendee engagement, and media impact in post-event evaluations (Antchak et al., 2019). This report guarantees that the event is feasible and strategically executed to achieve the highest level of success and inclusivity.</w:t>
      </w:r>
    </w:p>
    <w:p w14:paraId="10C3D10F">
      <w:pPr>
        <w:spacing w:line="360" w:lineRule="auto"/>
        <w:jc w:val="both"/>
        <w:rPr>
          <w:rFonts w:ascii="Arial" w:hAnsi="Arial" w:cs="Arial"/>
        </w:rPr>
      </w:pPr>
    </w:p>
    <w:p w14:paraId="4828C190">
      <w:pPr>
        <w:spacing w:line="360" w:lineRule="auto"/>
        <w:jc w:val="both"/>
        <w:rPr>
          <w:rFonts w:ascii="Arial" w:hAnsi="Arial" w:cs="Arial"/>
        </w:rPr>
      </w:pPr>
    </w:p>
    <w:p w14:paraId="100469CD">
      <w:pPr>
        <w:spacing w:line="360" w:lineRule="auto"/>
        <w:jc w:val="both"/>
        <w:rPr>
          <w:rFonts w:ascii="Arial" w:hAnsi="Arial" w:cs="Arial"/>
        </w:rPr>
      </w:pPr>
    </w:p>
    <w:p w14:paraId="37984612">
      <w:pPr>
        <w:spacing w:line="360" w:lineRule="auto"/>
        <w:jc w:val="both"/>
        <w:rPr>
          <w:rFonts w:ascii="Arial" w:hAnsi="Arial" w:cs="Arial"/>
          <w:b/>
          <w:bCs/>
        </w:rPr>
      </w:pPr>
      <w:r>
        <w:rPr>
          <w:rFonts w:ascii="Arial" w:hAnsi="Arial" w:cs="Arial"/>
          <w:b/>
          <w:bCs/>
        </w:rPr>
        <w:t>References</w:t>
      </w:r>
    </w:p>
    <w:p w14:paraId="67C4E9AB">
      <w:pPr>
        <w:spacing w:line="360" w:lineRule="auto"/>
        <w:jc w:val="both"/>
        <w:rPr>
          <w:rFonts w:ascii="Arial" w:hAnsi="Arial" w:cs="Arial"/>
        </w:rPr>
      </w:pPr>
      <w:r>
        <w:rPr>
          <w:rFonts w:ascii="Arial" w:hAnsi="Arial" w:cs="Arial"/>
        </w:rPr>
        <w:t xml:space="preserve">Bitner, M. J. (1992) 'Servicescapes: The impact of physical surroundings on customers and employees', Journal of Marketing, 56(2), pp. 57–71. Available at: </w:t>
      </w:r>
      <w:r>
        <w:fldChar w:fldCharType="begin"/>
      </w:r>
      <w:r>
        <w:instrText xml:space="preserve"> HYPERLINK "https://consensus.app/papers/conceptualisation-and-operationalisation-of-event-and-geus-richards/daa85aa6774f5ca383443a34beb0281c/?utm_source=chatgpt" </w:instrText>
      </w:r>
      <w:r>
        <w:fldChar w:fldCharType="separate"/>
      </w:r>
      <w:r>
        <w:t>https://consensus.app/papers/conceptualisation-and-operationalisation-of-event-and-geus-richards/daa85aa6774f5ca383443a34beb0281c/?utm_source=chatgpt</w:t>
      </w:r>
      <w:r>
        <w:fldChar w:fldCharType="end"/>
      </w:r>
    </w:p>
    <w:p w14:paraId="084529C1">
      <w:pPr>
        <w:spacing w:line="360" w:lineRule="auto"/>
        <w:jc w:val="both"/>
        <w:rPr>
          <w:rFonts w:ascii="Arial" w:hAnsi="Arial" w:cs="Arial"/>
        </w:rPr>
      </w:pPr>
      <w:r>
        <w:rPr>
          <w:rFonts w:ascii="Arial" w:hAnsi="Arial" w:cs="Arial"/>
        </w:rPr>
        <w:t xml:space="preserve">De Geus, S., Richards, G. and Toepoel, V. (2016) 'Conceptualisation and operationalisation of event and experience quality in the experience economy', Journal of Policy Research in Tourism, Leisure and Events, 8(2), pp. 134–160. Available at: </w:t>
      </w:r>
      <w:r>
        <w:fldChar w:fldCharType="begin"/>
      </w:r>
      <w:r>
        <w:instrText xml:space="preserve"> HYPERLINK "https://consensus.app/papers/conceptualisation-and-operationalisation-of-event-and-geus-richards/daa85aa6774f5ca383443a34beb0281c/?utm_source=chatgpt" </w:instrText>
      </w:r>
      <w:r>
        <w:fldChar w:fldCharType="separate"/>
      </w:r>
      <w:r>
        <w:t>https://consensus.app/papers/conceptualisation-and-operationalisation-of-event-and-geus-richards/daa85aa6774f5ca383443a34beb0281c/?utm_source=chatgpt</w:t>
      </w:r>
      <w:r>
        <w:fldChar w:fldCharType="end"/>
      </w:r>
    </w:p>
    <w:p w14:paraId="605F826A">
      <w:pPr>
        <w:spacing w:line="360" w:lineRule="auto"/>
        <w:jc w:val="both"/>
        <w:rPr>
          <w:rFonts w:ascii="Arial" w:hAnsi="Arial" w:cs="Arial"/>
        </w:rPr>
      </w:pPr>
      <w:r>
        <w:rPr>
          <w:rFonts w:ascii="Arial" w:hAnsi="Arial" w:cs="Arial"/>
        </w:rPr>
        <w:t>Stavros, J. M. and Cole, M. L. (2013) 'SOARing towards positive transformation and change', AI Practitioner, 15(2), pp. 4–9. Available at: https://consensus.app/papers/soar-analysis-in-event-planning</w:t>
      </w:r>
    </w:p>
    <w:p w14:paraId="6766239A">
      <w:pPr>
        <w:spacing w:line="360" w:lineRule="auto"/>
        <w:jc w:val="both"/>
        <w:rPr>
          <w:rFonts w:ascii="Arial" w:hAnsi="Arial" w:cs="Arial"/>
        </w:rPr>
      </w:pPr>
      <w:r>
        <w:rPr>
          <w:rFonts w:ascii="Arial" w:hAnsi="Arial" w:cs="Arial"/>
        </w:rPr>
        <w:t xml:space="preserve">Wrathall, J. and Steriopoulos, E. (2022) 'Event and experience design', Event Management Journal, 26(1), pp. 45–67. Available at: </w:t>
      </w:r>
      <w:r>
        <w:fldChar w:fldCharType="begin"/>
      </w:r>
      <w:r>
        <w:instrText xml:space="preserve"> HYPERLINK "https://consensus.app/papers/event-and-experience-design-wrathall-steriopoulos/7d750ad660bb5dd4a90fa26f39d234ee/?utm_source=chatgpt" </w:instrText>
      </w:r>
      <w:r>
        <w:fldChar w:fldCharType="separate"/>
      </w:r>
      <w:r>
        <w:t>https://consensus.app/papers/event-and-experience-design-wrathall-steriopoulos/7d750ad660bb5dd4a90fa26f39d234ee/?utm_source=chatgpt</w:t>
      </w:r>
      <w:r>
        <w:fldChar w:fldCharType="end"/>
      </w:r>
    </w:p>
    <w:p w14:paraId="5470B4AB">
      <w:pPr>
        <w:spacing w:line="360" w:lineRule="auto"/>
        <w:jc w:val="both"/>
        <w:rPr>
          <w:rFonts w:ascii="Arial" w:hAnsi="Arial" w:cs="Arial"/>
        </w:rPr>
      </w:pPr>
      <w:r>
        <w:rPr>
          <w:rFonts w:ascii="Arial" w:hAnsi="Arial" w:cs="Arial"/>
        </w:rPr>
        <w:t xml:space="preserve">Ahmed, R., 2017. Risk mitigation strategies in innovative projects. In Key Issues for Management of Innovative Projects. IntechOpen. </w:t>
      </w:r>
      <w:r>
        <w:fldChar w:fldCharType="begin"/>
      </w:r>
      <w:r>
        <w:instrText xml:space="preserve"> HYPERLINK "https://papers.ssrn.com/sol3/Delivery.cfm?abstractid=3884687" </w:instrText>
      </w:r>
      <w:r>
        <w:fldChar w:fldCharType="separate"/>
      </w:r>
      <w:r>
        <w:rPr>
          <w:rFonts w:ascii="Arial" w:hAnsi="Arial" w:cs="Arial"/>
        </w:rPr>
        <w:t>https://papers.ssrn.com/sol3/Delivery.cfm?abstractid=3884687</w:t>
      </w:r>
      <w:r>
        <w:rPr>
          <w:rFonts w:ascii="Arial" w:hAnsi="Arial" w:cs="Arial"/>
        </w:rPr>
        <w:fldChar w:fldCharType="end"/>
      </w:r>
      <w:r>
        <w:rPr>
          <w:rFonts w:ascii="Arial" w:hAnsi="Arial" w:cs="Arial"/>
        </w:rPr>
        <w:t xml:space="preserve"> </w:t>
      </w:r>
    </w:p>
    <w:p w14:paraId="02CFE947">
      <w:pPr>
        <w:spacing w:line="360" w:lineRule="auto"/>
        <w:jc w:val="both"/>
        <w:rPr>
          <w:rFonts w:ascii="Arial" w:hAnsi="Arial" w:cs="Arial"/>
        </w:rPr>
      </w:pPr>
      <w:r>
        <w:rPr>
          <w:rFonts w:ascii="Arial" w:hAnsi="Arial" w:cs="Arial"/>
        </w:rPr>
        <w:t xml:space="preserve">Akyar, Ö.Y., Demirhan, G., Oyelere, S., Flores, M. and Costas Jáuregui, V., 2020. Digital storytelling in teacher education for inclusion. </w:t>
      </w:r>
      <w:r>
        <w:fldChar w:fldCharType="begin"/>
      </w:r>
      <w:r>
        <w:instrText xml:space="preserve"> HYPERLINK "https://www.proquest.com/scholarly-journals/special-education-teachers-professional/docview/2642951397/se-2?accountid=130472" </w:instrText>
      </w:r>
      <w:r>
        <w:fldChar w:fldCharType="separate"/>
      </w:r>
      <w:r>
        <w:rPr>
          <w:rFonts w:ascii="Arial" w:hAnsi="Arial" w:cs="Arial"/>
        </w:rPr>
        <w:t>https://www.proquest.com/scholarly-journals/special-education-teachers-professional/docview/2642951397/se-2?accountid=130472</w:t>
      </w:r>
      <w:r>
        <w:rPr>
          <w:rFonts w:ascii="Arial" w:hAnsi="Arial" w:cs="Arial"/>
        </w:rPr>
        <w:fldChar w:fldCharType="end"/>
      </w:r>
      <w:r>
        <w:rPr>
          <w:rFonts w:ascii="Arial" w:hAnsi="Arial" w:cs="Arial"/>
        </w:rPr>
        <w:t xml:space="preserve"> </w:t>
      </w:r>
    </w:p>
    <w:p w14:paraId="7D350482">
      <w:pPr>
        <w:spacing w:line="360" w:lineRule="auto"/>
        <w:jc w:val="both"/>
        <w:rPr>
          <w:rFonts w:ascii="Arial" w:hAnsi="Arial" w:cs="Arial"/>
        </w:rPr>
      </w:pPr>
      <w:r>
        <w:rPr>
          <w:rFonts w:ascii="Arial" w:hAnsi="Arial" w:cs="Arial"/>
        </w:rPr>
        <w:t xml:space="preserve">Álvarez, D.C., Rodríguez, A.L. and Dono, J.A.M., 2018. Risk management and design of mitigation plans through discrete events simulation. </w:t>
      </w:r>
      <w:r>
        <w:fldChar w:fldCharType="begin"/>
      </w:r>
      <w:r>
        <w:instrText xml:space="preserve"> HYPERLINK "https://www.academia.edu/download/100034591/ijscom.2018.09945620230319-1-q1f3re.pdf" </w:instrText>
      </w:r>
      <w:r>
        <w:fldChar w:fldCharType="separate"/>
      </w:r>
      <w:r>
        <w:rPr>
          <w:rFonts w:ascii="Arial" w:hAnsi="Arial" w:cs="Arial"/>
        </w:rPr>
        <w:t>https://www.academia.edu/download/100034591/ijscom.2018.09945620230319-1-q1f3re.pdf</w:t>
      </w:r>
      <w:r>
        <w:rPr>
          <w:rFonts w:ascii="Arial" w:hAnsi="Arial" w:cs="Arial"/>
        </w:rPr>
        <w:fldChar w:fldCharType="end"/>
      </w:r>
      <w:r>
        <w:rPr>
          <w:rFonts w:ascii="Arial" w:hAnsi="Arial" w:cs="Arial"/>
        </w:rPr>
        <w:t xml:space="preserve"> </w:t>
      </w:r>
    </w:p>
    <w:p w14:paraId="75FAE683">
      <w:pPr>
        <w:spacing w:line="360" w:lineRule="auto"/>
        <w:jc w:val="both"/>
        <w:rPr>
          <w:rFonts w:ascii="Arial" w:hAnsi="Arial" w:cs="Arial"/>
        </w:rPr>
      </w:pPr>
      <w:r>
        <w:rPr>
          <w:rFonts w:ascii="Arial" w:hAnsi="Arial" w:cs="Arial"/>
        </w:rPr>
        <w:t>Batat, W., 2022. Why is the traditional marketing mix dead? Towards the “experiential marketing mix” (7E), a strategic framework for business experience design in the digital age. Journal of Strategic Marketing, 32, pp. 101 - 113. </w:t>
      </w:r>
      <w:r>
        <w:fldChar w:fldCharType="begin"/>
      </w:r>
      <w:r>
        <w:instrText xml:space="preserve"> HYPERLINK "https://doi.org/10.1080/0965254X.2022.2129745" </w:instrText>
      </w:r>
      <w:r>
        <w:fldChar w:fldCharType="separate"/>
      </w:r>
      <w:r>
        <w:rPr>
          <w:rFonts w:ascii="Arial" w:hAnsi="Arial" w:cs="Arial"/>
        </w:rPr>
        <w:t>https://doi.org/10.1080/0965254X.2022.2129745</w:t>
      </w:r>
      <w:r>
        <w:rPr>
          <w:rFonts w:ascii="Arial" w:hAnsi="Arial" w:cs="Arial"/>
        </w:rPr>
        <w:fldChar w:fldCharType="end"/>
      </w:r>
      <w:r>
        <w:rPr>
          <w:rFonts w:ascii="Arial" w:hAnsi="Arial" w:cs="Arial"/>
        </w:rPr>
        <w:t>.</w:t>
      </w:r>
    </w:p>
    <w:p w14:paraId="356A271A">
      <w:pPr>
        <w:spacing w:line="360" w:lineRule="auto"/>
        <w:jc w:val="both"/>
        <w:rPr>
          <w:rFonts w:ascii="Arial" w:hAnsi="Arial" w:cs="Arial"/>
        </w:rPr>
      </w:pPr>
      <w:r>
        <w:rPr>
          <w:rFonts w:ascii="Arial" w:hAnsi="Arial" w:cs="Arial"/>
        </w:rPr>
        <w:t xml:space="preserve">Bowdin, G., Allen, J., Harris, R., 2011. Events Management. [online] Available at: </w:t>
      </w:r>
      <w:r>
        <w:fldChar w:fldCharType="begin"/>
      </w:r>
      <w:r>
        <w:instrText xml:space="preserve"> HYPERLINK "https://research-ebsco-com.ezproxy.uwtsd.ac.uk/linkprocessor/plink?id=0713b2d6-c559-3133-a063-9c460741a170" </w:instrText>
      </w:r>
      <w:r>
        <w:fldChar w:fldCharType="separate"/>
      </w:r>
      <w:r>
        <w:rPr>
          <w:rFonts w:ascii="Arial" w:hAnsi="Arial" w:cs="Arial"/>
        </w:rPr>
        <w:t>https://research-ebsco-com.ezproxy.uwtsd.ac.uk/linkprocessor/plink?id=0713b2d6-c559-3133-a063-9c460741a170</w:t>
      </w:r>
      <w:r>
        <w:rPr>
          <w:rFonts w:ascii="Arial" w:hAnsi="Arial" w:cs="Arial"/>
        </w:rPr>
        <w:fldChar w:fldCharType="end"/>
      </w:r>
      <w:r>
        <w:rPr>
          <w:rFonts w:ascii="Arial" w:hAnsi="Arial" w:cs="Arial"/>
        </w:rPr>
        <w:t xml:space="preserve"> </w:t>
      </w:r>
    </w:p>
    <w:p w14:paraId="446ADF7F">
      <w:pPr>
        <w:spacing w:line="360" w:lineRule="auto"/>
        <w:jc w:val="both"/>
        <w:rPr>
          <w:rFonts w:ascii="Arial" w:hAnsi="Arial" w:cs="Arial"/>
        </w:rPr>
      </w:pPr>
      <w:r>
        <w:rPr>
          <w:rFonts w:ascii="Arial" w:hAnsi="Arial" w:cs="Arial"/>
        </w:rPr>
        <w:t xml:space="preserve">Bratitsis, T., and Ziannas, P., 2015. From Early Childhood to Special Education: Interactive Digital Storytelling as a Coaching Approach for Fostering Social Empathy. , pp. 231-240. </w:t>
      </w:r>
      <w:r>
        <w:fldChar w:fldCharType="begin"/>
      </w:r>
      <w:r>
        <w:instrText xml:space="preserve"> HYPERLINK "https://doi.org/10.1016/j.procs.2015.09.267" </w:instrText>
      </w:r>
      <w:r>
        <w:fldChar w:fldCharType="separate"/>
      </w:r>
      <w:r>
        <w:rPr>
          <w:rFonts w:ascii="Arial" w:hAnsi="Arial" w:cs="Arial"/>
        </w:rPr>
        <w:t>https://doi.org/10.1016/j.procs.2015.09.267</w:t>
      </w:r>
      <w:r>
        <w:rPr>
          <w:rFonts w:ascii="Arial" w:hAnsi="Arial" w:cs="Arial"/>
        </w:rPr>
        <w:fldChar w:fldCharType="end"/>
      </w:r>
      <w:r>
        <w:rPr>
          <w:rFonts w:ascii="Arial" w:hAnsi="Arial" w:cs="Arial"/>
        </w:rPr>
        <w:t xml:space="preserve">. </w:t>
      </w:r>
    </w:p>
    <w:p w14:paraId="530CD6D0">
      <w:pPr>
        <w:spacing w:line="360" w:lineRule="auto"/>
        <w:jc w:val="both"/>
        <w:rPr>
          <w:rFonts w:ascii="Arial" w:hAnsi="Arial" w:cs="Arial"/>
        </w:rPr>
      </w:pPr>
      <w:r>
        <w:rPr>
          <w:rFonts w:ascii="Arial" w:hAnsi="Arial" w:cs="Arial"/>
        </w:rPr>
        <w:t xml:space="preserve">Chirieleison, C., and Montrone, A., 2013. Evaluating local government costs and revenues: The case of an Italian privately owned for-profit event. Tourism Management Perspectives, 8, pp. 90-97. </w:t>
      </w:r>
      <w:r>
        <w:fldChar w:fldCharType="begin"/>
      </w:r>
      <w:r>
        <w:instrText xml:space="preserve"> HYPERLINK "https://doi.org/10.1016/J.TMP.2013.08.001" </w:instrText>
      </w:r>
      <w:r>
        <w:fldChar w:fldCharType="separate"/>
      </w:r>
      <w:r>
        <w:rPr>
          <w:rFonts w:ascii="Arial" w:hAnsi="Arial" w:cs="Arial"/>
        </w:rPr>
        <w:t>https://doi.org/10.1016/J.TMP.2013.08.001</w:t>
      </w:r>
      <w:r>
        <w:rPr>
          <w:rFonts w:ascii="Arial" w:hAnsi="Arial" w:cs="Arial"/>
        </w:rPr>
        <w:fldChar w:fldCharType="end"/>
      </w:r>
      <w:r>
        <w:rPr>
          <w:rFonts w:ascii="Arial" w:hAnsi="Arial" w:cs="Arial"/>
        </w:rPr>
        <w:t xml:space="preserve">. </w:t>
      </w:r>
    </w:p>
    <w:p w14:paraId="2E99D4F0">
      <w:pPr>
        <w:spacing w:line="360" w:lineRule="auto"/>
        <w:jc w:val="both"/>
        <w:rPr>
          <w:rFonts w:ascii="Arial" w:hAnsi="Arial" w:cs="Arial"/>
        </w:rPr>
      </w:pPr>
      <w:r>
        <w:rPr>
          <w:rFonts w:ascii="Arial" w:hAnsi="Arial" w:cs="Arial"/>
        </w:rPr>
        <w:t xml:space="preserve">Coulot, M., Pellerin, R., Yahia, E. and Harris, S., 2024. Predictive Methods for Event Revenues and Expenses to Support Convention Center Portfolio Management. Proceedings of the 12th IPMA Research Conference “Project Management in the Age of Artificial Intelligence”. </w:t>
      </w:r>
      <w:r>
        <w:fldChar w:fldCharType="begin"/>
      </w:r>
      <w:r>
        <w:instrText xml:space="preserve"> HYPERLINK "https://doi.org/10.56889/drzt2050" </w:instrText>
      </w:r>
      <w:r>
        <w:fldChar w:fldCharType="separate"/>
      </w:r>
      <w:r>
        <w:rPr>
          <w:rFonts w:ascii="Arial" w:hAnsi="Arial" w:cs="Arial"/>
        </w:rPr>
        <w:t>https://doi.org/10.56889/drzt2050</w:t>
      </w:r>
      <w:r>
        <w:rPr>
          <w:rFonts w:ascii="Arial" w:hAnsi="Arial" w:cs="Arial"/>
        </w:rPr>
        <w:fldChar w:fldCharType="end"/>
      </w:r>
      <w:r>
        <w:rPr>
          <w:rFonts w:ascii="Arial" w:hAnsi="Arial" w:cs="Arial"/>
        </w:rPr>
        <w:t xml:space="preserve">. </w:t>
      </w:r>
    </w:p>
    <w:p w14:paraId="5E8AB9D3">
      <w:pPr>
        <w:spacing w:line="360" w:lineRule="auto"/>
        <w:jc w:val="both"/>
        <w:rPr>
          <w:rFonts w:ascii="Arial" w:hAnsi="Arial" w:cs="Arial"/>
        </w:rPr>
      </w:pPr>
      <w:r>
        <w:rPr>
          <w:rFonts w:ascii="Arial" w:hAnsi="Arial" w:cs="Arial"/>
        </w:rPr>
        <w:t xml:space="preserve">Cvent, 2024. Event Planning for Accessibility: Tips and Best Practices. [online] Available at: </w:t>
      </w:r>
      <w:r>
        <w:fldChar w:fldCharType="begin"/>
      </w:r>
      <w:r>
        <w:instrText xml:space="preserve"> HYPERLINK "https://www.cvent.com/en/blog/events/event-planning-accessibility-tips-and-best-practices" </w:instrText>
      </w:r>
      <w:r>
        <w:fldChar w:fldCharType="separate"/>
      </w:r>
      <w:r>
        <w:rPr>
          <w:rFonts w:ascii="Arial" w:hAnsi="Arial" w:cs="Arial"/>
        </w:rPr>
        <w:t>https://www.cvent.com/en/blog/events/event-planning-accessibility-tips-and-best-practices</w:t>
      </w:r>
      <w:r>
        <w:rPr>
          <w:rFonts w:ascii="Arial" w:hAnsi="Arial" w:cs="Arial"/>
        </w:rPr>
        <w:fldChar w:fldCharType="end"/>
      </w:r>
      <w:r>
        <w:rPr>
          <w:rFonts w:ascii="Arial" w:hAnsi="Arial" w:cs="Arial"/>
        </w:rPr>
        <w:t xml:space="preserve">   </w:t>
      </w:r>
    </w:p>
    <w:p w14:paraId="0B07CE2A">
      <w:pPr>
        <w:spacing w:line="360" w:lineRule="auto"/>
        <w:jc w:val="both"/>
        <w:rPr>
          <w:rFonts w:ascii="Arial" w:hAnsi="Arial" w:cs="Arial"/>
        </w:rPr>
      </w:pPr>
      <w:r>
        <w:rPr>
          <w:rFonts w:ascii="Arial" w:hAnsi="Arial" w:cs="Arial"/>
        </w:rPr>
        <w:t xml:space="preserve">Dai, H. and Soonthonsmai, V., 2024. The Effect of 7P Marketing Strategy and Lifestyle on Customer Loyalty at Shanghai Disneyland, China. KnE Social Sciences. </w:t>
      </w:r>
      <w:r>
        <w:fldChar w:fldCharType="begin"/>
      </w:r>
      <w:r>
        <w:instrText xml:space="preserve"> HYPERLINK "https://doi.org/10.18502/kss.v9i29.17269" </w:instrText>
      </w:r>
      <w:r>
        <w:fldChar w:fldCharType="separate"/>
      </w:r>
      <w:r>
        <w:rPr>
          <w:rFonts w:ascii="Arial" w:hAnsi="Arial" w:cs="Arial"/>
        </w:rPr>
        <w:t>https://doi.org/10.18502/kss.v9i29.17269</w:t>
      </w:r>
      <w:r>
        <w:rPr>
          <w:rFonts w:ascii="Arial" w:hAnsi="Arial" w:cs="Arial"/>
        </w:rPr>
        <w:fldChar w:fldCharType="end"/>
      </w:r>
      <w:r>
        <w:rPr>
          <w:rFonts w:ascii="Arial" w:hAnsi="Arial" w:cs="Arial"/>
        </w:rPr>
        <w:t xml:space="preserve">. </w:t>
      </w:r>
    </w:p>
    <w:p w14:paraId="457CD40F">
      <w:pPr>
        <w:spacing w:line="360" w:lineRule="auto"/>
        <w:jc w:val="both"/>
        <w:rPr>
          <w:rFonts w:ascii="Arial" w:hAnsi="Arial" w:cs="Arial"/>
        </w:rPr>
      </w:pPr>
      <w:r>
        <w:rPr>
          <w:rFonts w:ascii="Arial" w:hAnsi="Arial" w:cs="Arial"/>
        </w:rPr>
        <w:t xml:space="preserve">DuHadway, S., Carnovale, S. and Hazen, B., 2019. Understanding risk management for intentional supply chain disruptions: risk detection, mitigation, and recovery. Annals of Operations Research, pp. 1-20. </w:t>
      </w:r>
      <w:r>
        <w:fldChar w:fldCharType="begin"/>
      </w:r>
      <w:r>
        <w:instrText xml:space="preserve"> HYPERLINK "https://doi.org/10.1007/S10479-017-2452-0" </w:instrText>
      </w:r>
      <w:r>
        <w:fldChar w:fldCharType="separate"/>
      </w:r>
      <w:r>
        <w:rPr>
          <w:rFonts w:ascii="Arial" w:hAnsi="Arial" w:cs="Arial"/>
        </w:rPr>
        <w:t>https://doi.org/10.1007/S10479-017-2452-0</w:t>
      </w:r>
      <w:r>
        <w:rPr>
          <w:rFonts w:ascii="Arial" w:hAnsi="Arial" w:cs="Arial"/>
        </w:rPr>
        <w:fldChar w:fldCharType="end"/>
      </w:r>
      <w:r>
        <w:rPr>
          <w:rFonts w:ascii="Arial" w:hAnsi="Arial" w:cs="Arial"/>
        </w:rPr>
        <w:t xml:space="preserve">. </w:t>
      </w:r>
    </w:p>
    <w:p w14:paraId="60E02322">
      <w:pPr>
        <w:spacing w:line="360" w:lineRule="auto"/>
        <w:jc w:val="both"/>
        <w:rPr>
          <w:rFonts w:ascii="Arial" w:hAnsi="Arial" w:cs="Arial"/>
        </w:rPr>
      </w:pPr>
      <w:r>
        <w:rPr>
          <w:rFonts w:ascii="Arial" w:hAnsi="Arial" w:cs="Arial"/>
        </w:rPr>
        <w:t>Getz, D. and Page, S., 2024. Event Studies: Theory and Management for Planned Events. 5th ed. London: Routledge.</w:t>
      </w:r>
      <w:r>
        <w:fldChar w:fldCharType="begin"/>
      </w:r>
      <w:r>
        <w:instrText xml:space="preserve"> HYPERLINK "https://librarysearch.uwtsd.ac.uk/permalink/44WHELF_UWTSD/upgrip/alma99100647735602421" </w:instrText>
      </w:r>
      <w:r>
        <w:fldChar w:fldCharType="separate"/>
      </w:r>
      <w:r>
        <w:rPr>
          <w:rFonts w:ascii="Arial" w:hAnsi="Arial" w:cs="Arial"/>
        </w:rPr>
        <w:t>https</w:t>
      </w:r>
      <w:r>
        <w:rPr>
          <w:rFonts w:ascii="Arial" w:hAnsi="Arial" w:cs="Arial"/>
        </w:rPr>
        <w:fldChar w:fldCharType="end"/>
      </w:r>
      <w:r>
        <w:fldChar w:fldCharType="begin"/>
      </w:r>
      <w:r>
        <w:instrText xml:space="preserve"> HYPERLINK "https://librarysearch.uwtsd.ac.uk/permalink/44WHELF_UWTSD/upgrip/alma99100647735602421" </w:instrText>
      </w:r>
      <w:r>
        <w:fldChar w:fldCharType="separate"/>
      </w:r>
      <w:r>
        <w:rPr>
          <w:rFonts w:ascii="Arial" w:hAnsi="Arial" w:cs="Arial"/>
        </w:rPr>
        <w:t>://librarysearch.uwtsd.ac.uk/permalink/44WHELF_UWTSD/</w:t>
      </w:r>
      <w:r>
        <w:rPr>
          <w:rFonts w:ascii="Arial" w:hAnsi="Arial" w:cs="Arial"/>
        </w:rPr>
        <w:fldChar w:fldCharType="end"/>
      </w:r>
      <w:r>
        <w:fldChar w:fldCharType="begin"/>
      </w:r>
      <w:r>
        <w:instrText xml:space="preserve"> HYPERLINK "https://librarysearch.uwtsd.ac.uk/permalink/44WHELF_UWTSD/upgrip/alma99100647735602421" </w:instrText>
      </w:r>
      <w:r>
        <w:fldChar w:fldCharType="separate"/>
      </w:r>
      <w:r>
        <w:rPr>
          <w:rFonts w:ascii="Arial" w:hAnsi="Arial" w:cs="Arial"/>
        </w:rPr>
        <w:t>upgrip</w:t>
      </w:r>
      <w:r>
        <w:rPr>
          <w:rFonts w:ascii="Arial" w:hAnsi="Arial" w:cs="Arial"/>
        </w:rPr>
        <w:fldChar w:fldCharType="end"/>
      </w:r>
      <w:r>
        <w:fldChar w:fldCharType="begin"/>
      </w:r>
      <w:r>
        <w:instrText xml:space="preserve"> HYPERLINK "https://librarysearch.uwtsd.ac.uk/permalink/44WHELF_UWTSD/upgrip/alma99100647735602421" </w:instrText>
      </w:r>
      <w:r>
        <w:fldChar w:fldCharType="separate"/>
      </w:r>
      <w:r>
        <w:rPr>
          <w:rFonts w:ascii="Arial" w:hAnsi="Arial" w:cs="Arial"/>
        </w:rPr>
        <w:t>/alma99100647735602421</w:t>
      </w:r>
      <w:r>
        <w:rPr>
          <w:rFonts w:ascii="Arial" w:hAnsi="Arial" w:cs="Arial"/>
        </w:rPr>
        <w:fldChar w:fldCharType="end"/>
      </w:r>
      <w:r>
        <w:rPr>
          <w:rFonts w:ascii="Arial" w:hAnsi="Arial" w:cs="Arial"/>
        </w:rPr>
        <w:t xml:space="preserve"> </w:t>
      </w:r>
    </w:p>
    <w:p w14:paraId="11B0A778">
      <w:pPr>
        <w:spacing w:line="360" w:lineRule="auto"/>
        <w:jc w:val="both"/>
        <w:rPr>
          <w:rFonts w:ascii="Arial" w:hAnsi="Arial" w:cs="Arial"/>
        </w:rPr>
      </w:pPr>
      <w:r>
        <w:rPr>
          <w:rFonts w:ascii="Arial" w:hAnsi="Arial" w:cs="Arial"/>
        </w:rPr>
        <w:t xml:space="preserve">Hazira, M., Alagas, E., Amin, M., Zamzuri, N. and Zairul, M., 2021. The best practice of marketing strategies for the Malaysian business event industry from experts' perspective. Journal of Hospitality and Tourism Insights. </w:t>
      </w:r>
      <w:r>
        <w:fldChar w:fldCharType="begin"/>
      </w:r>
      <w:r>
        <w:instrText xml:space="preserve"> HYPERLINK "https://www.proquest.com/scholarly-journals/best-practice-marketing-strategies-malaysian/docview/2646686874/se-2?accountid=130472" </w:instrText>
      </w:r>
      <w:r>
        <w:fldChar w:fldCharType="separate"/>
      </w:r>
      <w:r>
        <w:rPr>
          <w:rFonts w:ascii="Arial" w:hAnsi="Arial" w:cs="Arial"/>
        </w:rPr>
        <w:t>https://www.proquest.com/scholarly-journals/best-practice-marketing-strategies-malaysian/docview/2646686874/se-2?accountid=130472</w:t>
      </w:r>
      <w:r>
        <w:rPr>
          <w:rFonts w:ascii="Arial" w:hAnsi="Arial" w:cs="Arial"/>
        </w:rPr>
        <w:fldChar w:fldCharType="end"/>
      </w:r>
    </w:p>
    <w:p w14:paraId="41157173">
      <w:pPr>
        <w:spacing w:line="360" w:lineRule="auto"/>
        <w:jc w:val="both"/>
        <w:rPr>
          <w:rFonts w:ascii="Arial" w:hAnsi="Arial" w:cs="Arial"/>
        </w:rPr>
      </w:pPr>
      <w:r>
        <w:rPr>
          <w:rFonts w:ascii="Arial" w:hAnsi="Arial" w:cs="Arial"/>
        </w:rPr>
        <w:t xml:space="preserve">Hcareers (2020) ‘Survey Results: Diversity and Hospitality Upper Management’, Hcareers. Available at: </w:t>
      </w:r>
      <w:r>
        <w:fldChar w:fldCharType="begin"/>
      </w:r>
      <w:r>
        <w:instrText xml:space="preserve"> HYPERLINK "https://www.hcareers.com/article/employer-articles/survey-results-diversity-and-hospitality-upper-management" </w:instrText>
      </w:r>
      <w:r>
        <w:fldChar w:fldCharType="separate"/>
      </w:r>
      <w:r>
        <w:rPr>
          <w:rFonts w:ascii="Arial" w:hAnsi="Arial" w:cs="Arial"/>
        </w:rPr>
        <w:t>https://www.hcareers.com/article/employer-articles/survey-results-diversity-and-hospitality-upper-management</w:t>
      </w:r>
      <w:r>
        <w:rPr>
          <w:rFonts w:ascii="Arial" w:hAnsi="Arial" w:cs="Arial"/>
        </w:rPr>
        <w:fldChar w:fldCharType="end"/>
      </w:r>
      <w:r>
        <w:rPr>
          <w:rFonts w:ascii="Arial" w:hAnsi="Arial" w:cs="Arial"/>
        </w:rPr>
        <w:t xml:space="preserve"> </w:t>
      </w:r>
    </w:p>
    <w:p w14:paraId="6EAE0DDC">
      <w:pPr>
        <w:spacing w:line="360" w:lineRule="auto"/>
        <w:jc w:val="both"/>
        <w:rPr>
          <w:rFonts w:ascii="Arial" w:hAnsi="Arial" w:cs="Arial"/>
        </w:rPr>
      </w:pPr>
      <w:r>
        <w:rPr>
          <w:rFonts w:ascii="Arial" w:hAnsi="Arial" w:cs="Arial"/>
        </w:rPr>
        <w:t xml:space="preserve">Kristiana, S., Oktavia, C., Magdalena, R. and Lilajati, M., 2020. Risk Mitigation Strategies on Supply Chain PT. X. IOP Conference Series: Materials Science and Engineering, 847. </w:t>
      </w:r>
      <w:r>
        <w:fldChar w:fldCharType="begin"/>
      </w:r>
      <w:r>
        <w:instrText xml:space="preserve"> HYPERLINK "https://doi.org/10.1088/1757-899X/847/1/012052" </w:instrText>
      </w:r>
      <w:r>
        <w:fldChar w:fldCharType="separate"/>
      </w:r>
      <w:r>
        <w:rPr>
          <w:rFonts w:ascii="Arial" w:hAnsi="Arial" w:cs="Arial"/>
        </w:rPr>
        <w:t>https://doi.org/10.1088/1757-899X/847/1/012052</w:t>
      </w:r>
      <w:r>
        <w:rPr>
          <w:rFonts w:ascii="Arial" w:hAnsi="Arial" w:cs="Arial"/>
        </w:rPr>
        <w:fldChar w:fldCharType="end"/>
      </w:r>
      <w:r>
        <w:rPr>
          <w:rFonts w:ascii="Arial" w:hAnsi="Arial" w:cs="Arial"/>
        </w:rPr>
        <w:t xml:space="preserve">. </w:t>
      </w:r>
    </w:p>
    <w:p w14:paraId="26569CE5">
      <w:pPr>
        <w:spacing w:line="360" w:lineRule="auto"/>
        <w:jc w:val="both"/>
        <w:rPr>
          <w:rFonts w:ascii="Arial" w:hAnsi="Arial" w:cs="Arial"/>
        </w:rPr>
      </w:pPr>
      <w:r>
        <w:rPr>
          <w:rFonts w:ascii="Arial" w:hAnsi="Arial" w:cs="Arial"/>
        </w:rPr>
        <w:t xml:space="preserve">Lacey, R., Close, A., and Finney, Z., 2010. The Pivotal Roles of Product Knowledge and Corporate Social Responsibility in Event Sponsorship Effectiveness. Journal of Business Research. </w:t>
      </w:r>
      <w:r>
        <w:fldChar w:fldCharType="begin"/>
      </w:r>
      <w:r>
        <w:instrText xml:space="preserve"> HYPERLINK "https://doi.org/10.1016/J.JBUSRES.2009.11.001" </w:instrText>
      </w:r>
      <w:r>
        <w:fldChar w:fldCharType="separate"/>
      </w:r>
      <w:r>
        <w:rPr>
          <w:rFonts w:ascii="Arial" w:hAnsi="Arial" w:cs="Arial"/>
        </w:rPr>
        <w:t>https://doi.org/10.1016/J.JBUSRES.2009.11.001</w:t>
      </w:r>
      <w:r>
        <w:rPr>
          <w:rFonts w:ascii="Arial" w:hAnsi="Arial" w:cs="Arial"/>
        </w:rPr>
        <w:fldChar w:fldCharType="end"/>
      </w:r>
      <w:r>
        <w:rPr>
          <w:rFonts w:ascii="Arial" w:hAnsi="Arial" w:cs="Arial"/>
        </w:rPr>
        <w:t xml:space="preserve">. </w:t>
      </w:r>
    </w:p>
    <w:p w14:paraId="63CDCD4A">
      <w:pPr>
        <w:spacing w:line="360" w:lineRule="auto"/>
        <w:jc w:val="both"/>
        <w:rPr>
          <w:rFonts w:ascii="Arial" w:hAnsi="Arial" w:cs="Arial"/>
        </w:rPr>
      </w:pPr>
      <w:r>
        <w:rPr>
          <w:rFonts w:ascii="Arial" w:hAnsi="Arial" w:cs="Arial"/>
        </w:rPr>
        <w:t xml:space="preserve">Lockstone-Binney, L., Hanlon, C. and Jago, L., 2020. Staffing for successful events. The Routledge Handbook of Events. </w:t>
      </w:r>
      <w:r>
        <w:fldChar w:fldCharType="begin"/>
      </w:r>
      <w:r>
        <w:instrText xml:space="preserve"> HYPERLINK "https://doi.org/10.4324/9780429280993-27" </w:instrText>
      </w:r>
      <w:r>
        <w:fldChar w:fldCharType="separate"/>
      </w:r>
      <w:r>
        <w:rPr>
          <w:rFonts w:ascii="Arial" w:hAnsi="Arial" w:cs="Arial"/>
        </w:rPr>
        <w:t>https://doi.org/10.4324/9780429280993-27</w:t>
      </w:r>
      <w:r>
        <w:rPr>
          <w:rFonts w:ascii="Arial" w:hAnsi="Arial" w:cs="Arial"/>
        </w:rPr>
        <w:fldChar w:fldCharType="end"/>
      </w:r>
      <w:r>
        <w:rPr>
          <w:rFonts w:ascii="Arial" w:hAnsi="Arial" w:cs="Arial"/>
        </w:rPr>
        <w:t xml:space="preserve">. </w:t>
      </w:r>
    </w:p>
    <w:p w14:paraId="69497063">
      <w:pPr>
        <w:spacing w:line="360" w:lineRule="auto"/>
        <w:jc w:val="both"/>
        <w:rPr>
          <w:rFonts w:ascii="Arial" w:hAnsi="Arial" w:cs="Arial"/>
        </w:rPr>
      </w:pPr>
      <w:r>
        <w:rPr>
          <w:rFonts w:ascii="Arial" w:hAnsi="Arial" w:cs="Arial"/>
        </w:rPr>
        <w:t xml:space="preserve">Michopoulou, E., Azara, I. and Russell, A., 2020. Investigating the triangular relationship between temporary event workforce, event employment businesses and event organisers. International Journal of Contemporary Hospitality Management, 32, pp. 1247-1273. </w:t>
      </w:r>
      <w:r>
        <w:fldChar w:fldCharType="begin"/>
      </w:r>
      <w:r>
        <w:instrText xml:space="preserve"> HYPERLINK "https://www.proquest.com/scholarly-journals/investigating-triangular-relationship-between/docview/2498996211/se-2?accountid=130472" </w:instrText>
      </w:r>
      <w:r>
        <w:fldChar w:fldCharType="separate"/>
      </w:r>
      <w:r>
        <w:rPr>
          <w:rFonts w:ascii="Arial" w:hAnsi="Arial" w:cs="Arial"/>
        </w:rPr>
        <w:t>https://www.proquest.com/scholarly-journals/investigating-triangular-relationship-between/docview/2498996211/se-2?accountid=130472</w:t>
      </w:r>
      <w:r>
        <w:rPr>
          <w:rFonts w:ascii="Arial" w:hAnsi="Arial" w:cs="Arial"/>
        </w:rPr>
        <w:fldChar w:fldCharType="end"/>
      </w:r>
      <w:r>
        <w:rPr>
          <w:rFonts w:ascii="Arial" w:hAnsi="Arial" w:cs="Arial"/>
        </w:rPr>
        <w:t xml:space="preserve"> </w:t>
      </w:r>
    </w:p>
    <w:p w14:paraId="4169845E">
      <w:pPr>
        <w:spacing w:line="360" w:lineRule="auto"/>
        <w:jc w:val="both"/>
        <w:rPr>
          <w:rFonts w:ascii="Arial" w:hAnsi="Arial" w:cs="Arial"/>
        </w:rPr>
      </w:pPr>
      <w:r>
        <w:rPr>
          <w:rFonts w:ascii="Arial" w:hAnsi="Arial" w:cs="Arial"/>
        </w:rPr>
        <w:t xml:space="preserve">Morgan, A., Taylor, T., and Adair, D., 2020. Sport event sponsorship management from the sponsee’s perspective. Sport Management Review. </w:t>
      </w:r>
      <w:r>
        <w:fldChar w:fldCharType="begin"/>
      </w:r>
      <w:r>
        <w:instrText xml:space="preserve"> HYPERLINK "https://doi.org/10.1016/j.smr.2020.04.006" </w:instrText>
      </w:r>
      <w:r>
        <w:fldChar w:fldCharType="separate"/>
      </w:r>
      <w:r>
        <w:rPr>
          <w:rFonts w:ascii="Arial" w:hAnsi="Arial" w:cs="Arial"/>
        </w:rPr>
        <w:t>https://doi.org/10.1016/j.smr.2020.04.006</w:t>
      </w:r>
      <w:r>
        <w:rPr>
          <w:rFonts w:ascii="Arial" w:hAnsi="Arial" w:cs="Arial"/>
        </w:rPr>
        <w:fldChar w:fldCharType="end"/>
      </w:r>
      <w:r>
        <w:rPr>
          <w:rFonts w:ascii="Arial" w:hAnsi="Arial" w:cs="Arial"/>
        </w:rPr>
        <w:t xml:space="preserve">.  </w:t>
      </w:r>
    </w:p>
    <w:p w14:paraId="0807F467">
      <w:pPr>
        <w:spacing w:line="360" w:lineRule="auto"/>
        <w:jc w:val="both"/>
        <w:rPr>
          <w:rFonts w:ascii="Arial" w:hAnsi="Arial" w:cs="Arial"/>
        </w:rPr>
      </w:pPr>
      <w:r>
        <w:rPr>
          <w:rFonts w:ascii="Arial" w:hAnsi="Arial" w:cs="Arial"/>
        </w:rPr>
        <w:t xml:space="preserve">Moutafidou, A., and Bratitsis, T., 2018. Digital storytelling: giving voice to socially excluded people in various contexts. Proceedings of the 8th International Conference on Software Development and Technologies for Enhancing Accessibility and Fighting Info-exclusion. </w:t>
      </w:r>
      <w:r>
        <w:fldChar w:fldCharType="begin"/>
      </w:r>
      <w:r>
        <w:instrText xml:space="preserve"> HYPERLINK "https://doi.org/10.1145/3218585.3218684" </w:instrText>
      </w:r>
      <w:r>
        <w:fldChar w:fldCharType="separate"/>
      </w:r>
      <w:r>
        <w:rPr>
          <w:rFonts w:ascii="Arial" w:hAnsi="Arial" w:cs="Arial"/>
        </w:rPr>
        <w:t>https://doi.org/10.1145/3218585.3218684</w:t>
      </w:r>
      <w:r>
        <w:rPr>
          <w:rFonts w:ascii="Arial" w:hAnsi="Arial" w:cs="Arial"/>
        </w:rPr>
        <w:fldChar w:fldCharType="end"/>
      </w:r>
      <w:r>
        <w:rPr>
          <w:rFonts w:ascii="Arial" w:hAnsi="Arial" w:cs="Arial"/>
        </w:rPr>
        <w:t xml:space="preserve">. </w:t>
      </w:r>
    </w:p>
    <w:p w14:paraId="3437B643">
      <w:pPr>
        <w:spacing w:line="360" w:lineRule="auto"/>
        <w:jc w:val="both"/>
        <w:rPr>
          <w:rFonts w:ascii="Arial" w:hAnsi="Arial" w:cs="Arial"/>
        </w:rPr>
      </w:pPr>
      <w:r>
        <w:rPr>
          <w:rFonts w:ascii="Arial" w:hAnsi="Arial" w:cs="Arial"/>
        </w:rPr>
        <w:t xml:space="preserve">Moyle, B., Kennelly, M. and Lamont, M., 2014. Risk management and contingency planning in events: Participants’ reactions to the cancellation of Ironman New Zealand 2012. International Journal of Event Management Research, 8(1), pp.94-106. </w:t>
      </w:r>
      <w:r>
        <w:fldChar w:fldCharType="begin"/>
      </w:r>
      <w:r>
        <w:instrText xml:space="preserve"> HYPERLINK "https://citeseerx.ist.psu.edu/document?repid=rep1&amp;type=pdf&amp;doi=2817eb1b745aaebc3e07b563cc2e7a72e90029b0" </w:instrText>
      </w:r>
      <w:r>
        <w:fldChar w:fldCharType="separate"/>
      </w:r>
      <w:r>
        <w:rPr>
          <w:rFonts w:ascii="Arial" w:hAnsi="Arial" w:cs="Arial"/>
        </w:rPr>
        <w:t>https://citeseerx.ist.psu.edu/document?repid=rep1&amp;type=pdf&amp;doi=2817eb1b745aaebc3e07b563cc2e7a72e90029b0</w:t>
      </w:r>
      <w:r>
        <w:rPr>
          <w:rFonts w:ascii="Arial" w:hAnsi="Arial" w:cs="Arial"/>
        </w:rPr>
        <w:fldChar w:fldCharType="end"/>
      </w:r>
      <w:r>
        <w:rPr>
          <w:rFonts w:ascii="Arial" w:hAnsi="Arial" w:cs="Arial"/>
        </w:rPr>
        <w:t xml:space="preserve"> </w:t>
      </w:r>
    </w:p>
    <w:p w14:paraId="5857ED93">
      <w:pPr>
        <w:spacing w:line="360" w:lineRule="auto"/>
        <w:jc w:val="both"/>
        <w:rPr>
          <w:rFonts w:ascii="Arial" w:hAnsi="Arial" w:cs="Arial"/>
        </w:rPr>
      </w:pPr>
      <w:r>
        <w:rPr>
          <w:rFonts w:ascii="Arial" w:hAnsi="Arial" w:cs="Arial"/>
        </w:rPr>
        <w:t>Muskat, B. and Mair, J., 2019. Knowledge Sharing and Power in the Event Workforce. </w:t>
      </w:r>
      <w:r>
        <w:fldChar w:fldCharType="begin"/>
      </w:r>
      <w:r>
        <w:instrText xml:space="preserve"> HYPERLINK "https://www.proquest.com/scholarly-journals/knowledge-sharing-power-event-workforce/docview/2779511486/se-2?accountid=130472" </w:instrText>
      </w:r>
      <w:r>
        <w:fldChar w:fldCharType="separate"/>
      </w:r>
      <w:r>
        <w:rPr>
          <w:rFonts w:ascii="Arial" w:hAnsi="Arial" w:cs="Arial"/>
        </w:rPr>
        <w:t>https://www.proquest.com/scholarly-journals/knowledge-sharing-power-event-workforce/docview/2779511486/se-2?accountid=130472</w:t>
      </w:r>
      <w:r>
        <w:rPr>
          <w:rFonts w:ascii="Arial" w:hAnsi="Arial" w:cs="Arial"/>
        </w:rPr>
        <w:fldChar w:fldCharType="end"/>
      </w:r>
      <w:r>
        <w:rPr>
          <w:rFonts w:ascii="Arial" w:hAnsi="Arial" w:cs="Arial"/>
        </w:rPr>
        <w:t xml:space="preserve"> </w:t>
      </w:r>
    </w:p>
    <w:p w14:paraId="4041F3F3">
      <w:pPr>
        <w:spacing w:line="360" w:lineRule="auto"/>
        <w:jc w:val="both"/>
        <w:rPr>
          <w:rFonts w:ascii="Arial" w:hAnsi="Arial" w:cs="Arial"/>
        </w:rPr>
      </w:pPr>
      <w:r>
        <w:rPr>
          <w:rFonts w:ascii="Arial" w:hAnsi="Arial" w:cs="Arial"/>
        </w:rPr>
        <w:t xml:space="preserve">Nadda, V., Arnott, I. and Sealy, W., 2020 Risk Management in Events Management, in Legal, Safety, and Environmental Challenges for Event Management. United States: IGI Global, pp. 1–20. Available at: </w:t>
      </w:r>
      <w:r>
        <w:fldChar w:fldCharType="begin"/>
      </w:r>
      <w:r>
        <w:instrText xml:space="preserve"> HYPERLINK "https://doi.org/10.4018/978-1-7998-3230-0.ch001" </w:instrText>
      </w:r>
      <w:r>
        <w:fldChar w:fldCharType="separate"/>
      </w:r>
      <w:r>
        <w:rPr>
          <w:rFonts w:ascii="Arial" w:hAnsi="Arial" w:cs="Arial"/>
        </w:rPr>
        <w:t>https://doi.org/10.4018/978-1-7998-3230-0.ch001</w:t>
      </w:r>
      <w:r>
        <w:rPr>
          <w:rFonts w:ascii="Arial" w:hAnsi="Arial" w:cs="Arial"/>
        </w:rPr>
        <w:fldChar w:fldCharType="end"/>
      </w:r>
      <w:r>
        <w:rPr>
          <w:rFonts w:ascii="Arial" w:hAnsi="Arial" w:cs="Arial"/>
        </w:rPr>
        <w:t xml:space="preserve">. </w:t>
      </w:r>
    </w:p>
    <w:p w14:paraId="3D38790F">
      <w:pPr>
        <w:spacing w:line="360" w:lineRule="auto"/>
        <w:jc w:val="both"/>
        <w:rPr>
          <w:rFonts w:ascii="Arial" w:hAnsi="Arial" w:cs="Arial"/>
        </w:rPr>
      </w:pPr>
      <w:r>
        <w:rPr>
          <w:rFonts w:ascii="Arial" w:hAnsi="Arial" w:cs="Arial"/>
        </w:rPr>
        <w:t xml:space="preserve">Nam, C., 2017. The effects of digital storytelling on student achievement, social presence, and attitude in online collaborative learning environments. Interactive Learning Environments, 25, pp. 412 - 427. </w:t>
      </w:r>
      <w:r>
        <w:fldChar w:fldCharType="begin"/>
      </w:r>
      <w:r>
        <w:instrText xml:space="preserve"> HYPERLINK "https://doi.org/10.1080/10494820.2015.1135173" </w:instrText>
      </w:r>
      <w:r>
        <w:fldChar w:fldCharType="separate"/>
      </w:r>
      <w:r>
        <w:rPr>
          <w:rFonts w:ascii="Arial" w:hAnsi="Arial" w:cs="Arial"/>
        </w:rPr>
        <w:t>https://doi.org/10.1080/10494820.2015.1135173</w:t>
      </w:r>
      <w:r>
        <w:rPr>
          <w:rFonts w:ascii="Arial" w:hAnsi="Arial" w:cs="Arial"/>
        </w:rPr>
        <w:fldChar w:fldCharType="end"/>
      </w:r>
      <w:r>
        <w:rPr>
          <w:rFonts w:ascii="Arial" w:hAnsi="Arial" w:cs="Arial"/>
        </w:rPr>
        <w:t xml:space="preserve">. </w:t>
      </w:r>
    </w:p>
    <w:p w14:paraId="3A890EBD">
      <w:pPr>
        <w:spacing w:line="360" w:lineRule="auto"/>
        <w:jc w:val="both"/>
        <w:rPr>
          <w:rFonts w:ascii="Arial" w:hAnsi="Arial" w:cs="Arial"/>
        </w:rPr>
      </w:pPr>
      <w:r>
        <w:rPr>
          <w:rFonts w:ascii="Arial" w:hAnsi="Arial" w:cs="Arial"/>
        </w:rPr>
        <w:t xml:space="preserve">National Restaurant Association, 2022. Diversity, Equity, and Inclusion in the Restaurant Industry.  </w:t>
      </w:r>
      <w:r>
        <w:fldChar w:fldCharType="begin"/>
      </w:r>
      <w:r>
        <w:instrText xml:space="preserve"> HYPERLINK "https://restaurant.org/research-and-media/research/research-reports/dei/" </w:instrText>
      </w:r>
      <w:r>
        <w:fldChar w:fldCharType="separate"/>
      </w:r>
      <w:r>
        <w:rPr>
          <w:rFonts w:ascii="Arial" w:hAnsi="Arial" w:cs="Arial"/>
        </w:rPr>
        <w:t>https://restaurant.org/research-and-media/research/research-reports/dei/</w:t>
      </w:r>
      <w:r>
        <w:rPr>
          <w:rFonts w:ascii="Arial" w:hAnsi="Arial" w:cs="Arial"/>
        </w:rPr>
        <w:fldChar w:fldCharType="end"/>
      </w:r>
    </w:p>
    <w:p w14:paraId="37073DC8">
      <w:pPr>
        <w:spacing w:line="360" w:lineRule="auto"/>
        <w:jc w:val="both"/>
        <w:rPr>
          <w:rFonts w:ascii="Arial" w:hAnsi="Arial" w:cs="Arial"/>
        </w:rPr>
      </w:pPr>
      <w:r>
        <w:rPr>
          <w:rFonts w:ascii="Arial" w:hAnsi="Arial" w:cs="Arial"/>
        </w:rPr>
        <w:t xml:space="preserve">Pennsylvania State University (PSU) (2023) ‘Hotel Industry Board Diversity Report 2023’, School of Hospitality Management, PSU. Available at: </w:t>
      </w:r>
      <w:r>
        <w:fldChar w:fldCharType="begin"/>
      </w:r>
      <w:r>
        <w:instrText xml:space="preserve"> HYPERLINK "https://hhd.psu.edu/sites/default/files/hospitality-management-hm/shm/hospitality-management-hmshm-hotel-industry-board-diversity-report-2023.pdf" </w:instrText>
      </w:r>
      <w:r>
        <w:fldChar w:fldCharType="separate"/>
      </w:r>
      <w:r>
        <w:rPr>
          <w:rFonts w:ascii="Arial" w:hAnsi="Arial" w:cs="Arial"/>
        </w:rPr>
        <w:t>https://hhd.psu.edu/sites/default/files/hospitality-management-hm/shm/hospitality-management-hmshm-hotel-industry-board-diversity-report-2023.pdf</w:t>
      </w:r>
      <w:r>
        <w:rPr>
          <w:rFonts w:ascii="Arial" w:hAnsi="Arial" w:cs="Arial"/>
        </w:rPr>
        <w:fldChar w:fldCharType="end"/>
      </w:r>
      <w:r>
        <w:rPr>
          <w:rFonts w:ascii="Arial" w:hAnsi="Arial" w:cs="Arial"/>
        </w:rPr>
        <w:t xml:space="preserve"> </w:t>
      </w:r>
    </w:p>
    <w:p w14:paraId="2BD9E252">
      <w:pPr>
        <w:spacing w:line="360" w:lineRule="auto"/>
        <w:jc w:val="both"/>
        <w:rPr>
          <w:rFonts w:ascii="Arial" w:hAnsi="Arial" w:cs="Arial"/>
        </w:rPr>
      </w:pPr>
      <w:r>
        <w:rPr>
          <w:rFonts w:ascii="Arial" w:hAnsi="Arial" w:cs="Arial"/>
        </w:rPr>
        <w:t xml:space="preserve">Quinn, B., 2013. Key Concepts in Event Management. London: SAGE Publications. </w:t>
      </w:r>
      <w:r>
        <w:fldChar w:fldCharType="begin"/>
      </w:r>
      <w:r>
        <w:instrText xml:space="preserve"> HYPERLINK "https://sk.sagepub.com/books/key-concepts-in-event-management" </w:instrText>
      </w:r>
      <w:r>
        <w:fldChar w:fldCharType="separate"/>
      </w:r>
      <w:r>
        <w:rPr>
          <w:rFonts w:ascii="Arial" w:hAnsi="Arial" w:cs="Arial"/>
        </w:rPr>
        <w:t>https://sk.sagepub.com/books/key-concepts-in-event-management</w:t>
      </w:r>
      <w:r>
        <w:rPr>
          <w:rFonts w:ascii="Arial" w:hAnsi="Arial" w:cs="Arial"/>
        </w:rPr>
        <w:fldChar w:fldCharType="end"/>
      </w:r>
      <w:r>
        <w:rPr>
          <w:rFonts w:ascii="Arial" w:hAnsi="Arial" w:cs="Arial"/>
        </w:rPr>
        <w:t xml:space="preserve"> </w:t>
      </w:r>
    </w:p>
    <w:p w14:paraId="60CC3443">
      <w:pPr>
        <w:spacing w:line="360" w:lineRule="auto"/>
        <w:jc w:val="both"/>
        <w:rPr>
          <w:rFonts w:ascii="Arial" w:hAnsi="Arial" w:cs="Arial"/>
        </w:rPr>
      </w:pPr>
      <w:r>
        <w:rPr>
          <w:rFonts w:ascii="Arial" w:hAnsi="Arial" w:cs="Arial"/>
        </w:rPr>
        <w:t xml:space="preserve">Reid, S. and Ritchie, B., 2011. Risk Management: Event Managers' Attitudes, Beliefs, and Perceived Constraints. Event Management, 15(4), pp.329–341. </w:t>
      </w:r>
      <w:r>
        <w:fldChar w:fldCharType="begin"/>
      </w:r>
      <w:r>
        <w:instrText xml:space="preserve"> HYPERLINK "https://www.proquest.com/scholarly-journals/risk-management-event-managers-attitudes-beliefs/docview/2779415463/se-2?accountid=130472" </w:instrText>
      </w:r>
      <w:r>
        <w:fldChar w:fldCharType="separate"/>
      </w:r>
      <w:r>
        <w:rPr>
          <w:rFonts w:ascii="Arial" w:hAnsi="Arial" w:cs="Arial"/>
        </w:rPr>
        <w:t>https://www.proquest.com/scholarly-journals/risk-management-event-managers-attitudes-beliefs/docview/2779415463/se-2?accountid=130472</w:t>
      </w:r>
      <w:r>
        <w:rPr>
          <w:rFonts w:ascii="Arial" w:hAnsi="Arial" w:cs="Arial"/>
        </w:rPr>
        <w:fldChar w:fldCharType="end"/>
      </w:r>
      <w:r>
        <w:rPr>
          <w:rFonts w:ascii="Arial" w:hAnsi="Arial" w:cs="Arial"/>
        </w:rPr>
        <w:t xml:space="preserve"> </w:t>
      </w:r>
    </w:p>
    <w:p w14:paraId="14FDCB54">
      <w:pPr>
        <w:spacing w:line="360" w:lineRule="auto"/>
        <w:jc w:val="both"/>
        <w:rPr>
          <w:rFonts w:ascii="Arial" w:hAnsi="Arial" w:cs="Arial"/>
        </w:rPr>
      </w:pPr>
      <w:r>
        <w:rPr>
          <w:rFonts w:ascii="Arial" w:hAnsi="Arial" w:cs="Arial"/>
        </w:rPr>
        <w:t xml:space="preserve">Reuters (2024) ‘Migrants are making their mark in Italy’s restaurant kitchens’, Reuters, 10 October. Available at: </w:t>
      </w:r>
      <w:r>
        <w:fldChar w:fldCharType="begin"/>
      </w:r>
      <w:r>
        <w:instrText xml:space="preserve"> HYPERLINK "https://www.reuters.com/world/europe/migrants-are-making-their-mark-italys-restaurant-kitchens-2024-10-10/" </w:instrText>
      </w:r>
      <w:r>
        <w:fldChar w:fldCharType="separate"/>
      </w:r>
      <w:r>
        <w:rPr>
          <w:rFonts w:ascii="Arial" w:hAnsi="Arial" w:cs="Arial"/>
        </w:rPr>
        <w:t>https://www.reuters.com/world/europe/migrants-are-making-their-mark-italys-restaurant-kitchens-2024-10-10/</w:t>
      </w:r>
      <w:r>
        <w:rPr>
          <w:rFonts w:ascii="Arial" w:hAnsi="Arial" w:cs="Arial"/>
        </w:rPr>
        <w:fldChar w:fldCharType="end"/>
      </w:r>
      <w:r>
        <w:rPr>
          <w:rFonts w:ascii="Arial" w:hAnsi="Arial" w:cs="Arial"/>
        </w:rPr>
        <w:t xml:space="preserve"> </w:t>
      </w:r>
    </w:p>
    <w:p w14:paraId="676E18F3">
      <w:pPr>
        <w:spacing w:line="360" w:lineRule="auto"/>
        <w:jc w:val="both"/>
        <w:rPr>
          <w:rFonts w:ascii="Arial" w:hAnsi="Arial" w:cs="Arial"/>
        </w:rPr>
      </w:pPr>
      <w:r>
        <w:rPr>
          <w:rFonts w:ascii="Arial" w:hAnsi="Arial" w:cs="Arial"/>
        </w:rPr>
        <w:t xml:space="preserve">Rice, C., and Mündel, I., 2019. Multimedia Storytelling Methodology: Notes on Access and Inclusion in Neoliberal Times. Canadian Journal of Disability Studies. </w:t>
      </w:r>
      <w:r>
        <w:fldChar w:fldCharType="begin"/>
      </w:r>
      <w:r>
        <w:instrText xml:space="preserve"> HYPERLINK "https://doi.org/10.15353/CJDS.V8I1.473" </w:instrText>
      </w:r>
      <w:r>
        <w:fldChar w:fldCharType="separate"/>
      </w:r>
      <w:r>
        <w:rPr>
          <w:rFonts w:ascii="Arial" w:hAnsi="Arial" w:cs="Arial"/>
        </w:rPr>
        <w:t>https://doi.org/10.15353/CJDS.V8I1.473</w:t>
      </w:r>
      <w:r>
        <w:rPr>
          <w:rFonts w:ascii="Arial" w:hAnsi="Arial" w:cs="Arial"/>
        </w:rPr>
        <w:fldChar w:fldCharType="end"/>
      </w:r>
      <w:r>
        <w:rPr>
          <w:rFonts w:ascii="Arial" w:hAnsi="Arial" w:cs="Arial"/>
        </w:rPr>
        <w:t xml:space="preserve">.  </w:t>
      </w:r>
    </w:p>
    <w:p w14:paraId="05C00E67">
      <w:pPr>
        <w:spacing w:line="360" w:lineRule="auto"/>
        <w:jc w:val="both"/>
        <w:rPr>
          <w:rFonts w:ascii="Arial" w:hAnsi="Arial" w:cs="Arial"/>
        </w:rPr>
      </w:pPr>
      <w:r>
        <w:rPr>
          <w:rFonts w:ascii="Arial" w:hAnsi="Arial" w:cs="Arial"/>
        </w:rPr>
        <w:t xml:space="preserve">Saavedra, J., Pérez, E., Crawford, P., and Arias, S., 2018. Recovery and creative practices in people with severe mental illness: evaluating well-being and social inclusion. Disability and Rehabilitation, 40, pp. 905 - 911. </w:t>
      </w:r>
      <w:r>
        <w:fldChar w:fldCharType="begin"/>
      </w:r>
      <w:r>
        <w:instrText xml:space="preserve"> HYPERLINK "https://doi.org/10.1080/09638288.2017.1278797" </w:instrText>
      </w:r>
      <w:r>
        <w:fldChar w:fldCharType="separate"/>
      </w:r>
      <w:r>
        <w:rPr>
          <w:rFonts w:ascii="Arial" w:hAnsi="Arial" w:cs="Arial"/>
        </w:rPr>
        <w:t>https://doi.org/10.1080/09638288.2017.1278797</w:t>
      </w:r>
      <w:r>
        <w:rPr>
          <w:rFonts w:ascii="Arial" w:hAnsi="Arial" w:cs="Arial"/>
        </w:rPr>
        <w:fldChar w:fldCharType="end"/>
      </w:r>
      <w:r>
        <w:rPr>
          <w:rFonts w:ascii="Arial" w:hAnsi="Arial" w:cs="Arial"/>
        </w:rPr>
        <w:t xml:space="preserve">.  </w:t>
      </w:r>
    </w:p>
    <w:p w14:paraId="33F53D04">
      <w:pPr>
        <w:spacing w:line="360" w:lineRule="auto"/>
        <w:jc w:val="both"/>
        <w:rPr>
          <w:rFonts w:ascii="Arial" w:hAnsi="Arial" w:cs="Arial"/>
        </w:rPr>
      </w:pPr>
      <w:r>
        <w:rPr>
          <w:rFonts w:ascii="Arial" w:hAnsi="Arial" w:cs="Arial"/>
        </w:rPr>
        <w:t xml:space="preserve">Sched, 2024. Event Venue Selection: 8 Factors to Consider and How to Choose. </w:t>
      </w:r>
      <w:r>
        <w:fldChar w:fldCharType="begin"/>
      </w:r>
      <w:r>
        <w:instrText xml:space="preserve"> HYPERLINK "https://sched.com/blog/venue-selection/" </w:instrText>
      </w:r>
      <w:r>
        <w:fldChar w:fldCharType="separate"/>
      </w:r>
      <w:r>
        <w:rPr>
          <w:rFonts w:ascii="Arial" w:hAnsi="Arial" w:cs="Arial"/>
        </w:rPr>
        <w:t>https://sched.com/blog/venue-selection/</w:t>
      </w:r>
      <w:r>
        <w:rPr>
          <w:rFonts w:ascii="Arial" w:hAnsi="Arial" w:cs="Arial"/>
        </w:rPr>
        <w:fldChar w:fldCharType="end"/>
      </w:r>
      <w:r>
        <w:rPr>
          <w:rFonts w:ascii="Arial" w:hAnsi="Arial" w:cs="Arial"/>
        </w:rPr>
        <w:t xml:space="preserve">    </w:t>
      </w:r>
    </w:p>
    <w:p w14:paraId="623293C0">
      <w:pPr>
        <w:spacing w:line="360" w:lineRule="auto"/>
        <w:jc w:val="both"/>
        <w:rPr>
          <w:rFonts w:ascii="Arial" w:hAnsi="Arial" w:cs="Arial"/>
        </w:rPr>
      </w:pPr>
      <w:r>
        <w:rPr>
          <w:rFonts w:ascii="Arial" w:hAnsi="Arial" w:cs="Arial"/>
        </w:rPr>
        <w:t xml:space="preserve">Siriwatthanatrakarn, C., and Kidrakarn, K., 2024. The Development of Integrated Marketing Communication Strategies for Organizing International Running Events. Studies in Media and Communication. </w:t>
      </w:r>
      <w:r>
        <w:fldChar w:fldCharType="begin"/>
      </w:r>
      <w:r>
        <w:instrText xml:space="preserve"> HYPERLINK "https://doi.org/10.11114/smc.v12i4.7009" </w:instrText>
      </w:r>
      <w:r>
        <w:fldChar w:fldCharType="separate"/>
      </w:r>
      <w:r>
        <w:rPr>
          <w:rFonts w:ascii="Arial" w:hAnsi="Arial" w:cs="Arial"/>
        </w:rPr>
        <w:t>https://doi.org/10.11114/smc.v12i4.7009</w:t>
      </w:r>
      <w:r>
        <w:rPr>
          <w:rFonts w:ascii="Arial" w:hAnsi="Arial" w:cs="Arial"/>
        </w:rPr>
        <w:fldChar w:fldCharType="end"/>
      </w:r>
      <w:r>
        <w:rPr>
          <w:rFonts w:ascii="Arial" w:hAnsi="Arial" w:cs="Arial"/>
        </w:rPr>
        <w:t xml:space="preserve">. </w:t>
      </w:r>
    </w:p>
    <w:p w14:paraId="495B09A9">
      <w:pPr>
        <w:spacing w:line="360" w:lineRule="auto"/>
        <w:jc w:val="both"/>
        <w:rPr>
          <w:rFonts w:ascii="Arial" w:hAnsi="Arial" w:cs="Arial"/>
        </w:rPr>
      </w:pPr>
      <w:r>
        <w:rPr>
          <w:rFonts w:ascii="Arial" w:hAnsi="Arial" w:cs="Arial"/>
        </w:rPr>
        <w:t xml:space="preserve">Sivasankaran, V., , B., Mahadik, S., Khair, M., Goel, O., and Jain, A., 2023. Effective Risk Mitigation Strategies in Digital Project Management. Innovative Research Thoughts. </w:t>
      </w:r>
      <w:r>
        <w:fldChar w:fldCharType="begin"/>
      </w:r>
      <w:r>
        <w:instrText xml:space="preserve"> HYPERLINK "https://doi.org/10.36676/irt.v9.i1.1500" </w:instrText>
      </w:r>
      <w:r>
        <w:fldChar w:fldCharType="separate"/>
      </w:r>
      <w:r>
        <w:rPr>
          <w:rFonts w:ascii="Arial" w:hAnsi="Arial" w:cs="Arial"/>
        </w:rPr>
        <w:t>https://doi.org/10.36676/irt.v9.i1.1500</w:t>
      </w:r>
      <w:r>
        <w:rPr>
          <w:rFonts w:ascii="Arial" w:hAnsi="Arial" w:cs="Arial"/>
        </w:rPr>
        <w:fldChar w:fldCharType="end"/>
      </w:r>
      <w:r>
        <w:rPr>
          <w:rFonts w:ascii="Arial" w:hAnsi="Arial" w:cs="Arial"/>
        </w:rPr>
        <w:t xml:space="preserve">. </w:t>
      </w:r>
    </w:p>
    <w:p w14:paraId="448E7B3A">
      <w:pPr>
        <w:spacing w:line="360" w:lineRule="auto"/>
        <w:jc w:val="both"/>
        <w:rPr>
          <w:rFonts w:ascii="Arial" w:hAnsi="Arial" w:cs="Arial"/>
        </w:rPr>
      </w:pPr>
      <w:r>
        <w:rPr>
          <w:rFonts w:ascii="Arial" w:hAnsi="Arial" w:cs="Arial"/>
        </w:rPr>
        <w:t xml:space="preserve">Sofică, A., and Cosma, S., 2018. Extended Marketing Mix (7Ps) and HRM Recruiting. How to Sell a Job. Studia Universitatis Babeș-Bolyai Negotia. </w:t>
      </w:r>
      <w:r>
        <w:fldChar w:fldCharType="begin"/>
      </w:r>
      <w:r>
        <w:instrText xml:space="preserve"> HYPERLINK "https://doi.org/10.24193/SUBBNEGOTIA.2018.3.01" </w:instrText>
      </w:r>
      <w:r>
        <w:fldChar w:fldCharType="separate"/>
      </w:r>
      <w:r>
        <w:rPr>
          <w:rFonts w:ascii="Arial" w:hAnsi="Arial" w:cs="Arial"/>
        </w:rPr>
        <w:t>https://doi.org/10.24193/SUBBNEGOTIA.2018.3.01</w:t>
      </w:r>
      <w:r>
        <w:rPr>
          <w:rFonts w:ascii="Arial" w:hAnsi="Arial" w:cs="Arial"/>
        </w:rPr>
        <w:fldChar w:fldCharType="end"/>
      </w:r>
      <w:r>
        <w:rPr>
          <w:rFonts w:ascii="Arial" w:hAnsi="Arial" w:cs="Arial"/>
        </w:rPr>
        <w:t xml:space="preserve">.  </w:t>
      </w:r>
    </w:p>
    <w:p w14:paraId="291A29F4">
      <w:pPr>
        <w:spacing w:line="360" w:lineRule="auto"/>
        <w:jc w:val="both"/>
        <w:rPr>
          <w:rFonts w:ascii="Arial" w:hAnsi="Arial" w:cs="Arial"/>
        </w:rPr>
      </w:pPr>
      <w:r>
        <w:rPr>
          <w:rFonts w:ascii="Arial" w:hAnsi="Arial" w:cs="Arial"/>
        </w:rPr>
        <w:t xml:space="preserve">Testa, M.R. and Metter, M., 2017. Assessing economic impact as a means for event efficacy: A proposed model and case study. Event Management, 21, pp.61-70. </w:t>
      </w:r>
      <w:r>
        <w:fldChar w:fldCharType="begin"/>
      </w:r>
      <w:r>
        <w:instrText xml:space="preserve"> HYPERLINK "https://www.proquest.com/scholarly-journals/assessing-economic-impact-as-means-event-efficacy/docview/2779500131/se-2?accountid=130472" </w:instrText>
      </w:r>
      <w:r>
        <w:fldChar w:fldCharType="separate"/>
      </w:r>
      <w:r>
        <w:rPr>
          <w:rFonts w:ascii="Arial" w:hAnsi="Arial" w:cs="Arial"/>
        </w:rPr>
        <w:t>https://www.proquest.com/scholarly-journals/assessing-economic-impact-as-means-event-efficacy/docview/2779500131/se-2?accountid=130472</w:t>
      </w:r>
      <w:r>
        <w:rPr>
          <w:rFonts w:ascii="Arial" w:hAnsi="Arial" w:cs="Arial"/>
        </w:rPr>
        <w:fldChar w:fldCharType="end"/>
      </w:r>
      <w:r>
        <w:rPr>
          <w:rFonts w:ascii="Arial" w:hAnsi="Arial" w:cs="Arial"/>
        </w:rPr>
        <w:t xml:space="preserve"> </w:t>
      </w:r>
    </w:p>
    <w:p w14:paraId="6BC82CDC">
      <w:pPr>
        <w:spacing w:line="360" w:lineRule="auto"/>
        <w:jc w:val="both"/>
        <w:rPr>
          <w:rFonts w:ascii="Arial" w:hAnsi="Arial" w:cs="Arial"/>
        </w:rPr>
      </w:pPr>
      <w:r>
        <w:rPr>
          <w:rFonts w:ascii="Arial" w:hAnsi="Arial" w:cs="Arial"/>
        </w:rPr>
        <w:t xml:space="preserve">Wirantari, K., Aryana, N., Sutama, K., Mudana, G., Ruki, M., and Mataram, G., 2022. Implementation of Marketing Mix to Increase Meeting Events. International Journal of Travel, Hospitality and Events. </w:t>
      </w:r>
      <w:r>
        <w:fldChar w:fldCharType="begin"/>
      </w:r>
      <w:r>
        <w:instrText xml:space="preserve"> HYPERLINK "https://doi.org/10.56743/ijothe.v1i2.18" </w:instrText>
      </w:r>
      <w:r>
        <w:fldChar w:fldCharType="separate"/>
      </w:r>
      <w:r>
        <w:rPr>
          <w:rFonts w:ascii="Arial" w:hAnsi="Arial" w:cs="Arial"/>
        </w:rPr>
        <w:t>https://doi.org/10.56743/ijothe.v1i2.18</w:t>
      </w:r>
      <w:r>
        <w:rPr>
          <w:rFonts w:ascii="Arial" w:hAnsi="Arial" w:cs="Arial"/>
        </w:rPr>
        <w:fldChar w:fldCharType="end"/>
      </w:r>
      <w:r>
        <w:rPr>
          <w:rFonts w:ascii="Arial" w:hAnsi="Arial" w:cs="Arial"/>
        </w:rPr>
        <w:t xml:space="preserve">. </w:t>
      </w:r>
    </w:p>
    <w:p w14:paraId="796DEF1A">
      <w:pPr>
        <w:spacing w:line="360" w:lineRule="auto"/>
        <w:jc w:val="both"/>
        <w:rPr>
          <w:rFonts w:ascii="Arial" w:hAnsi="Arial" w:cs="Arial"/>
        </w:rPr>
      </w:pPr>
      <w:r>
        <w:rPr>
          <w:rFonts w:ascii="Arial" w:hAnsi="Arial" w:cs="Arial"/>
        </w:rPr>
        <w:t xml:space="preserve">Wrathall, J., and Steriopoulos, E., 2022. Event budgeting and financial health. Reimagining and Reshaping Events. </w:t>
      </w:r>
      <w:r>
        <w:fldChar w:fldCharType="begin"/>
      </w:r>
      <w:r>
        <w:instrText xml:space="preserve"> HYPERLINK "https://doi.org/10.23912/9781911635871-4963" </w:instrText>
      </w:r>
      <w:r>
        <w:fldChar w:fldCharType="separate"/>
      </w:r>
      <w:r>
        <w:rPr>
          <w:rFonts w:ascii="Arial" w:hAnsi="Arial" w:cs="Arial"/>
        </w:rPr>
        <w:t>https://doi.org/10.23912/9781911635871-4963</w:t>
      </w:r>
      <w:r>
        <w:rPr>
          <w:rFonts w:ascii="Arial" w:hAnsi="Arial" w:cs="Arial"/>
        </w:rPr>
        <w:fldChar w:fldCharType="end"/>
      </w:r>
      <w:r>
        <w:rPr>
          <w:rFonts w:ascii="Arial" w:hAnsi="Arial" w:cs="Arial"/>
        </w:rPr>
        <w:t xml:space="preserve">. </w:t>
      </w:r>
    </w:p>
    <w:p w14:paraId="097AA9F7">
      <w:pPr>
        <w:spacing w:line="360" w:lineRule="auto"/>
        <w:jc w:val="both"/>
        <w:rPr>
          <w:rFonts w:ascii="Arial" w:hAnsi="Arial" w:cs="Arial"/>
        </w:rPr>
      </w:pPr>
      <w:r>
        <w:rPr>
          <w:rFonts w:ascii="Arial" w:hAnsi="Arial" w:cs="Arial"/>
        </w:rPr>
        <w:t xml:space="preserve">Zeitz MOCAA, 2024. Zeitz Museum Event Hosting. [online] Available at: </w:t>
      </w:r>
      <w:r>
        <w:fldChar w:fldCharType="begin"/>
      </w:r>
      <w:r>
        <w:instrText xml:space="preserve"> HYPERLINK "https://zeitzmocaa.museum/" </w:instrText>
      </w:r>
      <w:r>
        <w:fldChar w:fldCharType="separate"/>
      </w:r>
      <w:r>
        <w:rPr>
          <w:rFonts w:ascii="Arial" w:hAnsi="Arial" w:cs="Arial"/>
        </w:rPr>
        <w:t>https://zeitzmocaa.museum/</w:t>
      </w:r>
      <w:r>
        <w:rPr>
          <w:rFonts w:ascii="Arial" w:hAnsi="Arial" w:cs="Arial"/>
        </w:rPr>
        <w:fldChar w:fldCharType="end"/>
      </w:r>
      <w:r>
        <w:rPr>
          <w:rFonts w:ascii="Arial" w:hAnsi="Arial" w:cs="Arial"/>
        </w:rPr>
        <w:t xml:space="preserve"> </w:t>
      </w:r>
    </w:p>
    <w:p w14:paraId="5E4844B4">
      <w:pPr>
        <w:spacing w:line="360" w:lineRule="auto"/>
        <w:jc w:val="both"/>
        <w:rPr>
          <w:rFonts w:ascii="Arial" w:hAnsi="Arial" w:cs="Arial"/>
          <w:b/>
          <w:bCs/>
        </w:rPr>
      </w:pPr>
    </w:p>
    <w:p w14:paraId="22B3418C">
      <w:pPr>
        <w:spacing w:line="360" w:lineRule="auto"/>
        <w:jc w:val="both"/>
        <w:rPr>
          <w:rFonts w:ascii="Arial" w:hAnsi="Arial" w:cs="Arial"/>
          <w:b/>
          <w:bCs/>
        </w:rPr>
      </w:pPr>
    </w:p>
    <w:p w14:paraId="1F0DD116">
      <w:pPr>
        <w:spacing w:line="360" w:lineRule="auto"/>
        <w:jc w:val="both"/>
        <w:rPr>
          <w:rFonts w:ascii="Arial" w:hAnsi="Arial" w:cs="Arial"/>
          <w:b/>
          <w:bCs/>
        </w:rPr>
      </w:pPr>
    </w:p>
    <w:p w14:paraId="2136E1B2">
      <w:pPr>
        <w:spacing w:line="360" w:lineRule="auto"/>
        <w:jc w:val="both"/>
        <w:rPr>
          <w:rFonts w:ascii="Arial" w:hAnsi="Arial" w:cs="Arial"/>
          <w:b/>
          <w:bCs/>
        </w:rPr>
      </w:pPr>
    </w:p>
    <w:p w14:paraId="7AF2784D">
      <w:pPr>
        <w:spacing w:line="360" w:lineRule="auto"/>
        <w:jc w:val="both"/>
        <w:rPr>
          <w:rFonts w:ascii="Arial" w:hAnsi="Arial" w:cs="Arial"/>
          <w:b/>
          <w:bCs/>
        </w:rPr>
      </w:pPr>
    </w:p>
    <w:p w14:paraId="303CCA4B">
      <w:pPr>
        <w:spacing w:line="360" w:lineRule="auto"/>
        <w:jc w:val="both"/>
        <w:rPr>
          <w:rFonts w:ascii="Arial" w:hAnsi="Arial" w:cs="Arial"/>
          <w:b/>
          <w:bCs/>
        </w:rPr>
      </w:pPr>
    </w:p>
    <w:p w14:paraId="3BD7C795">
      <w:pPr>
        <w:spacing w:line="360" w:lineRule="auto"/>
        <w:jc w:val="both"/>
        <w:rPr>
          <w:rFonts w:ascii="Arial" w:hAnsi="Arial" w:cs="Arial"/>
          <w:b/>
          <w:bCs/>
        </w:rPr>
      </w:pPr>
    </w:p>
    <w:p w14:paraId="407DE28E">
      <w:pPr>
        <w:spacing w:line="360" w:lineRule="auto"/>
        <w:jc w:val="both"/>
        <w:rPr>
          <w:rFonts w:ascii="Arial" w:hAnsi="Arial" w:cs="Arial"/>
          <w:b/>
          <w:bCs/>
        </w:rPr>
      </w:pPr>
      <w:bookmarkStart w:id="0" w:name="_GoBack"/>
      <w:bookmarkEnd w:id="0"/>
    </w:p>
    <w:p w14:paraId="07A1352B">
      <w:pPr>
        <w:spacing w:line="360" w:lineRule="auto"/>
        <w:jc w:val="both"/>
        <w:rPr>
          <w:rFonts w:ascii="Arial" w:hAnsi="Arial" w:cs="Arial"/>
          <w:b/>
          <w:bCs/>
        </w:rPr>
      </w:pPr>
      <w:r>
        <w:rPr>
          <w:rFonts w:ascii="Arial" w:hAnsi="Arial" w:cs="Arial"/>
          <w:b/>
          <w:bCs/>
        </w:rPr>
        <w:t>Appendix</w:t>
      </w:r>
    </w:p>
    <w:p w14:paraId="4E8177EE">
      <w:pPr>
        <w:spacing w:line="360" w:lineRule="auto"/>
        <w:jc w:val="both"/>
        <w:rPr>
          <w:rFonts w:ascii="Arial" w:hAnsi="Arial" w:cs="Arial"/>
        </w:rPr>
      </w:pPr>
      <w:r>
        <w:rPr>
          <w:rFonts w:ascii="Arial" w:hAnsi="Arial" w:cs="Arial"/>
          <w:b/>
          <w:bCs/>
        </w:rPr>
        <w:t>Appendix A - Theories</w:t>
      </w:r>
    </w:p>
    <w:p w14:paraId="57E2BFF9">
      <w:pPr>
        <w:pStyle w:val="11"/>
        <w:numPr>
          <w:ilvl w:val="0"/>
          <w:numId w:val="8"/>
        </w:numPr>
        <w:spacing w:line="360" w:lineRule="auto"/>
        <w:jc w:val="both"/>
        <w:rPr>
          <w:rFonts w:ascii="Arial" w:hAnsi="Arial" w:cs="Arial"/>
          <w:b/>
          <w:bCs/>
        </w:rPr>
      </w:pPr>
      <w:r>
        <w:rPr>
          <w:rFonts w:ascii="Arial" w:hAnsi="Arial" w:cs="Arial"/>
          <w:b/>
          <w:bCs/>
        </w:rPr>
        <w:t>Servicescapes Theory</w:t>
      </w:r>
    </w:p>
    <w:p w14:paraId="0733ADA3">
      <w:pPr>
        <w:spacing w:line="360" w:lineRule="auto"/>
        <w:jc w:val="both"/>
        <w:rPr>
          <w:rFonts w:ascii="Arial" w:hAnsi="Arial" w:cs="Arial"/>
        </w:rPr>
      </w:pPr>
      <w:r>
        <w:rPr>
          <w:rFonts w:ascii="Arial" w:hAnsi="Arial" w:cs="Arial"/>
        </w:rPr>
        <w:t xml:space="preserve">Bitner (1992) introduced Servicescapes Theory, which investigates the impact of the physical environment on consumer behaviours and experiences. The theory is essential for designing spaces that facilitate attendee engagement and interaction in the context of event planning. The Voices of Inclusion Storytelling Festival's venue selection and layout will substantially impact visitors' experience during storytelling sessions, networking opportunities, and workshops. </w:t>
      </w:r>
      <w:r>
        <w:rPr>
          <w:rFonts w:ascii="Arial" w:hAnsi="Arial" w:cs="Arial"/>
        </w:rPr>
        <w:br w:type="textWrapping"/>
      </w:r>
      <w:r>
        <w:rPr>
          <w:rFonts w:ascii="Arial" w:hAnsi="Arial" w:cs="Arial"/>
        </w:rPr>
        <w:t>Seating arrangements, lighting, and acoustics will be optimised at Zeitz MOCAA to establish a welcoming and engaging environment. Research suggests that well-designed environments boost the retention of event content and the level of emotional engagement (Bitner, 1992). The overall experience will be improved by strategically utilising structured areas for keynotes and open spaces for informal discussions.</w:t>
      </w:r>
    </w:p>
    <w:p w14:paraId="1934F1EE">
      <w:pPr>
        <w:pStyle w:val="11"/>
        <w:numPr>
          <w:ilvl w:val="0"/>
          <w:numId w:val="8"/>
        </w:numPr>
        <w:spacing w:line="360" w:lineRule="auto"/>
        <w:jc w:val="both"/>
        <w:rPr>
          <w:rFonts w:ascii="Arial" w:hAnsi="Arial" w:cs="Arial"/>
          <w:b/>
          <w:bCs/>
        </w:rPr>
      </w:pPr>
      <w:r>
        <w:rPr>
          <w:rFonts w:ascii="Arial" w:hAnsi="Arial" w:cs="Arial"/>
          <w:b/>
          <w:bCs/>
        </w:rPr>
        <w:t>SOAR Analysis</w:t>
      </w:r>
    </w:p>
    <w:p w14:paraId="7FAA5FDA">
      <w:pPr>
        <w:spacing w:line="360" w:lineRule="auto"/>
        <w:jc w:val="both"/>
        <w:rPr>
          <w:rFonts w:ascii="Arial" w:hAnsi="Arial" w:cs="Arial"/>
        </w:rPr>
      </w:pPr>
      <w:r>
        <w:rPr>
          <w:rFonts w:ascii="Arial" w:hAnsi="Arial" w:cs="Arial"/>
        </w:rPr>
        <w:t>SOAR (Strengths, Opportunities, Aspirations, Results) is a strategic planning model founded on strengths. It assists organisations in improving their positive attributes rather than exclusively concentrating on threats. In contrast to SWOT, SOAR prioritises actionable strategies and collaborative visioning (Stavros and Cole, 2013).</w:t>
      </w:r>
    </w:p>
    <w:p w14:paraId="59E4CBB5">
      <w:pPr>
        <w:spacing w:line="360" w:lineRule="auto"/>
        <w:jc w:val="both"/>
        <w:rPr>
          <w:rFonts w:ascii="Arial" w:hAnsi="Arial" w:cs="Arial"/>
        </w:rPr>
      </w:pPr>
      <w:r>
        <w:rPr>
          <w:rFonts w:ascii="Arial" w:hAnsi="Arial" w:cs="Arial"/>
        </w:rPr>
        <w:t>Industry partnerships and an increasing demand for DEI-focused events are among the festival's strengths. Technological integration, such as live broadcasting for global reach, generates opportunities. The objective is to establish the festival as an annual event focusing on its long-term impact. The final metrics used to evaluate the results are Attendee feedback, media engagement, and financial sustainability. The implementation of SOAR guarantees an innovative approach to event planning.</w:t>
      </w:r>
    </w:p>
    <w:p w14:paraId="5334A58D">
      <w:pPr>
        <w:pStyle w:val="11"/>
        <w:numPr>
          <w:ilvl w:val="0"/>
          <w:numId w:val="8"/>
        </w:numPr>
        <w:spacing w:line="360" w:lineRule="auto"/>
        <w:jc w:val="both"/>
        <w:rPr>
          <w:rFonts w:ascii="Arial" w:hAnsi="Arial" w:cs="Arial"/>
          <w:b/>
          <w:bCs/>
        </w:rPr>
      </w:pPr>
      <w:r>
        <w:rPr>
          <w:rFonts w:ascii="Arial" w:hAnsi="Arial" w:cs="Arial"/>
          <w:b/>
          <w:bCs/>
        </w:rPr>
        <w:t>Experience Economy</w:t>
      </w:r>
    </w:p>
    <w:p w14:paraId="06D15DEB">
      <w:pPr>
        <w:spacing w:line="360" w:lineRule="auto"/>
        <w:jc w:val="both"/>
        <w:rPr>
          <w:rFonts w:ascii="Arial" w:hAnsi="Arial" w:cs="Arial"/>
        </w:rPr>
      </w:pPr>
      <w:r>
        <w:rPr>
          <w:rFonts w:ascii="Arial" w:hAnsi="Arial" w:cs="Arial"/>
        </w:rPr>
        <w:t>The Experience Economy, as defined by Pine and Gilmore (1999), claims that individuals prioritise transformative, meaningful experiences over mere services or products. Experiential elements that are effectively integrated into events create long-term impact, loyalty, and engagement (De Geus, Richards, and Toepoel, 2016).</w:t>
      </w:r>
    </w:p>
    <w:p w14:paraId="290CC42F">
      <w:pPr>
        <w:spacing w:line="360" w:lineRule="auto"/>
        <w:jc w:val="both"/>
        <w:rPr>
          <w:rFonts w:ascii="Arial" w:hAnsi="Arial" w:cs="Arial"/>
        </w:rPr>
      </w:pPr>
      <w:r>
        <w:rPr>
          <w:rFonts w:ascii="Arial" w:hAnsi="Arial" w:cs="Arial"/>
        </w:rPr>
        <w:t>This concept is embodied by engaging storytelling and interactive workshops. Research on event experiences illustrates the significance of affective, cognitive, and physical engagement in forming attendee perceptions (Wrathall and Steriopoulos, 2022). Participant satisfaction and event memorability will be improved by fostering emotional connections with the content.</w:t>
      </w:r>
    </w:p>
    <w:p w14:paraId="1969A8E5">
      <w:pPr>
        <w:spacing w:line="360" w:lineRule="auto"/>
        <w:jc w:val="both"/>
        <w:rPr>
          <w:rFonts w:ascii="Arial" w:hAnsi="Arial" w:cs="Arial"/>
          <w:b/>
          <w:bCs/>
        </w:rPr>
      </w:pPr>
      <w:r>
        <w:rPr>
          <w:rFonts w:ascii="Arial" w:hAnsi="Arial" w:cs="Arial"/>
        </w:rPr>
        <w:t>By incorporating these theories, the festival fortifies its strategic foundation, guaranteeing all stakeholders a comprehensive and influential experience.</w:t>
      </w:r>
    </w:p>
    <w:p w14:paraId="446ADB4D">
      <w:pPr>
        <w:spacing w:line="360" w:lineRule="auto"/>
        <w:jc w:val="both"/>
        <w:rPr>
          <w:rFonts w:ascii="Arial" w:hAnsi="Arial" w:cs="Arial"/>
          <w:b/>
          <w:bCs/>
        </w:rPr>
      </w:pPr>
    </w:p>
    <w:p w14:paraId="1029DFF0">
      <w:pPr>
        <w:spacing w:line="360" w:lineRule="auto"/>
        <w:jc w:val="both"/>
        <w:rPr>
          <w:rFonts w:ascii="Arial" w:hAnsi="Arial" w:cs="Arial"/>
          <w:b/>
          <w:bCs/>
        </w:rPr>
      </w:pPr>
    </w:p>
    <w:p w14:paraId="49E3DB4A">
      <w:pPr>
        <w:spacing w:line="360" w:lineRule="auto"/>
        <w:jc w:val="both"/>
        <w:rPr>
          <w:rFonts w:ascii="Arial" w:hAnsi="Arial" w:cs="Arial"/>
        </w:rPr>
      </w:pPr>
    </w:p>
    <w:p w14:paraId="6AF7217E">
      <w:pPr>
        <w:rPr>
          <w:rFonts w:hint="default"/>
          <w:lang w:val="ro-RO"/>
        </w:rPr>
      </w:pPr>
    </w:p>
    <w:sectPr>
      <w:footerReference r:id="rId5" w:type="default"/>
      <w:pgSz w:w="12240" w:h="15840"/>
      <w:pgMar w:top="1440" w:right="1440" w:bottom="1440" w:left="1440" w:header="720" w:footer="720" w:gutter="0"/>
      <w:pgNumType w:start="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Microsoft YaHei">
    <w:panose1 w:val="020B0503020204020204"/>
    <w:charset w:val="86"/>
    <w:family w:val="auto"/>
    <w:pitch w:val="default"/>
    <w:sig w:usb0="80000287" w:usb1="2ACF3C50" w:usb2="00000016" w:usb3="00000000" w:csb0="0004001F" w:csb1="00000000"/>
  </w:font>
  <w:font w:name="等线">
    <w:altName w:val="Microsoft YaHei"/>
    <w:panose1 w:val="00000000000000000000"/>
    <w:charset w:val="00"/>
    <w:family w:val="auto"/>
    <w:pitch w:val="default"/>
    <w:sig w:usb0="00000000" w:usb1="00000000" w:usb2="00000000" w:usb3="00000000" w:csb0="00000000" w:csb1="00000000"/>
  </w:font>
  <w:font w:name="Segoe UI Emoji">
    <w:panose1 w:val="020B0502040204020203"/>
    <w:charset w:val="00"/>
    <w:family w:val="swiss"/>
    <w:pitch w:val="default"/>
    <w:sig w:usb0="00000001" w:usb1="02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78260223"/>
      <w:docPartObj>
        <w:docPartGallery w:val="autotext"/>
      </w:docPartObj>
    </w:sdtPr>
    <w:sdtContent>
      <w:p w14:paraId="4987AC0C">
        <w:pPr>
          <w:pStyle w:val="5"/>
          <w:jc w:val="center"/>
        </w:pPr>
        <w:r>
          <w:fldChar w:fldCharType="begin"/>
        </w:r>
        <w:r>
          <w:instrText xml:space="preserve">PAGE   \* MERGEFORMAT</w:instrText>
        </w:r>
        <w:r>
          <w:fldChar w:fldCharType="separate"/>
        </w:r>
        <w:r>
          <w:t>2</w:t>
        </w:r>
        <w:r>
          <w:fldChar w:fldCharType="end"/>
        </w:r>
      </w:p>
    </w:sdtContent>
  </w:sdt>
  <w:p w14:paraId="3BF24248">
    <w:pPr>
      <w:pStyle w:val="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2F29A6"/>
    <w:multiLevelType w:val="multilevel"/>
    <w:tmpl w:val="002F29A6"/>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1">
    <w:nsid w:val="061B711F"/>
    <w:multiLevelType w:val="multilevel"/>
    <w:tmpl w:val="061B711F"/>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2">
    <w:nsid w:val="07D81B9B"/>
    <w:multiLevelType w:val="multilevel"/>
    <w:tmpl w:val="07D81B9B"/>
    <w:lvl w:ilvl="0" w:tentative="0">
      <w:start w:val="1"/>
      <w:numFmt w:val="decimal"/>
      <w:lvlText w:val="%1."/>
      <w:lvlJc w:val="left"/>
      <w:pPr>
        <w:tabs>
          <w:tab w:val="left" w:pos="720"/>
        </w:tabs>
        <w:ind w:left="720" w:hanging="360"/>
      </w:pPr>
      <w:rPr>
        <w:b w:val="0"/>
        <w:bCs w:val="0"/>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1E001FCE"/>
    <w:multiLevelType w:val="multilevel"/>
    <w:tmpl w:val="1E001FC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4">
    <w:nsid w:val="2B5A588C"/>
    <w:multiLevelType w:val="multilevel"/>
    <w:tmpl w:val="2B5A588C"/>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5">
    <w:nsid w:val="3324351D"/>
    <w:multiLevelType w:val="multilevel"/>
    <w:tmpl w:val="3324351D"/>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6">
    <w:nsid w:val="52D74100"/>
    <w:multiLevelType w:val="multilevel"/>
    <w:tmpl w:val="52D74100"/>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7">
    <w:nsid w:val="52EA113B"/>
    <w:multiLevelType w:val="multilevel"/>
    <w:tmpl w:val="52EA113B"/>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7"/>
  </w:num>
  <w:num w:numId="4">
    <w:abstractNumId w:val="4"/>
  </w:num>
  <w:num w:numId="5">
    <w:abstractNumId w:val="0"/>
  </w:num>
  <w:num w:numId="6">
    <w:abstractNumId w:val="6"/>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footnotePr>
    <w:footnote w:id="0"/>
    <w:footnote w:id="1"/>
  </w:footnotePr>
  <w:endnotePr>
    <w:endnote w:id="0"/>
    <w:endnote w:id="1"/>
  </w:endnotePr>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F7E0ECD"/>
    <w:rsid w:val="65161D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GB" w:eastAsia="en-US" w:bidi="ar-SA"/>
      <w14:ligatures w14:val="standardContextual"/>
    </w:rPr>
  </w:style>
  <w:style w:type="paragraph" w:styleId="2">
    <w:name w:val="heading 3"/>
    <w:next w:val="1"/>
    <w:semiHidden/>
    <w:unhideWhenUsed/>
    <w:qFormat/>
    <w:uiPriority w:val="0"/>
    <w:pPr>
      <w:spacing w:before="0" w:beforeAutospacing="1" w:after="0" w:afterAutospacing="1"/>
      <w:jc w:val="left"/>
    </w:pPr>
    <w:rPr>
      <w:rFonts w:hint="eastAsia" w:ascii="SimSun" w:hAnsi="SimSun" w:eastAsia="SimSun" w:cs="SimSun"/>
      <w:b/>
      <w:bCs/>
      <w:kern w:val="0"/>
      <w:sz w:val="26"/>
      <w:szCs w:val="26"/>
      <w:lang w:val="en-US" w:eastAsia="zh-CN" w:bidi="ar"/>
    </w:rPr>
  </w:style>
  <w:style w:type="character" w:default="1" w:styleId="3">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5">
    <w:name w:val="footer"/>
    <w:basedOn w:val="1"/>
    <w:unhideWhenUsed/>
    <w:qFormat/>
    <w:uiPriority w:val="99"/>
    <w:pPr>
      <w:tabs>
        <w:tab w:val="center" w:pos="4513"/>
        <w:tab w:val="right" w:pos="9026"/>
      </w:tabs>
      <w:spacing w:after="0" w:line="240" w:lineRule="auto"/>
    </w:pPr>
  </w:style>
  <w:style w:type="paragraph" w:styleId="6">
    <w:name w:val="Normal (Web)"/>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character" w:styleId="7">
    <w:name w:val="Strong"/>
    <w:basedOn w:val="3"/>
    <w:qFormat/>
    <w:uiPriority w:val="0"/>
    <w:rPr>
      <w:b/>
      <w:bCs/>
    </w:rPr>
  </w:style>
  <w:style w:type="table" w:styleId="8">
    <w:name w:val="Table Grid"/>
    <w:basedOn w:val="4"/>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9">
    <w:name w:val="No Spacing"/>
    <w:qFormat/>
    <w:uiPriority w:val="1"/>
    <w:pPr>
      <w:spacing w:after="0" w:line="240" w:lineRule="auto"/>
    </w:pPr>
    <w:rPr>
      <w:rFonts w:asciiTheme="minorHAnsi" w:hAnsiTheme="minorHAnsi" w:eastAsiaTheme="minorEastAsia" w:cstheme="minorBidi"/>
      <w:sz w:val="22"/>
      <w:szCs w:val="22"/>
      <w:lang w:val="en-GB" w:eastAsia="en-GB" w:bidi="ar-SA"/>
      <w14:ligatures w14:val="none"/>
    </w:rPr>
  </w:style>
  <w:style w:type="table" w:customStyle="1" w:styleId="10">
    <w:name w:val="Plain Table 1"/>
    <w:basedOn w:val="4"/>
    <w:qFormat/>
    <w:uiPriority w:val="41"/>
    <w:pPr>
      <w:spacing w:after="0" w:line="240" w:lineRule="auto"/>
    </w:pPr>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tblStylePr w:type="firstRow">
      <w:rPr>
        <w:b/>
        <w:bCs/>
      </w:rPr>
    </w:tblStylePr>
    <w:tblStylePr w:type="lastRow">
      <w:rPr>
        <w:b/>
        <w:bCs/>
      </w:rPr>
      <w:tcPr>
        <w:tcBorders>
          <w:top w:val="double" w:color="BEBEBE" w:themeColor="background1" w:themeShade="BF" w:sz="4" w:space="0"/>
        </w:tcBorders>
      </w:tcPr>
    </w:tblStylePr>
    <w:tblStylePr w:type="firstCol">
      <w:rPr>
        <w:b/>
        <w:bCs/>
      </w:rPr>
    </w:tblStylePr>
    <w:tblStylePr w:type="lastCol">
      <w:rPr>
        <w:b/>
        <w:bCs/>
      </w:rPr>
    </w:tblStylePr>
    <w:tblStylePr w:type="band1Vert">
      <w:tcPr>
        <w:shd w:val="clear" w:color="auto" w:fill="F1F1F1" w:themeFill="background1" w:themeFillShade="F2"/>
      </w:tcPr>
    </w:tblStylePr>
    <w:tblStylePr w:type="band1Horz">
      <w:tcPr>
        <w:shd w:val="clear" w:color="auto" w:fill="F1F1F1" w:themeFill="background1" w:themeFillShade="F2"/>
      </w:tcPr>
    </w:tblStylePr>
  </w:style>
  <w:style w:type="paragraph" w:styleId="11">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image" Target="media/image3.sv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8.png"/><Relationship Id="rId13" Type="http://schemas.openxmlformats.org/officeDocument/2006/relationships/image" Target="media/image7.jpeg"/><Relationship Id="rId12" Type="http://schemas.openxmlformats.org/officeDocument/2006/relationships/image" Target="media/image6.jpeg"/><Relationship Id="rId11" Type="http://schemas.openxmlformats.org/officeDocument/2006/relationships/image" Target="media/image5.GIF"/><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26</Pages>
  <Words>0</Words>
  <Characters>0</Characters>
  <Lines>0</Lines>
  <Paragraphs>0</Paragraphs>
  <TotalTime>2</TotalTime>
  <ScaleCrop>false</ScaleCrop>
  <LinksUpToDate>false</LinksUpToDate>
  <CharactersWithSpaces>0</CharactersWithSpaces>
  <Application>WPS Office_12.2.0.19805_F1E327BC-269C-435d-A152-05C5408002CA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2025-02-05T10:19:00Z</dcterms:created>
  <dc:creator>HP Probook 650 G2</dc:creator>
  <cp:lastModifiedBy>lucian stefan</cp:lastModifiedBy>
  <dcterms:modified xsi:type="dcterms:W3CDTF">2025-02-26T16:15:58Z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3A4B0F953DC24A5694B36ABDFC978F69_12</vt:lpwstr>
  </property>
</Properties>
</file>