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38CA6" w14:textId="13A9397D" w:rsidR="00BB3CE3" w:rsidRDefault="00F1195B" w:rsidP="00590703">
      <w:pPr>
        <w:pStyle w:val="Heading1"/>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Health , wellbeing and sustainable </w:t>
      </w:r>
    </w:p>
    <w:p w14:paraId="5E0F320C" w14:textId="6C65B9EA" w:rsidR="00426A0F" w:rsidRDefault="00426A0F" w:rsidP="00426A0F">
      <w:r>
        <w:t xml:space="preserve">And Development </w:t>
      </w:r>
    </w:p>
    <w:p w14:paraId="159A2638" w14:textId="5627A191" w:rsidR="00426A0F" w:rsidRDefault="00426A0F" w:rsidP="00426A0F">
      <w:r>
        <w:t>BMHP</w:t>
      </w:r>
      <w:r w:rsidR="00A16DB0">
        <w:t xml:space="preserve"> 6021</w:t>
      </w:r>
    </w:p>
    <w:p w14:paraId="496E2944" w14:textId="2231FDA1" w:rsidR="00A16DB0" w:rsidRDefault="00A16DB0" w:rsidP="00426A0F"/>
    <w:p w14:paraId="72DBE0DA" w14:textId="784E0374" w:rsidR="00A16DB0" w:rsidRDefault="00A16DB0" w:rsidP="00426A0F"/>
    <w:p w14:paraId="63E76782" w14:textId="78FDA171" w:rsidR="00A16DB0" w:rsidRDefault="00A16DB0" w:rsidP="00426A0F">
      <w:r>
        <w:t>Assessment 1</w:t>
      </w:r>
    </w:p>
    <w:p w14:paraId="352764B0" w14:textId="736A19FB" w:rsidR="00A16DB0" w:rsidRDefault="00A16DB0" w:rsidP="00426A0F">
      <w:r>
        <w:t>Student N</w:t>
      </w:r>
      <w:r w:rsidR="002B418D">
        <w:t xml:space="preserve">ame: Richard </w:t>
      </w:r>
      <w:r w:rsidR="00D85AA8">
        <w:t>Kanjoma</w:t>
      </w:r>
    </w:p>
    <w:p w14:paraId="5D19CFF4" w14:textId="561BDBDB" w:rsidR="002B418D" w:rsidRDefault="004A2212" w:rsidP="00426A0F">
      <w:r>
        <w:t xml:space="preserve">Student Number </w:t>
      </w:r>
      <w:r w:rsidR="0030069A">
        <w:t>:</w:t>
      </w:r>
      <w:r>
        <w:t>1916228</w:t>
      </w:r>
    </w:p>
    <w:p w14:paraId="2C63F7F1" w14:textId="5AB4B990" w:rsidR="0030069A" w:rsidRDefault="0030069A" w:rsidP="00426A0F">
      <w:r>
        <w:t xml:space="preserve">Lecture </w:t>
      </w:r>
      <w:proofErr w:type="spellStart"/>
      <w:r>
        <w:t>Name:</w:t>
      </w:r>
      <w:r w:rsidR="0014107E">
        <w:t>Diola</w:t>
      </w:r>
      <w:proofErr w:type="spellEnd"/>
      <w:r w:rsidR="0014107E">
        <w:t xml:space="preserve"> </w:t>
      </w:r>
      <w:proofErr w:type="spellStart"/>
      <w:r w:rsidR="0014107E">
        <w:t>Bij</w:t>
      </w:r>
      <w:r w:rsidR="00A11F84">
        <w:t>lhout</w:t>
      </w:r>
      <w:proofErr w:type="spellEnd"/>
    </w:p>
    <w:p w14:paraId="623FB0F0" w14:textId="2BC36A97" w:rsidR="00A11F84" w:rsidRDefault="00A11F84" w:rsidP="00426A0F">
      <w:r>
        <w:t xml:space="preserve">Submission Date: </w:t>
      </w:r>
      <w:r w:rsidR="00481C76">
        <w:t>03/01</w:t>
      </w:r>
      <w:r w:rsidR="00732D0A">
        <w:t>/23</w:t>
      </w:r>
    </w:p>
    <w:p w14:paraId="02DCE9BE" w14:textId="701DF7BB" w:rsidR="00732D0A" w:rsidRPr="00426A0F" w:rsidRDefault="00732D0A" w:rsidP="00426A0F">
      <w:r>
        <w:t>Word count 4</w:t>
      </w:r>
      <w:r w:rsidR="00BA069B">
        <w:t>20</w:t>
      </w:r>
      <w:r w:rsidR="00D4355D">
        <w:t>9</w:t>
      </w:r>
    </w:p>
    <w:p w14:paraId="2AE794DF"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1146FD51"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6B70B8C8"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5E6DBEE0"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334078B5"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4B638FB8"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458D6920"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5D06BDF3"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66B1FE7F"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557D4B91"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42C8D610"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2DC8FC3B"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128123CD"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7F472412"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673FB402" w14:textId="77777777" w:rsidR="00BB3CE3" w:rsidRPr="00590703" w:rsidRDefault="00BB3CE3" w:rsidP="00590703">
      <w:pPr>
        <w:spacing w:line="360" w:lineRule="auto"/>
        <w:rPr>
          <w:rFonts w:ascii="Times New Roman" w:hAnsi="Times New Roman" w:cs="Times New Roman"/>
          <w:color w:val="000000" w:themeColor="text1"/>
          <w:sz w:val="24"/>
          <w:szCs w:val="24"/>
        </w:rPr>
      </w:pPr>
    </w:p>
    <w:p w14:paraId="11E9991B" w14:textId="77777777" w:rsidR="00BB3CE3" w:rsidRPr="00590703" w:rsidRDefault="00BB3CE3" w:rsidP="00590703">
      <w:pPr>
        <w:spacing w:line="360" w:lineRule="auto"/>
        <w:rPr>
          <w:rFonts w:ascii="Times New Roman" w:hAnsi="Times New Roman" w:cs="Times New Roman"/>
          <w:color w:val="000000" w:themeColor="text1"/>
          <w:sz w:val="24"/>
          <w:szCs w:val="24"/>
        </w:rPr>
      </w:pPr>
    </w:p>
    <w:p w14:paraId="49A35542" w14:textId="77777777" w:rsidR="00BB3CE3" w:rsidRPr="00590703" w:rsidRDefault="00BB3CE3" w:rsidP="00590703">
      <w:pPr>
        <w:spacing w:line="360" w:lineRule="auto"/>
        <w:rPr>
          <w:rFonts w:ascii="Times New Roman" w:hAnsi="Times New Roman" w:cs="Times New Roman"/>
          <w:color w:val="000000" w:themeColor="text1"/>
          <w:sz w:val="24"/>
          <w:szCs w:val="24"/>
        </w:rPr>
      </w:pPr>
    </w:p>
    <w:p w14:paraId="1A0AA483" w14:textId="77777777" w:rsidR="00BB3CE3" w:rsidRPr="00590703" w:rsidRDefault="00BB3CE3" w:rsidP="00590703">
      <w:pPr>
        <w:pStyle w:val="Heading1"/>
        <w:spacing w:line="360" w:lineRule="auto"/>
        <w:rPr>
          <w:rFonts w:ascii="Times New Roman" w:hAnsi="Times New Roman" w:cs="Times New Roman"/>
          <w:color w:val="000000" w:themeColor="text1"/>
          <w:sz w:val="24"/>
          <w:szCs w:val="24"/>
        </w:rPr>
      </w:pPr>
    </w:p>
    <w:p w14:paraId="2555FFC5" w14:textId="77777777" w:rsidR="00BB3CE3" w:rsidRPr="00590703" w:rsidRDefault="00BB3CE3" w:rsidP="00590703">
      <w:pPr>
        <w:spacing w:line="360" w:lineRule="auto"/>
        <w:rPr>
          <w:rFonts w:ascii="Times New Roman" w:hAnsi="Times New Roman" w:cs="Times New Roman"/>
          <w:color w:val="000000" w:themeColor="text1"/>
          <w:sz w:val="24"/>
          <w:szCs w:val="24"/>
        </w:rPr>
      </w:pPr>
    </w:p>
    <w:sdt>
      <w:sdtPr>
        <w:rPr>
          <w:rFonts w:ascii="Times New Roman" w:eastAsiaTheme="minorHAnsi" w:hAnsi="Times New Roman" w:cs="Times New Roman"/>
          <w:color w:val="000000" w:themeColor="text1"/>
          <w:sz w:val="24"/>
          <w:szCs w:val="24"/>
        </w:rPr>
        <w:id w:val="1082487263"/>
        <w:docPartObj>
          <w:docPartGallery w:val="Table of Contents"/>
          <w:docPartUnique/>
        </w:docPartObj>
      </w:sdtPr>
      <w:sdtEndPr>
        <w:rPr>
          <w:b/>
          <w:bCs/>
          <w:noProof/>
        </w:rPr>
      </w:sdtEndPr>
      <w:sdtContent>
        <w:p w14:paraId="6F41FBA9" w14:textId="77777777" w:rsidR="00BB3CE3" w:rsidRPr="00590703" w:rsidRDefault="00BB3CE3" w:rsidP="00590703">
          <w:pPr>
            <w:pStyle w:val="TOCHeading"/>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Contents</w:t>
          </w:r>
        </w:p>
        <w:p w14:paraId="51606D17" w14:textId="77777777" w:rsidR="00BB3CE3" w:rsidRPr="00590703" w:rsidRDefault="00BB3CE3" w:rsidP="00590703">
          <w:pPr>
            <w:pStyle w:val="TOC1"/>
            <w:tabs>
              <w:tab w:val="right" w:leader="dot" w:pos="9350"/>
            </w:tabs>
            <w:spacing w:line="360" w:lineRule="auto"/>
            <w:rPr>
              <w:rFonts w:ascii="Times New Roman" w:hAnsi="Times New Roman" w:cs="Times New Roman"/>
              <w:noProof/>
              <w:color w:val="000000" w:themeColor="text1"/>
              <w:sz w:val="24"/>
              <w:szCs w:val="24"/>
            </w:rPr>
          </w:pPr>
          <w:r w:rsidRPr="00590703">
            <w:rPr>
              <w:rFonts w:ascii="Times New Roman" w:hAnsi="Times New Roman" w:cs="Times New Roman"/>
              <w:b/>
              <w:bCs/>
              <w:noProof/>
              <w:color w:val="000000" w:themeColor="text1"/>
              <w:sz w:val="24"/>
              <w:szCs w:val="24"/>
            </w:rPr>
            <w:fldChar w:fldCharType="begin"/>
          </w:r>
          <w:r w:rsidRPr="00590703">
            <w:rPr>
              <w:rFonts w:ascii="Times New Roman" w:hAnsi="Times New Roman" w:cs="Times New Roman"/>
              <w:b/>
              <w:bCs/>
              <w:noProof/>
              <w:color w:val="000000" w:themeColor="text1"/>
              <w:sz w:val="24"/>
              <w:szCs w:val="24"/>
            </w:rPr>
            <w:instrText xml:space="preserve"> TOC \o "1-3" \h \z \u </w:instrText>
          </w:r>
          <w:r w:rsidRPr="00590703">
            <w:rPr>
              <w:rFonts w:ascii="Times New Roman" w:hAnsi="Times New Roman" w:cs="Times New Roman"/>
              <w:b/>
              <w:bCs/>
              <w:noProof/>
              <w:color w:val="000000" w:themeColor="text1"/>
              <w:sz w:val="24"/>
              <w:szCs w:val="24"/>
            </w:rPr>
            <w:fldChar w:fldCharType="separate"/>
          </w:r>
          <w:hyperlink w:anchor="_Toc120863317" w:history="1">
            <w:r w:rsidRPr="00590703">
              <w:rPr>
                <w:rStyle w:val="Hyperlink"/>
                <w:rFonts w:ascii="Times New Roman" w:hAnsi="Times New Roman" w:cs="Times New Roman"/>
                <w:noProof/>
                <w:color w:val="000000" w:themeColor="text1"/>
                <w:sz w:val="24"/>
                <w:szCs w:val="24"/>
              </w:rPr>
              <w:t>Introduction</w:t>
            </w:r>
            <w:r w:rsidRPr="00590703">
              <w:rPr>
                <w:rFonts w:ascii="Times New Roman" w:hAnsi="Times New Roman" w:cs="Times New Roman"/>
                <w:noProof/>
                <w:webHidden/>
                <w:color w:val="000000" w:themeColor="text1"/>
                <w:sz w:val="24"/>
                <w:szCs w:val="24"/>
              </w:rPr>
              <w:tab/>
            </w:r>
            <w:r w:rsidRPr="00590703">
              <w:rPr>
                <w:rFonts w:ascii="Times New Roman" w:hAnsi="Times New Roman" w:cs="Times New Roman"/>
                <w:noProof/>
                <w:webHidden/>
                <w:color w:val="000000" w:themeColor="text1"/>
                <w:sz w:val="24"/>
                <w:szCs w:val="24"/>
              </w:rPr>
              <w:fldChar w:fldCharType="begin"/>
            </w:r>
            <w:r w:rsidRPr="00590703">
              <w:rPr>
                <w:rFonts w:ascii="Times New Roman" w:hAnsi="Times New Roman" w:cs="Times New Roman"/>
                <w:noProof/>
                <w:webHidden/>
                <w:color w:val="000000" w:themeColor="text1"/>
                <w:sz w:val="24"/>
                <w:szCs w:val="24"/>
              </w:rPr>
              <w:instrText xml:space="preserve"> PAGEREF _Toc120863317 \h </w:instrText>
            </w:r>
            <w:r w:rsidRPr="00590703">
              <w:rPr>
                <w:rFonts w:ascii="Times New Roman" w:hAnsi="Times New Roman" w:cs="Times New Roman"/>
                <w:noProof/>
                <w:webHidden/>
                <w:color w:val="000000" w:themeColor="text1"/>
                <w:sz w:val="24"/>
                <w:szCs w:val="24"/>
              </w:rPr>
            </w:r>
            <w:r w:rsidRPr="00590703">
              <w:rPr>
                <w:rFonts w:ascii="Times New Roman" w:hAnsi="Times New Roman" w:cs="Times New Roman"/>
                <w:noProof/>
                <w:webHidden/>
                <w:color w:val="000000" w:themeColor="text1"/>
                <w:sz w:val="24"/>
                <w:szCs w:val="24"/>
              </w:rPr>
              <w:fldChar w:fldCharType="separate"/>
            </w:r>
            <w:r w:rsidRPr="00590703">
              <w:rPr>
                <w:rFonts w:ascii="Times New Roman" w:hAnsi="Times New Roman" w:cs="Times New Roman"/>
                <w:noProof/>
                <w:webHidden/>
                <w:color w:val="000000" w:themeColor="text1"/>
                <w:sz w:val="24"/>
                <w:szCs w:val="24"/>
              </w:rPr>
              <w:t>3</w:t>
            </w:r>
            <w:r w:rsidRPr="00590703">
              <w:rPr>
                <w:rFonts w:ascii="Times New Roman" w:hAnsi="Times New Roman" w:cs="Times New Roman"/>
                <w:noProof/>
                <w:webHidden/>
                <w:color w:val="000000" w:themeColor="text1"/>
                <w:sz w:val="24"/>
                <w:szCs w:val="24"/>
              </w:rPr>
              <w:fldChar w:fldCharType="end"/>
            </w:r>
          </w:hyperlink>
        </w:p>
        <w:p w14:paraId="7B45FE5E"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18" w:history="1">
            <w:r w:rsidR="00BB3CE3" w:rsidRPr="00590703">
              <w:rPr>
                <w:rStyle w:val="Hyperlink"/>
                <w:rFonts w:ascii="Times New Roman" w:hAnsi="Times New Roman" w:cs="Times New Roman"/>
                <w:noProof/>
                <w:color w:val="000000" w:themeColor="text1"/>
                <w:sz w:val="24"/>
                <w:szCs w:val="24"/>
              </w:rPr>
              <w:t>Relevance within the UK</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_Toc120863318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3</w:t>
            </w:r>
            <w:r w:rsidR="00BB3CE3" w:rsidRPr="00590703">
              <w:rPr>
                <w:rFonts w:ascii="Times New Roman" w:hAnsi="Times New Roman" w:cs="Times New Roman"/>
                <w:noProof/>
                <w:webHidden/>
                <w:color w:val="000000" w:themeColor="text1"/>
                <w:sz w:val="24"/>
                <w:szCs w:val="24"/>
              </w:rPr>
              <w:fldChar w:fldCharType="end"/>
            </w:r>
          </w:hyperlink>
        </w:p>
        <w:p w14:paraId="473C5562"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19" w:history="1">
            <w:r w:rsidR="00BB3CE3" w:rsidRPr="00590703">
              <w:rPr>
                <w:rStyle w:val="Hyperlink"/>
                <w:rFonts w:ascii="Times New Roman" w:hAnsi="Times New Roman" w:cs="Times New Roman"/>
                <w:noProof/>
                <w:color w:val="000000" w:themeColor="text1"/>
                <w:sz w:val="24"/>
                <w:szCs w:val="24"/>
              </w:rPr>
              <w:t>Goal 3 Good Health &amp; Wellbeing, Goal 4 Quality Education, and Goal 17 Partnerships to achieve the Goals in detail in the beginning of your report.</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_Toc120863319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4</w:t>
            </w:r>
            <w:r w:rsidR="00BB3CE3" w:rsidRPr="00590703">
              <w:rPr>
                <w:rFonts w:ascii="Times New Roman" w:hAnsi="Times New Roman" w:cs="Times New Roman"/>
                <w:noProof/>
                <w:webHidden/>
                <w:color w:val="000000" w:themeColor="text1"/>
                <w:sz w:val="24"/>
                <w:szCs w:val="24"/>
              </w:rPr>
              <w:fldChar w:fldCharType="end"/>
            </w:r>
          </w:hyperlink>
        </w:p>
        <w:p w14:paraId="70A4668B"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0" w:history="1">
            <w:r w:rsidR="00BB3CE3" w:rsidRPr="00590703">
              <w:rPr>
                <w:rStyle w:val="Hyperlink"/>
                <w:rFonts w:ascii="Times New Roman" w:hAnsi="Times New Roman" w:cs="Times New Roman"/>
                <w:noProof/>
                <w:color w:val="000000" w:themeColor="text1"/>
                <w:sz w:val="24"/>
                <w:szCs w:val="24"/>
              </w:rPr>
              <w:t>Goal 4 of the Sustainable Development centers on quality education.</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_Toc120863320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5</w:t>
            </w:r>
            <w:r w:rsidR="00BB3CE3" w:rsidRPr="00590703">
              <w:rPr>
                <w:rFonts w:ascii="Times New Roman" w:hAnsi="Times New Roman" w:cs="Times New Roman"/>
                <w:noProof/>
                <w:webHidden/>
                <w:color w:val="000000" w:themeColor="text1"/>
                <w:sz w:val="24"/>
                <w:szCs w:val="24"/>
              </w:rPr>
              <w:fldChar w:fldCharType="end"/>
            </w:r>
          </w:hyperlink>
        </w:p>
        <w:p w14:paraId="6DFEC972"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1" w:history="1">
            <w:r w:rsidR="00BB3CE3" w:rsidRPr="00590703">
              <w:rPr>
                <w:rStyle w:val="Hyperlink"/>
                <w:rFonts w:ascii="Times New Roman" w:eastAsia="Times New Roman" w:hAnsi="Times New Roman" w:cs="Times New Roman"/>
                <w:noProof/>
                <w:color w:val="000000" w:themeColor="text1"/>
                <w:sz w:val="24"/>
                <w:szCs w:val="24"/>
              </w:rPr>
              <w:t>Fighting coronavirus: supporting business through the pandemic and recovery</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_Toc120863321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7</w:t>
            </w:r>
            <w:r w:rsidR="00BB3CE3" w:rsidRPr="00590703">
              <w:rPr>
                <w:rFonts w:ascii="Times New Roman" w:hAnsi="Times New Roman" w:cs="Times New Roman"/>
                <w:noProof/>
                <w:webHidden/>
                <w:color w:val="000000" w:themeColor="text1"/>
                <w:sz w:val="24"/>
                <w:szCs w:val="24"/>
              </w:rPr>
              <w:fldChar w:fldCharType="end"/>
            </w:r>
          </w:hyperlink>
        </w:p>
        <w:p w14:paraId="62830A6E"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2" w:history="1">
            <w:r w:rsidR="00BB3CE3" w:rsidRPr="00590703">
              <w:rPr>
                <w:rStyle w:val="Hyperlink"/>
                <w:rFonts w:ascii="Times New Roman" w:hAnsi="Times New Roman" w:cs="Times New Roman"/>
                <w:noProof/>
                <w:color w:val="000000" w:themeColor="text1"/>
                <w:sz w:val="24"/>
                <w:szCs w:val="24"/>
              </w:rPr>
              <w:t>The Coronavirus Job Retention Scheme (Furlough Scheme)</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_Toc120863322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7</w:t>
            </w:r>
            <w:r w:rsidR="00BB3CE3" w:rsidRPr="00590703">
              <w:rPr>
                <w:rFonts w:ascii="Times New Roman" w:hAnsi="Times New Roman" w:cs="Times New Roman"/>
                <w:noProof/>
                <w:webHidden/>
                <w:color w:val="000000" w:themeColor="text1"/>
                <w:sz w:val="24"/>
                <w:szCs w:val="24"/>
              </w:rPr>
              <w:fldChar w:fldCharType="end"/>
            </w:r>
          </w:hyperlink>
        </w:p>
        <w:p w14:paraId="58340D14"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3" w:history="1">
            <w:r w:rsidR="00BB3CE3" w:rsidRPr="00590703">
              <w:rPr>
                <w:rStyle w:val="Hyperlink"/>
                <w:rFonts w:ascii="Times New Roman" w:eastAsia="Times New Roman" w:hAnsi="Times New Roman" w:cs="Times New Roman"/>
                <w:noProof/>
                <w:color w:val="000000" w:themeColor="text1"/>
                <w:sz w:val="24"/>
                <w:szCs w:val="24"/>
              </w:rPr>
              <w:t>Ensure inclusive and equitable quality education and promote lifelong learning opportunities for all</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_Toc120863323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7</w:t>
            </w:r>
            <w:r w:rsidR="00BB3CE3" w:rsidRPr="00590703">
              <w:rPr>
                <w:rFonts w:ascii="Times New Roman" w:hAnsi="Times New Roman" w:cs="Times New Roman"/>
                <w:noProof/>
                <w:webHidden/>
                <w:color w:val="000000" w:themeColor="text1"/>
                <w:sz w:val="24"/>
                <w:szCs w:val="24"/>
              </w:rPr>
              <w:fldChar w:fldCharType="end"/>
            </w:r>
          </w:hyperlink>
        </w:p>
        <w:p w14:paraId="5FE6A06A"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4" w:history="1">
            <w:r w:rsidR="00BB3CE3" w:rsidRPr="00590703">
              <w:rPr>
                <w:rStyle w:val="Hyperlink"/>
                <w:rFonts w:ascii="Times New Roman" w:eastAsia="Times New Roman" w:hAnsi="Times New Roman" w:cs="Times New Roman"/>
                <w:noProof/>
                <w:color w:val="000000" w:themeColor="text1"/>
                <w:sz w:val="24"/>
                <w:szCs w:val="24"/>
              </w:rPr>
              <w:t>Raise the quality of teaching and leadership in all areas of the country</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_Toc120863324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8</w:t>
            </w:r>
            <w:r w:rsidR="00BB3CE3" w:rsidRPr="00590703">
              <w:rPr>
                <w:rFonts w:ascii="Times New Roman" w:hAnsi="Times New Roman" w:cs="Times New Roman"/>
                <w:noProof/>
                <w:webHidden/>
                <w:color w:val="000000" w:themeColor="text1"/>
                <w:sz w:val="24"/>
                <w:szCs w:val="24"/>
              </w:rPr>
              <w:fldChar w:fldCharType="end"/>
            </w:r>
          </w:hyperlink>
        </w:p>
        <w:p w14:paraId="2DA4EEC8"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5" w:history="1">
            <w:r w:rsidR="00BB3CE3" w:rsidRPr="00590703">
              <w:rPr>
                <w:rStyle w:val="Hyperlink"/>
                <w:rFonts w:ascii="Times New Roman" w:eastAsia="Times New Roman" w:hAnsi="Times New Roman" w:cs="Times New Roman"/>
                <w:noProof/>
                <w:color w:val="000000" w:themeColor="text1"/>
                <w:sz w:val="24"/>
                <w:szCs w:val="24"/>
              </w:rPr>
              <w:t>Strengthen the means of implementation and revitalize the Global Partnership for Sustainable Development</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_Toc120863325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9</w:t>
            </w:r>
            <w:r w:rsidR="00BB3CE3" w:rsidRPr="00590703">
              <w:rPr>
                <w:rFonts w:ascii="Times New Roman" w:hAnsi="Times New Roman" w:cs="Times New Roman"/>
                <w:noProof/>
                <w:webHidden/>
                <w:color w:val="000000" w:themeColor="text1"/>
                <w:sz w:val="24"/>
                <w:szCs w:val="24"/>
              </w:rPr>
              <w:fldChar w:fldCharType="end"/>
            </w:r>
          </w:hyperlink>
        </w:p>
        <w:p w14:paraId="2B693431"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6" w:history="1">
            <w:r w:rsidR="00BB3CE3" w:rsidRPr="00590703">
              <w:rPr>
                <w:rStyle w:val="Hyperlink"/>
                <w:rFonts w:ascii="Times New Roman" w:eastAsia="Times New Roman" w:hAnsi="Times New Roman" w:cs="Times New Roman"/>
                <w:noProof/>
                <w:color w:val="000000" w:themeColor="text1"/>
                <w:sz w:val="24"/>
                <w:szCs w:val="24"/>
              </w:rPr>
              <w:t>Nottingham Joint Health and Wellbeing Strategy (2022 – 2025)</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_Toc120863326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11</w:t>
            </w:r>
            <w:r w:rsidR="00BB3CE3" w:rsidRPr="00590703">
              <w:rPr>
                <w:rFonts w:ascii="Times New Roman" w:hAnsi="Times New Roman" w:cs="Times New Roman"/>
                <w:noProof/>
                <w:webHidden/>
                <w:color w:val="000000" w:themeColor="text1"/>
                <w:sz w:val="24"/>
                <w:szCs w:val="24"/>
              </w:rPr>
              <w:fldChar w:fldCharType="end"/>
            </w:r>
          </w:hyperlink>
        </w:p>
        <w:p w14:paraId="7E0404DA"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7" w:history="1">
            <w:r w:rsidR="00BB3CE3" w:rsidRPr="00590703">
              <w:rPr>
                <w:rStyle w:val="Hyperlink"/>
                <w:rFonts w:ascii="Times New Roman" w:hAnsi="Times New Roman" w:cs="Times New Roman"/>
                <w:noProof/>
                <w:color w:val="000000" w:themeColor="text1"/>
                <w:sz w:val="24"/>
                <w:szCs w:val="24"/>
              </w:rPr>
              <w:t>Strategy for improving outcomes for children and young people with Special Educational Needs and Disabilities (SEND) 0-25 years 2018-2023</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_Toc120863327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12</w:t>
            </w:r>
            <w:r w:rsidR="00BB3CE3" w:rsidRPr="00590703">
              <w:rPr>
                <w:rFonts w:ascii="Times New Roman" w:hAnsi="Times New Roman" w:cs="Times New Roman"/>
                <w:noProof/>
                <w:webHidden/>
                <w:color w:val="000000" w:themeColor="text1"/>
                <w:sz w:val="24"/>
                <w:szCs w:val="24"/>
              </w:rPr>
              <w:fldChar w:fldCharType="end"/>
            </w:r>
          </w:hyperlink>
        </w:p>
        <w:p w14:paraId="7B3B2337"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8" w:history="1">
            <w:r w:rsidR="00BB3CE3" w:rsidRPr="00590703">
              <w:rPr>
                <w:rStyle w:val="Hyperlink"/>
                <w:rFonts w:ascii="Times New Roman" w:hAnsi="Times New Roman" w:cs="Times New Roman"/>
                <w:noProof/>
                <w:color w:val="000000" w:themeColor="text1"/>
                <w:sz w:val="24"/>
                <w:szCs w:val="24"/>
              </w:rPr>
              <w:t>Land and planning policies</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_Toc120863328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13</w:t>
            </w:r>
            <w:r w:rsidR="00BB3CE3" w:rsidRPr="00590703">
              <w:rPr>
                <w:rFonts w:ascii="Times New Roman" w:hAnsi="Times New Roman" w:cs="Times New Roman"/>
                <w:noProof/>
                <w:webHidden/>
                <w:color w:val="000000" w:themeColor="text1"/>
                <w:sz w:val="24"/>
                <w:szCs w:val="24"/>
              </w:rPr>
              <w:fldChar w:fldCharType="end"/>
            </w:r>
          </w:hyperlink>
        </w:p>
        <w:p w14:paraId="26C2F748"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29" w:history="1">
            <w:r w:rsidR="00BB3CE3" w:rsidRPr="00590703">
              <w:rPr>
                <w:rStyle w:val="Hyperlink"/>
                <w:rFonts w:ascii="Times New Roman" w:hAnsi="Times New Roman" w:cs="Times New Roman"/>
                <w:noProof/>
                <w:color w:val="000000" w:themeColor="text1"/>
                <w:sz w:val="24"/>
                <w:szCs w:val="24"/>
              </w:rPr>
              <w:t>Recommendations for Nottingham city</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_Toc120863329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16</w:t>
            </w:r>
            <w:r w:rsidR="00BB3CE3" w:rsidRPr="00590703">
              <w:rPr>
                <w:rFonts w:ascii="Times New Roman" w:hAnsi="Times New Roman" w:cs="Times New Roman"/>
                <w:noProof/>
                <w:webHidden/>
                <w:color w:val="000000" w:themeColor="text1"/>
                <w:sz w:val="24"/>
                <w:szCs w:val="24"/>
              </w:rPr>
              <w:fldChar w:fldCharType="end"/>
            </w:r>
          </w:hyperlink>
        </w:p>
        <w:p w14:paraId="20955A34"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30" w:history="1">
            <w:r w:rsidR="00BB3CE3" w:rsidRPr="00590703">
              <w:rPr>
                <w:rStyle w:val="Hyperlink"/>
                <w:rFonts w:ascii="Times New Roman" w:hAnsi="Times New Roman" w:cs="Times New Roman"/>
                <w:noProof/>
                <w:color w:val="000000" w:themeColor="text1"/>
                <w:sz w:val="24"/>
                <w:szCs w:val="24"/>
              </w:rPr>
              <w:t>Conclusion</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_Toc120863330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17</w:t>
            </w:r>
            <w:r w:rsidR="00BB3CE3" w:rsidRPr="00590703">
              <w:rPr>
                <w:rFonts w:ascii="Times New Roman" w:hAnsi="Times New Roman" w:cs="Times New Roman"/>
                <w:noProof/>
                <w:webHidden/>
                <w:color w:val="000000" w:themeColor="text1"/>
                <w:sz w:val="24"/>
                <w:szCs w:val="24"/>
              </w:rPr>
              <w:fldChar w:fldCharType="end"/>
            </w:r>
          </w:hyperlink>
        </w:p>
        <w:p w14:paraId="1CB23697" w14:textId="77777777" w:rsidR="00BB3CE3" w:rsidRPr="00590703" w:rsidRDefault="00F443D6" w:rsidP="00590703">
          <w:pPr>
            <w:pStyle w:val="TOC1"/>
            <w:tabs>
              <w:tab w:val="right" w:leader="dot" w:pos="9350"/>
            </w:tabs>
            <w:spacing w:line="360" w:lineRule="auto"/>
            <w:rPr>
              <w:rFonts w:ascii="Times New Roman" w:hAnsi="Times New Roman" w:cs="Times New Roman"/>
              <w:noProof/>
              <w:color w:val="000000" w:themeColor="text1"/>
              <w:sz w:val="24"/>
              <w:szCs w:val="24"/>
            </w:rPr>
          </w:pPr>
          <w:hyperlink w:anchor="_Toc120863331" w:history="1">
            <w:r w:rsidR="00BB3CE3" w:rsidRPr="00590703">
              <w:rPr>
                <w:rStyle w:val="Hyperlink"/>
                <w:rFonts w:ascii="Times New Roman" w:eastAsia="Times New Roman" w:hAnsi="Times New Roman" w:cs="Times New Roman"/>
                <w:noProof/>
                <w:color w:val="000000" w:themeColor="text1"/>
                <w:sz w:val="24"/>
                <w:szCs w:val="24"/>
              </w:rPr>
              <w:t>REFERENCES</w:t>
            </w:r>
            <w:r w:rsidR="00BB3CE3" w:rsidRPr="00590703">
              <w:rPr>
                <w:rFonts w:ascii="Times New Roman" w:hAnsi="Times New Roman" w:cs="Times New Roman"/>
                <w:noProof/>
                <w:webHidden/>
                <w:color w:val="000000" w:themeColor="text1"/>
                <w:sz w:val="24"/>
                <w:szCs w:val="24"/>
              </w:rPr>
              <w:tab/>
            </w:r>
            <w:r w:rsidR="00BB3CE3" w:rsidRPr="00590703">
              <w:rPr>
                <w:rFonts w:ascii="Times New Roman" w:hAnsi="Times New Roman" w:cs="Times New Roman"/>
                <w:noProof/>
                <w:webHidden/>
                <w:color w:val="000000" w:themeColor="text1"/>
                <w:sz w:val="24"/>
                <w:szCs w:val="24"/>
              </w:rPr>
              <w:fldChar w:fldCharType="begin"/>
            </w:r>
            <w:r w:rsidR="00BB3CE3" w:rsidRPr="00590703">
              <w:rPr>
                <w:rFonts w:ascii="Times New Roman" w:hAnsi="Times New Roman" w:cs="Times New Roman"/>
                <w:noProof/>
                <w:webHidden/>
                <w:color w:val="000000" w:themeColor="text1"/>
                <w:sz w:val="24"/>
                <w:szCs w:val="24"/>
              </w:rPr>
              <w:instrText xml:space="preserve"> PAGEREF _Toc120863331 \h </w:instrText>
            </w:r>
            <w:r w:rsidR="00BB3CE3" w:rsidRPr="00590703">
              <w:rPr>
                <w:rFonts w:ascii="Times New Roman" w:hAnsi="Times New Roman" w:cs="Times New Roman"/>
                <w:noProof/>
                <w:webHidden/>
                <w:color w:val="000000" w:themeColor="text1"/>
                <w:sz w:val="24"/>
                <w:szCs w:val="24"/>
              </w:rPr>
            </w:r>
            <w:r w:rsidR="00BB3CE3" w:rsidRPr="00590703">
              <w:rPr>
                <w:rFonts w:ascii="Times New Roman" w:hAnsi="Times New Roman" w:cs="Times New Roman"/>
                <w:noProof/>
                <w:webHidden/>
                <w:color w:val="000000" w:themeColor="text1"/>
                <w:sz w:val="24"/>
                <w:szCs w:val="24"/>
              </w:rPr>
              <w:fldChar w:fldCharType="separate"/>
            </w:r>
            <w:r w:rsidR="00BB3CE3" w:rsidRPr="00590703">
              <w:rPr>
                <w:rFonts w:ascii="Times New Roman" w:hAnsi="Times New Roman" w:cs="Times New Roman"/>
                <w:noProof/>
                <w:webHidden/>
                <w:color w:val="000000" w:themeColor="text1"/>
                <w:sz w:val="24"/>
                <w:szCs w:val="24"/>
              </w:rPr>
              <w:t>18</w:t>
            </w:r>
            <w:r w:rsidR="00BB3CE3" w:rsidRPr="00590703">
              <w:rPr>
                <w:rFonts w:ascii="Times New Roman" w:hAnsi="Times New Roman" w:cs="Times New Roman"/>
                <w:noProof/>
                <w:webHidden/>
                <w:color w:val="000000" w:themeColor="text1"/>
                <w:sz w:val="24"/>
                <w:szCs w:val="24"/>
              </w:rPr>
              <w:fldChar w:fldCharType="end"/>
            </w:r>
          </w:hyperlink>
        </w:p>
        <w:p w14:paraId="7BE4ED15" w14:textId="77777777" w:rsidR="00224677" w:rsidRDefault="00BB3CE3" w:rsidP="00224677">
          <w:pPr>
            <w:spacing w:line="360" w:lineRule="auto"/>
            <w:rPr>
              <w:rFonts w:ascii="Times New Roman" w:hAnsi="Times New Roman" w:cs="Times New Roman"/>
              <w:b/>
              <w:bCs/>
              <w:noProof/>
              <w:color w:val="000000" w:themeColor="text1"/>
              <w:sz w:val="24"/>
              <w:szCs w:val="24"/>
            </w:rPr>
          </w:pPr>
          <w:r w:rsidRPr="00590703">
            <w:rPr>
              <w:rFonts w:ascii="Times New Roman" w:hAnsi="Times New Roman" w:cs="Times New Roman"/>
              <w:b/>
              <w:bCs/>
              <w:noProof/>
              <w:color w:val="000000" w:themeColor="text1"/>
              <w:sz w:val="24"/>
              <w:szCs w:val="24"/>
            </w:rPr>
            <w:fldChar w:fldCharType="end"/>
          </w:r>
        </w:p>
        <w:p w14:paraId="1868419B" w14:textId="77777777" w:rsidR="00224677" w:rsidRDefault="00224677" w:rsidP="00224677">
          <w:pPr>
            <w:spacing w:line="360" w:lineRule="auto"/>
            <w:rPr>
              <w:rFonts w:ascii="Times New Roman" w:hAnsi="Times New Roman" w:cs="Times New Roman"/>
              <w:b/>
              <w:bCs/>
              <w:noProof/>
              <w:color w:val="000000" w:themeColor="text1"/>
              <w:sz w:val="24"/>
              <w:szCs w:val="24"/>
            </w:rPr>
          </w:pPr>
        </w:p>
        <w:p w14:paraId="72A99E43" w14:textId="77777777" w:rsidR="00224677" w:rsidRDefault="00224677" w:rsidP="00224677">
          <w:pPr>
            <w:spacing w:line="360" w:lineRule="auto"/>
            <w:rPr>
              <w:rFonts w:ascii="Times New Roman" w:hAnsi="Times New Roman" w:cs="Times New Roman"/>
              <w:b/>
              <w:bCs/>
              <w:noProof/>
              <w:color w:val="000000" w:themeColor="text1"/>
              <w:sz w:val="24"/>
              <w:szCs w:val="24"/>
            </w:rPr>
          </w:pPr>
        </w:p>
        <w:p w14:paraId="70297110" w14:textId="77777777" w:rsidR="00224677" w:rsidRDefault="00F443D6" w:rsidP="00224677">
          <w:pPr>
            <w:spacing w:line="360" w:lineRule="auto"/>
            <w:rPr>
              <w:rFonts w:ascii="Times New Roman" w:hAnsi="Times New Roman" w:cs="Times New Roman"/>
              <w:color w:val="000000" w:themeColor="text1"/>
              <w:sz w:val="24"/>
              <w:szCs w:val="24"/>
            </w:rPr>
          </w:pPr>
        </w:p>
      </w:sdtContent>
    </w:sdt>
    <w:bookmarkStart w:id="0" w:name="_Toc120863317" w:displacedByCustomXml="prev"/>
    <w:p w14:paraId="00E3756B" w14:textId="77777777" w:rsidR="00224677" w:rsidRDefault="00224677" w:rsidP="00590703">
      <w:pPr>
        <w:pStyle w:val="Heading1"/>
        <w:spacing w:line="360" w:lineRule="auto"/>
        <w:rPr>
          <w:rFonts w:ascii="Times New Roman" w:hAnsi="Times New Roman" w:cs="Times New Roman"/>
          <w:color w:val="000000" w:themeColor="text1"/>
          <w:sz w:val="24"/>
          <w:szCs w:val="24"/>
        </w:rPr>
      </w:pPr>
    </w:p>
    <w:p w14:paraId="311C2E10" w14:textId="77777777" w:rsidR="001257C6" w:rsidRDefault="00800E50" w:rsidP="00590703">
      <w:pPr>
        <w:pStyle w:val="Heading1"/>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Introduction</w:t>
      </w:r>
      <w:bookmarkEnd w:id="0"/>
    </w:p>
    <w:p w14:paraId="211FEB64" w14:textId="77777777" w:rsidR="00224677" w:rsidRPr="00224677" w:rsidRDefault="00224677" w:rsidP="00224677"/>
    <w:p w14:paraId="6096168F" w14:textId="77777777" w:rsidR="009C49BC" w:rsidRPr="00590703" w:rsidRDefault="009C49BC" w:rsidP="00590703">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590703">
        <w:rPr>
          <w:rFonts w:ascii="Times New Roman" w:hAnsi="Times New Roman" w:cs="Times New Roman"/>
          <w:color w:val="000000" w:themeColor="text1"/>
          <w:sz w:val="24"/>
          <w:szCs w:val="24"/>
          <w:shd w:val="clear" w:color="auto" w:fill="FFFFFF"/>
        </w:rPr>
        <w:lastRenderedPageBreak/>
        <w:t>The definition of sustainable development is the process of meeting existing demands without sacrificing those of future generations (IISD, 2018). In other words, we might state that the resource issues that we are currently experiencing should not be passed on to future generations. The Sustainable Development Goals are a set of objectives established by the United Nations to address the issues society is facing as a result of escalating environmental degradation and societal pressures. "Growing populations and rising per capita consumption" are the key contributors (Pedersen, 2018) According to Rae, the phrase "sustainable community" "tends to apply to communities who encourage or attempt to promote sustainability in areas such as water, food, transit, waste, and energy and is relevant to both new and existing communities"</w:t>
      </w:r>
    </w:p>
    <w:p w14:paraId="78EC491F" w14:textId="77777777" w:rsidR="009C49BC" w:rsidRPr="00590703" w:rsidRDefault="009C49BC" w:rsidP="00590703">
      <w:pPr>
        <w:shd w:val="clear" w:color="auto" w:fill="FFFFFF"/>
        <w:spacing w:after="0" w:line="360" w:lineRule="auto"/>
        <w:jc w:val="both"/>
        <w:rPr>
          <w:rFonts w:ascii="Times New Roman" w:hAnsi="Times New Roman" w:cs="Times New Roman"/>
          <w:color w:val="000000" w:themeColor="text1"/>
          <w:sz w:val="24"/>
          <w:szCs w:val="24"/>
        </w:rPr>
      </w:pPr>
    </w:p>
    <w:p w14:paraId="1BBE1244" w14:textId="77777777" w:rsidR="005E2430" w:rsidRPr="00590703" w:rsidRDefault="009C49BC" w:rsidP="00590703">
      <w:pPr>
        <w:shd w:val="clear" w:color="auto" w:fill="FFFFFF"/>
        <w:spacing w:after="0"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Dealing with a number of issues that both developed and developing nations are facing is the major goal. As a result, when defining the objectives and identifying the guiding principles for the policy framework, a global perspective has been used (Sachs, 2012; Beishem et al., 2015). The modern world places a high priority on the need for sustainable communities. Making cities and human settlements safe, resilient, and sustainable is how the United Nations describes creating a sustainable city or community (United Nations, 2015)</w:t>
      </w:r>
    </w:p>
    <w:p w14:paraId="65CF72AC" w14:textId="77777777" w:rsidR="009C49BC" w:rsidRPr="00590703" w:rsidRDefault="009C49BC" w:rsidP="00590703">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p>
    <w:p w14:paraId="626F249F" w14:textId="77777777" w:rsidR="00872D8C" w:rsidRPr="00590703" w:rsidRDefault="009C49BC" w:rsidP="00590703">
      <w:pPr>
        <w:pStyle w:val="NormalWeb"/>
        <w:shd w:val="clear" w:color="auto" w:fill="FFFFFF"/>
        <w:spacing w:before="0" w:beforeAutospacing="0" w:line="360" w:lineRule="auto"/>
        <w:jc w:val="both"/>
        <w:rPr>
          <w:color w:val="000000" w:themeColor="text1"/>
        </w:rPr>
      </w:pPr>
      <w:r w:rsidRPr="00590703">
        <w:rPr>
          <w:color w:val="000000" w:themeColor="text1"/>
        </w:rPr>
        <w:t xml:space="preserve">However, the recent fast urbanization implies that towns and cities are not being created in a way that can support residents over the long term. In many situations, this leads to cities that are built improperly and confront serious issues including slum housing, pollution, </w:t>
      </w:r>
      <w:r w:rsidR="00671A0F" w:rsidRPr="00590703">
        <w:rPr>
          <w:color w:val="000000" w:themeColor="text1"/>
        </w:rPr>
        <w:t>and a</w:t>
      </w:r>
      <w:r w:rsidRPr="00590703">
        <w:rPr>
          <w:color w:val="000000" w:themeColor="text1"/>
        </w:rPr>
        <w:t xml:space="preserve"> lack of fresh water sources, sewage, and risks to the general public's health. Although more than half of the world's population chooses to live in cities, they are unsustainable and so resource-intensive that they have negative effects on both the current population and future generations, according to the United Nations (2016). In 2013, an estimated 54.4% of the world's population was estimated to be living in urban settlements.</w:t>
      </w:r>
    </w:p>
    <w:p w14:paraId="5CDCD66E" w14:textId="631321A2" w:rsidR="00B7370C" w:rsidRPr="000D11FE" w:rsidRDefault="00A91210" w:rsidP="00590703">
      <w:pPr>
        <w:pStyle w:val="Heading1"/>
        <w:spacing w:line="360" w:lineRule="auto"/>
        <w:rPr>
          <w:rFonts w:ascii="Times New Roman" w:hAnsi="Times New Roman" w:cs="Times New Roman"/>
          <w:b/>
          <w:bCs/>
          <w:color w:val="1A1A1A" w:themeColor="background1" w:themeShade="1A"/>
          <w:sz w:val="24"/>
          <w:szCs w:val="24"/>
        </w:rPr>
      </w:pPr>
      <w:r>
        <w:rPr>
          <w:rFonts w:ascii="Times New Roman" w:hAnsi="Times New Roman" w:cs="Times New Roman"/>
          <w:color w:val="000000" w:themeColor="text1"/>
          <w:sz w:val="24"/>
          <w:szCs w:val="24"/>
        </w:rPr>
        <w:t xml:space="preserve">RELEVANCE </w:t>
      </w:r>
      <w:r w:rsidR="006A3C37">
        <w:rPr>
          <w:rFonts w:ascii="Times New Roman" w:hAnsi="Times New Roman" w:cs="Times New Roman"/>
          <w:color w:val="000000" w:themeColor="text1"/>
          <w:sz w:val="24"/>
          <w:szCs w:val="24"/>
        </w:rPr>
        <w:t>WITHIN THE UK</w:t>
      </w:r>
    </w:p>
    <w:p w14:paraId="1F1B1EAB" w14:textId="77777777" w:rsidR="004202EF" w:rsidRPr="00590703" w:rsidRDefault="004202EF" w:rsidP="00590703">
      <w:pPr>
        <w:spacing w:line="360" w:lineRule="auto"/>
        <w:rPr>
          <w:rFonts w:ascii="Times New Roman" w:hAnsi="Times New Roman" w:cs="Times New Roman"/>
          <w:color w:val="000000" w:themeColor="text1"/>
          <w:sz w:val="24"/>
          <w:szCs w:val="24"/>
        </w:rPr>
      </w:pPr>
    </w:p>
    <w:p w14:paraId="6E743E64" w14:textId="77777777" w:rsidR="004202EF" w:rsidRPr="00590703" w:rsidRDefault="004202EF" w:rsidP="00590703">
      <w:pPr>
        <w:pStyle w:val="NormalWeb"/>
        <w:shd w:val="clear" w:color="auto" w:fill="FFFFFF"/>
        <w:spacing w:before="0" w:beforeAutospacing="0" w:line="360" w:lineRule="auto"/>
        <w:jc w:val="both"/>
        <w:rPr>
          <w:color w:val="000000" w:themeColor="text1"/>
        </w:rPr>
      </w:pPr>
      <w:r w:rsidRPr="00590703">
        <w:rPr>
          <w:color w:val="000000" w:themeColor="text1"/>
        </w:rPr>
        <w:t xml:space="preserve">When compared to other wealthy nations, the United Kingdom has low rates of poverty and slum living. The average UK lifestyle has an ecological footprint of 6.3 hectares per person due to lifestyle choices made inside the country. We need to lower this to 2.2 hectares in order to live </w:t>
      </w:r>
      <w:r w:rsidRPr="00590703">
        <w:rPr>
          <w:color w:val="000000" w:themeColor="text1"/>
        </w:rPr>
        <w:lastRenderedPageBreak/>
        <w:t xml:space="preserve">within the capacity of our planet and achieve our environmentally sustainable objective. (2002) BioRegional Development Group </w:t>
      </w:r>
      <w:r w:rsidR="00671A0F" w:rsidRPr="00590703">
        <w:rPr>
          <w:color w:val="000000" w:themeColor="text1"/>
        </w:rPr>
        <w:t>a</w:t>
      </w:r>
      <w:r w:rsidRPr="00590703">
        <w:rPr>
          <w:color w:val="000000" w:themeColor="text1"/>
        </w:rPr>
        <w:t xml:space="preserve"> sustainable community may be implemented in the UK, as shown by initiatives like the Beddington Zero Energy Development.</w:t>
      </w:r>
    </w:p>
    <w:p w14:paraId="7C8A6BF9" w14:textId="77777777" w:rsidR="008B663F" w:rsidRPr="00590703" w:rsidRDefault="008B663F" w:rsidP="00590703">
      <w:pPr>
        <w:pStyle w:val="Heading1"/>
        <w:spacing w:line="360" w:lineRule="auto"/>
        <w:rPr>
          <w:rFonts w:ascii="Times New Roman" w:hAnsi="Times New Roman" w:cs="Times New Roman"/>
          <w:color w:val="000000" w:themeColor="text1"/>
          <w:sz w:val="24"/>
          <w:szCs w:val="24"/>
        </w:rPr>
      </w:pPr>
      <w:bookmarkStart w:id="1" w:name="_Toc120863319"/>
      <w:r w:rsidRPr="00590703">
        <w:rPr>
          <w:rFonts w:ascii="Times New Roman" w:hAnsi="Times New Roman" w:cs="Times New Roman"/>
          <w:color w:val="000000" w:themeColor="text1"/>
          <w:sz w:val="24"/>
          <w:szCs w:val="24"/>
        </w:rPr>
        <w:t>This neighborhood is entirely sustainable and "gives people the option to live sustainably without reducing residents' quality of life" (Jenks &amp; Dempsey, 2005) Large-scale sustainable community development is essential from a global perspective to ensure that living standards in economically developed nations continue to increase. This, however, raises some doubts about its feasibility. It can be thought that building fully sustainable communities on a broad scale is economically impossible since it would need people to make compromises because the cost would be so expensive.</w:t>
      </w:r>
    </w:p>
    <w:p w14:paraId="655D3427" w14:textId="7EA5401E" w:rsidR="003824B7" w:rsidRPr="00590703" w:rsidRDefault="00526B57" w:rsidP="00590703">
      <w:pPr>
        <w:pStyle w:val="Heading1"/>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G</w:t>
      </w:r>
      <w:bookmarkEnd w:id="1"/>
      <w:r w:rsidR="008E32F8">
        <w:rPr>
          <w:rFonts w:ascii="Times New Roman" w:hAnsi="Times New Roman" w:cs="Times New Roman"/>
          <w:color w:val="000000" w:themeColor="text1"/>
          <w:sz w:val="24"/>
          <w:szCs w:val="24"/>
        </w:rPr>
        <w:t xml:space="preserve">OAL 3GOOD HEALTH </w:t>
      </w:r>
      <w:r w:rsidR="001672DD">
        <w:rPr>
          <w:rFonts w:ascii="Times New Roman" w:hAnsi="Times New Roman" w:cs="Times New Roman"/>
          <w:color w:val="000000" w:themeColor="text1"/>
          <w:sz w:val="24"/>
          <w:szCs w:val="24"/>
        </w:rPr>
        <w:t>&amp;</w:t>
      </w:r>
      <w:r w:rsidR="004C336C">
        <w:rPr>
          <w:rFonts w:ascii="Times New Roman" w:hAnsi="Times New Roman" w:cs="Times New Roman"/>
          <w:color w:val="000000" w:themeColor="text1"/>
          <w:sz w:val="24"/>
          <w:szCs w:val="24"/>
        </w:rPr>
        <w:t xml:space="preserve">WELLBEING </w:t>
      </w:r>
      <w:r w:rsidR="001672DD">
        <w:rPr>
          <w:rFonts w:ascii="Times New Roman" w:hAnsi="Times New Roman" w:cs="Times New Roman"/>
          <w:color w:val="000000" w:themeColor="text1"/>
          <w:sz w:val="24"/>
          <w:szCs w:val="24"/>
        </w:rPr>
        <w:t>4 Q</w:t>
      </w:r>
      <w:r w:rsidR="004C336C">
        <w:rPr>
          <w:rFonts w:ascii="Times New Roman" w:hAnsi="Times New Roman" w:cs="Times New Roman"/>
          <w:color w:val="000000" w:themeColor="text1"/>
          <w:sz w:val="24"/>
          <w:szCs w:val="24"/>
        </w:rPr>
        <w:t>UALITY,</w:t>
      </w:r>
      <w:r w:rsidR="00FF27DB">
        <w:rPr>
          <w:rFonts w:ascii="Times New Roman" w:hAnsi="Times New Roman" w:cs="Times New Roman"/>
          <w:color w:val="000000" w:themeColor="text1"/>
          <w:sz w:val="24"/>
          <w:szCs w:val="24"/>
        </w:rPr>
        <w:t>EDUCATION AND GOAL 17 PARTNERSHIP TO ARCHIVE</w:t>
      </w:r>
      <w:r w:rsidR="00A61E70">
        <w:rPr>
          <w:rFonts w:ascii="Times New Roman" w:hAnsi="Times New Roman" w:cs="Times New Roman"/>
          <w:color w:val="000000" w:themeColor="text1"/>
          <w:sz w:val="24"/>
          <w:szCs w:val="24"/>
        </w:rPr>
        <w:t xml:space="preserve"> THE GOALS </w:t>
      </w:r>
    </w:p>
    <w:p w14:paraId="43A6B062" w14:textId="77777777" w:rsidR="008B663F" w:rsidRPr="00590703" w:rsidRDefault="008B663F" w:rsidP="00590703">
      <w:pPr>
        <w:spacing w:line="360" w:lineRule="auto"/>
        <w:rPr>
          <w:rFonts w:ascii="Times New Roman" w:hAnsi="Times New Roman" w:cs="Times New Roman"/>
          <w:color w:val="000000" w:themeColor="text1"/>
          <w:sz w:val="24"/>
          <w:szCs w:val="24"/>
        </w:rPr>
      </w:pPr>
    </w:p>
    <w:p w14:paraId="6CC96EE0" w14:textId="77777777" w:rsidR="008B663F" w:rsidRPr="00590703" w:rsidRDefault="008B663F" w:rsidP="00590703">
      <w:pPr>
        <w:shd w:val="clear" w:color="auto" w:fill="FFFFFF"/>
        <w:spacing w:before="312" w:after="312" w:line="360" w:lineRule="auto"/>
        <w:jc w:val="both"/>
        <w:rPr>
          <w:rFonts w:ascii="Times New Roman" w:hAnsi="Times New Roman" w:cs="Times New Roman"/>
          <w:color w:val="000000" w:themeColor="text1"/>
          <w:sz w:val="24"/>
          <w:szCs w:val="24"/>
          <w:shd w:val="clear" w:color="auto" w:fill="FFFFFF"/>
        </w:rPr>
      </w:pPr>
      <w:r w:rsidRPr="00590703">
        <w:rPr>
          <w:rFonts w:ascii="Times New Roman" w:hAnsi="Times New Roman" w:cs="Times New Roman"/>
          <w:color w:val="000000" w:themeColor="text1"/>
          <w:sz w:val="24"/>
          <w:szCs w:val="24"/>
          <w:shd w:val="clear" w:color="auto" w:fill="FFFFFF"/>
        </w:rPr>
        <w:t>The Ottawa Charter also lists nine requirements for good health, including social justice, equity, a stable eco-system, access to food and shelter, education, and income. These social factors that affect health have a significant effect on happiness. The 'contingent nature of wellbeing within contemporary social environments', as argued by Fisher (Fisher, 2019), necessitates attending to the compounding and intersectional influence of social, economic, environmental, and cultural stressors on people's capacity to experience and exercise wellbeing.</w:t>
      </w:r>
    </w:p>
    <w:p w14:paraId="06AF67F6" w14:textId="77777777" w:rsidR="0012091F" w:rsidRPr="00590703" w:rsidRDefault="0012091F" w:rsidP="00590703">
      <w:pPr>
        <w:pStyle w:val="Heading1"/>
        <w:spacing w:line="360" w:lineRule="auto"/>
        <w:rPr>
          <w:rFonts w:ascii="Times New Roman" w:hAnsi="Times New Roman" w:cs="Times New Roman"/>
          <w:color w:val="000000" w:themeColor="text1"/>
          <w:sz w:val="24"/>
          <w:szCs w:val="24"/>
        </w:rPr>
      </w:pPr>
      <w:bookmarkStart w:id="2" w:name="_Toc120863320"/>
      <w:r w:rsidRPr="00590703">
        <w:rPr>
          <w:rFonts w:ascii="Times New Roman" w:hAnsi="Times New Roman" w:cs="Times New Roman"/>
          <w:color w:val="000000" w:themeColor="text1"/>
          <w:sz w:val="24"/>
          <w:szCs w:val="24"/>
        </w:rPr>
        <w:lastRenderedPageBreak/>
        <w:t>The definition of sustainable development is "development that satisfies the demands of both present and future generations." The Sustainable Development Goals are a set of objectives established by the United Nations to address the issues society is facing as a result of escalating environmental degradation and societal pressures. "Growing populations and rising per capita consumption" are the key contributors (Pedersen, 2018).</w:t>
      </w:r>
    </w:p>
    <w:p w14:paraId="12340117" w14:textId="77777777" w:rsidR="0012091F" w:rsidRPr="00590703" w:rsidRDefault="0012091F" w:rsidP="00590703">
      <w:pPr>
        <w:pStyle w:val="Heading1"/>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focus of UNICEF's commitment to Goal 3 is on immunization coverage, healthy childhoods (under-five mortality and neonatal mortality), and healthy pregnancies (maternal mortality and trained birth attendant).</w:t>
      </w:r>
    </w:p>
    <w:p w14:paraId="701A9616" w14:textId="77777777" w:rsidR="005E2430" w:rsidRPr="00590703" w:rsidRDefault="00A67EE8" w:rsidP="00590703">
      <w:pPr>
        <w:pStyle w:val="Heading1"/>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Goal 4 of the Sustainable Development centers on quality education.</w:t>
      </w:r>
      <w:bookmarkEnd w:id="2"/>
      <w:r w:rsidRPr="00590703">
        <w:rPr>
          <w:rFonts w:ascii="Times New Roman" w:hAnsi="Times New Roman" w:cs="Times New Roman"/>
          <w:color w:val="000000" w:themeColor="text1"/>
          <w:sz w:val="24"/>
          <w:szCs w:val="24"/>
        </w:rPr>
        <w:t xml:space="preserve"> </w:t>
      </w:r>
    </w:p>
    <w:p w14:paraId="46FCB5D0" w14:textId="77777777" w:rsidR="008424F2" w:rsidRPr="00590703" w:rsidRDefault="008424F2"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According to Mkunbo (2016), the Sustainable Development Goal 4's objective is to guarantee inclusive and equitable access to high-quality education. The objective covers education from early infancy through maturity and at all levels, including elementary, secondary, university, technical, and vocational training. The aim focuses on seven (7) milestones that must be met by the year 2030 or earlier.</w:t>
      </w:r>
    </w:p>
    <w:p w14:paraId="67D7D516" w14:textId="77777777" w:rsidR="008424F2" w:rsidRPr="00590703" w:rsidRDefault="00671A0F"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Ensuring</w:t>
      </w:r>
      <w:r w:rsidR="008424F2" w:rsidRPr="00590703">
        <w:rPr>
          <w:rFonts w:ascii="Times New Roman" w:hAnsi="Times New Roman" w:cs="Times New Roman"/>
          <w:color w:val="000000" w:themeColor="text1"/>
          <w:sz w:val="24"/>
          <w:szCs w:val="24"/>
        </w:rPr>
        <w:t xml:space="preserve"> that all boys and girls finish primary and secondary education that is free, egalitarian, and produces relevant and effective learning outcomes.</w:t>
      </w:r>
    </w:p>
    <w:p w14:paraId="5E1695BE" w14:textId="77777777" w:rsidR="00122F3E" w:rsidRPr="00590703" w:rsidRDefault="00671A0F"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Making</w:t>
      </w:r>
      <w:r w:rsidR="00122F3E" w:rsidRPr="00590703">
        <w:rPr>
          <w:rFonts w:ascii="Times New Roman" w:hAnsi="Times New Roman" w:cs="Times New Roman"/>
          <w:color w:val="000000" w:themeColor="text1"/>
          <w:sz w:val="24"/>
          <w:szCs w:val="24"/>
        </w:rPr>
        <w:t xml:space="preserve"> sure that all kids, boys and girls alike, have access to high-quality pre-primary education so they're ready for primary school</w:t>
      </w:r>
    </w:p>
    <w:p w14:paraId="237B7151" w14:textId="77777777" w:rsidR="00122F3E" w:rsidRPr="00590703" w:rsidRDefault="00671A0F"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Ensuring</w:t>
      </w:r>
      <w:r w:rsidR="00122F3E" w:rsidRPr="00590703">
        <w:rPr>
          <w:rFonts w:ascii="Times New Roman" w:hAnsi="Times New Roman" w:cs="Times New Roman"/>
          <w:color w:val="000000" w:themeColor="text1"/>
          <w:sz w:val="24"/>
          <w:szCs w:val="24"/>
        </w:rPr>
        <w:t xml:space="preserve"> that all men and women have equal access to affordable, high-quality postsecondary education, including university;</w:t>
      </w:r>
    </w:p>
    <w:p w14:paraId="51B6FB5A" w14:textId="77777777" w:rsidR="00122F3E" w:rsidRPr="00590703" w:rsidRDefault="00671A0F"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Drastically</w:t>
      </w:r>
      <w:r w:rsidR="00122F3E" w:rsidRPr="00590703">
        <w:rPr>
          <w:rFonts w:ascii="Times New Roman" w:hAnsi="Times New Roman" w:cs="Times New Roman"/>
          <w:color w:val="000000" w:themeColor="text1"/>
          <w:sz w:val="24"/>
          <w:szCs w:val="24"/>
        </w:rPr>
        <w:t xml:space="preserve"> increase the number of young people and adults with the necessary skills for employment, decent jobs, and entrepreneurship;</w:t>
      </w:r>
    </w:p>
    <w:p w14:paraId="73D59E1C" w14:textId="77777777" w:rsidR="00122F3E" w:rsidRPr="00590703" w:rsidRDefault="00122F3E"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eliminating gender-based educational disparities and ensuring equal access to all educational levels, as well as vocational training for children and adults with disabilities and those in vulnerable </w:t>
      </w:r>
      <w:r w:rsidRPr="00590703">
        <w:rPr>
          <w:rFonts w:ascii="Times New Roman" w:hAnsi="Times New Roman" w:cs="Times New Roman"/>
          <w:color w:val="000000" w:themeColor="text1"/>
          <w:sz w:val="24"/>
          <w:szCs w:val="24"/>
        </w:rPr>
        <w:lastRenderedPageBreak/>
        <w:t>situations; ensuring that all young people and a significant portion of adults—men and women—achieve literacy and numeracy;</w:t>
      </w:r>
    </w:p>
    <w:p w14:paraId="651F8005" w14:textId="77777777" w:rsidR="00122F3E" w:rsidRPr="00590703" w:rsidRDefault="00122F3E"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Sustainable Development Goals (SDGs) seek to improve educational access and standards in underdeveloped nations while also fostering a culture of peace and non-violence. All students should have access to a setting where they may gain the information and skills necessary to advance sustainable development, according to the SDGs.</w:t>
      </w:r>
    </w:p>
    <w:p w14:paraId="047F36BB" w14:textId="77777777" w:rsidR="00122F3E" w:rsidRPr="00590703" w:rsidRDefault="00671A0F"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Constructing</w:t>
      </w:r>
      <w:r w:rsidR="00122F3E" w:rsidRPr="00590703">
        <w:rPr>
          <w:rFonts w:ascii="Times New Roman" w:hAnsi="Times New Roman" w:cs="Times New Roman"/>
          <w:color w:val="000000" w:themeColor="text1"/>
          <w:sz w:val="24"/>
          <w:szCs w:val="24"/>
        </w:rPr>
        <w:t xml:space="preserve"> and renovating educational buildings that are gender, disability, and child-sensitive and offer all students a safe, nonviolent, inclusive learning environment</w:t>
      </w:r>
    </w:p>
    <w:p w14:paraId="1F636187" w14:textId="77777777" w:rsidR="00122F3E" w:rsidRPr="00590703" w:rsidRDefault="00122F3E"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David Cameron, the secretary of state for international development, has announced intentions to quadruple the number of undergraduate scholarships available to students from </w:t>
      </w:r>
      <w:r w:rsidR="00671A0F" w:rsidRPr="00590703">
        <w:rPr>
          <w:rFonts w:ascii="Times New Roman" w:hAnsi="Times New Roman" w:cs="Times New Roman"/>
          <w:color w:val="000000" w:themeColor="text1"/>
          <w:sz w:val="24"/>
          <w:szCs w:val="24"/>
        </w:rPr>
        <w:t>Small Island</w:t>
      </w:r>
      <w:r w:rsidRPr="00590703">
        <w:rPr>
          <w:rFonts w:ascii="Times New Roman" w:hAnsi="Times New Roman" w:cs="Times New Roman"/>
          <w:color w:val="000000" w:themeColor="text1"/>
          <w:sz w:val="24"/>
          <w:szCs w:val="24"/>
        </w:rPr>
        <w:t xml:space="preserve"> developing States and developing nations. Additionally, he intends to make higher education 20% more accessible in a variety of fields, such as information and communications technology and vocational training.</w:t>
      </w:r>
    </w:p>
    <w:p w14:paraId="42A1375C" w14:textId="77777777" w:rsidR="00122F3E" w:rsidRPr="00590703" w:rsidRDefault="00122F3E" w:rsidP="00590703">
      <w:pPr>
        <w:shd w:val="clear" w:color="auto" w:fill="FFFFFF"/>
        <w:spacing w:before="312" w:after="312"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Increase the number of qualified educators available, including through international collaboration on teacher education in developing nations, particularly in the Least Developed Countries and Small Island Developing States</w:t>
      </w:r>
    </w:p>
    <w:p w14:paraId="3DD58A8E" w14:textId="77777777" w:rsidR="00122F3E" w:rsidRPr="00590703" w:rsidRDefault="00122F3E" w:rsidP="00590703">
      <w:pPr>
        <w:shd w:val="clear" w:color="auto" w:fill="FFFFFF"/>
        <w:spacing w:before="312" w:after="312"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Goal 17 strives to improve implementation processes and reenergize the international cooperation for sustainable development. Partnerships are the backbone of SDG implementation and are crucial to realizing the Agenda. Goal 17 asks for enhancing cooperation with all stakeholders and strengthening the means of implementation.</w:t>
      </w:r>
    </w:p>
    <w:p w14:paraId="44314406" w14:textId="77777777" w:rsidR="00122F3E" w:rsidRPr="00590703" w:rsidRDefault="00122F3E" w:rsidP="00590703">
      <w:pPr>
        <w:shd w:val="clear" w:color="auto" w:fill="FFFFFF"/>
        <w:spacing w:before="312" w:after="312"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One of the main instruments for advancing children's rights and wellbeing internationally is Goal 17's objectives. This objective identifies, for instance, if there are sufficient data available to identify the kids who are most likely to get left behind.</w:t>
      </w:r>
    </w:p>
    <w:p w14:paraId="310B7D3C" w14:textId="77777777" w:rsidR="003824B7" w:rsidRPr="00590703" w:rsidRDefault="00800E50"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P</w:t>
      </w:r>
      <w:r w:rsidR="00526B57" w:rsidRPr="00590703">
        <w:rPr>
          <w:rFonts w:ascii="Times New Roman" w:hAnsi="Times New Roman" w:cs="Times New Roman"/>
          <w:b/>
          <w:color w:val="000000" w:themeColor="text1"/>
          <w:sz w:val="24"/>
          <w:szCs w:val="24"/>
        </w:rPr>
        <w:t xml:space="preserve">olicies or initiatives adopted by UK government in meeting these three goals. </w:t>
      </w:r>
    </w:p>
    <w:p w14:paraId="20D04595" w14:textId="77777777" w:rsidR="00F21502" w:rsidRPr="00590703" w:rsidRDefault="00F21502"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lastRenderedPageBreak/>
        <w:t>In order to achieve the global SDG objectives by 2030, an average of 75% of child-related SDG indicators worldwide either have inadequate data or demonstrate insufficient development. While the number of nations that established national statistics plans increased in 2018, many of those nations lacked the money to do so.</w:t>
      </w:r>
    </w:p>
    <w:p w14:paraId="710A3659" w14:textId="77777777" w:rsidR="00F21502" w:rsidRPr="00590703" w:rsidRDefault="00F21502"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Goal 17 of UNICEF calls on Member States to greatly increase the accessibility of trustworthy, high-quality, and timely disaggregated data as well as to further create indicators of development in poor nations. Working with a wide range of partners at the global, regional, national, and local levels is the key to UNICEF's commitment to achieving this aim.</w:t>
      </w:r>
    </w:p>
    <w:p w14:paraId="2FD3F0A4" w14:textId="77777777" w:rsidR="00515EC3" w:rsidRPr="00590703" w:rsidRDefault="002C4DF0"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 xml:space="preserve">Goal 3 </w:t>
      </w:r>
    </w:p>
    <w:p w14:paraId="70C3843D" w14:textId="77777777" w:rsidR="006D6E75" w:rsidRPr="00590703" w:rsidRDefault="006D6E75" w:rsidP="00590703">
      <w:pPr>
        <w:pStyle w:val="Heading1"/>
        <w:spacing w:line="360" w:lineRule="auto"/>
        <w:rPr>
          <w:rFonts w:ascii="Times New Roman" w:eastAsia="Times New Roman" w:hAnsi="Times New Roman" w:cs="Times New Roman"/>
          <w:color w:val="000000" w:themeColor="text1"/>
          <w:sz w:val="24"/>
          <w:szCs w:val="24"/>
        </w:rPr>
      </w:pPr>
      <w:bookmarkStart w:id="3" w:name="_Toc120863321"/>
      <w:r w:rsidRPr="00590703">
        <w:rPr>
          <w:rFonts w:ascii="Times New Roman" w:eastAsia="Times New Roman" w:hAnsi="Times New Roman" w:cs="Times New Roman"/>
          <w:color w:val="000000" w:themeColor="text1"/>
          <w:sz w:val="24"/>
          <w:szCs w:val="24"/>
        </w:rPr>
        <w:t>Fighting coronavirus: supporting business through the pandemic and recovery</w:t>
      </w:r>
      <w:bookmarkEnd w:id="3"/>
    </w:p>
    <w:p w14:paraId="17B50F00" w14:textId="77777777" w:rsidR="00790621" w:rsidRPr="00590703" w:rsidRDefault="00790621" w:rsidP="00590703">
      <w:pPr>
        <w:pStyle w:val="Heading1"/>
        <w:spacing w:line="360" w:lineRule="auto"/>
        <w:rPr>
          <w:rFonts w:ascii="Times New Roman" w:hAnsi="Times New Roman" w:cs="Times New Roman"/>
          <w:color w:val="000000" w:themeColor="text1"/>
          <w:sz w:val="24"/>
          <w:szCs w:val="24"/>
        </w:rPr>
      </w:pPr>
      <w:bookmarkStart w:id="4" w:name="_Toc120863322"/>
      <w:r w:rsidRPr="00590703">
        <w:rPr>
          <w:rFonts w:ascii="Times New Roman" w:hAnsi="Times New Roman" w:cs="Times New Roman"/>
          <w:color w:val="000000" w:themeColor="text1"/>
          <w:sz w:val="24"/>
          <w:szCs w:val="24"/>
        </w:rPr>
        <w:t>The Coronavirus Job Retention Scheme (Furlough Scheme)</w:t>
      </w:r>
      <w:bookmarkEnd w:id="4"/>
      <w:r w:rsidRPr="00590703">
        <w:rPr>
          <w:rFonts w:ascii="Times New Roman" w:hAnsi="Times New Roman" w:cs="Times New Roman"/>
          <w:color w:val="000000" w:themeColor="text1"/>
          <w:sz w:val="24"/>
          <w:szCs w:val="24"/>
        </w:rPr>
        <w:t xml:space="preserve"> </w:t>
      </w:r>
    </w:p>
    <w:p w14:paraId="180D29C6" w14:textId="77777777" w:rsidR="00C56D98" w:rsidRPr="00590703" w:rsidRDefault="00C56D98" w:rsidP="00590703">
      <w:pPr>
        <w:spacing w:line="360" w:lineRule="auto"/>
        <w:jc w:val="both"/>
        <w:rPr>
          <w:rFonts w:ascii="Times New Roman" w:hAnsi="Times New Roman" w:cs="Times New Roman"/>
          <w:color w:val="000000" w:themeColor="text1"/>
          <w:sz w:val="24"/>
          <w:szCs w:val="24"/>
        </w:rPr>
      </w:pPr>
    </w:p>
    <w:p w14:paraId="4C08624D" w14:textId="77777777" w:rsidR="00C56D98" w:rsidRPr="00590703" w:rsidRDefault="00C56D98"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It has been decided to extend the Coronavirus Job Retention Scheme (CJRS) to include the time period from 1 November 2020 to 30 September 2021. The CJRS' major objective was to "assist companies in maintaining employer-employee matches by providing a method to pay the wages of Furloughed workers."</w:t>
      </w:r>
    </w:p>
    <w:p w14:paraId="78B007D9" w14:textId="77777777" w:rsidR="00C56D98" w:rsidRPr="00590703" w:rsidRDefault="00C56D98"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rates of support gradually decreased when the initial countrywide lockdown was lifted. The original CJRS plan stipulated that up to £2,500 per month, 80% of an employee's salary up to their furloughed status would be paid. The strategy was altered from 1 July 2020 to 31 October 2020 to allow for flexible furloughing.</w:t>
      </w:r>
    </w:p>
    <w:p w14:paraId="142A14E8" w14:textId="77777777" w:rsidR="001E1192" w:rsidRPr="00590703" w:rsidRDefault="001E1192"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Every UK </w:t>
      </w:r>
      <w:r w:rsidR="00671A0F" w:rsidRPr="00590703">
        <w:rPr>
          <w:rFonts w:ascii="Times New Roman" w:hAnsi="Times New Roman" w:cs="Times New Roman"/>
          <w:color w:val="000000" w:themeColor="text1"/>
          <w:sz w:val="24"/>
          <w:szCs w:val="24"/>
        </w:rPr>
        <w:t>Company</w:t>
      </w:r>
      <w:r w:rsidRPr="00590703">
        <w:rPr>
          <w:rFonts w:ascii="Times New Roman" w:hAnsi="Times New Roman" w:cs="Times New Roman"/>
          <w:color w:val="000000" w:themeColor="text1"/>
          <w:sz w:val="24"/>
          <w:szCs w:val="24"/>
        </w:rPr>
        <w:t xml:space="preserve"> that has employees is qualified for the CJRS. The sole requirement is that before October 30, 2020, businesses must have alerted HMRC of a payroll using Real Time Information (RTI). Claims may only be submitted within 14 days of the end of the reference month and must be lodged within rather strict two-week timeframes.</w:t>
      </w:r>
    </w:p>
    <w:p w14:paraId="2D70D289" w14:textId="77777777" w:rsidR="001E1192" w:rsidRPr="00590703" w:rsidRDefault="001E1192"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UK must interact with industry to comprehend their demands, maintain essential support programs, and ensure a secure return to the workplace. The Department will, if feasible, assist in managing economic shocks to safeguard specific sectors, occupations, and lives. Importantly, we </w:t>
      </w:r>
      <w:r w:rsidRPr="00590703">
        <w:rPr>
          <w:rFonts w:ascii="Times New Roman" w:hAnsi="Times New Roman" w:cs="Times New Roman"/>
          <w:color w:val="000000" w:themeColor="text1"/>
          <w:sz w:val="24"/>
          <w:szCs w:val="24"/>
        </w:rPr>
        <w:lastRenderedPageBreak/>
        <w:t>will guarantee the ongoing development and production of vaccines for the UK and other countries through the Vaccine Taskforce.</w:t>
      </w:r>
    </w:p>
    <w:p w14:paraId="5C49ABD5" w14:textId="77777777" w:rsidR="00DD34AE" w:rsidRPr="00590703" w:rsidRDefault="002C4DF0"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 xml:space="preserve">Goal 4 </w:t>
      </w:r>
    </w:p>
    <w:p w14:paraId="1151F0F5" w14:textId="77777777" w:rsidR="00DD34AE" w:rsidRPr="00590703" w:rsidRDefault="00DD34AE" w:rsidP="00590703">
      <w:pPr>
        <w:pStyle w:val="Heading1"/>
        <w:spacing w:line="360" w:lineRule="auto"/>
        <w:rPr>
          <w:rFonts w:ascii="Times New Roman" w:eastAsia="Times New Roman" w:hAnsi="Times New Roman" w:cs="Times New Roman"/>
          <w:color w:val="000000" w:themeColor="text1"/>
          <w:sz w:val="24"/>
          <w:szCs w:val="24"/>
        </w:rPr>
      </w:pPr>
      <w:bookmarkStart w:id="5" w:name="_Toc120863323"/>
      <w:r w:rsidRPr="00590703">
        <w:rPr>
          <w:rFonts w:ascii="Times New Roman" w:eastAsia="Times New Roman" w:hAnsi="Times New Roman" w:cs="Times New Roman"/>
          <w:color w:val="000000" w:themeColor="text1"/>
          <w:sz w:val="24"/>
          <w:szCs w:val="24"/>
        </w:rPr>
        <w:t>Ensure inclusive and equitable quality education and promote lifelong learning opportunities for all</w:t>
      </w:r>
      <w:bookmarkEnd w:id="5"/>
    </w:p>
    <w:p w14:paraId="0F95B409" w14:textId="77777777" w:rsidR="00E7217F" w:rsidRPr="00590703" w:rsidRDefault="00E7217F" w:rsidP="00590703">
      <w:pPr>
        <w:shd w:val="clear" w:color="auto" w:fill="FFFFFF"/>
        <w:spacing w:before="300" w:after="30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UK must interact with industry to comprehend their demands, maintain essential support programs, and ensure a secure return to the workplace. The Department will, if feasible, assist in managing economic shocks to safeguard specific sectors, occupations, and lives. Importantly, we will guarantee the ongoing development and production of vaccines for the UK and other countries through the Vaccine Taskforce.</w:t>
      </w:r>
    </w:p>
    <w:p w14:paraId="7D286640" w14:textId="77777777" w:rsidR="00E7217F" w:rsidRPr="00590703" w:rsidRDefault="00E7217F" w:rsidP="00590703">
      <w:pPr>
        <w:shd w:val="clear" w:color="auto" w:fill="FFFFFF"/>
        <w:spacing w:before="300" w:after="30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This involves a combination of internally conducted quantitative analysis as well as quantitative analysis that was contracted outside, user research, and continual monitoring.</w:t>
      </w:r>
    </w:p>
    <w:p w14:paraId="11E7B32B" w14:textId="77777777" w:rsidR="00E7217F" w:rsidRPr="00590703" w:rsidRDefault="00E7217F" w:rsidP="00590703">
      <w:pPr>
        <w:pStyle w:val="Heading1"/>
        <w:spacing w:line="360" w:lineRule="auto"/>
        <w:rPr>
          <w:rFonts w:ascii="Times New Roman" w:eastAsia="Times New Roman" w:hAnsi="Times New Roman" w:cs="Times New Roman"/>
          <w:color w:val="000000" w:themeColor="text1"/>
          <w:sz w:val="24"/>
          <w:szCs w:val="24"/>
        </w:rPr>
      </w:pPr>
      <w:bookmarkStart w:id="6" w:name="_Toc120863324"/>
      <w:r w:rsidRPr="00590703">
        <w:rPr>
          <w:rFonts w:ascii="Times New Roman" w:eastAsia="Times New Roman" w:hAnsi="Times New Roman" w:cs="Times New Roman"/>
          <w:color w:val="000000" w:themeColor="text1"/>
          <w:sz w:val="24"/>
          <w:szCs w:val="24"/>
        </w:rPr>
        <w:t>Interviews, focus groups, questionnaires, and information data analysis will be used to examine the implementation, delivery, and perceived advantages of the NTP for schools, students, mentors, and tutors. Year 2 reports are anticipated between May 2022 and January 2024, with year 1 final reports beginning in December 2021.</w:t>
      </w:r>
    </w:p>
    <w:p w14:paraId="00D12D4D" w14:textId="77777777" w:rsidR="00ED3219" w:rsidRPr="00590703" w:rsidRDefault="00ED3219" w:rsidP="00590703">
      <w:pPr>
        <w:pStyle w:val="Heading1"/>
        <w:spacing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Raise the quality of teaching and leadership in all areas of the country</w:t>
      </w:r>
      <w:bookmarkEnd w:id="6"/>
    </w:p>
    <w:p w14:paraId="73C38AAF" w14:textId="77777777" w:rsidR="00ED3219" w:rsidRPr="00590703" w:rsidRDefault="00800E50" w:rsidP="00590703">
      <w:pPr>
        <w:shd w:val="clear" w:color="auto" w:fill="FFFFFF"/>
        <w:spacing w:before="75" w:after="30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UK will</w:t>
      </w:r>
      <w:r w:rsidR="00ED3219" w:rsidRPr="00590703">
        <w:rPr>
          <w:rFonts w:ascii="Times New Roman" w:eastAsia="Times New Roman" w:hAnsi="Times New Roman" w:cs="Times New Roman"/>
          <w:color w:val="000000" w:themeColor="text1"/>
          <w:sz w:val="24"/>
          <w:szCs w:val="24"/>
        </w:rPr>
        <w:t xml:space="preserve"> do this by delivering:</w:t>
      </w:r>
    </w:p>
    <w:p w14:paraId="2FAC3FC1" w14:textId="77777777" w:rsidR="00141979" w:rsidRPr="00590703" w:rsidRDefault="00141979" w:rsidP="00590703">
      <w:pPr>
        <w:shd w:val="clear" w:color="auto" w:fill="FFFFFF"/>
        <w:spacing w:before="75" w:after="30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 Continued funding for initiatives that help us find and keep the greatest educators and administrators, such as Teach First. Examining the ITT market to make sure we maximize the effectiveness and caliber of the service</w:t>
      </w:r>
    </w:p>
    <w:p w14:paraId="7E16AEF1" w14:textId="77777777" w:rsidR="00141979" w:rsidRPr="00590703" w:rsidRDefault="00141979" w:rsidP="00590703">
      <w:pPr>
        <w:shd w:val="clear" w:color="auto" w:fill="FFFFFF"/>
        <w:spacing w:before="75" w:after="30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 The Early Career Framework, a two-year, high-quality induction program that offers early career teachers paid time off and mentor training in the second year. Delivering a new set of national professional certifications will go along with assisting experienced teachers and leaders in their career advancement. The implementation of these measures aiding instructors in helping students make up for missed learning will be accelerated with more funding.</w:t>
      </w:r>
    </w:p>
    <w:p w14:paraId="47425FF7" w14:textId="77777777" w:rsidR="00C33F11" w:rsidRPr="00590703" w:rsidRDefault="00BF0C66" w:rsidP="00590703">
      <w:pPr>
        <w:shd w:val="clear" w:color="auto" w:fill="FFFFFF"/>
        <w:spacing w:after="75" w:line="360" w:lineRule="auto"/>
        <w:ind w:left="-60"/>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lastRenderedPageBreak/>
        <w:t xml:space="preserve">• A new flagship Institute of Teaching that will help companies in implementing best practices in the delivery of teacher development, with the first cohort beginning in September 2022. We will also launch 87 teaching schools </w:t>
      </w:r>
      <w:r w:rsidR="00671A0F" w:rsidRPr="00590703">
        <w:rPr>
          <w:rFonts w:ascii="Times New Roman" w:eastAsia="Times New Roman" w:hAnsi="Times New Roman" w:cs="Times New Roman"/>
          <w:color w:val="000000" w:themeColor="text1"/>
          <w:sz w:val="24"/>
          <w:szCs w:val="24"/>
        </w:rPr>
        <w:t>centers</w:t>
      </w:r>
      <w:r w:rsidRPr="00590703">
        <w:rPr>
          <w:rFonts w:ascii="Times New Roman" w:eastAsia="Times New Roman" w:hAnsi="Times New Roman" w:cs="Times New Roman"/>
          <w:color w:val="000000" w:themeColor="text1"/>
          <w:sz w:val="24"/>
          <w:szCs w:val="24"/>
        </w:rPr>
        <w:t xml:space="preserve"> in September 2022, which will offer top-notch professional development with a regional focus.</w:t>
      </w:r>
    </w:p>
    <w:p w14:paraId="58686FDB" w14:textId="77777777" w:rsidR="001C5A6B" w:rsidRPr="00590703" w:rsidRDefault="002C4DF0"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17</w:t>
      </w:r>
    </w:p>
    <w:p w14:paraId="3997F854" w14:textId="77777777" w:rsidR="004340CF" w:rsidRPr="00590703" w:rsidRDefault="00671A0F" w:rsidP="00590703">
      <w:pPr>
        <w:pStyle w:val="Heading1"/>
        <w:spacing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Bolster</w:t>
      </w:r>
      <w:r w:rsidR="00317A18" w:rsidRPr="00590703">
        <w:rPr>
          <w:rFonts w:ascii="Times New Roman" w:eastAsia="Times New Roman" w:hAnsi="Times New Roman" w:cs="Times New Roman"/>
          <w:color w:val="000000" w:themeColor="text1"/>
          <w:sz w:val="24"/>
          <w:szCs w:val="24"/>
        </w:rPr>
        <w:t xml:space="preserve"> implementation strategies and resurrect the Global Partnership for Sustainable Development</w:t>
      </w:r>
    </w:p>
    <w:tbl>
      <w:tblPr>
        <w:tblW w:w="10688" w:type="dxa"/>
        <w:shd w:val="clear" w:color="auto" w:fill="FFFFFF"/>
        <w:tblCellMar>
          <w:top w:w="15" w:type="dxa"/>
          <w:left w:w="15" w:type="dxa"/>
          <w:bottom w:w="15" w:type="dxa"/>
          <w:right w:w="15" w:type="dxa"/>
        </w:tblCellMar>
        <w:tblLook w:val="04A0" w:firstRow="1" w:lastRow="0" w:firstColumn="1" w:lastColumn="0" w:noHBand="0" w:noVBand="1"/>
      </w:tblPr>
      <w:tblGrid>
        <w:gridCol w:w="3219"/>
        <w:gridCol w:w="7469"/>
      </w:tblGrid>
      <w:tr w:rsidR="00590703" w:rsidRPr="00590703" w14:paraId="1FD1832C" w14:textId="77777777" w:rsidTr="004340CF">
        <w:trPr>
          <w:tblHeader/>
        </w:trPr>
        <w:tc>
          <w:tcPr>
            <w:tcW w:w="0" w:type="auto"/>
            <w:tcBorders>
              <w:bottom w:val="single" w:sz="6" w:space="0" w:color="B1B4B6"/>
            </w:tcBorders>
            <w:shd w:val="clear" w:color="auto" w:fill="FFFFFF"/>
            <w:tcMar>
              <w:top w:w="150" w:type="dxa"/>
              <w:left w:w="0" w:type="dxa"/>
              <w:bottom w:w="150" w:type="dxa"/>
              <w:right w:w="300" w:type="dxa"/>
            </w:tcMar>
            <w:hideMark/>
          </w:tcPr>
          <w:p w14:paraId="161E8B34" w14:textId="77777777" w:rsidR="004340CF" w:rsidRPr="00590703" w:rsidRDefault="004340CF" w:rsidP="00590703">
            <w:pPr>
              <w:spacing w:before="450" w:after="450" w:line="360" w:lineRule="auto"/>
              <w:jc w:val="both"/>
              <w:rPr>
                <w:rFonts w:ascii="Times New Roman" w:eastAsia="Times New Roman" w:hAnsi="Times New Roman" w:cs="Times New Roman"/>
                <w:b/>
                <w:bCs/>
                <w:color w:val="000000" w:themeColor="text1"/>
                <w:sz w:val="24"/>
                <w:szCs w:val="24"/>
              </w:rPr>
            </w:pPr>
            <w:r w:rsidRPr="00590703">
              <w:rPr>
                <w:rFonts w:ascii="Times New Roman" w:eastAsia="Times New Roman" w:hAnsi="Times New Roman" w:cs="Times New Roman"/>
                <w:b/>
                <w:bCs/>
                <w:color w:val="000000" w:themeColor="text1"/>
                <w:sz w:val="24"/>
                <w:szCs w:val="24"/>
              </w:rPr>
              <w:t>Priority Outcome 1 Commitments</w:t>
            </w:r>
          </w:p>
        </w:tc>
        <w:tc>
          <w:tcPr>
            <w:tcW w:w="0" w:type="auto"/>
            <w:tcBorders>
              <w:bottom w:val="single" w:sz="6" w:space="0" w:color="B1B4B6"/>
            </w:tcBorders>
            <w:shd w:val="clear" w:color="auto" w:fill="FFFFFF"/>
            <w:tcMar>
              <w:top w:w="150" w:type="dxa"/>
              <w:left w:w="0" w:type="dxa"/>
              <w:bottom w:w="150" w:type="dxa"/>
              <w:right w:w="0" w:type="dxa"/>
            </w:tcMar>
            <w:hideMark/>
          </w:tcPr>
          <w:p w14:paraId="2CCF17D1" w14:textId="77777777" w:rsidR="004340CF" w:rsidRPr="00590703" w:rsidRDefault="004340CF" w:rsidP="00590703">
            <w:pPr>
              <w:spacing w:before="450" w:after="450" w:line="360" w:lineRule="auto"/>
              <w:jc w:val="both"/>
              <w:rPr>
                <w:rFonts w:ascii="Times New Roman" w:eastAsia="Times New Roman" w:hAnsi="Times New Roman" w:cs="Times New Roman"/>
                <w:b/>
                <w:bCs/>
                <w:color w:val="000000" w:themeColor="text1"/>
                <w:sz w:val="24"/>
                <w:szCs w:val="24"/>
              </w:rPr>
            </w:pPr>
            <w:r w:rsidRPr="00590703">
              <w:rPr>
                <w:rFonts w:ascii="Times New Roman" w:eastAsia="Times New Roman" w:hAnsi="Times New Roman" w:cs="Times New Roman"/>
                <w:b/>
                <w:bCs/>
                <w:color w:val="000000" w:themeColor="text1"/>
                <w:sz w:val="24"/>
                <w:szCs w:val="24"/>
              </w:rPr>
              <w:t>Description</w:t>
            </w:r>
          </w:p>
        </w:tc>
      </w:tr>
      <w:tr w:rsidR="00590703" w:rsidRPr="00590703" w14:paraId="4BCAF3B2"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43A1E515" w14:textId="77777777" w:rsidR="004340CF" w:rsidRPr="00590703" w:rsidRDefault="00317A18"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Avoidance, evasion, and noncompliance with Budget 2020</w:t>
            </w:r>
          </w:p>
        </w:tc>
        <w:tc>
          <w:tcPr>
            <w:tcW w:w="0" w:type="auto"/>
            <w:tcBorders>
              <w:bottom w:val="single" w:sz="6" w:space="0" w:color="B1B4B6"/>
            </w:tcBorders>
            <w:shd w:val="clear" w:color="auto" w:fill="FFFFFF"/>
            <w:tcMar>
              <w:top w:w="150" w:type="dxa"/>
              <w:left w:w="0" w:type="dxa"/>
              <w:bottom w:w="150" w:type="dxa"/>
              <w:right w:w="0" w:type="dxa"/>
            </w:tcMar>
            <w:hideMark/>
          </w:tcPr>
          <w:p w14:paraId="34DE3603" w14:textId="77777777" w:rsidR="004340CF" w:rsidRPr="00590703" w:rsidRDefault="00317A18"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We will implement the tax avoidance, evasion, and other non-compliance measures outlined in Budget 2020, which will result in an additional £4.7 billion in revenue between 2020–21 and 2024–25.</w:t>
            </w:r>
          </w:p>
        </w:tc>
      </w:tr>
      <w:tr w:rsidR="00590703" w:rsidRPr="00590703" w14:paraId="24B869F9"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43F3CF00" w14:textId="77777777" w:rsidR="004340CF" w:rsidRPr="00590703" w:rsidRDefault="00317A18"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Measures to comply with the 2021 budget</w:t>
            </w:r>
          </w:p>
        </w:tc>
        <w:tc>
          <w:tcPr>
            <w:tcW w:w="0" w:type="auto"/>
            <w:tcBorders>
              <w:bottom w:val="single" w:sz="6" w:space="0" w:color="B1B4B6"/>
            </w:tcBorders>
            <w:shd w:val="clear" w:color="auto" w:fill="FFFFFF"/>
            <w:tcMar>
              <w:top w:w="150" w:type="dxa"/>
              <w:left w:w="0" w:type="dxa"/>
              <w:bottom w:w="150" w:type="dxa"/>
              <w:right w:w="0" w:type="dxa"/>
            </w:tcMar>
            <w:hideMark/>
          </w:tcPr>
          <w:p w14:paraId="7B591CF2" w14:textId="77777777" w:rsidR="004340CF" w:rsidRPr="00590703" w:rsidRDefault="00317A18"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In order to prevent non-compliance, we are implementing a number of Budget 2021 initiatives, including the creation of a Taxpayer Protection Taskforce to combat fraud in the COVID-19 assistance programs.</w:t>
            </w:r>
          </w:p>
        </w:tc>
      </w:tr>
      <w:tr w:rsidR="00590703" w:rsidRPr="00590703" w14:paraId="55ED9573"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51C64B40" w14:textId="77777777" w:rsidR="004340CF" w:rsidRPr="00590703" w:rsidRDefault="00964B65"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Budgetary policies for 2021</w:t>
            </w:r>
          </w:p>
        </w:tc>
        <w:tc>
          <w:tcPr>
            <w:tcW w:w="0" w:type="auto"/>
            <w:tcBorders>
              <w:bottom w:val="single" w:sz="6" w:space="0" w:color="B1B4B6"/>
            </w:tcBorders>
            <w:shd w:val="clear" w:color="auto" w:fill="FFFFFF"/>
            <w:tcMar>
              <w:top w:w="150" w:type="dxa"/>
              <w:left w:w="0" w:type="dxa"/>
              <w:bottom w:w="150" w:type="dxa"/>
              <w:right w:w="0" w:type="dxa"/>
            </w:tcMar>
            <w:hideMark/>
          </w:tcPr>
          <w:p w14:paraId="3F41AF44" w14:textId="77777777" w:rsidR="004340CF" w:rsidRPr="00590703" w:rsidRDefault="00964B65"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We will pass and put into effect Budget 2021 policy measures in 2021–2022, such as the new super-deduction for capital allowances, extended loss carry-back, and red diesel modifications.</w:t>
            </w:r>
          </w:p>
        </w:tc>
      </w:tr>
      <w:tr w:rsidR="00590703" w:rsidRPr="00590703" w14:paraId="2045116B"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168B3D23" w14:textId="77777777" w:rsidR="004340CF" w:rsidRPr="00590703" w:rsidRDefault="00964B65"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lastRenderedPageBreak/>
              <w:t>Bill 2021 Regarding National Insurance Contributions</w:t>
            </w:r>
          </w:p>
        </w:tc>
        <w:tc>
          <w:tcPr>
            <w:tcW w:w="0" w:type="auto"/>
            <w:tcBorders>
              <w:bottom w:val="single" w:sz="6" w:space="0" w:color="B1B4B6"/>
            </w:tcBorders>
            <w:shd w:val="clear" w:color="auto" w:fill="FFFFFF"/>
            <w:tcMar>
              <w:top w:w="150" w:type="dxa"/>
              <w:left w:w="0" w:type="dxa"/>
              <w:bottom w:w="150" w:type="dxa"/>
              <w:right w:w="0" w:type="dxa"/>
            </w:tcMar>
            <w:hideMark/>
          </w:tcPr>
          <w:p w14:paraId="76B531D1" w14:textId="77777777" w:rsidR="004340CF" w:rsidRPr="00590703" w:rsidRDefault="00964B65"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The 2019 manifesto pledges on Freeports NICs relief and Employer NICs veterans' vacation will be implemented through a National Insurance Contributions (NICs) Parliamentary Bill that we will produce and oversee.</w:t>
            </w:r>
          </w:p>
        </w:tc>
      </w:tr>
      <w:tr w:rsidR="00590703" w:rsidRPr="00590703" w14:paraId="17EF0B1E"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14B9FE54" w14:textId="77777777" w:rsidR="004340CF" w:rsidRPr="00590703" w:rsidRDefault="00964B65"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fresh anti-evasion techniques</w:t>
            </w:r>
          </w:p>
        </w:tc>
        <w:tc>
          <w:tcPr>
            <w:tcW w:w="0" w:type="auto"/>
            <w:tcBorders>
              <w:bottom w:val="single" w:sz="6" w:space="0" w:color="B1B4B6"/>
            </w:tcBorders>
            <w:shd w:val="clear" w:color="auto" w:fill="FFFFFF"/>
            <w:tcMar>
              <w:top w:w="150" w:type="dxa"/>
              <w:left w:w="0" w:type="dxa"/>
              <w:bottom w:w="150" w:type="dxa"/>
              <w:right w:w="0" w:type="dxa"/>
            </w:tcMar>
            <w:hideMark/>
          </w:tcPr>
          <w:p w14:paraId="3E5EA8CB" w14:textId="77777777" w:rsidR="00952F63"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In 2021–2022, we will put measures in place to combat tax evasion in the construction industry, tighten down on illegal cigarette sales, and take more steps to prevent multinational corporations from moving profits to avoid paying taxes.</w:t>
            </w:r>
          </w:p>
          <w:p w14:paraId="507E4A23" w14:textId="77777777" w:rsidR="004340CF" w:rsidRPr="00590703" w:rsidRDefault="004340CF" w:rsidP="00590703">
            <w:pPr>
              <w:spacing w:line="360" w:lineRule="auto"/>
              <w:rPr>
                <w:rFonts w:ascii="Times New Roman" w:eastAsia="Times New Roman" w:hAnsi="Times New Roman" w:cs="Times New Roman"/>
                <w:color w:val="000000" w:themeColor="text1"/>
                <w:sz w:val="24"/>
                <w:szCs w:val="24"/>
              </w:rPr>
            </w:pPr>
          </w:p>
        </w:tc>
      </w:tr>
      <w:tr w:rsidR="00590703" w:rsidRPr="00590703" w14:paraId="05824D30"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488A2EAD" w14:textId="77777777" w:rsidR="004340CF"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control the time to pay</w:t>
            </w:r>
          </w:p>
        </w:tc>
        <w:tc>
          <w:tcPr>
            <w:tcW w:w="0" w:type="auto"/>
            <w:tcBorders>
              <w:bottom w:val="single" w:sz="6" w:space="0" w:color="B1B4B6"/>
            </w:tcBorders>
            <w:shd w:val="clear" w:color="auto" w:fill="FFFFFF"/>
            <w:tcMar>
              <w:top w:w="150" w:type="dxa"/>
              <w:left w:w="0" w:type="dxa"/>
              <w:bottom w:w="150" w:type="dxa"/>
              <w:right w:w="0" w:type="dxa"/>
            </w:tcMar>
            <w:hideMark/>
          </w:tcPr>
          <w:p w14:paraId="782D8633" w14:textId="77777777" w:rsidR="004340CF" w:rsidRPr="00590703" w:rsidRDefault="004340CF"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w:t>
            </w:r>
            <w:r w:rsidR="00952F63" w:rsidRPr="00590703">
              <w:rPr>
                <w:rFonts w:ascii="Times New Roman" w:eastAsia="Times New Roman" w:hAnsi="Times New Roman" w:cs="Times New Roman"/>
                <w:color w:val="000000" w:themeColor="text1"/>
                <w:sz w:val="24"/>
                <w:szCs w:val="24"/>
              </w:rPr>
              <w:t>As our clients recover from the epidemic, we will continue to assist them with their money, including where required by providing "time to pay."</w:t>
            </w:r>
          </w:p>
        </w:tc>
      </w:tr>
      <w:tr w:rsidR="00590703" w:rsidRPr="00590703" w14:paraId="30B32C24"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72D7EB3F" w14:textId="77777777" w:rsidR="004340CF"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Giving bad debt and the Debt Respite Scheme some breathing room</w:t>
            </w:r>
          </w:p>
        </w:tc>
        <w:tc>
          <w:tcPr>
            <w:tcW w:w="0" w:type="auto"/>
            <w:tcBorders>
              <w:bottom w:val="single" w:sz="6" w:space="0" w:color="B1B4B6"/>
            </w:tcBorders>
            <w:shd w:val="clear" w:color="auto" w:fill="FFFFFF"/>
            <w:tcMar>
              <w:top w:w="150" w:type="dxa"/>
              <w:left w:w="0" w:type="dxa"/>
              <w:bottom w:w="150" w:type="dxa"/>
              <w:right w:w="0" w:type="dxa"/>
            </w:tcMar>
            <w:hideMark/>
          </w:tcPr>
          <w:p w14:paraId="6068D4A8" w14:textId="77777777" w:rsidR="004340CF"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In order to provide consumers with problematic debt up to 60 days of "breathing room" from HMRC creditors' activities, we are offering a solution.</w:t>
            </w:r>
          </w:p>
        </w:tc>
      </w:tr>
      <w:tr w:rsidR="00590703" w:rsidRPr="00590703" w14:paraId="4C52C3FC" w14:textId="77777777" w:rsidTr="004340CF">
        <w:tc>
          <w:tcPr>
            <w:tcW w:w="0" w:type="auto"/>
            <w:tcBorders>
              <w:bottom w:val="single" w:sz="6" w:space="0" w:color="B1B4B6"/>
            </w:tcBorders>
            <w:shd w:val="clear" w:color="auto" w:fill="FFFFFF"/>
            <w:tcMar>
              <w:top w:w="150" w:type="dxa"/>
              <w:left w:w="0" w:type="dxa"/>
              <w:bottom w:w="150" w:type="dxa"/>
              <w:right w:w="300" w:type="dxa"/>
            </w:tcMar>
            <w:hideMark/>
          </w:tcPr>
          <w:p w14:paraId="64B12543" w14:textId="77777777" w:rsidR="004340CF"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lastRenderedPageBreak/>
              <w:t>promoting the implementation of Universal Credit</w:t>
            </w:r>
          </w:p>
        </w:tc>
        <w:tc>
          <w:tcPr>
            <w:tcW w:w="0" w:type="auto"/>
            <w:tcBorders>
              <w:bottom w:val="single" w:sz="6" w:space="0" w:color="B1B4B6"/>
            </w:tcBorders>
            <w:shd w:val="clear" w:color="auto" w:fill="FFFFFF"/>
            <w:tcMar>
              <w:top w:w="150" w:type="dxa"/>
              <w:left w:w="0" w:type="dxa"/>
              <w:bottom w:w="150" w:type="dxa"/>
              <w:right w:w="0" w:type="dxa"/>
            </w:tcMar>
            <w:hideMark/>
          </w:tcPr>
          <w:p w14:paraId="7AEF606A" w14:textId="77777777" w:rsidR="004340CF" w:rsidRPr="00590703" w:rsidRDefault="00952F63" w:rsidP="00590703">
            <w:pPr>
              <w:spacing w:before="450" w:after="45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In order to eventually close the tax credit system, we continue to assist the Department for Work and Pensions with the implementation of Universal Credit.</w:t>
            </w:r>
          </w:p>
        </w:tc>
      </w:tr>
    </w:tbl>
    <w:p w14:paraId="1E356F98" w14:textId="77777777" w:rsidR="001C5A6B" w:rsidRPr="00590703" w:rsidRDefault="001C5A6B" w:rsidP="00590703">
      <w:pPr>
        <w:spacing w:line="360" w:lineRule="auto"/>
        <w:jc w:val="both"/>
        <w:rPr>
          <w:rFonts w:ascii="Times New Roman" w:hAnsi="Times New Roman" w:cs="Times New Roman"/>
          <w:b/>
          <w:color w:val="000000" w:themeColor="text1"/>
          <w:sz w:val="24"/>
          <w:szCs w:val="24"/>
        </w:rPr>
      </w:pPr>
    </w:p>
    <w:p w14:paraId="0306D3EB" w14:textId="77777777" w:rsidR="003824B7" w:rsidRPr="00590703" w:rsidRDefault="00567A1E"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 xml:space="preserve">Nottingham City </w:t>
      </w:r>
    </w:p>
    <w:p w14:paraId="37FC8C9A" w14:textId="77777777" w:rsidR="003735E1" w:rsidRPr="00590703" w:rsidRDefault="00CA08E1"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3 Good Health &amp; Wellbeing</w:t>
      </w:r>
    </w:p>
    <w:p w14:paraId="6EAACC8E" w14:textId="77777777" w:rsidR="008D231E" w:rsidRPr="00590703" w:rsidRDefault="00F443D6" w:rsidP="00590703">
      <w:pPr>
        <w:pStyle w:val="Heading1"/>
        <w:spacing w:line="360" w:lineRule="auto"/>
        <w:rPr>
          <w:rFonts w:ascii="Times New Roman" w:eastAsia="Times New Roman" w:hAnsi="Times New Roman" w:cs="Times New Roman"/>
          <w:color w:val="000000" w:themeColor="text1"/>
          <w:sz w:val="24"/>
          <w:szCs w:val="24"/>
        </w:rPr>
      </w:pPr>
      <w:hyperlink r:id="rId8" w:tgtFrame="_blank" w:history="1">
        <w:bookmarkStart w:id="7" w:name="_Toc120863326"/>
        <w:r w:rsidR="008D231E" w:rsidRPr="00590703">
          <w:rPr>
            <w:rFonts w:ascii="Times New Roman" w:eastAsia="Times New Roman" w:hAnsi="Times New Roman" w:cs="Times New Roman"/>
            <w:color w:val="000000" w:themeColor="text1"/>
            <w:sz w:val="24"/>
            <w:szCs w:val="24"/>
          </w:rPr>
          <w:t>Nottingham Joint Health and Wellbeing Strategy (2022 – 2025)</w:t>
        </w:r>
        <w:bookmarkEnd w:id="7"/>
      </w:hyperlink>
    </w:p>
    <w:p w14:paraId="297667E9" w14:textId="77777777" w:rsidR="00952F63" w:rsidRPr="00590703" w:rsidRDefault="00952F63" w:rsidP="00590703">
      <w:pPr>
        <w:spacing w:line="360" w:lineRule="auto"/>
        <w:rPr>
          <w:rFonts w:ascii="Times New Roman" w:hAnsi="Times New Roman" w:cs="Times New Roman"/>
          <w:color w:val="000000" w:themeColor="text1"/>
          <w:sz w:val="24"/>
          <w:szCs w:val="24"/>
        </w:rPr>
      </w:pPr>
    </w:p>
    <w:p w14:paraId="3E7D2718" w14:textId="77777777" w:rsidR="00952F63" w:rsidRPr="00590703" w:rsidRDefault="00952F63" w:rsidP="00590703">
      <w:pPr>
        <w:spacing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The plan seeks to provide a healthier environment for people to live, work, and play in Nottingham City. The following are top priorities: Financial Wellbeing, Severe Multiple Disadvantage, Eating and exercising for optimum health, and Smoking and Tobacco Control.</w:t>
      </w:r>
    </w:p>
    <w:p w14:paraId="62518834" w14:textId="77777777" w:rsidR="00952F63" w:rsidRPr="00590703" w:rsidRDefault="00952F63" w:rsidP="00590703">
      <w:pPr>
        <w:spacing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Smoking</w:t>
      </w:r>
    </w:p>
    <w:p w14:paraId="6CE30D7A" w14:textId="77777777" w:rsidR="00952F63" w:rsidRPr="00590703" w:rsidRDefault="00952F63" w:rsidP="00590703">
      <w:pPr>
        <w:spacing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Since more than 20 years, smoking has been the leading cause of (preventable) mortality and disease in Nottingham. In Nottingham, just over one in five adults now smoke, which is much more than the 13.9% national average for England.</w:t>
      </w:r>
    </w:p>
    <w:p w14:paraId="5D88F250" w14:textId="77777777" w:rsidR="00B63344" w:rsidRPr="00590703" w:rsidRDefault="00B6334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Scope</w:t>
      </w:r>
    </w:p>
    <w:p w14:paraId="69C4BD9A"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 Nottingham City, smoking continues to be the leading contributor to ill health and premature mortality. Smoking is thought to cost Nottingham roughly £137 million annually. Reducing the prevalence of smoking will enhance health outcomes, aid in the fight against poverty, increase productivity, and give children and babies a better start in life.</w:t>
      </w:r>
    </w:p>
    <w:p w14:paraId="3BAAB548" w14:textId="77777777" w:rsidR="00702AF1" w:rsidRPr="00590703" w:rsidRDefault="00702AF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lastRenderedPageBreak/>
        <w:t xml:space="preserve">Obesity </w:t>
      </w:r>
    </w:p>
    <w:p w14:paraId="1EF95A0F"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Every year, we weigh and measure children in Nottinghamshire to better understand the prevalence and trends of obesity in our population. According to the National Child Measurement Program, a lot of the risk factors for obesity are linked to a poor diet and insufficient exercise.</w:t>
      </w:r>
    </w:p>
    <w:p w14:paraId="5F00AF30"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 order to offer framework for a whole system approach to enhancing health and well-being, we have defined five key themes that need to be investigated.</w:t>
      </w:r>
    </w:p>
    <w:p w14:paraId="384DB80D"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Food plan: ecology, poverty, and sustainable food sources</w:t>
      </w:r>
    </w:p>
    <w:p w14:paraId="189AAEFB"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Exercise, recreation facilities, parks, and other open areas 3) Schools and daycare centers</w:t>
      </w:r>
    </w:p>
    <w:p w14:paraId="01378803"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Neighborhood and volunteer sector</w:t>
      </w:r>
    </w:p>
    <w:p w14:paraId="4A6990BD"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Suitable weight-loss methods</w:t>
      </w:r>
    </w:p>
    <w:p w14:paraId="4EE27E99" w14:textId="77777777" w:rsidR="00794338" w:rsidRPr="00590703" w:rsidRDefault="001907D8"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Deprivation </w:t>
      </w:r>
    </w:p>
    <w:p w14:paraId="621F9403"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Out of 317 districts in England, Nottingham was classified as the 11th most disadvantaged district. These include money, job, education, health, and crime. This is dependent on a variety of variables. To facilitate comparisons with other regions in the country, Nottingham can be broken into smaller geographic sections.</w:t>
      </w:r>
    </w:p>
    <w:p w14:paraId="707E2E86"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According to the Office for National Statistics, 54% of the people who call Nottingham home living in one of the 20% of the country's most impoverished regions. Only one ward in Nottingham City, which is located in the most impoverished region of the nation, has even one LSOA (Nottingham City).</w:t>
      </w:r>
    </w:p>
    <w:p w14:paraId="33CBB90D" w14:textId="77777777" w:rsidR="002369A3" w:rsidRPr="00590703" w:rsidRDefault="002369A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Scope </w:t>
      </w:r>
    </w:p>
    <w:p w14:paraId="2986F0A1" w14:textId="77777777" w:rsidR="00A14240" w:rsidRPr="00590703" w:rsidRDefault="00A14240"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Types of Intervention </w:t>
      </w:r>
    </w:p>
    <w:p w14:paraId="38CA2036"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Nottingham City Council has started a new work stream with the goal of enhancing the experiences and results of Nottingham residents who are dealing with social minority disorder (SMD). Homelessness, substance abuse, mental health conditions, domestic violence, and involvement with the criminal justice system are among the conditions that qualify as SMD.</w:t>
      </w:r>
    </w:p>
    <w:p w14:paraId="3D429BA6"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lastRenderedPageBreak/>
        <w:t>Interventions that just aim to alter people's behavior have the potential to increase inequality rather than decrease it.</w:t>
      </w:r>
    </w:p>
    <w:p w14:paraId="3F59F596"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An important tenet of the NHS in England is the focus on prevention rather than treatment of ill health. Prevention can take place at many points and in various methods, such as through law, taxes, cycling routes, or the early identification of those who are at risk.</w:t>
      </w:r>
    </w:p>
    <w:p w14:paraId="792F63DD" w14:textId="77777777" w:rsidR="001205A1" w:rsidRPr="00590703" w:rsidRDefault="001205A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People are at the core of our strategy since it is their mental and physical welfare that we are trying to enhance for both individuals and communities. We must understand that everyone will feel differently about their health and wellness. Some people might not be aware that they have a problem, while others might want to change but not know how to.</w:t>
      </w:r>
    </w:p>
    <w:p w14:paraId="2A171677" w14:textId="77777777" w:rsidR="00CA08E1" w:rsidRPr="00590703" w:rsidRDefault="00CD4835"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4 Quality Education</w:t>
      </w:r>
    </w:p>
    <w:p w14:paraId="52C58C66" w14:textId="77777777" w:rsidR="001205A1" w:rsidRPr="00590703" w:rsidRDefault="001205A1" w:rsidP="00590703">
      <w:pPr>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SEND 0-25 years 2018-2023 strategy aims to improve outcomes for children and young people with special educational needs and disabilities (SEND).</w:t>
      </w:r>
    </w:p>
    <w:p w14:paraId="7FA81598"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 Nottingham's schools, there are 46,000 students, and 14.4% of them have special needs.</w:t>
      </w:r>
    </w:p>
    <w:p w14:paraId="6E5161AD"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It is believed that between 2,000 and 3,500 children have a disability.</w:t>
      </w:r>
    </w:p>
    <w:p w14:paraId="431D149F"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SEND and deprivation are related, and children and young people with SEND are much more prevalent in the city's poorer wards.</w:t>
      </w:r>
    </w:p>
    <w:p w14:paraId="4DACEB75"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Children and adolescents with SEND (source: DfE, July 2017) include:</w:t>
      </w:r>
    </w:p>
    <w:p w14:paraId="7DD1BD38"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26.4% have mild learning challenges.</w:t>
      </w:r>
    </w:p>
    <w:p w14:paraId="725505C0"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17.9% of people have social, emotional, and mental health needs, and 12.3% have an autism diagnosis.</w:t>
      </w:r>
    </w:p>
    <w:p w14:paraId="42CA930E"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Top</w:t>
      </w:r>
      <w:r w:rsidR="00FA2413" w:rsidRPr="00590703">
        <w:rPr>
          <w:rFonts w:ascii="Times New Roman" w:hAnsi="Times New Roman" w:cs="Times New Roman"/>
          <w:color w:val="000000" w:themeColor="text1"/>
          <w:sz w:val="24"/>
          <w:szCs w:val="24"/>
        </w:rPr>
        <w:t xml:space="preserve"> priorities for 2018 through 2023</w:t>
      </w:r>
    </w:p>
    <w:p w14:paraId="7078671C"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Following consultation with children and young people, their families, schools and other settings, as well as social care and health providers, the following priorities have been determined:</w:t>
      </w:r>
    </w:p>
    <w:p w14:paraId="56189402"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Promoting</w:t>
      </w:r>
      <w:r w:rsidR="00FA2413" w:rsidRPr="00590703">
        <w:rPr>
          <w:rFonts w:ascii="Times New Roman" w:hAnsi="Times New Roman" w:cs="Times New Roman"/>
          <w:color w:val="000000" w:themeColor="text1"/>
          <w:sz w:val="24"/>
          <w:szCs w:val="24"/>
        </w:rPr>
        <w:t xml:space="preserve"> inclusivity in all contexts and schools</w:t>
      </w:r>
    </w:p>
    <w:p w14:paraId="07F2EDDE"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Support for families throughout the early years</w:t>
      </w:r>
    </w:p>
    <w:p w14:paraId="0D9C08A9"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lastRenderedPageBreak/>
        <w:t>Early diagnosis and delivery of an evidence-based intervention for students with SEMH is a fundamental necessity</w:t>
      </w:r>
    </w:p>
    <w:p w14:paraId="3604F8E9"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Making provisions for children and young people with SEND that reflect changing demand and provide a continuum of good/outstanding care</w:t>
      </w:r>
    </w:p>
    <w:p w14:paraId="77CDE15A"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Easing</w:t>
      </w:r>
      <w:r w:rsidR="00FA2413" w:rsidRPr="00590703">
        <w:rPr>
          <w:rFonts w:ascii="Times New Roman" w:hAnsi="Times New Roman" w:cs="Times New Roman"/>
          <w:color w:val="000000" w:themeColor="text1"/>
          <w:sz w:val="24"/>
          <w:szCs w:val="24"/>
        </w:rPr>
        <w:t xml:space="preserve"> the transition for students with SEND</w:t>
      </w:r>
    </w:p>
    <w:p w14:paraId="304B2A50"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Encouraging</w:t>
      </w:r>
      <w:r w:rsidR="00FA2413" w:rsidRPr="00590703">
        <w:rPr>
          <w:rFonts w:ascii="Times New Roman" w:hAnsi="Times New Roman" w:cs="Times New Roman"/>
          <w:color w:val="000000" w:themeColor="text1"/>
          <w:sz w:val="24"/>
          <w:szCs w:val="24"/>
        </w:rPr>
        <w:t xml:space="preserve"> co-creation with kids, teens, and their families</w:t>
      </w:r>
    </w:p>
    <w:p w14:paraId="4EA31933"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For each year the strategy is implemented, a thorough action plan will be created.</w:t>
      </w:r>
    </w:p>
    <w:p w14:paraId="620AA712" w14:textId="77777777" w:rsidR="00CD4835" w:rsidRPr="00590703" w:rsidRDefault="00744533"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17 Partnerships to achieve the Goals</w:t>
      </w:r>
    </w:p>
    <w:p w14:paraId="4DB84CCF" w14:textId="77777777" w:rsidR="00AC4F86" w:rsidRPr="00590703" w:rsidRDefault="00800E50" w:rsidP="00590703">
      <w:pPr>
        <w:pStyle w:val="Heading1"/>
        <w:spacing w:line="360" w:lineRule="auto"/>
        <w:rPr>
          <w:rFonts w:ascii="Times New Roman" w:hAnsi="Times New Roman" w:cs="Times New Roman"/>
          <w:color w:val="000000" w:themeColor="text1"/>
          <w:sz w:val="24"/>
          <w:szCs w:val="24"/>
        </w:rPr>
      </w:pPr>
      <w:bookmarkStart w:id="8" w:name="_Toc120863328"/>
      <w:r w:rsidRPr="00590703">
        <w:rPr>
          <w:rFonts w:ascii="Times New Roman" w:hAnsi="Times New Roman" w:cs="Times New Roman"/>
          <w:color w:val="000000" w:themeColor="text1"/>
          <w:sz w:val="24"/>
          <w:szCs w:val="24"/>
        </w:rPr>
        <w:t>Land</w:t>
      </w:r>
      <w:r w:rsidR="00752D07" w:rsidRPr="00590703">
        <w:rPr>
          <w:rFonts w:ascii="Times New Roman" w:hAnsi="Times New Roman" w:cs="Times New Roman"/>
          <w:color w:val="000000" w:themeColor="text1"/>
          <w:sz w:val="24"/>
          <w:szCs w:val="24"/>
        </w:rPr>
        <w:t xml:space="preserve"> and planning policies</w:t>
      </w:r>
      <w:bookmarkEnd w:id="8"/>
    </w:p>
    <w:p w14:paraId="326770ED" w14:textId="77777777" w:rsidR="00FA2413" w:rsidRPr="00590703" w:rsidRDefault="00FA2413" w:rsidP="00590703">
      <w:pPr>
        <w:spacing w:line="360" w:lineRule="auto"/>
        <w:rPr>
          <w:rFonts w:ascii="Times New Roman" w:hAnsi="Times New Roman" w:cs="Times New Roman"/>
          <w:color w:val="000000" w:themeColor="text1"/>
          <w:sz w:val="24"/>
          <w:szCs w:val="24"/>
        </w:rPr>
      </w:pPr>
    </w:p>
    <w:p w14:paraId="4563F1C3"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Local Area Plan (LAPP) for the area outlines the spatial vision and spatial objectives for Greater Nottingham. These are in line with the Sustainable Community Strategy and national planning policy guidelines as well as the Nottingham Plan to 2020. This vision and goals are reflected in the LAPP, which aims to put them into action.</w:t>
      </w:r>
    </w:p>
    <w:p w14:paraId="263EB27D"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Following is a summary of the twelve goals:</w:t>
      </w:r>
    </w:p>
    <w:p w14:paraId="4E52276C"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Environment-friendly construction that combats climate change</w:t>
      </w:r>
    </w:p>
    <w:p w14:paraId="40BF350C"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Superior</w:t>
      </w:r>
      <w:r w:rsidR="00FA2413" w:rsidRPr="00590703">
        <w:rPr>
          <w:rFonts w:ascii="Times New Roman" w:hAnsi="Times New Roman" w:cs="Times New Roman"/>
          <w:color w:val="000000" w:themeColor="text1"/>
          <w:sz w:val="24"/>
          <w:szCs w:val="24"/>
        </w:rPr>
        <w:t xml:space="preserve"> new housing</w:t>
      </w:r>
    </w:p>
    <w:p w14:paraId="0262ECE6"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Economic success for everyone </w:t>
      </w:r>
      <w:r w:rsidR="00671A0F" w:rsidRPr="00590703">
        <w:rPr>
          <w:rFonts w:ascii="Times New Roman" w:hAnsi="Times New Roman" w:cs="Times New Roman"/>
          <w:color w:val="000000" w:themeColor="text1"/>
          <w:sz w:val="24"/>
          <w:szCs w:val="24"/>
        </w:rPr>
        <w:t>bustling</w:t>
      </w:r>
      <w:r w:rsidRPr="00590703">
        <w:rPr>
          <w:rFonts w:ascii="Times New Roman" w:hAnsi="Times New Roman" w:cs="Times New Roman"/>
          <w:color w:val="000000" w:themeColor="text1"/>
          <w:sz w:val="24"/>
          <w:szCs w:val="24"/>
        </w:rPr>
        <w:t xml:space="preserve"> and energetic town centers</w:t>
      </w:r>
    </w:p>
    <w:p w14:paraId="2826D75F"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Regeneration</w:t>
      </w:r>
    </w:p>
    <w:p w14:paraId="75212A9B"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Preserving</w:t>
      </w:r>
      <w:r w:rsidR="00FA2413" w:rsidRPr="00590703">
        <w:rPr>
          <w:rFonts w:ascii="Times New Roman" w:hAnsi="Times New Roman" w:cs="Times New Roman"/>
          <w:color w:val="000000" w:themeColor="text1"/>
          <w:sz w:val="24"/>
          <w:szCs w:val="24"/>
        </w:rPr>
        <w:t xml:space="preserve"> and improving the region's uniqueness, history, and local identity</w:t>
      </w:r>
    </w:p>
    <w:p w14:paraId="146C7E03"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Thriving</w:t>
      </w:r>
      <w:r w:rsidR="00FA2413" w:rsidRPr="00590703">
        <w:rPr>
          <w:rFonts w:ascii="Times New Roman" w:hAnsi="Times New Roman" w:cs="Times New Roman"/>
          <w:color w:val="000000" w:themeColor="text1"/>
          <w:sz w:val="24"/>
          <w:szCs w:val="24"/>
        </w:rPr>
        <w:t>, secure, and harmonious communities</w:t>
      </w:r>
    </w:p>
    <w:p w14:paraId="212AFCC1"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Wellness and good health</w:t>
      </w:r>
    </w:p>
    <w:p w14:paraId="092F2C6B"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Equal opportunities</w:t>
      </w:r>
    </w:p>
    <w:p w14:paraId="71C7B01A"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Excellent transportation options and a reduction in trip time</w:t>
      </w:r>
    </w:p>
    <w:p w14:paraId="14BBCE3C" w14:textId="77777777" w:rsidR="00FA2413" w:rsidRPr="00590703" w:rsidRDefault="00671A0F"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lastRenderedPageBreak/>
        <w:t>Enhancing</w:t>
      </w:r>
      <w:r w:rsidR="00FA2413" w:rsidRPr="00590703">
        <w:rPr>
          <w:rFonts w:ascii="Times New Roman" w:hAnsi="Times New Roman" w:cs="Times New Roman"/>
          <w:color w:val="000000" w:themeColor="text1"/>
          <w:sz w:val="24"/>
          <w:szCs w:val="24"/>
        </w:rPr>
        <w:t xml:space="preserve"> and preserving natural resources 12. A current and functional infrastructure</w:t>
      </w:r>
    </w:p>
    <w:p w14:paraId="03E37FC9"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Nottingham housing supply from 2011 to 28</w:t>
      </w:r>
    </w:p>
    <w:p w14:paraId="49A9E709"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Past Completions 2011-18                                                                                             </w:t>
      </w:r>
      <w:r w:rsidR="00FA2413" w:rsidRPr="00590703">
        <w:rPr>
          <w:rFonts w:ascii="Times New Roman" w:hAnsi="Times New Roman" w:cs="Times New Roman"/>
          <w:color w:val="000000" w:themeColor="text1"/>
          <w:sz w:val="24"/>
          <w:szCs w:val="24"/>
        </w:rPr>
        <w:t xml:space="preserve">                           6,022</w:t>
      </w:r>
      <w:r w:rsidRPr="00590703">
        <w:rPr>
          <w:rFonts w:ascii="Times New Roman" w:hAnsi="Times New Roman" w:cs="Times New Roman"/>
          <w:color w:val="000000" w:themeColor="text1"/>
          <w:sz w:val="24"/>
          <w:szCs w:val="24"/>
        </w:rPr>
        <w:t xml:space="preserve"> </w:t>
      </w:r>
    </w:p>
    <w:p w14:paraId="161113C5"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Waterside                                                                                                                          </w:t>
      </w:r>
      <w:r w:rsidR="00FA2413" w:rsidRPr="00590703">
        <w:rPr>
          <w:rFonts w:ascii="Times New Roman" w:hAnsi="Times New Roman" w:cs="Times New Roman"/>
          <w:color w:val="000000" w:themeColor="text1"/>
          <w:sz w:val="24"/>
          <w:szCs w:val="24"/>
        </w:rPr>
        <w:t xml:space="preserve">                           1,078</w:t>
      </w:r>
      <w:r w:rsidRPr="00590703">
        <w:rPr>
          <w:rFonts w:ascii="Times New Roman" w:hAnsi="Times New Roman" w:cs="Times New Roman"/>
          <w:color w:val="000000" w:themeColor="text1"/>
          <w:sz w:val="24"/>
          <w:szCs w:val="24"/>
        </w:rPr>
        <w:t xml:space="preserve"> </w:t>
      </w:r>
    </w:p>
    <w:p w14:paraId="28303BB1"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Boots Campus                                                                                                                     </w:t>
      </w:r>
      <w:r w:rsidR="00FA2413" w:rsidRPr="00590703">
        <w:rPr>
          <w:rFonts w:ascii="Times New Roman" w:hAnsi="Times New Roman" w:cs="Times New Roman"/>
          <w:color w:val="000000" w:themeColor="text1"/>
          <w:sz w:val="24"/>
          <w:szCs w:val="24"/>
        </w:rPr>
        <w:t xml:space="preserve">                             232</w:t>
      </w:r>
    </w:p>
    <w:p w14:paraId="5D6EC7F2"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 Stanton Tip                                                                                                                         </w:t>
      </w:r>
      <w:r w:rsidR="00FA2413" w:rsidRPr="00590703">
        <w:rPr>
          <w:rFonts w:ascii="Times New Roman" w:hAnsi="Times New Roman" w:cs="Times New Roman"/>
          <w:color w:val="000000" w:themeColor="text1"/>
          <w:sz w:val="24"/>
          <w:szCs w:val="24"/>
        </w:rPr>
        <w:t xml:space="preserve">                             352</w:t>
      </w:r>
      <w:r w:rsidRPr="00590703">
        <w:rPr>
          <w:rFonts w:ascii="Times New Roman" w:hAnsi="Times New Roman" w:cs="Times New Roman"/>
          <w:color w:val="000000" w:themeColor="text1"/>
          <w:sz w:val="24"/>
          <w:szCs w:val="24"/>
        </w:rPr>
        <w:t xml:space="preserve"> </w:t>
      </w:r>
    </w:p>
    <w:p w14:paraId="7DF97629"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Other LAPP Sites                                                                                                                 </w:t>
      </w:r>
      <w:r w:rsidR="00FA2413" w:rsidRPr="00590703">
        <w:rPr>
          <w:rFonts w:ascii="Times New Roman" w:hAnsi="Times New Roman" w:cs="Times New Roman"/>
          <w:color w:val="000000" w:themeColor="text1"/>
          <w:sz w:val="24"/>
          <w:szCs w:val="24"/>
        </w:rPr>
        <w:t xml:space="preserve">                            6,34</w:t>
      </w:r>
      <w:r w:rsidRPr="00590703">
        <w:rPr>
          <w:rFonts w:ascii="Times New Roman" w:hAnsi="Times New Roman" w:cs="Times New Roman"/>
          <w:color w:val="000000" w:themeColor="text1"/>
          <w:sz w:val="24"/>
          <w:szCs w:val="24"/>
        </w:rPr>
        <w:t xml:space="preserve">9 </w:t>
      </w:r>
    </w:p>
    <w:p w14:paraId="66370EA2" w14:textId="77777777" w:rsidR="004D05B4" w:rsidRPr="00590703" w:rsidRDefault="004D05B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Other sites deliverable by 2028 (taken from Strategic Housing Land Availability Assessment)       4,248 </w:t>
      </w:r>
    </w:p>
    <w:p w14:paraId="693953E9" w14:textId="77777777" w:rsidR="004D05B4" w:rsidRPr="00590703" w:rsidRDefault="004D05B4"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color w:val="000000" w:themeColor="text1"/>
          <w:sz w:val="24"/>
          <w:szCs w:val="24"/>
        </w:rPr>
        <w:t>Windfall Allowance 1,785 Demolitions -300 Housing provision in Nottingham 2011-2028            19,748</w:t>
      </w:r>
    </w:p>
    <w:p w14:paraId="57550389" w14:textId="77777777" w:rsidR="003824B7" w:rsidRPr="00590703" w:rsidRDefault="003226CE"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S</w:t>
      </w:r>
      <w:r w:rsidR="00526B57" w:rsidRPr="00590703">
        <w:rPr>
          <w:rFonts w:ascii="Times New Roman" w:hAnsi="Times New Roman" w:cs="Times New Roman"/>
          <w:b/>
          <w:color w:val="000000" w:themeColor="text1"/>
          <w:sz w:val="24"/>
          <w:szCs w:val="24"/>
        </w:rPr>
        <w:t xml:space="preserve">tatus of </w:t>
      </w:r>
      <w:r w:rsidRPr="00590703">
        <w:rPr>
          <w:rFonts w:ascii="Times New Roman" w:hAnsi="Times New Roman" w:cs="Times New Roman"/>
          <w:b/>
          <w:color w:val="000000" w:themeColor="text1"/>
          <w:sz w:val="24"/>
          <w:szCs w:val="24"/>
        </w:rPr>
        <w:t>Nottingham city</w:t>
      </w:r>
      <w:r w:rsidR="00526B57" w:rsidRPr="00590703">
        <w:rPr>
          <w:rFonts w:ascii="Times New Roman" w:hAnsi="Times New Roman" w:cs="Times New Roman"/>
          <w:b/>
          <w:color w:val="000000" w:themeColor="text1"/>
          <w:sz w:val="24"/>
          <w:szCs w:val="24"/>
        </w:rPr>
        <w:t xml:space="preserve"> and the progress it h</w:t>
      </w:r>
      <w:r w:rsidRPr="00590703">
        <w:rPr>
          <w:rFonts w:ascii="Times New Roman" w:hAnsi="Times New Roman" w:cs="Times New Roman"/>
          <w:b/>
          <w:color w:val="000000" w:themeColor="text1"/>
          <w:sz w:val="24"/>
          <w:szCs w:val="24"/>
        </w:rPr>
        <w:t>as made in achieving this goal</w:t>
      </w:r>
    </w:p>
    <w:p w14:paraId="73757C34" w14:textId="77777777" w:rsidR="00A71C8C" w:rsidRPr="00590703" w:rsidRDefault="00A71C8C"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3 Good Health &amp; Wellbeing</w:t>
      </w:r>
    </w:p>
    <w:p w14:paraId="7D2AC422"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 general, Nottingham residents' health is poorer than the national average. The average life expectancy in England is 79.4 years, whereas a male newborn born in Nottingham today has a life expectancy of 76.6 years. When you consider healthy life expectancy, which is the average number of years a person may anticipate to live without illness or disability, the picture becomes even more worrisome.</w:t>
      </w:r>
    </w:p>
    <w:p w14:paraId="6CB34642"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Nottingham has the third-lowest life expectancy for males of any local authority area in England at 56.4 years. Women in Nottingham may anticipate, on average, living roughly a third of their lives in bad health. In Nottingham's poorest neighborhoods, both men and women have shorter life expectancies.</w:t>
      </w:r>
    </w:p>
    <w:p w14:paraId="349B4032"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More over one in four (27.2%) of the nearly 17,000 youngsters in Nottinghamshire live in low-income homes.</w:t>
      </w:r>
    </w:p>
    <w:p w14:paraId="42FA9F7F" w14:textId="77777777" w:rsidR="00FA2413" w:rsidRPr="00590703" w:rsidRDefault="00FA2413"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 xml:space="preserve">Understanding the causes of people's health and wellbeing issues should be the starting point, not the finish. What will make sure that what we do as organizations as a consequence will have an </w:t>
      </w:r>
      <w:r w:rsidRPr="00590703">
        <w:rPr>
          <w:rFonts w:ascii="Times New Roman" w:hAnsi="Times New Roman" w:cs="Times New Roman"/>
          <w:color w:val="000000" w:themeColor="text1"/>
          <w:sz w:val="24"/>
          <w:szCs w:val="24"/>
        </w:rPr>
        <w:lastRenderedPageBreak/>
        <w:t>impact and genuinely mean something to individuals living in Nottingham is how we go about finding solutions, working with community groups and leaders.</w:t>
      </w:r>
    </w:p>
    <w:p w14:paraId="23C5A31B" w14:textId="77777777" w:rsidR="00A71C8C" w:rsidRPr="00590703" w:rsidRDefault="00A71C8C"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4 Quality Education</w:t>
      </w:r>
    </w:p>
    <w:p w14:paraId="700EFFB9" w14:textId="77777777" w:rsidR="00330434" w:rsidRPr="00590703" w:rsidRDefault="0033043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Despite no longer being an independent statutory body, Nottingham City Council is nevertheless vital to the education of Nottingham's children and youth.</w:t>
      </w:r>
    </w:p>
    <w:p w14:paraId="0A754FE6" w14:textId="77777777" w:rsidR="00330434" w:rsidRPr="00590703" w:rsidRDefault="0033043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Over 19,500 children under the age of 16 live in households where no one works, or in poverty, which amounts to over 35% of the population. Over 27% of students, including those in academies, speak English as a second language. Over 21% of students, including those in academies, have some sort of special educational need. In terms of raising achievement in the City, we have come a long way. We take pride in the fact that Ofsted rates the majority of our primary schools as excellent or better.</w:t>
      </w:r>
    </w:p>
    <w:p w14:paraId="5186EF6A" w14:textId="77777777" w:rsidR="00330434" w:rsidRPr="00590703" w:rsidRDefault="00330434"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Nottingham is a thriving city in Europe with a rich history and promising future. The levels of achievement for our young people, at all Key Stages, are still out of step with their counterparts nationally, despite the fact that we started from a poor foundation. The economic and cultural development of the City depends on our aspiration for education.</w:t>
      </w:r>
    </w:p>
    <w:p w14:paraId="409B8C93" w14:textId="77777777" w:rsidR="00A71C8C" w:rsidRPr="00590703" w:rsidRDefault="009E31C4" w:rsidP="00590703">
      <w:pPr>
        <w:spacing w:line="360" w:lineRule="auto"/>
        <w:jc w:val="both"/>
        <w:rPr>
          <w:rFonts w:ascii="Times New Roman" w:hAnsi="Times New Roman" w:cs="Times New Roman"/>
          <w:b/>
          <w:color w:val="000000" w:themeColor="text1"/>
          <w:sz w:val="24"/>
          <w:szCs w:val="24"/>
        </w:rPr>
      </w:pPr>
      <w:r w:rsidRPr="00590703">
        <w:rPr>
          <w:rFonts w:ascii="Times New Roman" w:hAnsi="Times New Roman" w:cs="Times New Roman"/>
          <w:b/>
          <w:color w:val="000000" w:themeColor="text1"/>
          <w:sz w:val="24"/>
          <w:szCs w:val="24"/>
        </w:rPr>
        <w:t>Goal 17 Partnerships to achieve the Goals</w:t>
      </w:r>
    </w:p>
    <w:p w14:paraId="2A6CBFCA" w14:textId="77777777" w:rsidR="007457E1" w:rsidRPr="00590703" w:rsidRDefault="00330434" w:rsidP="00590703">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Residents of Nottingham may now exchange points for actions they can do to lessen their carbon footprint and combat climate change. The platform for Green Rewards was initially introduced by Nottingham Trent University as a partner. The platform was created to motivate and inspire university employees and students to make healthy behavioral changes with regard to the environment.</w:t>
      </w:r>
      <w:r w:rsidR="000F42A1" w:rsidRPr="00590703">
        <w:rPr>
          <w:rFonts w:ascii="Times New Roman" w:eastAsia="Times New Roman" w:hAnsi="Times New Roman" w:cs="Times New Roman"/>
          <w:color w:val="000000" w:themeColor="text1"/>
          <w:sz w:val="24"/>
          <w:szCs w:val="24"/>
        </w:rPr>
        <w:br/>
      </w:r>
      <w:r w:rsidR="000F42A1" w:rsidRPr="00590703">
        <w:rPr>
          <w:rFonts w:ascii="Times New Roman" w:eastAsia="Times New Roman" w:hAnsi="Times New Roman" w:cs="Times New Roman"/>
          <w:color w:val="000000" w:themeColor="text1"/>
          <w:sz w:val="24"/>
          <w:szCs w:val="24"/>
        </w:rPr>
        <w:br/>
      </w:r>
      <w:r w:rsidRPr="00590703">
        <w:rPr>
          <w:rFonts w:ascii="Times New Roman" w:eastAsia="Times New Roman" w:hAnsi="Times New Roman" w:cs="Times New Roman"/>
          <w:color w:val="000000" w:themeColor="text1"/>
          <w:sz w:val="24"/>
          <w:szCs w:val="24"/>
        </w:rPr>
        <w:t>On the success of its Green Rewards program, the University of Nottingham has given a presentation. The Environmental Strategy Working Group received a presentation from NTU's head of sustainability (ESWG). The Nottingham City and County Council, both Nottingham Universities, and representatives from each of Nottinghamshire's districts make up this partnership group.</w:t>
      </w:r>
    </w:p>
    <w:p w14:paraId="290680CD" w14:textId="77777777" w:rsidR="007457E1" w:rsidRPr="00590703" w:rsidRDefault="007457E1" w:rsidP="00590703">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7987F8D5" w14:textId="77777777" w:rsidR="00330434" w:rsidRPr="00590703" w:rsidRDefault="00330434" w:rsidP="00590703">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lastRenderedPageBreak/>
        <w:t>The establishment of a County/City-wide Green Rewards platform, which would be accessible to residents in time for COP26, has been proposed to all Nottinghamshire Partners. Residents would use an app on their phone, a PC, or an iPad to register their good climate change acts on the platform.</w:t>
      </w:r>
    </w:p>
    <w:p w14:paraId="706204B4" w14:textId="77777777" w:rsidR="00330434" w:rsidRPr="00590703" w:rsidRDefault="00330434" w:rsidP="00590703">
      <w:pPr>
        <w:shd w:val="clear" w:color="auto" w:fill="FFFFFF"/>
        <w:spacing w:after="0" w:line="360" w:lineRule="auto"/>
        <w:jc w:val="both"/>
        <w:rPr>
          <w:rFonts w:ascii="Times New Roman" w:eastAsia="Times New Roman" w:hAnsi="Times New Roman" w:cs="Times New Roman"/>
          <w:color w:val="000000" w:themeColor="text1"/>
          <w:sz w:val="24"/>
          <w:szCs w:val="24"/>
        </w:rPr>
      </w:pPr>
    </w:p>
    <w:p w14:paraId="7B5B5B02" w14:textId="77777777" w:rsidR="00AB2780" w:rsidRPr="00590703" w:rsidRDefault="00330434" w:rsidP="00590703">
      <w:pPr>
        <w:shd w:val="clear" w:color="auto" w:fill="FFFFFF"/>
        <w:spacing w:after="0"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 xml:space="preserve">A county/city-wide </w:t>
      </w:r>
      <w:r w:rsidR="00671A0F" w:rsidRPr="00590703">
        <w:rPr>
          <w:rFonts w:ascii="Times New Roman" w:eastAsia="Times New Roman" w:hAnsi="Times New Roman" w:cs="Times New Roman"/>
          <w:color w:val="000000" w:themeColor="text1"/>
          <w:sz w:val="24"/>
          <w:szCs w:val="24"/>
        </w:rPr>
        <w:t>totalizer</w:t>
      </w:r>
      <w:r w:rsidRPr="00590703">
        <w:rPr>
          <w:rFonts w:ascii="Times New Roman" w:eastAsia="Times New Roman" w:hAnsi="Times New Roman" w:cs="Times New Roman"/>
          <w:color w:val="000000" w:themeColor="text1"/>
          <w:sz w:val="24"/>
          <w:szCs w:val="24"/>
        </w:rPr>
        <w:t xml:space="preserve"> for climate change campaigns is being looked on by Notts County Council and the University of Nottingham. This would serve as a clear illustration of how Nottinghamshire as a whole is very much committed to a collaborative approach to combating climate change.</w:t>
      </w:r>
    </w:p>
    <w:p w14:paraId="7ABF5209" w14:textId="77777777" w:rsidR="003824B7" w:rsidRPr="00590703" w:rsidRDefault="0008002C" w:rsidP="00590703">
      <w:pPr>
        <w:pStyle w:val="Heading1"/>
        <w:spacing w:line="360" w:lineRule="auto"/>
        <w:rPr>
          <w:rFonts w:ascii="Times New Roman" w:hAnsi="Times New Roman" w:cs="Times New Roman"/>
          <w:color w:val="000000" w:themeColor="text1"/>
          <w:sz w:val="24"/>
          <w:szCs w:val="24"/>
        </w:rPr>
      </w:pPr>
      <w:bookmarkStart w:id="9" w:name="_Toc120863329"/>
      <w:r w:rsidRPr="00590703">
        <w:rPr>
          <w:rFonts w:ascii="Times New Roman" w:hAnsi="Times New Roman" w:cs="Times New Roman"/>
          <w:color w:val="000000" w:themeColor="text1"/>
          <w:sz w:val="24"/>
          <w:szCs w:val="24"/>
        </w:rPr>
        <w:t>R</w:t>
      </w:r>
      <w:r w:rsidR="00526B57" w:rsidRPr="00590703">
        <w:rPr>
          <w:rFonts w:ascii="Times New Roman" w:hAnsi="Times New Roman" w:cs="Times New Roman"/>
          <w:color w:val="000000" w:themeColor="text1"/>
          <w:sz w:val="24"/>
          <w:szCs w:val="24"/>
        </w:rPr>
        <w:t xml:space="preserve">ecommendations for </w:t>
      </w:r>
      <w:r w:rsidRPr="00590703">
        <w:rPr>
          <w:rFonts w:ascii="Times New Roman" w:hAnsi="Times New Roman" w:cs="Times New Roman"/>
          <w:color w:val="000000" w:themeColor="text1"/>
          <w:sz w:val="24"/>
          <w:szCs w:val="24"/>
        </w:rPr>
        <w:t>Nottingham city</w:t>
      </w:r>
      <w:bookmarkEnd w:id="9"/>
      <w:r w:rsidR="00526B57" w:rsidRPr="00590703">
        <w:rPr>
          <w:rFonts w:ascii="Times New Roman" w:hAnsi="Times New Roman" w:cs="Times New Roman"/>
          <w:color w:val="000000" w:themeColor="text1"/>
          <w:sz w:val="24"/>
          <w:szCs w:val="24"/>
        </w:rPr>
        <w:t xml:space="preserve"> </w:t>
      </w:r>
    </w:p>
    <w:p w14:paraId="18BB1C48" w14:textId="77777777" w:rsidR="00330434" w:rsidRPr="00590703" w:rsidRDefault="00330434" w:rsidP="00590703">
      <w:pPr>
        <w:spacing w:line="360" w:lineRule="auto"/>
        <w:rPr>
          <w:rFonts w:ascii="Times New Roman" w:hAnsi="Times New Roman" w:cs="Times New Roman"/>
          <w:color w:val="000000" w:themeColor="text1"/>
          <w:sz w:val="24"/>
          <w:szCs w:val="24"/>
        </w:rPr>
      </w:pPr>
    </w:p>
    <w:p w14:paraId="5D38B71E" w14:textId="77777777" w:rsidR="00106AC1" w:rsidRPr="00590703" w:rsidRDefault="00106AC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Increase funding for initiatives with gender equality and inclusive education as their main goals.</w:t>
      </w:r>
    </w:p>
    <w:p w14:paraId="63D5E63E" w14:textId="77777777" w:rsidR="00106AC1" w:rsidRPr="00590703" w:rsidRDefault="00106AC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Put gender equality at the center of education policies and programming, supporting teacher training on gender equality in the classroom and giving priority to regions with large gender gaps, higher rates of gender-based violence, child marriage, and early marriage, as well as low rates of access to sexual and reproductive health services.</w:t>
      </w:r>
    </w:p>
    <w:p w14:paraId="1FEECB64" w14:textId="77777777" w:rsidR="00106AC1" w:rsidRPr="00590703" w:rsidRDefault="00106AC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The Overseas Development Agency (ODA) of Cardiff should greatly increase its assistance to the city's health sector. It should create, fund, and implement long-term health human resource initiatives. In accordance with national goals, make sure that all ODA for health supports robust, resilient health systems, particularly community health systems.</w:t>
      </w:r>
    </w:p>
    <w:p w14:paraId="26FD8044" w14:textId="77777777" w:rsidR="00106AC1" w:rsidRPr="00590703" w:rsidRDefault="00106AC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Rethink Economic Partnership Agreements by creating a fresh strategy that promotes equitable and sustainable economic growth, opportunities for gainful employment, and resolves gendered imbalances.</w:t>
      </w:r>
    </w:p>
    <w:p w14:paraId="662E685F" w14:textId="77777777" w:rsidR="00106AC1" w:rsidRPr="00590703" w:rsidRDefault="00106AC1" w:rsidP="00590703">
      <w:pPr>
        <w:spacing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Create appropriate oversight and transparency systems for trade agreements and discussions that involve civil society and labor unions.</w:t>
      </w:r>
    </w:p>
    <w:p w14:paraId="1D670325" w14:textId="77777777" w:rsidR="00671A0F" w:rsidRDefault="00671A0F" w:rsidP="00590703">
      <w:pPr>
        <w:pStyle w:val="Heading1"/>
        <w:spacing w:line="360" w:lineRule="auto"/>
        <w:rPr>
          <w:rFonts w:ascii="Times New Roman" w:hAnsi="Times New Roman" w:cs="Times New Roman"/>
          <w:color w:val="000000" w:themeColor="text1"/>
          <w:sz w:val="24"/>
          <w:szCs w:val="24"/>
        </w:rPr>
      </w:pPr>
      <w:bookmarkStart w:id="10" w:name="_Toc120863330"/>
    </w:p>
    <w:p w14:paraId="13F054DF" w14:textId="77777777" w:rsidR="0003415C" w:rsidRPr="00590703" w:rsidRDefault="0003415C" w:rsidP="00590703">
      <w:pPr>
        <w:pStyle w:val="Heading1"/>
        <w:spacing w:line="360" w:lineRule="auto"/>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Conclusion</w:t>
      </w:r>
      <w:bookmarkEnd w:id="10"/>
      <w:r w:rsidRPr="00590703">
        <w:rPr>
          <w:rFonts w:ascii="Times New Roman" w:hAnsi="Times New Roman" w:cs="Times New Roman"/>
          <w:color w:val="000000" w:themeColor="text1"/>
          <w:sz w:val="24"/>
          <w:szCs w:val="24"/>
        </w:rPr>
        <w:t xml:space="preserve"> </w:t>
      </w:r>
    </w:p>
    <w:p w14:paraId="05F4ABDB" w14:textId="77777777" w:rsidR="00106AC1" w:rsidRPr="00590703" w:rsidRDefault="00106AC1" w:rsidP="00590703">
      <w:pPr>
        <w:spacing w:line="360" w:lineRule="auto"/>
        <w:rPr>
          <w:rFonts w:ascii="Times New Roman" w:hAnsi="Times New Roman" w:cs="Times New Roman"/>
          <w:color w:val="000000" w:themeColor="text1"/>
          <w:sz w:val="24"/>
          <w:szCs w:val="24"/>
        </w:rPr>
      </w:pPr>
    </w:p>
    <w:p w14:paraId="1671B6EB" w14:textId="77777777" w:rsidR="00B671EB"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According to Sachs, the new development agenda set forward by world leaders presents challenges for achieving sustainable development goals (2015). In order to attain sustainable development, new techniques and tactics should be adopted. When the notion is approached holistically, with the integration of economic, environmental, and social issues, the concept can be realized. The concept should involve the use of indigenous knowledge and education promotion.</w:t>
      </w:r>
    </w:p>
    <w:p w14:paraId="23831E5A"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78303962"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6D166ADF"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100EDA09"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24CF49D6"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3F5063EB"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0A160BA9" w14:textId="77777777" w:rsidR="007457E1" w:rsidRPr="00590703" w:rsidRDefault="007457E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0ACA0B58"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0421E43F"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233DFDFC"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1C456FC3"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2EDD3CB2"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786E3C9F" w14:textId="77777777" w:rsidR="00106AC1" w:rsidRPr="00590703" w:rsidRDefault="00106AC1" w:rsidP="00590703">
      <w:pPr>
        <w:shd w:val="clear" w:color="auto" w:fill="FFFFFF"/>
        <w:spacing w:after="100" w:afterAutospacing="1" w:line="360" w:lineRule="auto"/>
        <w:jc w:val="both"/>
        <w:rPr>
          <w:rFonts w:ascii="Times New Roman" w:eastAsia="Times New Roman" w:hAnsi="Times New Roman" w:cs="Times New Roman"/>
          <w:color w:val="000000" w:themeColor="text1"/>
          <w:sz w:val="24"/>
          <w:szCs w:val="24"/>
        </w:rPr>
      </w:pPr>
    </w:p>
    <w:p w14:paraId="3818964D" w14:textId="77777777" w:rsidR="0031395E" w:rsidRPr="00590703" w:rsidRDefault="0031395E" w:rsidP="00590703">
      <w:pPr>
        <w:pStyle w:val="Heading1"/>
        <w:spacing w:line="360" w:lineRule="auto"/>
        <w:rPr>
          <w:rFonts w:ascii="Times New Roman" w:eastAsia="Times New Roman" w:hAnsi="Times New Roman" w:cs="Times New Roman"/>
          <w:color w:val="000000" w:themeColor="text1"/>
          <w:sz w:val="24"/>
          <w:szCs w:val="24"/>
        </w:rPr>
      </w:pPr>
      <w:bookmarkStart w:id="11" w:name="_Toc120863331"/>
      <w:r w:rsidRPr="00590703">
        <w:rPr>
          <w:rFonts w:ascii="Times New Roman" w:eastAsia="Times New Roman" w:hAnsi="Times New Roman" w:cs="Times New Roman"/>
          <w:color w:val="000000" w:themeColor="text1"/>
          <w:sz w:val="24"/>
          <w:szCs w:val="24"/>
        </w:rPr>
        <w:lastRenderedPageBreak/>
        <w:t>REFERENCES</w:t>
      </w:r>
      <w:bookmarkEnd w:id="11"/>
    </w:p>
    <w:p w14:paraId="224AC93D" w14:textId="77777777" w:rsidR="005E4937" w:rsidRPr="00590703" w:rsidRDefault="005E4937" w:rsidP="00590703">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 xml:space="preserve">Sachs, J. (2015). The Age of Sustainability Development. New York: Columbia University Press: </w:t>
      </w:r>
    </w:p>
    <w:p w14:paraId="2A16E4A8" w14:textId="77777777" w:rsidR="0033286F" w:rsidRPr="00590703" w:rsidRDefault="005E4937" w:rsidP="00590703">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Robles, W. (2018). Lecture notes on Rural Sustainability: Brandon University.</w:t>
      </w:r>
    </w:p>
    <w:p w14:paraId="4B4EBD0C" w14:textId="77777777" w:rsidR="0031395E" w:rsidRPr="00590703" w:rsidRDefault="0031395E" w:rsidP="00590703">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IISD. (2018). Sustainable Development Goals | IISD. [</w:t>
      </w:r>
      <w:r w:rsidR="00671A0F" w:rsidRPr="00590703">
        <w:rPr>
          <w:rFonts w:ascii="Times New Roman" w:eastAsia="Times New Roman" w:hAnsi="Times New Roman" w:cs="Times New Roman"/>
          <w:color w:val="000000" w:themeColor="text1"/>
          <w:sz w:val="24"/>
          <w:szCs w:val="24"/>
        </w:rPr>
        <w:t>Online</w:t>
      </w:r>
      <w:r w:rsidRPr="00590703">
        <w:rPr>
          <w:rFonts w:ascii="Times New Roman" w:eastAsia="Times New Roman" w:hAnsi="Times New Roman" w:cs="Times New Roman"/>
          <w:color w:val="000000" w:themeColor="text1"/>
          <w:sz w:val="24"/>
          <w:szCs w:val="24"/>
        </w:rPr>
        <w:t>] Available at: https://www.iisd.org/topic/sustainable-development-goals [Accessed 23 Oct. 2018].</w:t>
      </w:r>
    </w:p>
    <w:p w14:paraId="26B76228" w14:textId="77777777" w:rsidR="0049782C" w:rsidRPr="00590703" w:rsidRDefault="0049782C" w:rsidP="00590703">
      <w:p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JENKS, M., &amp; DEMPSEY, N. (2005). Future forms and design for sustainable cities. Oxford: Architectural.</w:t>
      </w:r>
    </w:p>
    <w:p w14:paraId="643D687A" w14:textId="77777777" w:rsidR="0049782C" w:rsidRPr="00590703" w:rsidRDefault="00D02802" w:rsidP="00590703">
      <w:pPr>
        <w:shd w:val="clear" w:color="auto" w:fill="FFFFFF"/>
        <w:spacing w:before="100" w:beforeAutospacing="1" w:after="100" w:afterAutospacing="1" w:line="360" w:lineRule="auto"/>
        <w:jc w:val="both"/>
        <w:rPr>
          <w:rStyle w:val="Emphasis"/>
          <w:rFonts w:ascii="Times New Roman" w:eastAsia="Times New Roman" w:hAnsi="Times New Roman" w:cs="Times New Roman"/>
          <w:i w:val="0"/>
          <w:iCs w:val="0"/>
          <w:color w:val="000000" w:themeColor="text1"/>
          <w:sz w:val="24"/>
          <w:szCs w:val="24"/>
        </w:rPr>
      </w:pPr>
      <w:r w:rsidRPr="00590703">
        <w:rPr>
          <w:rFonts w:ascii="Times New Roman" w:hAnsi="Times New Roman" w:cs="Times New Roman"/>
          <w:color w:val="000000" w:themeColor="text1"/>
          <w:sz w:val="24"/>
          <w:szCs w:val="24"/>
          <w:shd w:val="clear" w:color="auto" w:fill="FFFFFF"/>
        </w:rPr>
        <w:t>PEDERSEN, C. (2018). The UN Sustainable Development Goals (SDGs) are a Great Gift to Business! </w:t>
      </w:r>
      <w:r w:rsidRPr="00590703">
        <w:rPr>
          <w:rStyle w:val="Emphasis"/>
          <w:rFonts w:ascii="Times New Roman" w:hAnsi="Times New Roman" w:cs="Times New Roman"/>
          <w:color w:val="000000" w:themeColor="text1"/>
          <w:sz w:val="24"/>
          <w:szCs w:val="24"/>
          <w:shd w:val="clear" w:color="auto" w:fill="FFFFFF"/>
        </w:rPr>
        <w:t>Procedia CIRP</w:t>
      </w:r>
    </w:p>
    <w:p w14:paraId="22DE0942" w14:textId="77777777" w:rsidR="004D0661" w:rsidRPr="00590703" w:rsidRDefault="004D0661" w:rsidP="00590703">
      <w:pPr>
        <w:shd w:val="clear" w:color="auto" w:fill="FFFFFF"/>
        <w:spacing w:before="100" w:beforeAutospacing="1" w:after="100" w:afterAutospacing="1" w:line="360" w:lineRule="auto"/>
        <w:jc w:val="both"/>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Sachs, J., 2012. From millennium development goals to sustainable development goals. Lancet 379, 2206–2211.</w:t>
      </w:r>
    </w:p>
    <w:p w14:paraId="3B15E2E6" w14:textId="77777777" w:rsidR="00E47DF8" w:rsidRPr="00590703" w:rsidRDefault="00E47DF8" w:rsidP="00590703">
      <w:pPr>
        <w:shd w:val="clear" w:color="auto" w:fill="FFFFFF"/>
        <w:spacing w:line="360" w:lineRule="auto"/>
        <w:textAlignment w:val="baseline"/>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Fisher M</w:t>
      </w:r>
      <w:r w:rsidR="00671A0F" w:rsidRPr="00590703">
        <w:rPr>
          <w:rFonts w:ascii="Times New Roman" w:eastAsia="Times New Roman" w:hAnsi="Times New Roman" w:cs="Times New Roman"/>
          <w:color w:val="000000" w:themeColor="text1"/>
          <w:sz w:val="24"/>
          <w:szCs w:val="24"/>
        </w:rPr>
        <w:t>.</w:t>
      </w:r>
      <w:r w:rsidR="00671A0F" w:rsidRPr="00590703">
        <w:rPr>
          <w:rFonts w:ascii="Times New Roman" w:eastAsia="Times New Roman" w:hAnsi="Times New Roman" w:cs="Times New Roman"/>
          <w:color w:val="000000" w:themeColor="text1"/>
          <w:sz w:val="24"/>
          <w:szCs w:val="24"/>
          <w:shd w:val="clear" w:color="auto" w:fill="FFFFFF"/>
        </w:rPr>
        <w:t xml:space="preserve"> (</w:t>
      </w:r>
      <w:r w:rsidRPr="00590703">
        <w:rPr>
          <w:rFonts w:ascii="Times New Roman" w:eastAsia="Times New Roman" w:hAnsi="Times New Roman" w:cs="Times New Roman"/>
          <w:color w:val="000000" w:themeColor="text1"/>
          <w:sz w:val="24"/>
          <w:szCs w:val="24"/>
        </w:rPr>
        <w:t>2019</w:t>
      </w:r>
      <w:r w:rsidRPr="00590703">
        <w:rPr>
          <w:rFonts w:ascii="Times New Roman" w:eastAsia="Times New Roman" w:hAnsi="Times New Roman" w:cs="Times New Roman"/>
          <w:color w:val="000000" w:themeColor="text1"/>
          <w:sz w:val="24"/>
          <w:szCs w:val="24"/>
          <w:shd w:val="clear" w:color="auto" w:fill="FFFFFF"/>
        </w:rPr>
        <w:t>) </w:t>
      </w:r>
      <w:r w:rsidRPr="00590703">
        <w:rPr>
          <w:rFonts w:ascii="Times New Roman" w:eastAsia="Times New Roman" w:hAnsi="Times New Roman" w:cs="Times New Roman"/>
          <w:color w:val="000000" w:themeColor="text1"/>
          <w:sz w:val="24"/>
          <w:szCs w:val="24"/>
        </w:rPr>
        <w:t xml:space="preserve">A theory of public wellbeing </w:t>
      </w:r>
      <w:r w:rsidRPr="00590703">
        <w:rPr>
          <w:rFonts w:ascii="Times New Roman" w:eastAsia="Times New Roman" w:hAnsi="Times New Roman" w:cs="Times New Roman"/>
          <w:i/>
          <w:iCs/>
          <w:color w:val="000000" w:themeColor="text1"/>
          <w:sz w:val="24"/>
          <w:szCs w:val="24"/>
        </w:rPr>
        <w:t>BMC Public Health</w:t>
      </w:r>
      <w:r w:rsidRPr="00590703">
        <w:rPr>
          <w:rFonts w:ascii="Times New Roman" w:eastAsia="Times New Roman" w:hAnsi="Times New Roman" w:cs="Times New Roman"/>
          <w:color w:val="000000" w:themeColor="text1"/>
          <w:sz w:val="24"/>
          <w:szCs w:val="24"/>
        </w:rPr>
        <w:t xml:space="preserve"> 19</w:t>
      </w:r>
      <w:r w:rsidRPr="00590703">
        <w:rPr>
          <w:rFonts w:ascii="Times New Roman" w:eastAsia="Times New Roman" w:hAnsi="Times New Roman" w:cs="Times New Roman"/>
          <w:color w:val="000000" w:themeColor="text1"/>
          <w:sz w:val="24"/>
          <w:szCs w:val="24"/>
          <w:shd w:val="clear" w:color="auto" w:fill="FFFFFF"/>
        </w:rPr>
        <w:t>, </w:t>
      </w:r>
      <w:r w:rsidRPr="00590703">
        <w:rPr>
          <w:rFonts w:ascii="Times New Roman" w:eastAsia="Times New Roman" w:hAnsi="Times New Roman" w:cs="Times New Roman"/>
          <w:color w:val="000000" w:themeColor="text1"/>
          <w:sz w:val="24"/>
          <w:szCs w:val="24"/>
        </w:rPr>
        <w:t>1283</w:t>
      </w:r>
    </w:p>
    <w:p w14:paraId="51AE54B1" w14:textId="77777777" w:rsidR="00E47DF8" w:rsidRPr="00590703" w:rsidRDefault="0058400D" w:rsidP="00590703">
      <w:pPr>
        <w:shd w:val="clear" w:color="auto" w:fill="FFFFFF"/>
        <w:spacing w:line="360" w:lineRule="auto"/>
        <w:textAlignment w:val="baseline"/>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Mkunbo, W. C. (2016). The Role of School Libraries in Realizing the Achievement of Inclusive and Equitable Quality Education in Tanzania: SDGs by 203. International Research: Journal of Library &amp; Information Science</w:t>
      </w:r>
    </w:p>
    <w:p w14:paraId="27F3DA8D" w14:textId="77777777" w:rsidR="0058400D" w:rsidRPr="00590703" w:rsidRDefault="00481018" w:rsidP="00590703">
      <w:pPr>
        <w:shd w:val="clear" w:color="auto" w:fill="FFFFFF"/>
        <w:spacing w:line="360" w:lineRule="auto"/>
        <w:textAlignment w:val="baseline"/>
        <w:rPr>
          <w:rFonts w:ascii="Times New Roman" w:hAnsi="Times New Roman" w:cs="Times New Roman"/>
          <w:color w:val="000000" w:themeColor="text1"/>
          <w:sz w:val="24"/>
          <w:szCs w:val="24"/>
        </w:rPr>
      </w:pPr>
      <w:r w:rsidRPr="00590703">
        <w:rPr>
          <w:rFonts w:ascii="Times New Roman" w:hAnsi="Times New Roman" w:cs="Times New Roman"/>
          <w:color w:val="000000" w:themeColor="text1"/>
          <w:sz w:val="24"/>
          <w:szCs w:val="24"/>
        </w:rPr>
        <w:t>Browing, S. (2021). Coronavirus: Support for Businesses. House of Commons Library, Briefing Paper no. 8847. 8 April 2021. Available at: https://researchbriefings.files.parliament.uk/documents/CBP-8847/CBP-8847.pdf [Accessed 22/04/21]</w:t>
      </w:r>
    </w:p>
    <w:p w14:paraId="51141B4E" w14:textId="77777777" w:rsidR="00562056" w:rsidRPr="00590703" w:rsidRDefault="00562056" w:rsidP="00590703">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RAE, C., &amp; BRADLEY, F. (2012). Energy autonomy in sustainable communities—A review of key issues. </w:t>
      </w:r>
      <w:r w:rsidRPr="00590703">
        <w:rPr>
          <w:rFonts w:ascii="Times New Roman" w:eastAsia="Times New Roman" w:hAnsi="Times New Roman" w:cs="Times New Roman"/>
          <w:i/>
          <w:iCs/>
          <w:color w:val="000000" w:themeColor="text1"/>
          <w:sz w:val="24"/>
          <w:szCs w:val="24"/>
        </w:rPr>
        <w:t>Renewable and Sustainable Energy Reviews</w:t>
      </w:r>
      <w:r w:rsidRPr="00590703">
        <w:rPr>
          <w:rFonts w:ascii="Times New Roman" w:eastAsia="Times New Roman" w:hAnsi="Times New Roman" w:cs="Times New Roman"/>
          <w:color w:val="000000" w:themeColor="text1"/>
          <w:sz w:val="24"/>
          <w:szCs w:val="24"/>
        </w:rPr>
        <w:t>, </w:t>
      </w:r>
      <w:r w:rsidRPr="00590703">
        <w:rPr>
          <w:rFonts w:ascii="Times New Roman" w:eastAsia="Times New Roman" w:hAnsi="Times New Roman" w:cs="Times New Roman"/>
          <w:i/>
          <w:iCs/>
          <w:color w:val="000000" w:themeColor="text1"/>
          <w:sz w:val="24"/>
          <w:szCs w:val="24"/>
        </w:rPr>
        <w:t>16</w:t>
      </w:r>
      <w:r w:rsidRPr="00590703">
        <w:rPr>
          <w:rFonts w:ascii="Times New Roman" w:eastAsia="Times New Roman" w:hAnsi="Times New Roman" w:cs="Times New Roman"/>
          <w:color w:val="000000" w:themeColor="text1"/>
          <w:sz w:val="24"/>
          <w:szCs w:val="24"/>
        </w:rPr>
        <w:t>(9), 6497–6506. https://doi.org/10.1016/j.rser.2012.08.002</w:t>
      </w:r>
    </w:p>
    <w:p w14:paraId="0B684F23" w14:textId="77777777" w:rsidR="005A1D38" w:rsidRPr="00590703" w:rsidRDefault="005A1D38" w:rsidP="00590703">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lastRenderedPageBreak/>
        <w:t>UNITED NATIONS, Department of Economic and Social Affairs, Population Division (2016). The World’s Cities in 2016 – Data Booklet (ST/ESA/ SER.A/392).</w:t>
      </w:r>
    </w:p>
    <w:p w14:paraId="3BB0B65A" w14:textId="77777777" w:rsidR="00E0222C" w:rsidRPr="00590703" w:rsidRDefault="00383C4F" w:rsidP="00590703">
      <w:pPr>
        <w:shd w:val="clear" w:color="auto" w:fill="FFFFFF"/>
        <w:spacing w:before="100" w:beforeAutospacing="1" w:after="100" w:afterAutospacing="1" w:line="360" w:lineRule="auto"/>
        <w:rPr>
          <w:rFonts w:ascii="Times New Roman" w:eastAsia="Times New Roman" w:hAnsi="Times New Roman" w:cs="Times New Roman"/>
          <w:color w:val="000000" w:themeColor="text1"/>
          <w:sz w:val="24"/>
          <w:szCs w:val="24"/>
        </w:rPr>
      </w:pPr>
      <w:r w:rsidRPr="00590703">
        <w:rPr>
          <w:rFonts w:ascii="Times New Roman" w:eastAsia="Times New Roman" w:hAnsi="Times New Roman" w:cs="Times New Roman"/>
          <w:color w:val="000000" w:themeColor="text1"/>
          <w:sz w:val="24"/>
          <w:szCs w:val="24"/>
        </w:rPr>
        <w:t>UNITED NATIONS, General Assembly. (2015) Transforming our World: The 2030 Agenda for Sustainable Development</w:t>
      </w:r>
    </w:p>
    <w:sectPr w:rsidR="00E0222C" w:rsidRPr="0059070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96474A" w14:textId="77777777" w:rsidR="006C6537" w:rsidRDefault="006C6537" w:rsidP="005C2CC0">
      <w:pPr>
        <w:spacing w:after="0" w:line="240" w:lineRule="auto"/>
      </w:pPr>
      <w:r>
        <w:separator/>
      </w:r>
    </w:p>
  </w:endnote>
  <w:endnote w:type="continuationSeparator" w:id="0">
    <w:p w14:paraId="32476777" w14:textId="77777777" w:rsidR="006C6537" w:rsidRDefault="006C6537" w:rsidP="005C2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138066"/>
      <w:docPartObj>
        <w:docPartGallery w:val="Page Numbers (Bottom of Page)"/>
        <w:docPartUnique/>
      </w:docPartObj>
    </w:sdtPr>
    <w:sdtEndPr>
      <w:rPr>
        <w:noProof/>
      </w:rPr>
    </w:sdtEndPr>
    <w:sdtContent>
      <w:p w14:paraId="098CC148" w14:textId="77777777" w:rsidR="00BB3CE3" w:rsidRDefault="00BB3CE3">
        <w:pPr>
          <w:pStyle w:val="Footer"/>
          <w:jc w:val="center"/>
        </w:pPr>
        <w:r>
          <w:fldChar w:fldCharType="begin"/>
        </w:r>
        <w:r>
          <w:instrText xml:space="preserve"> PAGE   \* MERGEFORMAT </w:instrText>
        </w:r>
        <w:r>
          <w:fldChar w:fldCharType="separate"/>
        </w:r>
        <w:r w:rsidR="00671A0F">
          <w:rPr>
            <w:noProof/>
          </w:rPr>
          <w:t>17</w:t>
        </w:r>
        <w:r>
          <w:rPr>
            <w:noProof/>
          </w:rPr>
          <w:fldChar w:fldCharType="end"/>
        </w:r>
      </w:p>
    </w:sdtContent>
  </w:sdt>
  <w:p w14:paraId="77DF917D" w14:textId="77777777" w:rsidR="00BB3CE3" w:rsidRDefault="00BB3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7264E" w14:textId="77777777" w:rsidR="006C6537" w:rsidRDefault="006C6537" w:rsidP="005C2CC0">
      <w:pPr>
        <w:spacing w:after="0" w:line="240" w:lineRule="auto"/>
      </w:pPr>
      <w:r>
        <w:separator/>
      </w:r>
    </w:p>
  </w:footnote>
  <w:footnote w:type="continuationSeparator" w:id="0">
    <w:p w14:paraId="32828A47" w14:textId="77777777" w:rsidR="006C6537" w:rsidRDefault="006C6537" w:rsidP="005C2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518F"/>
    <w:multiLevelType w:val="multilevel"/>
    <w:tmpl w:val="49166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987474"/>
    <w:multiLevelType w:val="multilevel"/>
    <w:tmpl w:val="D2E2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4255A7"/>
    <w:multiLevelType w:val="multilevel"/>
    <w:tmpl w:val="6BE01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842C46"/>
    <w:multiLevelType w:val="multilevel"/>
    <w:tmpl w:val="4816C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1C00FC"/>
    <w:multiLevelType w:val="multilevel"/>
    <w:tmpl w:val="F170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A91DA1"/>
    <w:multiLevelType w:val="multilevel"/>
    <w:tmpl w:val="D190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6A17BA"/>
    <w:multiLevelType w:val="multilevel"/>
    <w:tmpl w:val="EFAC3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266D38"/>
    <w:multiLevelType w:val="multilevel"/>
    <w:tmpl w:val="BE321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083323">
    <w:abstractNumId w:val="6"/>
  </w:num>
  <w:num w:numId="2" w16cid:durableId="27149208">
    <w:abstractNumId w:val="5"/>
  </w:num>
  <w:num w:numId="3" w16cid:durableId="1733582553">
    <w:abstractNumId w:val="3"/>
  </w:num>
  <w:num w:numId="4" w16cid:durableId="1189028036">
    <w:abstractNumId w:val="0"/>
  </w:num>
  <w:num w:numId="5" w16cid:durableId="2034380149">
    <w:abstractNumId w:val="7"/>
  </w:num>
  <w:num w:numId="6" w16cid:durableId="913508294">
    <w:abstractNumId w:val="4"/>
  </w:num>
  <w:num w:numId="7" w16cid:durableId="168839279">
    <w:abstractNumId w:val="1"/>
  </w:num>
  <w:num w:numId="8" w16cid:durableId="1226450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589"/>
    <w:rsid w:val="0003415C"/>
    <w:rsid w:val="00037390"/>
    <w:rsid w:val="00045A73"/>
    <w:rsid w:val="0008002C"/>
    <w:rsid w:val="00091F51"/>
    <w:rsid w:val="000D11FE"/>
    <w:rsid w:val="000F42A1"/>
    <w:rsid w:val="0010471C"/>
    <w:rsid w:val="00106AC1"/>
    <w:rsid w:val="00111B44"/>
    <w:rsid w:val="001205A1"/>
    <w:rsid w:val="0012091F"/>
    <w:rsid w:val="00122F3E"/>
    <w:rsid w:val="00124231"/>
    <w:rsid w:val="00133F1F"/>
    <w:rsid w:val="0014107E"/>
    <w:rsid w:val="00141979"/>
    <w:rsid w:val="00146609"/>
    <w:rsid w:val="001672DD"/>
    <w:rsid w:val="00180226"/>
    <w:rsid w:val="001907D8"/>
    <w:rsid w:val="00194BF5"/>
    <w:rsid w:val="001A7FFC"/>
    <w:rsid w:val="001C5A6B"/>
    <w:rsid w:val="001C7CB2"/>
    <w:rsid w:val="001E1192"/>
    <w:rsid w:val="001E1350"/>
    <w:rsid w:val="001E2DD6"/>
    <w:rsid w:val="00224677"/>
    <w:rsid w:val="00231889"/>
    <w:rsid w:val="002369A3"/>
    <w:rsid w:val="00250565"/>
    <w:rsid w:val="0026705E"/>
    <w:rsid w:val="002764D2"/>
    <w:rsid w:val="00282314"/>
    <w:rsid w:val="002952CE"/>
    <w:rsid w:val="002B418D"/>
    <w:rsid w:val="002C3EB6"/>
    <w:rsid w:val="002C4DF0"/>
    <w:rsid w:val="002E15D0"/>
    <w:rsid w:val="002F13D3"/>
    <w:rsid w:val="0030069A"/>
    <w:rsid w:val="00311298"/>
    <w:rsid w:val="0031395E"/>
    <w:rsid w:val="00317A18"/>
    <w:rsid w:val="003226CE"/>
    <w:rsid w:val="00330434"/>
    <w:rsid w:val="0033286F"/>
    <w:rsid w:val="00351FC0"/>
    <w:rsid w:val="0035718B"/>
    <w:rsid w:val="00365CAC"/>
    <w:rsid w:val="003735E1"/>
    <w:rsid w:val="003766A1"/>
    <w:rsid w:val="003824B7"/>
    <w:rsid w:val="00382971"/>
    <w:rsid w:val="00383C4F"/>
    <w:rsid w:val="00386742"/>
    <w:rsid w:val="00393644"/>
    <w:rsid w:val="003979A3"/>
    <w:rsid w:val="003B1418"/>
    <w:rsid w:val="003E1AEC"/>
    <w:rsid w:val="004076B5"/>
    <w:rsid w:val="004161FF"/>
    <w:rsid w:val="004202EF"/>
    <w:rsid w:val="00426A0F"/>
    <w:rsid w:val="004340CF"/>
    <w:rsid w:val="00443AF5"/>
    <w:rsid w:val="00454AE8"/>
    <w:rsid w:val="004550E2"/>
    <w:rsid w:val="00481018"/>
    <w:rsid w:val="00481C76"/>
    <w:rsid w:val="00490D93"/>
    <w:rsid w:val="0049782C"/>
    <w:rsid w:val="004A2212"/>
    <w:rsid w:val="004C095F"/>
    <w:rsid w:val="004C336C"/>
    <w:rsid w:val="004D05B4"/>
    <w:rsid w:val="004D0661"/>
    <w:rsid w:val="00515EC3"/>
    <w:rsid w:val="00521389"/>
    <w:rsid w:val="005260E5"/>
    <w:rsid w:val="00526B57"/>
    <w:rsid w:val="00537DA8"/>
    <w:rsid w:val="00562056"/>
    <w:rsid w:val="00563D6B"/>
    <w:rsid w:val="00567A1E"/>
    <w:rsid w:val="00572767"/>
    <w:rsid w:val="0058400D"/>
    <w:rsid w:val="00590703"/>
    <w:rsid w:val="00593F2A"/>
    <w:rsid w:val="005A1D38"/>
    <w:rsid w:val="005A6E67"/>
    <w:rsid w:val="005B6A72"/>
    <w:rsid w:val="005C2CC0"/>
    <w:rsid w:val="005D6B10"/>
    <w:rsid w:val="005E0C0F"/>
    <w:rsid w:val="005E2430"/>
    <w:rsid w:val="005E4937"/>
    <w:rsid w:val="00617322"/>
    <w:rsid w:val="00647528"/>
    <w:rsid w:val="00655117"/>
    <w:rsid w:val="00655D9F"/>
    <w:rsid w:val="00656E81"/>
    <w:rsid w:val="00671A0F"/>
    <w:rsid w:val="0067305C"/>
    <w:rsid w:val="006A3C37"/>
    <w:rsid w:val="006C36BF"/>
    <w:rsid w:val="006C6537"/>
    <w:rsid w:val="006D0EF8"/>
    <w:rsid w:val="006D2C7E"/>
    <w:rsid w:val="006D465F"/>
    <w:rsid w:val="006D5B2B"/>
    <w:rsid w:val="006D6E75"/>
    <w:rsid w:val="00702AF1"/>
    <w:rsid w:val="00727275"/>
    <w:rsid w:val="00730183"/>
    <w:rsid w:val="00732D0A"/>
    <w:rsid w:val="00744533"/>
    <w:rsid w:val="007457E1"/>
    <w:rsid w:val="00752D07"/>
    <w:rsid w:val="0077621B"/>
    <w:rsid w:val="00790621"/>
    <w:rsid w:val="00794338"/>
    <w:rsid w:val="00796F66"/>
    <w:rsid w:val="00797909"/>
    <w:rsid w:val="00797B39"/>
    <w:rsid w:val="007B3D0C"/>
    <w:rsid w:val="007E5BC7"/>
    <w:rsid w:val="007E7154"/>
    <w:rsid w:val="007F61D0"/>
    <w:rsid w:val="00800E50"/>
    <w:rsid w:val="00816144"/>
    <w:rsid w:val="00817F9F"/>
    <w:rsid w:val="008415F0"/>
    <w:rsid w:val="00841841"/>
    <w:rsid w:val="008424F2"/>
    <w:rsid w:val="00850BDE"/>
    <w:rsid w:val="00853BC9"/>
    <w:rsid w:val="00872D8C"/>
    <w:rsid w:val="0088103A"/>
    <w:rsid w:val="008B663F"/>
    <w:rsid w:val="008D231E"/>
    <w:rsid w:val="008E1DD5"/>
    <w:rsid w:val="008E32F8"/>
    <w:rsid w:val="008F4F65"/>
    <w:rsid w:val="00906D01"/>
    <w:rsid w:val="0091404F"/>
    <w:rsid w:val="0093238E"/>
    <w:rsid w:val="00941B25"/>
    <w:rsid w:val="00952F63"/>
    <w:rsid w:val="00964B65"/>
    <w:rsid w:val="0098242F"/>
    <w:rsid w:val="00984459"/>
    <w:rsid w:val="009C49BC"/>
    <w:rsid w:val="009D3357"/>
    <w:rsid w:val="009E1FBA"/>
    <w:rsid w:val="009E31C4"/>
    <w:rsid w:val="009F248B"/>
    <w:rsid w:val="009F3CC1"/>
    <w:rsid w:val="00A11F84"/>
    <w:rsid w:val="00A14240"/>
    <w:rsid w:val="00A146FE"/>
    <w:rsid w:val="00A16DB0"/>
    <w:rsid w:val="00A61E70"/>
    <w:rsid w:val="00A67EE8"/>
    <w:rsid w:val="00A71C8C"/>
    <w:rsid w:val="00A91210"/>
    <w:rsid w:val="00A93589"/>
    <w:rsid w:val="00AA136D"/>
    <w:rsid w:val="00AA2DF0"/>
    <w:rsid w:val="00AB0633"/>
    <w:rsid w:val="00AB09A5"/>
    <w:rsid w:val="00AB2780"/>
    <w:rsid w:val="00AB6B61"/>
    <w:rsid w:val="00AC4F86"/>
    <w:rsid w:val="00AD59E3"/>
    <w:rsid w:val="00AE3E9A"/>
    <w:rsid w:val="00AE66C7"/>
    <w:rsid w:val="00AF2491"/>
    <w:rsid w:val="00B039FD"/>
    <w:rsid w:val="00B304E5"/>
    <w:rsid w:val="00B36EC8"/>
    <w:rsid w:val="00B54C62"/>
    <w:rsid w:val="00B63344"/>
    <w:rsid w:val="00B671EB"/>
    <w:rsid w:val="00B67BB2"/>
    <w:rsid w:val="00B720A1"/>
    <w:rsid w:val="00B7370C"/>
    <w:rsid w:val="00B933D6"/>
    <w:rsid w:val="00BA069B"/>
    <w:rsid w:val="00BA6AED"/>
    <w:rsid w:val="00BB3CE3"/>
    <w:rsid w:val="00BC6A51"/>
    <w:rsid w:val="00BE66A0"/>
    <w:rsid w:val="00BF0C66"/>
    <w:rsid w:val="00BF4C7D"/>
    <w:rsid w:val="00C24177"/>
    <w:rsid w:val="00C33F11"/>
    <w:rsid w:val="00C41043"/>
    <w:rsid w:val="00C5284E"/>
    <w:rsid w:val="00C56D98"/>
    <w:rsid w:val="00C9032F"/>
    <w:rsid w:val="00C9699F"/>
    <w:rsid w:val="00CA08E1"/>
    <w:rsid w:val="00CA2882"/>
    <w:rsid w:val="00CA4D08"/>
    <w:rsid w:val="00CD4835"/>
    <w:rsid w:val="00D02802"/>
    <w:rsid w:val="00D108D9"/>
    <w:rsid w:val="00D11B03"/>
    <w:rsid w:val="00D17FF7"/>
    <w:rsid w:val="00D22737"/>
    <w:rsid w:val="00D266B2"/>
    <w:rsid w:val="00D4355D"/>
    <w:rsid w:val="00D6253B"/>
    <w:rsid w:val="00D66D32"/>
    <w:rsid w:val="00D7263D"/>
    <w:rsid w:val="00D85AA8"/>
    <w:rsid w:val="00DA14B2"/>
    <w:rsid w:val="00DC4685"/>
    <w:rsid w:val="00DD2C66"/>
    <w:rsid w:val="00DD34AE"/>
    <w:rsid w:val="00DE4537"/>
    <w:rsid w:val="00DE77F3"/>
    <w:rsid w:val="00E0222C"/>
    <w:rsid w:val="00E41B1F"/>
    <w:rsid w:val="00E47DF8"/>
    <w:rsid w:val="00E65298"/>
    <w:rsid w:val="00E7217F"/>
    <w:rsid w:val="00E7593D"/>
    <w:rsid w:val="00E90608"/>
    <w:rsid w:val="00E94DA5"/>
    <w:rsid w:val="00ED3219"/>
    <w:rsid w:val="00ED71CB"/>
    <w:rsid w:val="00EF673F"/>
    <w:rsid w:val="00F1195B"/>
    <w:rsid w:val="00F21502"/>
    <w:rsid w:val="00F37A4B"/>
    <w:rsid w:val="00F62F18"/>
    <w:rsid w:val="00F636F2"/>
    <w:rsid w:val="00F66899"/>
    <w:rsid w:val="00F816B2"/>
    <w:rsid w:val="00FA2413"/>
    <w:rsid w:val="00FB3B00"/>
    <w:rsid w:val="00FC5554"/>
    <w:rsid w:val="00FF27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B217F1"/>
  <w15:chartTrackingRefBased/>
  <w15:docId w15:val="{E41D9149-8DF7-4CED-8E18-715DA599D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D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370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02802"/>
    <w:rPr>
      <w:i/>
      <w:iCs/>
    </w:rPr>
  </w:style>
  <w:style w:type="paragraph" w:styleId="Header">
    <w:name w:val="header"/>
    <w:basedOn w:val="Normal"/>
    <w:link w:val="HeaderChar"/>
    <w:uiPriority w:val="99"/>
    <w:unhideWhenUsed/>
    <w:rsid w:val="005C2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2CC0"/>
  </w:style>
  <w:style w:type="paragraph" w:styleId="Footer">
    <w:name w:val="footer"/>
    <w:basedOn w:val="Normal"/>
    <w:link w:val="FooterChar"/>
    <w:uiPriority w:val="99"/>
    <w:unhideWhenUsed/>
    <w:rsid w:val="005C2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2CC0"/>
  </w:style>
  <w:style w:type="paragraph" w:styleId="ListParagraph">
    <w:name w:val="List Paragraph"/>
    <w:basedOn w:val="Normal"/>
    <w:uiPriority w:val="34"/>
    <w:qFormat/>
    <w:rsid w:val="00490D93"/>
    <w:pPr>
      <w:ind w:left="720"/>
      <w:contextualSpacing/>
    </w:pPr>
  </w:style>
  <w:style w:type="character" w:styleId="Hyperlink">
    <w:name w:val="Hyperlink"/>
    <w:basedOn w:val="DefaultParagraphFont"/>
    <w:uiPriority w:val="99"/>
    <w:unhideWhenUsed/>
    <w:rsid w:val="006C36BF"/>
    <w:rPr>
      <w:color w:val="0000FF"/>
      <w:u w:val="single"/>
    </w:rPr>
  </w:style>
  <w:style w:type="character" w:customStyle="1" w:styleId="Heading1Char">
    <w:name w:val="Heading 1 Char"/>
    <w:basedOn w:val="DefaultParagraphFont"/>
    <w:link w:val="Heading1"/>
    <w:uiPriority w:val="9"/>
    <w:rsid w:val="00872D8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B3CE3"/>
    <w:pPr>
      <w:outlineLvl w:val="9"/>
    </w:pPr>
  </w:style>
  <w:style w:type="paragraph" w:styleId="TOC1">
    <w:name w:val="toc 1"/>
    <w:basedOn w:val="Normal"/>
    <w:next w:val="Normal"/>
    <w:autoRedefine/>
    <w:uiPriority w:val="39"/>
    <w:unhideWhenUsed/>
    <w:rsid w:val="00BB3CE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5765">
      <w:bodyDiv w:val="1"/>
      <w:marLeft w:val="0"/>
      <w:marRight w:val="0"/>
      <w:marTop w:val="0"/>
      <w:marBottom w:val="0"/>
      <w:divBdr>
        <w:top w:val="none" w:sz="0" w:space="0" w:color="auto"/>
        <w:left w:val="none" w:sz="0" w:space="0" w:color="auto"/>
        <w:bottom w:val="none" w:sz="0" w:space="0" w:color="auto"/>
        <w:right w:val="none" w:sz="0" w:space="0" w:color="auto"/>
      </w:divBdr>
      <w:divsChild>
        <w:div w:id="1728914811">
          <w:marLeft w:val="0"/>
          <w:marRight w:val="0"/>
          <w:marTop w:val="0"/>
          <w:marBottom w:val="0"/>
          <w:divBdr>
            <w:top w:val="none" w:sz="0" w:space="0" w:color="auto"/>
            <w:left w:val="none" w:sz="0" w:space="0" w:color="auto"/>
            <w:bottom w:val="none" w:sz="0" w:space="0" w:color="auto"/>
            <w:right w:val="none" w:sz="0" w:space="0" w:color="auto"/>
          </w:divBdr>
        </w:div>
        <w:div w:id="2017346536">
          <w:marLeft w:val="0"/>
          <w:marRight w:val="0"/>
          <w:marTop w:val="0"/>
          <w:marBottom w:val="0"/>
          <w:divBdr>
            <w:top w:val="none" w:sz="0" w:space="0" w:color="auto"/>
            <w:left w:val="none" w:sz="0" w:space="0" w:color="auto"/>
            <w:bottom w:val="none" w:sz="0" w:space="0" w:color="auto"/>
            <w:right w:val="none" w:sz="0" w:space="0" w:color="auto"/>
          </w:divBdr>
        </w:div>
        <w:div w:id="836579888">
          <w:marLeft w:val="0"/>
          <w:marRight w:val="0"/>
          <w:marTop w:val="0"/>
          <w:marBottom w:val="0"/>
          <w:divBdr>
            <w:top w:val="none" w:sz="0" w:space="0" w:color="auto"/>
            <w:left w:val="none" w:sz="0" w:space="0" w:color="auto"/>
            <w:bottom w:val="none" w:sz="0" w:space="0" w:color="auto"/>
            <w:right w:val="none" w:sz="0" w:space="0" w:color="auto"/>
          </w:divBdr>
        </w:div>
        <w:div w:id="2102725136">
          <w:marLeft w:val="0"/>
          <w:marRight w:val="0"/>
          <w:marTop w:val="0"/>
          <w:marBottom w:val="0"/>
          <w:divBdr>
            <w:top w:val="none" w:sz="0" w:space="0" w:color="auto"/>
            <w:left w:val="none" w:sz="0" w:space="0" w:color="auto"/>
            <w:bottom w:val="none" w:sz="0" w:space="0" w:color="auto"/>
            <w:right w:val="none" w:sz="0" w:space="0" w:color="auto"/>
          </w:divBdr>
        </w:div>
      </w:divsChild>
    </w:div>
    <w:div w:id="91360098">
      <w:bodyDiv w:val="1"/>
      <w:marLeft w:val="0"/>
      <w:marRight w:val="0"/>
      <w:marTop w:val="0"/>
      <w:marBottom w:val="0"/>
      <w:divBdr>
        <w:top w:val="none" w:sz="0" w:space="0" w:color="auto"/>
        <w:left w:val="none" w:sz="0" w:space="0" w:color="auto"/>
        <w:bottom w:val="none" w:sz="0" w:space="0" w:color="auto"/>
        <w:right w:val="none" w:sz="0" w:space="0" w:color="auto"/>
      </w:divBdr>
    </w:div>
    <w:div w:id="134419413">
      <w:bodyDiv w:val="1"/>
      <w:marLeft w:val="0"/>
      <w:marRight w:val="0"/>
      <w:marTop w:val="0"/>
      <w:marBottom w:val="0"/>
      <w:divBdr>
        <w:top w:val="none" w:sz="0" w:space="0" w:color="auto"/>
        <w:left w:val="none" w:sz="0" w:space="0" w:color="auto"/>
        <w:bottom w:val="none" w:sz="0" w:space="0" w:color="auto"/>
        <w:right w:val="none" w:sz="0" w:space="0" w:color="auto"/>
      </w:divBdr>
      <w:divsChild>
        <w:div w:id="1276865388">
          <w:marLeft w:val="0"/>
          <w:marRight w:val="0"/>
          <w:marTop w:val="0"/>
          <w:marBottom w:val="0"/>
          <w:divBdr>
            <w:top w:val="none" w:sz="0" w:space="0" w:color="auto"/>
            <w:left w:val="none" w:sz="0" w:space="0" w:color="auto"/>
            <w:bottom w:val="none" w:sz="0" w:space="0" w:color="auto"/>
            <w:right w:val="none" w:sz="0" w:space="0" w:color="auto"/>
          </w:divBdr>
        </w:div>
        <w:div w:id="998655814">
          <w:marLeft w:val="0"/>
          <w:marRight w:val="0"/>
          <w:marTop w:val="0"/>
          <w:marBottom w:val="0"/>
          <w:divBdr>
            <w:top w:val="none" w:sz="0" w:space="0" w:color="auto"/>
            <w:left w:val="none" w:sz="0" w:space="0" w:color="auto"/>
            <w:bottom w:val="none" w:sz="0" w:space="0" w:color="auto"/>
            <w:right w:val="none" w:sz="0" w:space="0" w:color="auto"/>
          </w:divBdr>
        </w:div>
        <w:div w:id="1503086750">
          <w:marLeft w:val="0"/>
          <w:marRight w:val="0"/>
          <w:marTop w:val="0"/>
          <w:marBottom w:val="0"/>
          <w:divBdr>
            <w:top w:val="none" w:sz="0" w:space="0" w:color="auto"/>
            <w:left w:val="none" w:sz="0" w:space="0" w:color="auto"/>
            <w:bottom w:val="none" w:sz="0" w:space="0" w:color="auto"/>
            <w:right w:val="none" w:sz="0" w:space="0" w:color="auto"/>
          </w:divBdr>
        </w:div>
        <w:div w:id="29653825">
          <w:marLeft w:val="0"/>
          <w:marRight w:val="0"/>
          <w:marTop w:val="0"/>
          <w:marBottom w:val="0"/>
          <w:divBdr>
            <w:top w:val="none" w:sz="0" w:space="0" w:color="auto"/>
            <w:left w:val="none" w:sz="0" w:space="0" w:color="auto"/>
            <w:bottom w:val="none" w:sz="0" w:space="0" w:color="auto"/>
            <w:right w:val="none" w:sz="0" w:space="0" w:color="auto"/>
          </w:divBdr>
        </w:div>
        <w:div w:id="470251272">
          <w:marLeft w:val="0"/>
          <w:marRight w:val="0"/>
          <w:marTop w:val="0"/>
          <w:marBottom w:val="0"/>
          <w:divBdr>
            <w:top w:val="none" w:sz="0" w:space="0" w:color="auto"/>
            <w:left w:val="none" w:sz="0" w:space="0" w:color="auto"/>
            <w:bottom w:val="none" w:sz="0" w:space="0" w:color="auto"/>
            <w:right w:val="none" w:sz="0" w:space="0" w:color="auto"/>
          </w:divBdr>
        </w:div>
        <w:div w:id="227571893">
          <w:marLeft w:val="0"/>
          <w:marRight w:val="0"/>
          <w:marTop w:val="0"/>
          <w:marBottom w:val="0"/>
          <w:divBdr>
            <w:top w:val="none" w:sz="0" w:space="0" w:color="auto"/>
            <w:left w:val="none" w:sz="0" w:space="0" w:color="auto"/>
            <w:bottom w:val="none" w:sz="0" w:space="0" w:color="auto"/>
            <w:right w:val="none" w:sz="0" w:space="0" w:color="auto"/>
          </w:divBdr>
        </w:div>
        <w:div w:id="1906604888">
          <w:marLeft w:val="0"/>
          <w:marRight w:val="0"/>
          <w:marTop w:val="0"/>
          <w:marBottom w:val="0"/>
          <w:divBdr>
            <w:top w:val="none" w:sz="0" w:space="0" w:color="auto"/>
            <w:left w:val="none" w:sz="0" w:space="0" w:color="auto"/>
            <w:bottom w:val="none" w:sz="0" w:space="0" w:color="auto"/>
            <w:right w:val="none" w:sz="0" w:space="0" w:color="auto"/>
          </w:divBdr>
        </w:div>
      </w:divsChild>
    </w:div>
    <w:div w:id="163589361">
      <w:bodyDiv w:val="1"/>
      <w:marLeft w:val="0"/>
      <w:marRight w:val="0"/>
      <w:marTop w:val="0"/>
      <w:marBottom w:val="0"/>
      <w:divBdr>
        <w:top w:val="none" w:sz="0" w:space="0" w:color="auto"/>
        <w:left w:val="none" w:sz="0" w:space="0" w:color="auto"/>
        <w:bottom w:val="none" w:sz="0" w:space="0" w:color="auto"/>
        <w:right w:val="none" w:sz="0" w:space="0" w:color="auto"/>
      </w:divBdr>
    </w:div>
    <w:div w:id="439301785">
      <w:bodyDiv w:val="1"/>
      <w:marLeft w:val="0"/>
      <w:marRight w:val="0"/>
      <w:marTop w:val="0"/>
      <w:marBottom w:val="0"/>
      <w:divBdr>
        <w:top w:val="none" w:sz="0" w:space="0" w:color="auto"/>
        <w:left w:val="none" w:sz="0" w:space="0" w:color="auto"/>
        <w:bottom w:val="none" w:sz="0" w:space="0" w:color="auto"/>
        <w:right w:val="none" w:sz="0" w:space="0" w:color="auto"/>
      </w:divBdr>
      <w:divsChild>
        <w:div w:id="45682607">
          <w:marLeft w:val="0"/>
          <w:marRight w:val="0"/>
          <w:marTop w:val="0"/>
          <w:marBottom w:val="0"/>
          <w:divBdr>
            <w:top w:val="none" w:sz="0" w:space="0" w:color="auto"/>
            <w:left w:val="none" w:sz="0" w:space="0" w:color="auto"/>
            <w:bottom w:val="none" w:sz="0" w:space="0" w:color="auto"/>
            <w:right w:val="none" w:sz="0" w:space="0" w:color="auto"/>
          </w:divBdr>
        </w:div>
        <w:div w:id="744498212">
          <w:marLeft w:val="0"/>
          <w:marRight w:val="0"/>
          <w:marTop w:val="0"/>
          <w:marBottom w:val="0"/>
          <w:divBdr>
            <w:top w:val="none" w:sz="0" w:space="0" w:color="auto"/>
            <w:left w:val="none" w:sz="0" w:space="0" w:color="auto"/>
            <w:bottom w:val="none" w:sz="0" w:space="0" w:color="auto"/>
            <w:right w:val="none" w:sz="0" w:space="0" w:color="auto"/>
          </w:divBdr>
        </w:div>
        <w:div w:id="480392493">
          <w:marLeft w:val="0"/>
          <w:marRight w:val="0"/>
          <w:marTop w:val="0"/>
          <w:marBottom w:val="0"/>
          <w:divBdr>
            <w:top w:val="none" w:sz="0" w:space="0" w:color="auto"/>
            <w:left w:val="none" w:sz="0" w:space="0" w:color="auto"/>
            <w:bottom w:val="none" w:sz="0" w:space="0" w:color="auto"/>
            <w:right w:val="none" w:sz="0" w:space="0" w:color="auto"/>
          </w:divBdr>
        </w:div>
        <w:div w:id="509875805">
          <w:marLeft w:val="0"/>
          <w:marRight w:val="0"/>
          <w:marTop w:val="0"/>
          <w:marBottom w:val="0"/>
          <w:divBdr>
            <w:top w:val="none" w:sz="0" w:space="0" w:color="auto"/>
            <w:left w:val="none" w:sz="0" w:space="0" w:color="auto"/>
            <w:bottom w:val="none" w:sz="0" w:space="0" w:color="auto"/>
            <w:right w:val="none" w:sz="0" w:space="0" w:color="auto"/>
          </w:divBdr>
        </w:div>
        <w:div w:id="162161358">
          <w:marLeft w:val="0"/>
          <w:marRight w:val="0"/>
          <w:marTop w:val="0"/>
          <w:marBottom w:val="0"/>
          <w:divBdr>
            <w:top w:val="none" w:sz="0" w:space="0" w:color="auto"/>
            <w:left w:val="none" w:sz="0" w:space="0" w:color="auto"/>
            <w:bottom w:val="none" w:sz="0" w:space="0" w:color="auto"/>
            <w:right w:val="none" w:sz="0" w:space="0" w:color="auto"/>
          </w:divBdr>
        </w:div>
        <w:div w:id="685712430">
          <w:marLeft w:val="0"/>
          <w:marRight w:val="0"/>
          <w:marTop w:val="0"/>
          <w:marBottom w:val="0"/>
          <w:divBdr>
            <w:top w:val="none" w:sz="0" w:space="0" w:color="auto"/>
            <w:left w:val="none" w:sz="0" w:space="0" w:color="auto"/>
            <w:bottom w:val="none" w:sz="0" w:space="0" w:color="auto"/>
            <w:right w:val="none" w:sz="0" w:space="0" w:color="auto"/>
          </w:divBdr>
        </w:div>
        <w:div w:id="55472500">
          <w:marLeft w:val="0"/>
          <w:marRight w:val="0"/>
          <w:marTop w:val="0"/>
          <w:marBottom w:val="0"/>
          <w:divBdr>
            <w:top w:val="none" w:sz="0" w:space="0" w:color="auto"/>
            <w:left w:val="none" w:sz="0" w:space="0" w:color="auto"/>
            <w:bottom w:val="none" w:sz="0" w:space="0" w:color="auto"/>
            <w:right w:val="none" w:sz="0" w:space="0" w:color="auto"/>
          </w:divBdr>
        </w:div>
        <w:div w:id="366175803">
          <w:marLeft w:val="0"/>
          <w:marRight w:val="0"/>
          <w:marTop w:val="0"/>
          <w:marBottom w:val="0"/>
          <w:divBdr>
            <w:top w:val="none" w:sz="0" w:space="0" w:color="auto"/>
            <w:left w:val="none" w:sz="0" w:space="0" w:color="auto"/>
            <w:bottom w:val="none" w:sz="0" w:space="0" w:color="auto"/>
            <w:right w:val="none" w:sz="0" w:space="0" w:color="auto"/>
          </w:divBdr>
        </w:div>
      </w:divsChild>
    </w:div>
    <w:div w:id="475608125">
      <w:bodyDiv w:val="1"/>
      <w:marLeft w:val="0"/>
      <w:marRight w:val="0"/>
      <w:marTop w:val="0"/>
      <w:marBottom w:val="0"/>
      <w:divBdr>
        <w:top w:val="none" w:sz="0" w:space="0" w:color="auto"/>
        <w:left w:val="none" w:sz="0" w:space="0" w:color="auto"/>
        <w:bottom w:val="none" w:sz="0" w:space="0" w:color="auto"/>
        <w:right w:val="none" w:sz="0" w:space="0" w:color="auto"/>
      </w:divBdr>
    </w:div>
    <w:div w:id="484203253">
      <w:bodyDiv w:val="1"/>
      <w:marLeft w:val="0"/>
      <w:marRight w:val="0"/>
      <w:marTop w:val="0"/>
      <w:marBottom w:val="0"/>
      <w:divBdr>
        <w:top w:val="none" w:sz="0" w:space="0" w:color="auto"/>
        <w:left w:val="none" w:sz="0" w:space="0" w:color="auto"/>
        <w:bottom w:val="none" w:sz="0" w:space="0" w:color="auto"/>
        <w:right w:val="none" w:sz="0" w:space="0" w:color="auto"/>
      </w:divBdr>
    </w:div>
    <w:div w:id="493880830">
      <w:bodyDiv w:val="1"/>
      <w:marLeft w:val="0"/>
      <w:marRight w:val="0"/>
      <w:marTop w:val="0"/>
      <w:marBottom w:val="0"/>
      <w:divBdr>
        <w:top w:val="none" w:sz="0" w:space="0" w:color="auto"/>
        <w:left w:val="none" w:sz="0" w:space="0" w:color="auto"/>
        <w:bottom w:val="none" w:sz="0" w:space="0" w:color="auto"/>
        <w:right w:val="none" w:sz="0" w:space="0" w:color="auto"/>
      </w:divBdr>
    </w:div>
    <w:div w:id="700545390">
      <w:bodyDiv w:val="1"/>
      <w:marLeft w:val="0"/>
      <w:marRight w:val="0"/>
      <w:marTop w:val="0"/>
      <w:marBottom w:val="0"/>
      <w:divBdr>
        <w:top w:val="none" w:sz="0" w:space="0" w:color="auto"/>
        <w:left w:val="none" w:sz="0" w:space="0" w:color="auto"/>
        <w:bottom w:val="none" w:sz="0" w:space="0" w:color="auto"/>
        <w:right w:val="none" w:sz="0" w:space="0" w:color="auto"/>
      </w:divBdr>
    </w:div>
    <w:div w:id="709840110">
      <w:bodyDiv w:val="1"/>
      <w:marLeft w:val="0"/>
      <w:marRight w:val="0"/>
      <w:marTop w:val="0"/>
      <w:marBottom w:val="0"/>
      <w:divBdr>
        <w:top w:val="none" w:sz="0" w:space="0" w:color="auto"/>
        <w:left w:val="none" w:sz="0" w:space="0" w:color="auto"/>
        <w:bottom w:val="none" w:sz="0" w:space="0" w:color="auto"/>
        <w:right w:val="none" w:sz="0" w:space="0" w:color="auto"/>
      </w:divBdr>
    </w:div>
    <w:div w:id="983973872">
      <w:bodyDiv w:val="1"/>
      <w:marLeft w:val="0"/>
      <w:marRight w:val="0"/>
      <w:marTop w:val="0"/>
      <w:marBottom w:val="0"/>
      <w:divBdr>
        <w:top w:val="none" w:sz="0" w:space="0" w:color="auto"/>
        <w:left w:val="none" w:sz="0" w:space="0" w:color="auto"/>
        <w:bottom w:val="none" w:sz="0" w:space="0" w:color="auto"/>
        <w:right w:val="none" w:sz="0" w:space="0" w:color="auto"/>
      </w:divBdr>
    </w:div>
    <w:div w:id="1040320046">
      <w:bodyDiv w:val="1"/>
      <w:marLeft w:val="0"/>
      <w:marRight w:val="0"/>
      <w:marTop w:val="0"/>
      <w:marBottom w:val="0"/>
      <w:divBdr>
        <w:top w:val="none" w:sz="0" w:space="0" w:color="auto"/>
        <w:left w:val="none" w:sz="0" w:space="0" w:color="auto"/>
        <w:bottom w:val="none" w:sz="0" w:space="0" w:color="auto"/>
        <w:right w:val="none" w:sz="0" w:space="0" w:color="auto"/>
      </w:divBdr>
    </w:div>
    <w:div w:id="1174958027">
      <w:bodyDiv w:val="1"/>
      <w:marLeft w:val="0"/>
      <w:marRight w:val="0"/>
      <w:marTop w:val="0"/>
      <w:marBottom w:val="0"/>
      <w:divBdr>
        <w:top w:val="none" w:sz="0" w:space="0" w:color="auto"/>
        <w:left w:val="none" w:sz="0" w:space="0" w:color="auto"/>
        <w:bottom w:val="none" w:sz="0" w:space="0" w:color="auto"/>
        <w:right w:val="none" w:sz="0" w:space="0" w:color="auto"/>
      </w:divBdr>
    </w:div>
    <w:div w:id="1258950299">
      <w:bodyDiv w:val="1"/>
      <w:marLeft w:val="0"/>
      <w:marRight w:val="0"/>
      <w:marTop w:val="0"/>
      <w:marBottom w:val="0"/>
      <w:divBdr>
        <w:top w:val="none" w:sz="0" w:space="0" w:color="auto"/>
        <w:left w:val="none" w:sz="0" w:space="0" w:color="auto"/>
        <w:bottom w:val="none" w:sz="0" w:space="0" w:color="auto"/>
        <w:right w:val="none" w:sz="0" w:space="0" w:color="auto"/>
      </w:divBdr>
      <w:divsChild>
        <w:div w:id="1640263039">
          <w:marLeft w:val="0"/>
          <w:marRight w:val="0"/>
          <w:marTop w:val="0"/>
          <w:marBottom w:val="0"/>
          <w:divBdr>
            <w:top w:val="none" w:sz="0" w:space="0" w:color="auto"/>
            <w:left w:val="none" w:sz="0" w:space="0" w:color="auto"/>
            <w:bottom w:val="none" w:sz="0" w:space="0" w:color="auto"/>
            <w:right w:val="none" w:sz="0" w:space="0" w:color="auto"/>
          </w:divBdr>
        </w:div>
        <w:div w:id="1267881946">
          <w:marLeft w:val="0"/>
          <w:marRight w:val="0"/>
          <w:marTop w:val="0"/>
          <w:marBottom w:val="0"/>
          <w:divBdr>
            <w:top w:val="none" w:sz="0" w:space="0" w:color="auto"/>
            <w:left w:val="none" w:sz="0" w:space="0" w:color="auto"/>
            <w:bottom w:val="none" w:sz="0" w:space="0" w:color="auto"/>
            <w:right w:val="none" w:sz="0" w:space="0" w:color="auto"/>
          </w:divBdr>
        </w:div>
        <w:div w:id="1615289919">
          <w:marLeft w:val="0"/>
          <w:marRight w:val="0"/>
          <w:marTop w:val="0"/>
          <w:marBottom w:val="0"/>
          <w:divBdr>
            <w:top w:val="none" w:sz="0" w:space="0" w:color="auto"/>
            <w:left w:val="none" w:sz="0" w:space="0" w:color="auto"/>
            <w:bottom w:val="none" w:sz="0" w:space="0" w:color="auto"/>
            <w:right w:val="none" w:sz="0" w:space="0" w:color="auto"/>
          </w:divBdr>
        </w:div>
        <w:div w:id="794107576">
          <w:marLeft w:val="0"/>
          <w:marRight w:val="0"/>
          <w:marTop w:val="0"/>
          <w:marBottom w:val="0"/>
          <w:divBdr>
            <w:top w:val="none" w:sz="0" w:space="0" w:color="auto"/>
            <w:left w:val="none" w:sz="0" w:space="0" w:color="auto"/>
            <w:bottom w:val="none" w:sz="0" w:space="0" w:color="auto"/>
            <w:right w:val="none" w:sz="0" w:space="0" w:color="auto"/>
          </w:divBdr>
        </w:div>
        <w:div w:id="2092966610">
          <w:marLeft w:val="0"/>
          <w:marRight w:val="0"/>
          <w:marTop w:val="0"/>
          <w:marBottom w:val="0"/>
          <w:divBdr>
            <w:top w:val="none" w:sz="0" w:space="0" w:color="auto"/>
            <w:left w:val="none" w:sz="0" w:space="0" w:color="auto"/>
            <w:bottom w:val="none" w:sz="0" w:space="0" w:color="auto"/>
            <w:right w:val="none" w:sz="0" w:space="0" w:color="auto"/>
          </w:divBdr>
        </w:div>
        <w:div w:id="1403092625">
          <w:marLeft w:val="0"/>
          <w:marRight w:val="0"/>
          <w:marTop w:val="0"/>
          <w:marBottom w:val="0"/>
          <w:divBdr>
            <w:top w:val="none" w:sz="0" w:space="0" w:color="auto"/>
            <w:left w:val="none" w:sz="0" w:space="0" w:color="auto"/>
            <w:bottom w:val="none" w:sz="0" w:space="0" w:color="auto"/>
            <w:right w:val="none" w:sz="0" w:space="0" w:color="auto"/>
          </w:divBdr>
        </w:div>
        <w:div w:id="531528838">
          <w:marLeft w:val="0"/>
          <w:marRight w:val="0"/>
          <w:marTop w:val="0"/>
          <w:marBottom w:val="0"/>
          <w:divBdr>
            <w:top w:val="none" w:sz="0" w:space="0" w:color="auto"/>
            <w:left w:val="none" w:sz="0" w:space="0" w:color="auto"/>
            <w:bottom w:val="none" w:sz="0" w:space="0" w:color="auto"/>
            <w:right w:val="none" w:sz="0" w:space="0" w:color="auto"/>
          </w:divBdr>
        </w:div>
      </w:divsChild>
    </w:div>
    <w:div w:id="1492023915">
      <w:bodyDiv w:val="1"/>
      <w:marLeft w:val="0"/>
      <w:marRight w:val="0"/>
      <w:marTop w:val="0"/>
      <w:marBottom w:val="0"/>
      <w:divBdr>
        <w:top w:val="none" w:sz="0" w:space="0" w:color="auto"/>
        <w:left w:val="none" w:sz="0" w:space="0" w:color="auto"/>
        <w:bottom w:val="none" w:sz="0" w:space="0" w:color="auto"/>
        <w:right w:val="none" w:sz="0" w:space="0" w:color="auto"/>
      </w:divBdr>
    </w:div>
    <w:div w:id="1587419011">
      <w:bodyDiv w:val="1"/>
      <w:marLeft w:val="0"/>
      <w:marRight w:val="0"/>
      <w:marTop w:val="0"/>
      <w:marBottom w:val="0"/>
      <w:divBdr>
        <w:top w:val="none" w:sz="0" w:space="0" w:color="auto"/>
        <w:left w:val="none" w:sz="0" w:space="0" w:color="auto"/>
        <w:bottom w:val="none" w:sz="0" w:space="0" w:color="auto"/>
        <w:right w:val="none" w:sz="0" w:space="0" w:color="auto"/>
      </w:divBdr>
    </w:div>
    <w:div w:id="1620068973">
      <w:bodyDiv w:val="1"/>
      <w:marLeft w:val="0"/>
      <w:marRight w:val="0"/>
      <w:marTop w:val="0"/>
      <w:marBottom w:val="0"/>
      <w:divBdr>
        <w:top w:val="none" w:sz="0" w:space="0" w:color="auto"/>
        <w:left w:val="none" w:sz="0" w:space="0" w:color="auto"/>
        <w:bottom w:val="none" w:sz="0" w:space="0" w:color="auto"/>
        <w:right w:val="none" w:sz="0" w:space="0" w:color="auto"/>
      </w:divBdr>
    </w:div>
    <w:div w:id="1641570559">
      <w:bodyDiv w:val="1"/>
      <w:marLeft w:val="0"/>
      <w:marRight w:val="0"/>
      <w:marTop w:val="0"/>
      <w:marBottom w:val="0"/>
      <w:divBdr>
        <w:top w:val="none" w:sz="0" w:space="0" w:color="auto"/>
        <w:left w:val="none" w:sz="0" w:space="0" w:color="auto"/>
        <w:bottom w:val="none" w:sz="0" w:space="0" w:color="auto"/>
        <w:right w:val="none" w:sz="0" w:space="0" w:color="auto"/>
      </w:divBdr>
    </w:div>
    <w:div w:id="1695383473">
      <w:bodyDiv w:val="1"/>
      <w:marLeft w:val="0"/>
      <w:marRight w:val="0"/>
      <w:marTop w:val="0"/>
      <w:marBottom w:val="0"/>
      <w:divBdr>
        <w:top w:val="none" w:sz="0" w:space="0" w:color="auto"/>
        <w:left w:val="none" w:sz="0" w:space="0" w:color="auto"/>
        <w:bottom w:val="none" w:sz="0" w:space="0" w:color="auto"/>
        <w:right w:val="none" w:sz="0" w:space="0" w:color="auto"/>
      </w:divBdr>
    </w:div>
    <w:div w:id="1731269658">
      <w:bodyDiv w:val="1"/>
      <w:marLeft w:val="0"/>
      <w:marRight w:val="0"/>
      <w:marTop w:val="0"/>
      <w:marBottom w:val="0"/>
      <w:divBdr>
        <w:top w:val="none" w:sz="0" w:space="0" w:color="auto"/>
        <w:left w:val="none" w:sz="0" w:space="0" w:color="auto"/>
        <w:bottom w:val="none" w:sz="0" w:space="0" w:color="auto"/>
        <w:right w:val="none" w:sz="0" w:space="0" w:color="auto"/>
      </w:divBdr>
    </w:div>
    <w:div w:id="1747341046">
      <w:bodyDiv w:val="1"/>
      <w:marLeft w:val="0"/>
      <w:marRight w:val="0"/>
      <w:marTop w:val="0"/>
      <w:marBottom w:val="0"/>
      <w:divBdr>
        <w:top w:val="none" w:sz="0" w:space="0" w:color="auto"/>
        <w:left w:val="none" w:sz="0" w:space="0" w:color="auto"/>
        <w:bottom w:val="none" w:sz="0" w:space="0" w:color="auto"/>
        <w:right w:val="none" w:sz="0" w:space="0" w:color="auto"/>
      </w:divBdr>
      <w:divsChild>
        <w:div w:id="1129056706">
          <w:marLeft w:val="0"/>
          <w:marRight w:val="0"/>
          <w:marTop w:val="0"/>
          <w:marBottom w:val="0"/>
          <w:divBdr>
            <w:top w:val="none" w:sz="0" w:space="0" w:color="auto"/>
            <w:left w:val="none" w:sz="0" w:space="0" w:color="auto"/>
            <w:bottom w:val="none" w:sz="0" w:space="0" w:color="auto"/>
            <w:right w:val="none" w:sz="0" w:space="0" w:color="auto"/>
          </w:divBdr>
        </w:div>
        <w:div w:id="1493911381">
          <w:marLeft w:val="0"/>
          <w:marRight w:val="0"/>
          <w:marTop w:val="0"/>
          <w:marBottom w:val="0"/>
          <w:divBdr>
            <w:top w:val="none" w:sz="0" w:space="0" w:color="auto"/>
            <w:left w:val="none" w:sz="0" w:space="0" w:color="auto"/>
            <w:bottom w:val="none" w:sz="0" w:space="0" w:color="auto"/>
            <w:right w:val="none" w:sz="0" w:space="0" w:color="auto"/>
          </w:divBdr>
        </w:div>
        <w:div w:id="611087082">
          <w:marLeft w:val="0"/>
          <w:marRight w:val="0"/>
          <w:marTop w:val="0"/>
          <w:marBottom w:val="0"/>
          <w:divBdr>
            <w:top w:val="none" w:sz="0" w:space="0" w:color="auto"/>
            <w:left w:val="none" w:sz="0" w:space="0" w:color="auto"/>
            <w:bottom w:val="none" w:sz="0" w:space="0" w:color="auto"/>
            <w:right w:val="none" w:sz="0" w:space="0" w:color="auto"/>
          </w:divBdr>
        </w:div>
        <w:div w:id="598218705">
          <w:marLeft w:val="0"/>
          <w:marRight w:val="0"/>
          <w:marTop w:val="0"/>
          <w:marBottom w:val="0"/>
          <w:divBdr>
            <w:top w:val="none" w:sz="0" w:space="0" w:color="auto"/>
            <w:left w:val="none" w:sz="0" w:space="0" w:color="auto"/>
            <w:bottom w:val="none" w:sz="0" w:space="0" w:color="auto"/>
            <w:right w:val="none" w:sz="0" w:space="0" w:color="auto"/>
          </w:divBdr>
        </w:div>
        <w:div w:id="1246569477">
          <w:marLeft w:val="0"/>
          <w:marRight w:val="0"/>
          <w:marTop w:val="0"/>
          <w:marBottom w:val="0"/>
          <w:divBdr>
            <w:top w:val="none" w:sz="0" w:space="0" w:color="auto"/>
            <w:left w:val="none" w:sz="0" w:space="0" w:color="auto"/>
            <w:bottom w:val="none" w:sz="0" w:space="0" w:color="auto"/>
            <w:right w:val="none" w:sz="0" w:space="0" w:color="auto"/>
          </w:divBdr>
        </w:div>
        <w:div w:id="1999067996">
          <w:marLeft w:val="0"/>
          <w:marRight w:val="0"/>
          <w:marTop w:val="0"/>
          <w:marBottom w:val="0"/>
          <w:divBdr>
            <w:top w:val="none" w:sz="0" w:space="0" w:color="auto"/>
            <w:left w:val="none" w:sz="0" w:space="0" w:color="auto"/>
            <w:bottom w:val="none" w:sz="0" w:space="0" w:color="auto"/>
            <w:right w:val="none" w:sz="0" w:space="0" w:color="auto"/>
          </w:divBdr>
        </w:div>
        <w:div w:id="28528570">
          <w:marLeft w:val="0"/>
          <w:marRight w:val="0"/>
          <w:marTop w:val="0"/>
          <w:marBottom w:val="0"/>
          <w:divBdr>
            <w:top w:val="none" w:sz="0" w:space="0" w:color="auto"/>
            <w:left w:val="none" w:sz="0" w:space="0" w:color="auto"/>
            <w:bottom w:val="none" w:sz="0" w:space="0" w:color="auto"/>
            <w:right w:val="none" w:sz="0" w:space="0" w:color="auto"/>
          </w:divBdr>
        </w:div>
        <w:div w:id="1137868701">
          <w:marLeft w:val="0"/>
          <w:marRight w:val="0"/>
          <w:marTop w:val="0"/>
          <w:marBottom w:val="0"/>
          <w:divBdr>
            <w:top w:val="none" w:sz="0" w:space="0" w:color="auto"/>
            <w:left w:val="none" w:sz="0" w:space="0" w:color="auto"/>
            <w:bottom w:val="none" w:sz="0" w:space="0" w:color="auto"/>
            <w:right w:val="none" w:sz="0" w:space="0" w:color="auto"/>
          </w:divBdr>
        </w:div>
      </w:divsChild>
    </w:div>
    <w:div w:id="1825898875">
      <w:bodyDiv w:val="1"/>
      <w:marLeft w:val="0"/>
      <w:marRight w:val="0"/>
      <w:marTop w:val="0"/>
      <w:marBottom w:val="0"/>
      <w:divBdr>
        <w:top w:val="none" w:sz="0" w:space="0" w:color="auto"/>
        <w:left w:val="none" w:sz="0" w:space="0" w:color="auto"/>
        <w:bottom w:val="none" w:sz="0" w:space="0" w:color="auto"/>
        <w:right w:val="none" w:sz="0" w:space="0" w:color="auto"/>
      </w:divBdr>
    </w:div>
    <w:div w:id="1984383983">
      <w:bodyDiv w:val="1"/>
      <w:marLeft w:val="0"/>
      <w:marRight w:val="0"/>
      <w:marTop w:val="0"/>
      <w:marBottom w:val="0"/>
      <w:divBdr>
        <w:top w:val="none" w:sz="0" w:space="0" w:color="auto"/>
        <w:left w:val="none" w:sz="0" w:space="0" w:color="auto"/>
        <w:bottom w:val="none" w:sz="0" w:space="0" w:color="auto"/>
        <w:right w:val="none" w:sz="0" w:space="0" w:color="auto"/>
      </w:divBdr>
    </w:div>
    <w:div w:id="2017226342">
      <w:bodyDiv w:val="1"/>
      <w:marLeft w:val="0"/>
      <w:marRight w:val="0"/>
      <w:marTop w:val="0"/>
      <w:marBottom w:val="0"/>
      <w:divBdr>
        <w:top w:val="none" w:sz="0" w:space="0" w:color="auto"/>
        <w:left w:val="none" w:sz="0" w:space="0" w:color="auto"/>
        <w:bottom w:val="none" w:sz="0" w:space="0" w:color="auto"/>
        <w:right w:val="none" w:sz="0" w:space="0" w:color="auto"/>
      </w:divBdr>
    </w:div>
    <w:div w:id="2084527373">
      <w:bodyDiv w:val="1"/>
      <w:marLeft w:val="0"/>
      <w:marRight w:val="0"/>
      <w:marTop w:val="0"/>
      <w:marBottom w:val="0"/>
      <w:divBdr>
        <w:top w:val="none" w:sz="0" w:space="0" w:color="auto"/>
        <w:left w:val="none" w:sz="0" w:space="0" w:color="auto"/>
        <w:bottom w:val="none" w:sz="0" w:space="0" w:color="auto"/>
        <w:right w:val="none" w:sz="0" w:space="0" w:color="auto"/>
      </w:divBdr>
      <w:divsChild>
        <w:div w:id="73939906">
          <w:marLeft w:val="0"/>
          <w:marRight w:val="0"/>
          <w:marTop w:val="0"/>
          <w:marBottom w:val="0"/>
          <w:divBdr>
            <w:top w:val="none" w:sz="0" w:space="0" w:color="auto"/>
            <w:left w:val="none" w:sz="0" w:space="0" w:color="auto"/>
            <w:bottom w:val="none" w:sz="0" w:space="0" w:color="auto"/>
            <w:right w:val="none" w:sz="0" w:space="0" w:color="auto"/>
          </w:divBdr>
        </w:div>
        <w:div w:id="144788104">
          <w:marLeft w:val="0"/>
          <w:marRight w:val="0"/>
          <w:marTop w:val="0"/>
          <w:marBottom w:val="0"/>
          <w:divBdr>
            <w:top w:val="none" w:sz="0" w:space="0" w:color="auto"/>
            <w:left w:val="none" w:sz="0" w:space="0" w:color="auto"/>
            <w:bottom w:val="none" w:sz="0" w:space="0" w:color="auto"/>
            <w:right w:val="none" w:sz="0" w:space="0" w:color="auto"/>
          </w:divBdr>
        </w:div>
        <w:div w:id="1957062266">
          <w:marLeft w:val="0"/>
          <w:marRight w:val="0"/>
          <w:marTop w:val="0"/>
          <w:marBottom w:val="0"/>
          <w:divBdr>
            <w:top w:val="none" w:sz="0" w:space="0" w:color="auto"/>
            <w:left w:val="none" w:sz="0" w:space="0" w:color="auto"/>
            <w:bottom w:val="none" w:sz="0" w:space="0" w:color="auto"/>
            <w:right w:val="none" w:sz="0" w:space="0" w:color="auto"/>
          </w:divBdr>
        </w:div>
      </w:divsChild>
    </w:div>
    <w:div w:id="2098944861">
      <w:bodyDiv w:val="1"/>
      <w:marLeft w:val="0"/>
      <w:marRight w:val="0"/>
      <w:marTop w:val="0"/>
      <w:marBottom w:val="0"/>
      <w:divBdr>
        <w:top w:val="none" w:sz="0" w:space="0" w:color="auto"/>
        <w:left w:val="none" w:sz="0" w:space="0" w:color="auto"/>
        <w:bottom w:val="none" w:sz="0" w:space="0" w:color="auto"/>
        <w:right w:val="none" w:sz="0" w:space="0" w:color="auto"/>
      </w:divBdr>
      <w:divsChild>
        <w:div w:id="1477911754">
          <w:marLeft w:val="0"/>
          <w:marRight w:val="0"/>
          <w:marTop w:val="0"/>
          <w:marBottom w:val="0"/>
          <w:divBdr>
            <w:top w:val="none" w:sz="0" w:space="0" w:color="auto"/>
            <w:left w:val="none" w:sz="0" w:space="0" w:color="auto"/>
            <w:bottom w:val="none" w:sz="0" w:space="0" w:color="auto"/>
            <w:right w:val="none" w:sz="0" w:space="0" w:color="auto"/>
          </w:divBdr>
        </w:div>
        <w:div w:id="1752045773">
          <w:marLeft w:val="0"/>
          <w:marRight w:val="0"/>
          <w:marTop w:val="0"/>
          <w:marBottom w:val="0"/>
          <w:divBdr>
            <w:top w:val="none" w:sz="0" w:space="0" w:color="auto"/>
            <w:left w:val="none" w:sz="0" w:space="0" w:color="auto"/>
            <w:bottom w:val="none" w:sz="0" w:space="0" w:color="auto"/>
            <w:right w:val="none" w:sz="0" w:space="0" w:color="auto"/>
          </w:divBdr>
        </w:div>
        <w:div w:id="2097169156">
          <w:marLeft w:val="0"/>
          <w:marRight w:val="0"/>
          <w:marTop w:val="0"/>
          <w:marBottom w:val="0"/>
          <w:divBdr>
            <w:top w:val="none" w:sz="0" w:space="0" w:color="auto"/>
            <w:left w:val="none" w:sz="0" w:space="0" w:color="auto"/>
            <w:bottom w:val="none" w:sz="0" w:space="0" w:color="auto"/>
            <w:right w:val="none" w:sz="0" w:space="0" w:color="auto"/>
          </w:divBdr>
        </w:div>
        <w:div w:id="453989247">
          <w:marLeft w:val="0"/>
          <w:marRight w:val="0"/>
          <w:marTop w:val="0"/>
          <w:marBottom w:val="0"/>
          <w:divBdr>
            <w:top w:val="none" w:sz="0" w:space="0" w:color="auto"/>
            <w:left w:val="none" w:sz="0" w:space="0" w:color="auto"/>
            <w:bottom w:val="none" w:sz="0" w:space="0" w:color="auto"/>
            <w:right w:val="none" w:sz="0" w:space="0" w:color="auto"/>
          </w:divBdr>
        </w:div>
        <w:div w:id="1122386414">
          <w:marLeft w:val="0"/>
          <w:marRight w:val="0"/>
          <w:marTop w:val="0"/>
          <w:marBottom w:val="0"/>
          <w:divBdr>
            <w:top w:val="none" w:sz="0" w:space="0" w:color="auto"/>
            <w:left w:val="none" w:sz="0" w:space="0" w:color="auto"/>
            <w:bottom w:val="none" w:sz="0" w:space="0" w:color="auto"/>
            <w:right w:val="none" w:sz="0" w:space="0" w:color="auto"/>
          </w:divBdr>
        </w:div>
        <w:div w:id="1441025278">
          <w:marLeft w:val="0"/>
          <w:marRight w:val="0"/>
          <w:marTop w:val="0"/>
          <w:marBottom w:val="0"/>
          <w:divBdr>
            <w:top w:val="none" w:sz="0" w:space="0" w:color="auto"/>
            <w:left w:val="none" w:sz="0" w:space="0" w:color="auto"/>
            <w:bottom w:val="none" w:sz="0" w:space="0" w:color="auto"/>
            <w:right w:val="none" w:sz="0" w:space="0" w:color="auto"/>
          </w:divBdr>
        </w:div>
        <w:div w:id="1253855629">
          <w:marLeft w:val="0"/>
          <w:marRight w:val="0"/>
          <w:marTop w:val="0"/>
          <w:marBottom w:val="0"/>
          <w:divBdr>
            <w:top w:val="none" w:sz="0" w:space="0" w:color="auto"/>
            <w:left w:val="none" w:sz="0" w:space="0" w:color="auto"/>
            <w:bottom w:val="none" w:sz="0" w:space="0" w:color="auto"/>
            <w:right w:val="none" w:sz="0" w:space="0" w:color="auto"/>
          </w:divBdr>
        </w:div>
        <w:div w:id="859857743">
          <w:marLeft w:val="0"/>
          <w:marRight w:val="0"/>
          <w:marTop w:val="0"/>
          <w:marBottom w:val="0"/>
          <w:divBdr>
            <w:top w:val="none" w:sz="0" w:space="0" w:color="auto"/>
            <w:left w:val="none" w:sz="0" w:space="0" w:color="auto"/>
            <w:bottom w:val="none" w:sz="0" w:space="0" w:color="auto"/>
            <w:right w:val="none" w:sz="0" w:space="0" w:color="auto"/>
          </w:divBdr>
        </w:div>
      </w:divsChild>
    </w:div>
    <w:div w:id="2120056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tinghamcity.gov.uk/media/3374491/nottingham-city-joint-health-and-wellbeing-strategy-2022-25.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70074F-59A1-4EA8-8BD1-DC70A156A1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4493</Words>
  <Characters>25613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Lysh</dc:creator>
  <cp:keywords/>
  <dc:description/>
  <cp:lastModifiedBy>Richard Kanjoma (1916228)</cp:lastModifiedBy>
  <cp:revision>2</cp:revision>
  <dcterms:created xsi:type="dcterms:W3CDTF">2023-01-03T18:47:00Z</dcterms:created>
  <dcterms:modified xsi:type="dcterms:W3CDTF">2023-01-03T18:47:00Z</dcterms:modified>
</cp:coreProperties>
</file>