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Normal"/>
        <w:tblW w:w="0" w:type="auto"/>
        <w:tblInd w:w="390" w:type="dxa"/>
        <w:tblLayout w:type="fixed"/>
        <w:tblLook w:val="0000" w:firstRow="0" w:lastRow="0" w:firstColumn="0" w:lastColumn="0" w:noHBand="0" w:noVBand="0"/>
      </w:tblPr>
      <w:tblGrid>
        <w:gridCol w:w="1899"/>
        <w:gridCol w:w="2991"/>
        <w:gridCol w:w="2063"/>
        <w:gridCol w:w="2063"/>
      </w:tblGrid>
      <w:tr w:rsidR="67B24FEE" w:rsidTr="67B24FEE" w14:paraId="4EC2430A">
        <w:trPr>
          <w:trHeight w:val="300"/>
        </w:trPr>
        <w:tc>
          <w:tcPr>
            <w:tcW w:w="1899" w:type="dxa"/>
            <w:tcBorders>
              <w:top w:val="single" w:sz="6"/>
              <w:left w:val="single" w:sz="6"/>
              <w:bottom w:val="single" w:sz="6"/>
              <w:right w:val="single" w:sz="6"/>
            </w:tcBorders>
            <w:tcMar>
              <w:left w:w="105" w:type="dxa"/>
              <w:right w:w="105" w:type="dxa"/>
            </w:tcMar>
            <w:vAlign w:val="top"/>
          </w:tcPr>
          <w:p w:rsidR="67B24FEE" w:rsidP="67B24FEE" w:rsidRDefault="67B24FEE" w14:paraId="55872957" w14:textId="08520367">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Student name:</w:t>
            </w:r>
          </w:p>
        </w:tc>
        <w:tc>
          <w:tcPr>
            <w:tcW w:w="2991" w:type="dxa"/>
            <w:tcBorders>
              <w:top w:val="single" w:sz="6"/>
              <w:left w:val="single" w:sz="6"/>
              <w:bottom w:val="single" w:sz="6"/>
              <w:right w:val="single" w:sz="6"/>
            </w:tcBorders>
            <w:tcMar>
              <w:left w:w="105" w:type="dxa"/>
              <w:right w:w="105" w:type="dxa"/>
            </w:tcMar>
            <w:vAlign w:val="top"/>
          </w:tcPr>
          <w:p w:rsidR="67B24FEE" w:rsidP="67B24FEE" w:rsidRDefault="67B24FEE" w14:paraId="653B8448" w14:textId="37362173">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 xml:space="preserve"> Sandie James </w:t>
            </w:r>
            <w:r w:rsidRPr="67B24FEE" w:rsidR="67B24FEE">
              <w:rPr>
                <w:rFonts w:ascii="Arial" w:hAnsi="Arial" w:eastAsia="Arial" w:cs="Arial"/>
                <w:b w:val="1"/>
                <w:bCs w:val="1"/>
                <w:i w:val="0"/>
                <w:iCs w:val="0"/>
                <w:caps w:val="0"/>
                <w:smallCaps w:val="0"/>
                <w:color w:val="000000" w:themeColor="text1" w:themeTint="FF" w:themeShade="FF"/>
                <w:sz w:val="22"/>
                <w:szCs w:val="22"/>
                <w:lang w:val="en-GB"/>
              </w:rPr>
              <w:t>Escol</w:t>
            </w:r>
          </w:p>
        </w:tc>
        <w:tc>
          <w:tcPr>
            <w:tcW w:w="2063"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7B24FEE" w:rsidP="67B24FEE" w:rsidRDefault="67B24FEE" w14:paraId="017AC366" w14:textId="02D8014C">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Student ID number:</w:t>
            </w:r>
          </w:p>
        </w:tc>
        <w:tc>
          <w:tcPr>
            <w:tcW w:w="2063" w:type="dxa"/>
            <w:tcBorders>
              <w:top w:val="single" w:sz="6"/>
              <w:left w:val="single" w:sz="6"/>
              <w:bottom w:val="single" w:sz="6"/>
              <w:right w:val="single" w:sz="6"/>
            </w:tcBorders>
            <w:tcMar>
              <w:left w:w="105" w:type="dxa"/>
              <w:right w:w="105" w:type="dxa"/>
            </w:tcMar>
            <w:vAlign w:val="top"/>
          </w:tcPr>
          <w:p w:rsidR="67B24FEE" w:rsidP="67B24FEE" w:rsidRDefault="67B24FEE" w14:paraId="2BD3B425" w14:textId="41CABE05">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2223946</w:t>
            </w:r>
          </w:p>
        </w:tc>
      </w:tr>
      <w:tr w:rsidR="67B24FEE" w:rsidTr="67B24FEE" w14:paraId="0DA9388F">
        <w:trPr>
          <w:trHeight w:val="300"/>
        </w:trPr>
        <w:tc>
          <w:tcPr>
            <w:tcW w:w="1899" w:type="dxa"/>
            <w:tcBorders>
              <w:top w:val="single" w:sz="6"/>
              <w:left w:val="single" w:sz="6"/>
              <w:bottom w:val="single" w:sz="6"/>
              <w:right w:val="single" w:sz="6"/>
            </w:tcBorders>
            <w:tcMar>
              <w:left w:w="105" w:type="dxa"/>
              <w:right w:w="105" w:type="dxa"/>
            </w:tcMar>
            <w:vAlign w:val="top"/>
          </w:tcPr>
          <w:p w:rsidR="67B24FEE" w:rsidP="67B24FEE" w:rsidRDefault="67B24FEE" w14:paraId="45A3731F" w14:textId="477438FD">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Programme:</w:t>
            </w:r>
          </w:p>
        </w:tc>
        <w:tc>
          <w:tcPr>
            <w:tcW w:w="7117" w:type="dxa"/>
            <w:gridSpan w:val="3"/>
            <w:tcBorders>
              <w:top w:val="single" w:sz="6"/>
              <w:left w:val="single" w:sz="6"/>
              <w:bottom w:val="single" w:sz="6"/>
              <w:right w:val="single" w:sz="6"/>
            </w:tcBorders>
            <w:tcMar>
              <w:left w:w="105" w:type="dxa"/>
              <w:right w:w="105" w:type="dxa"/>
            </w:tcMar>
            <w:vAlign w:val="top"/>
          </w:tcPr>
          <w:p w:rsidR="67B24FEE" w:rsidP="67B24FEE" w:rsidRDefault="67B24FEE" w14:paraId="597FAEAB" w14:textId="0DE38CF3">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Policing</w:t>
            </w:r>
          </w:p>
        </w:tc>
      </w:tr>
      <w:tr w:rsidR="67B24FEE" w:rsidTr="67B24FEE" w14:paraId="5FF5CC39">
        <w:trPr>
          <w:trHeight w:val="300"/>
        </w:trPr>
        <w:tc>
          <w:tcPr>
            <w:tcW w:w="1899" w:type="dxa"/>
            <w:tcBorders>
              <w:top w:val="single" w:sz="6"/>
              <w:left w:val="single" w:sz="6"/>
              <w:bottom w:val="single" w:sz="6"/>
              <w:right w:val="single" w:sz="6"/>
            </w:tcBorders>
            <w:tcMar>
              <w:left w:w="105" w:type="dxa"/>
              <w:right w:w="105" w:type="dxa"/>
            </w:tcMar>
            <w:vAlign w:val="top"/>
          </w:tcPr>
          <w:p w:rsidR="67B24FEE" w:rsidP="67B24FEE" w:rsidRDefault="67B24FEE" w14:paraId="0578DFEC" w14:textId="6EEF3F76">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Module:</w:t>
            </w:r>
          </w:p>
        </w:tc>
        <w:tc>
          <w:tcPr>
            <w:tcW w:w="7117" w:type="dxa"/>
            <w:gridSpan w:val="3"/>
            <w:tcBorders>
              <w:top w:val="single" w:sz="6"/>
              <w:left w:val="single" w:sz="6"/>
              <w:bottom w:val="single" w:sz="6"/>
              <w:right w:val="single" w:sz="6"/>
            </w:tcBorders>
            <w:tcMar>
              <w:left w:w="105" w:type="dxa"/>
              <w:right w:w="105" w:type="dxa"/>
            </w:tcMar>
            <w:vAlign w:val="top"/>
          </w:tcPr>
          <w:p w:rsidR="67B24FEE" w:rsidP="67B24FEE" w:rsidRDefault="67B24FEE" w14:paraId="4EFD8190" w14:textId="73B774E4">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Evidence-Based Policing and Decision Making</w:t>
            </w:r>
          </w:p>
          <w:p w:rsidR="67B24FEE" w:rsidP="67B24FEE" w:rsidRDefault="67B24FEE" w14:paraId="49FE420D" w14:textId="43037DED">
            <w:pPr>
              <w:spacing w:before="120" w:after="120"/>
              <w:jc w:val="both"/>
              <w:rPr>
                <w:rFonts w:ascii="Arial" w:hAnsi="Arial" w:eastAsia="Arial" w:cs="Arial"/>
                <w:b w:val="0"/>
                <w:bCs w:val="0"/>
                <w:i w:val="0"/>
                <w:iCs w:val="0"/>
                <w:caps w:val="0"/>
                <w:smallCaps w:val="0"/>
                <w:color w:val="000000" w:themeColor="text1" w:themeTint="FF" w:themeShade="FF"/>
                <w:sz w:val="22"/>
                <w:szCs w:val="22"/>
              </w:rPr>
            </w:pPr>
          </w:p>
        </w:tc>
      </w:tr>
      <w:tr w:rsidR="67B24FEE" w:rsidTr="67B24FEE" w14:paraId="5D0A771E">
        <w:trPr>
          <w:trHeight w:val="300"/>
        </w:trPr>
        <w:tc>
          <w:tcPr>
            <w:tcW w:w="1899" w:type="dxa"/>
            <w:tcBorders>
              <w:top w:val="single" w:sz="6"/>
              <w:left w:val="single" w:sz="6"/>
              <w:bottom w:val="single" w:sz="6"/>
              <w:right w:val="single" w:sz="6"/>
            </w:tcBorders>
            <w:tcMar>
              <w:left w:w="105" w:type="dxa"/>
              <w:right w:w="105" w:type="dxa"/>
            </w:tcMar>
            <w:vAlign w:val="top"/>
          </w:tcPr>
          <w:p w:rsidR="67B24FEE" w:rsidP="67B24FEE" w:rsidRDefault="67B24FEE" w14:paraId="0C824EA1" w14:textId="464A2F5C">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Module code:</w:t>
            </w:r>
          </w:p>
        </w:tc>
        <w:tc>
          <w:tcPr>
            <w:tcW w:w="2991" w:type="dxa"/>
            <w:tcBorders>
              <w:top w:val="single" w:sz="6"/>
              <w:left w:val="single" w:sz="6"/>
              <w:bottom w:val="single" w:sz="6"/>
              <w:right w:val="single" w:sz="6"/>
            </w:tcBorders>
            <w:tcMar>
              <w:left w:w="105" w:type="dxa"/>
              <w:right w:w="105" w:type="dxa"/>
            </w:tcMar>
            <w:vAlign w:val="top"/>
          </w:tcPr>
          <w:p w:rsidR="67B24FEE" w:rsidP="67B24FEE" w:rsidRDefault="67B24FEE" w14:paraId="6CA3D87D" w14:textId="4A879678">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BMPL 4001</w:t>
            </w:r>
          </w:p>
        </w:tc>
        <w:tc>
          <w:tcPr>
            <w:tcW w:w="2063"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7B24FEE" w:rsidP="67B24FEE" w:rsidRDefault="67B24FEE" w14:paraId="436A0680" w14:textId="530067DC">
            <w:pPr>
              <w:pStyle w:val="Heading2"/>
              <w:keepNext w:val="1"/>
              <w:jc w:val="both"/>
              <w:rPr>
                <w:rFonts w:ascii="Arial" w:hAnsi="Arial" w:eastAsia="Arial" w:cs="Arial"/>
                <w:b w:val="1"/>
                <w:bCs w:val="1"/>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Contribution to Overall Module Assessment (%):</w:t>
            </w:r>
          </w:p>
        </w:tc>
        <w:tc>
          <w:tcPr>
            <w:tcW w:w="2063" w:type="dxa"/>
            <w:tcBorders>
              <w:top w:val="single" w:sz="6"/>
              <w:left w:val="single" w:sz="6"/>
              <w:bottom w:val="single" w:sz="6"/>
              <w:right w:val="single" w:sz="6"/>
            </w:tcBorders>
            <w:tcMar>
              <w:left w:w="105" w:type="dxa"/>
              <w:right w:w="105" w:type="dxa"/>
            </w:tcMar>
            <w:vAlign w:val="top"/>
          </w:tcPr>
          <w:p w:rsidR="67B24FEE" w:rsidP="67B24FEE" w:rsidRDefault="67B24FEE" w14:paraId="72A22306" w14:textId="5A0C61F8">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50%</w:t>
            </w:r>
          </w:p>
        </w:tc>
      </w:tr>
      <w:tr w:rsidR="67B24FEE" w:rsidTr="67B24FEE" w14:paraId="7891BBF4">
        <w:trPr>
          <w:trHeight w:val="300"/>
        </w:trPr>
        <w:tc>
          <w:tcPr>
            <w:tcW w:w="1899" w:type="dxa"/>
            <w:tcBorders>
              <w:top w:val="single" w:sz="6"/>
              <w:left w:val="single" w:sz="6"/>
              <w:bottom w:val="single" w:sz="6"/>
              <w:right w:val="single" w:sz="6"/>
            </w:tcBorders>
            <w:tcMar>
              <w:left w:w="105" w:type="dxa"/>
              <w:right w:w="105" w:type="dxa"/>
            </w:tcMar>
            <w:vAlign w:val="top"/>
          </w:tcPr>
          <w:p w:rsidR="67B24FEE" w:rsidP="67B24FEE" w:rsidRDefault="67B24FEE" w14:paraId="1CD8E628" w14:textId="05EE18CE">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Lecturer:</w:t>
            </w:r>
          </w:p>
        </w:tc>
        <w:tc>
          <w:tcPr>
            <w:tcW w:w="2991" w:type="dxa"/>
            <w:tcBorders>
              <w:top w:val="single" w:sz="6"/>
              <w:left w:val="single" w:sz="6"/>
              <w:bottom w:val="single" w:sz="6"/>
              <w:right w:val="single" w:sz="6"/>
            </w:tcBorders>
            <w:tcMar>
              <w:left w:w="105" w:type="dxa"/>
              <w:right w:w="105" w:type="dxa"/>
            </w:tcMar>
            <w:vAlign w:val="top"/>
          </w:tcPr>
          <w:p w:rsidR="67B24FEE" w:rsidP="67B24FEE" w:rsidRDefault="67B24FEE" w14:paraId="042229E4" w14:textId="3D33C784">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Luke Roach</w:t>
            </w:r>
          </w:p>
        </w:tc>
        <w:tc>
          <w:tcPr>
            <w:tcW w:w="2063"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7B24FEE" w:rsidP="67B24FEE" w:rsidRDefault="67B24FEE" w14:paraId="739E0C43" w14:textId="5FC87DE8">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Internal Verifier:</w:t>
            </w:r>
          </w:p>
        </w:tc>
        <w:tc>
          <w:tcPr>
            <w:tcW w:w="2063" w:type="dxa"/>
            <w:tcBorders>
              <w:top w:val="single" w:sz="6"/>
              <w:left w:val="single" w:sz="6"/>
              <w:bottom w:val="single" w:sz="6"/>
              <w:right w:val="single" w:sz="6"/>
            </w:tcBorders>
            <w:tcMar>
              <w:left w:w="105" w:type="dxa"/>
              <w:right w:w="105" w:type="dxa"/>
            </w:tcMar>
            <w:vAlign w:val="top"/>
          </w:tcPr>
          <w:p w:rsidR="67B24FEE" w:rsidP="67B24FEE" w:rsidRDefault="67B24FEE" w14:paraId="4788E308" w14:textId="5C8D7A42">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Rhiannon Lloyd</w:t>
            </w:r>
          </w:p>
        </w:tc>
      </w:tr>
      <w:tr w:rsidR="67B24FEE" w:rsidTr="67B24FEE" w14:paraId="24CD8C03">
        <w:trPr>
          <w:trHeight w:val="300"/>
        </w:trPr>
        <w:tc>
          <w:tcPr>
            <w:tcW w:w="1899" w:type="dxa"/>
            <w:tcBorders>
              <w:top w:val="single" w:sz="6"/>
              <w:left w:val="single" w:sz="6"/>
              <w:bottom w:val="single" w:sz="6"/>
              <w:right w:val="single" w:sz="6"/>
            </w:tcBorders>
            <w:tcMar>
              <w:left w:w="105" w:type="dxa"/>
              <w:right w:w="105" w:type="dxa"/>
            </w:tcMar>
            <w:vAlign w:val="top"/>
          </w:tcPr>
          <w:p w:rsidR="67B24FEE" w:rsidP="67B24FEE" w:rsidRDefault="67B24FEE" w14:paraId="036F79B0" w14:textId="0B86063D">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Assignment Title:</w:t>
            </w:r>
          </w:p>
        </w:tc>
        <w:tc>
          <w:tcPr>
            <w:tcW w:w="2991" w:type="dxa"/>
            <w:tcBorders>
              <w:top w:val="single" w:sz="6"/>
              <w:left w:val="single" w:sz="6"/>
              <w:bottom w:val="single" w:sz="6"/>
              <w:right w:val="single" w:sz="6"/>
            </w:tcBorders>
            <w:tcMar>
              <w:left w:w="105" w:type="dxa"/>
              <w:right w:w="105" w:type="dxa"/>
            </w:tcMar>
            <w:vAlign w:val="top"/>
          </w:tcPr>
          <w:p w:rsidR="67B24FEE" w:rsidP="67B24FEE" w:rsidRDefault="67B24FEE" w14:paraId="4D185DB7" w14:textId="639FB26A">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Evidence Based Policing &amp; Applications</w:t>
            </w:r>
          </w:p>
          <w:p w:rsidR="67B24FEE" w:rsidP="67B24FEE" w:rsidRDefault="67B24FEE" w14:paraId="23879F1D" w14:textId="04DCB629">
            <w:pPr>
              <w:spacing w:before="120" w:after="120"/>
              <w:jc w:val="both"/>
              <w:rPr>
                <w:rFonts w:ascii="Arial" w:hAnsi="Arial" w:eastAsia="Arial" w:cs="Arial"/>
                <w:b w:val="0"/>
                <w:bCs w:val="0"/>
                <w:i w:val="0"/>
                <w:iCs w:val="0"/>
                <w:caps w:val="0"/>
                <w:smallCaps w:val="0"/>
                <w:color w:val="000000" w:themeColor="text1" w:themeTint="FF" w:themeShade="FF"/>
                <w:sz w:val="22"/>
                <w:szCs w:val="22"/>
              </w:rPr>
            </w:pPr>
          </w:p>
        </w:tc>
        <w:tc>
          <w:tcPr>
            <w:tcW w:w="2063" w:type="dxa"/>
            <w:tcBorders>
              <w:top w:val="single" w:sz="6"/>
              <w:left w:val="single" w:sz="6"/>
              <w:bottom w:val="single" w:sz="6"/>
              <w:right w:val="single" w:sz="6"/>
            </w:tcBorders>
            <w:tcMar>
              <w:left w:w="105" w:type="dxa"/>
              <w:right w:w="105" w:type="dxa"/>
            </w:tcMar>
            <w:vAlign w:val="top"/>
          </w:tcPr>
          <w:p w:rsidR="67B24FEE" w:rsidP="67B24FEE" w:rsidRDefault="67B24FEE" w14:paraId="3B900C3B" w14:textId="2BC52ABE">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Word count (or equivalent):</w:t>
            </w:r>
          </w:p>
        </w:tc>
        <w:tc>
          <w:tcPr>
            <w:tcW w:w="2063" w:type="dxa"/>
            <w:tcBorders>
              <w:top w:val="single" w:sz="6"/>
              <w:left w:val="single" w:sz="6"/>
              <w:bottom w:val="single" w:sz="6"/>
              <w:right w:val="single" w:sz="6"/>
            </w:tcBorders>
            <w:tcMar>
              <w:left w:w="105" w:type="dxa"/>
              <w:right w:w="105" w:type="dxa"/>
            </w:tcMar>
            <w:vAlign w:val="top"/>
          </w:tcPr>
          <w:p w:rsidR="67B24FEE" w:rsidP="67B24FEE" w:rsidRDefault="67B24FEE" w14:paraId="27FC645A" w14:textId="3BF6E4A4">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67B24FEE" w:rsidR="67B24FEE">
              <w:rPr>
                <w:rFonts w:ascii="Arial" w:hAnsi="Arial" w:eastAsia="Arial" w:cs="Arial"/>
                <w:b w:val="1"/>
                <w:bCs w:val="1"/>
                <w:i w:val="0"/>
                <w:iCs w:val="0"/>
                <w:caps w:val="0"/>
                <w:smallCaps w:val="0"/>
                <w:color w:val="000000" w:themeColor="text1" w:themeTint="FF" w:themeShade="FF"/>
                <w:sz w:val="22"/>
                <w:szCs w:val="22"/>
                <w:lang w:val="en-GB"/>
              </w:rPr>
              <w:t>2000</w:t>
            </w:r>
          </w:p>
        </w:tc>
      </w:tr>
    </w:tbl>
    <w:p w:rsidR="67B24FEE" w:rsidP="67B24FEE" w:rsidRDefault="67B24FEE" w14:paraId="78C8CF6C" w14:textId="38828DAF">
      <w:pPr>
        <w:pStyle w:val="Normal"/>
      </w:pPr>
    </w:p>
    <w:p w:rsidR="08F3FBE7" w:rsidP="67B24FEE" w:rsidRDefault="08F3FBE7" w14:paraId="1245822A" w14:textId="20361F83">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67B24FEE" w:rsidR="08F3FBE7">
        <w:rPr>
          <w:rFonts w:ascii="Arial" w:hAnsi="Arial" w:eastAsia="Arial" w:cs="Arial"/>
          <w:b w:val="0"/>
          <w:bCs w:val="0"/>
          <w:i w:val="0"/>
          <w:iCs w:val="0"/>
          <w:caps w:val="0"/>
          <w:smallCaps w:val="0"/>
          <w:noProof w:val="0"/>
          <w:color w:val="000000" w:themeColor="text1" w:themeTint="FF" w:themeShade="FF"/>
          <w:sz w:val="24"/>
          <w:szCs w:val="24"/>
          <w:lang w:val="en-GB"/>
        </w:rPr>
        <w:t xml:space="preserve">Using a crime activity of your choice, describe and discuss how classical criminology informs </w:t>
      </w:r>
      <w:r w:rsidRPr="67B24FEE" w:rsidR="7FD62078">
        <w:rPr>
          <w:rFonts w:ascii="Arial" w:hAnsi="Arial" w:eastAsia="Arial" w:cs="Arial"/>
          <w:b w:val="0"/>
          <w:bCs w:val="0"/>
          <w:i w:val="0"/>
          <w:iCs w:val="0"/>
          <w:caps w:val="0"/>
          <w:smallCaps w:val="0"/>
          <w:noProof w:val="0"/>
          <w:color w:val="000000" w:themeColor="text1" w:themeTint="FF" w:themeShade="FF"/>
          <w:sz w:val="24"/>
          <w:szCs w:val="24"/>
          <w:lang w:val="en-GB"/>
        </w:rPr>
        <w:t>evidence-based</w:t>
      </w:r>
      <w:r w:rsidRPr="67B24FEE" w:rsidR="08F3FBE7">
        <w:rPr>
          <w:rFonts w:ascii="Arial" w:hAnsi="Arial" w:eastAsia="Arial" w:cs="Arial"/>
          <w:b w:val="0"/>
          <w:bCs w:val="0"/>
          <w:i w:val="0"/>
          <w:iCs w:val="0"/>
          <w:caps w:val="0"/>
          <w:smallCaps w:val="0"/>
          <w:noProof w:val="0"/>
          <w:color w:val="000000" w:themeColor="text1" w:themeTint="FF" w:themeShade="FF"/>
          <w:sz w:val="24"/>
          <w:szCs w:val="24"/>
          <w:lang w:val="en-GB"/>
        </w:rPr>
        <w:t xml:space="preserve"> policing.</w:t>
      </w:r>
    </w:p>
    <w:p w:rsidR="67B24FEE" w:rsidP="67B24FEE" w:rsidRDefault="67B24FEE" w14:paraId="76FD728C" w14:textId="28FC268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08F3FBE7" w:rsidP="67B24FEE" w:rsidRDefault="08F3FBE7" w14:paraId="4736E9F5" w14:textId="3F890755">
      <w:pPr>
        <w:pStyle w:val="ListParagraph"/>
        <w:numPr>
          <w:ilvl w:val="0"/>
          <w:numId w:val="2"/>
        </w:num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Outline the key ideas and theories associated with classical criminology</w:t>
      </w:r>
    </w:p>
    <w:p w:rsidR="67B24FEE" w:rsidP="67B24FEE" w:rsidRDefault="67B24FEE" w14:paraId="6D70CE63" w14:textId="4CE7A9C1">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08F3FBE7" w:rsidP="67B24FEE" w:rsidRDefault="08F3FBE7" w14:paraId="1D3A2708" w14:textId="564ECC5F">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Classical criminology is based on when the crime brings more pain than pleasure. Classical criminology is more concerned with fair punishment based on a standard system of crimes and punishment. There is no actual interest in rehabilitation or the psychology behind criminal behaviour. The central purpose of classical criminology is crime prevention, the punishment scale should be such that prospective criminals are deterred from offending. In the 18th century, this approach to criminality is established on the notion that people are self-seeking and liable to commit crimes by nature (UNODC.ORG, 2018).  </w:t>
      </w:r>
    </w:p>
    <w:p w:rsidR="67B24FEE" w:rsidP="67B24FEE" w:rsidRDefault="67B24FEE" w14:paraId="2DC9CC4C" w14:textId="469AB70B">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8F3FBE7" w:rsidP="67B24FEE" w:rsidRDefault="08F3FBE7" w14:paraId="492DA5CF" w14:textId="0BC238CF">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there is a consensus in society that property and people should be protected, people freely enter a contract with the state to preserve the peace. It was also held that punishment must be used to prevent individuals from violating the interests of others and must be proportional to the crime and not excessing and must not be used for reformation. Because this would be controlled to the right of the individual and their social contract and it should be appointed strictly by due action. All people were held to be fair in the eyes of the law and accountable for their actions, even though it was held that there should be as little law as possible. Thus, their circumstances could not be considered mitigating factors. (Gooch and Williams, 2015).</w:t>
      </w:r>
    </w:p>
    <w:p w:rsidR="67B24FEE" w:rsidP="67B24FEE" w:rsidRDefault="67B24FEE" w14:paraId="4D99093B" w14:textId="27D26635">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08F3FBE7" w:rsidP="67B24FEE" w:rsidRDefault="08F3FBE7" w14:paraId="467A8DC9" w14:textId="31A3C314">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Explain the ways this helps us understand crime and criminality</w:t>
      </w:r>
    </w:p>
    <w:p w:rsidR="67B24FEE" w:rsidP="67B24FEE" w:rsidRDefault="67B24FEE" w14:paraId="4BBC4A5A" w14:textId="46825A70">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08F3FBE7" w:rsidP="67B24FEE" w:rsidRDefault="08F3FBE7" w14:paraId="105928C8" w14:textId="7ECE3F15">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Classical theory helps us gain an understanding of crime and criminality. It provides us with a rational and logical explanation of how or why people commit crimes denouncing the once inhumane system of punishment. To sum it up, the classical theory concentrated on the principle of choice which means that every individual can make a rational choice to either abide by the law or break it. The classical approach also tells us that the act of committing a crime brings us a certain amount of pleasure to the individual which is the reason people commit crimes. </w:t>
      </w:r>
    </w:p>
    <w:p w:rsidR="67B24FEE" w:rsidP="67B24FEE" w:rsidRDefault="67B24FEE" w14:paraId="435BBB22" w14:textId="7CE8B4FC">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8F3FBE7" w:rsidP="67B24FEE" w:rsidRDefault="08F3FBE7" w14:paraId="6AFA55E0" w14:textId="3C23DDAB">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Crime is the term for those people who are trying to murder someone, a short name for criminal. The law of jurisdiction is defined by criminal behaviour and there are plenty of types of crime such as harassment, criminal assault and murder. These types of crimes are dangerous and the people who do these types of crimes might go to jail and can spend a 6 to 12 months limit for the crime that has been done (Crime, 2023).</w:t>
      </w:r>
    </w:p>
    <w:p w:rsidR="67B24FEE" w:rsidP="67B24FEE" w:rsidRDefault="67B24FEE" w14:paraId="07BAA1B4" w14:textId="6C275870">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08F3FBE7" w:rsidP="67B24FEE" w:rsidRDefault="08F3FBE7" w14:paraId="174FDE82" w14:textId="62C4FAE9">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Describe some models of </w:t>
      </w:r>
      <w:r w:rsidRPr="67B24FEE" w:rsidR="3E7B05A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evidence-based</w:t>
      </w:r>
      <w:r w:rsidRPr="67B24FEE" w:rsidR="08F3FB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policing (POP, SARA, </w:t>
      </w:r>
      <w:r w:rsidRPr="67B24FEE" w:rsidR="08F3FB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Hot</w:t>
      </w:r>
      <w:r w:rsidRPr="67B24FEE" w:rsidR="6A7F373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67B24FEE" w:rsidR="08F3FB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Spot</w:t>
      </w:r>
      <w:r w:rsidRPr="67B24FEE" w:rsidR="08F3FB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etc.)</w:t>
      </w:r>
    </w:p>
    <w:p w:rsidR="67B24FEE" w:rsidP="67B24FEE" w:rsidRDefault="67B24FEE" w14:paraId="64EDEC25" w14:textId="2A5BA735">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8F3FBE7" w:rsidP="67B24FEE" w:rsidRDefault="08F3FBE7" w14:paraId="41C7E35F" w14:textId="6C2329CE">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Problem-oriented Policing or POP is a proactive policing strategy developed by Herman Goldstein, who argued that the standard reactive model of policing was ineffective as it was overly focused on the means of policing (number of arrests, average response time, etc.) rather than the end goal of reducing crime and enhancing community safety. He suggested that police could be more effective if they were more proactive and researched the root causes of crime, and developed tailor-made responses (Hinkle, J. et al., 2020). </w:t>
      </w:r>
    </w:p>
    <w:p w:rsidR="67B24FEE" w:rsidP="67B24FEE" w:rsidRDefault="67B24FEE" w14:paraId="734D8509" w14:textId="33E447FB">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8F3FBE7" w:rsidP="67B24FEE" w:rsidRDefault="08F3FBE7" w14:paraId="795DBD5F" w14:textId="0198E5C3">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SARA model employs four stages which include the following: Scanning, Analysis, Response, and Assessment. Scanning includes finding and prioritizing potential crime and disorder problems. The analysis is the analysis of potential problems, by gathering information and intelligence to find the underlying causes of the problem. The response is the development and implementation of tailored activities to address the causes of the problem, as found in the analysis phase. Assessment is the measurement of the impact of the response to test if it had the desired effect and to make changes to the response if needed (College of Policing, 2017). </w:t>
      </w:r>
    </w:p>
    <w:p w:rsidR="67B24FEE" w:rsidP="67B24FEE" w:rsidRDefault="67B24FEE" w14:paraId="57577EBC" w14:textId="0E5590BB">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8F3FBE7" w:rsidP="67B24FEE" w:rsidRDefault="08F3FBE7" w14:paraId="320C6EB4" w14:textId="03904828">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According to Hot Spot Policing (2020), this place-based focus has often focused primarily on people, in contrast to traditional notions of policing and crime prevention. Hot spot policing covers a range of police responses that all share a focus of resources on the micro-units of geography where criminality is committed. Just as the definition of hot spots varies across studies and contexts, so do the specific tactics police use to address high-crime places. There is not one way to implement hot spot policing rather, ranges dramatically across interventions.</w:t>
      </w:r>
    </w:p>
    <w:p w:rsidR="67B24FEE" w:rsidP="67B24FEE" w:rsidRDefault="67B24FEE" w14:paraId="41B7D73F" w14:textId="3DF24694">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08F3FBE7" w:rsidP="67B24FEE" w:rsidRDefault="08F3FBE7" w14:paraId="059B8A11" w14:textId="6EAB1BE8">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Discuss how classical criminology is used to understand the reasoning behind these methods</w:t>
      </w:r>
    </w:p>
    <w:p w:rsidR="67B24FEE" w:rsidP="67B24FEE" w:rsidRDefault="67B24FEE" w14:paraId="7EC69ACD" w14:textId="3D98C03F">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08F3FBE7" w:rsidP="67B24FEE" w:rsidRDefault="08F3FBE7" w14:paraId="18CC24BA" w14:textId="205779EF">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According to the past decade, their classical view in criminology explains a crime as a free-will decision to make a criminal choice where people act in ways that maximize the pain and classicist believe that people are hedonistic and will seek pleasure at every opportunity and avoid pain the way they prevent crime, and according to classicism, and deterrence is a risk of apprehension and punishment. This will apply the classicism to criminal conduct, then the potential pain associated with the crime are its greater in the mind of the offender and the pleasure to be derived from the crime persists even in those countries where government add new laws and this choice is made by applying the pain-pleasure principle, and this will increase penalties, and make effort to improve law enforcement (United Nations on Drug and Crime, 2018).</w:t>
      </w:r>
    </w:p>
    <w:p w:rsidR="67B24FEE" w:rsidP="67B24FEE" w:rsidRDefault="67B24FEE" w14:paraId="43653DD3" w14:textId="25D380E4">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8F3FBE7" w:rsidP="67B24FEE" w:rsidRDefault="08F3FBE7" w14:paraId="6D5A8E33" w14:textId="38C30417">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Situational crime prevention of organized crime  </w:t>
      </w:r>
    </w:p>
    <w:p w:rsidR="08F3FBE7" w:rsidP="67B24FEE" w:rsidRDefault="08F3FBE7" w14:paraId="380CC489" w14:textId="0BEAD7BB">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is evidence that situational crime prevention is can be useful in reducing some activities of the organized criminal group by limiting criminal opportunities and minimizing harm. The situation crime prevention perspective has been used to try to account for the manufacture of methamphetamine, automobile theft, open-air drug market, product counterfeiting and other crimes, this empirical effort has shown some support for the situational perspective awareness in preventing organized illicit activity (United Nations on Drug and Crime, 2018). </w:t>
      </w:r>
    </w:p>
    <w:p w:rsidR="67B24FEE" w:rsidP="67B24FEE" w:rsidRDefault="67B24FEE" w14:paraId="12E6DDD7" w14:textId="5F9C205A">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8F3FBE7" w:rsidP="67B24FEE" w:rsidRDefault="08F3FBE7" w14:paraId="4FB1142F" w14:textId="004198C1">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Young people started to use illicit drugs in significant numbers, with some commentators suggesting that it was then that society’s defences against drugs were decisively breached. The link with the new deviancy theories was no less significant and reflected underlying compatibility. New deviancy theorists frequently expressed unease about the extension of social control into morally ambiguous areas and, as a “victimless crime”, drug use’ was ideally suited to this broader purpose. The relevance of early developments in the sociology of drug use has not been considered explicitly within the normalisation debate but has been alluded to in several ways and has clear implications for the claims that have been made about continuity and changings (Drug Policy, 2009).</w:t>
      </w:r>
    </w:p>
    <w:p w:rsidR="67B24FEE" w:rsidP="67B24FEE" w:rsidRDefault="67B24FEE" w14:paraId="522488CF" w14:textId="6E6B3BD1">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08F3FBE7" w:rsidP="67B24FEE" w:rsidRDefault="08F3FBE7" w14:paraId="1F8282EC" w14:textId="5A35E6AE">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Pick a crime activity of your choice (drug crime, terrorism, violence, theft etc.) and apply the ideas of evidence based policing and classical criminology.</w:t>
      </w:r>
    </w:p>
    <w:p w:rsidR="67B24FEE" w:rsidP="67B24FEE" w:rsidRDefault="67B24FEE" w14:paraId="3B167FF8" w14:textId="0637CA16">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08F3FBE7" w:rsidP="67B24FEE" w:rsidRDefault="08F3FBE7" w14:paraId="169E4593" w14:textId="255EBEB5">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Applying the main ideas of evidence-based policing and classical criminology to the crime of robbery. According to the FBI’s Uniform Crime Reporting (UCR) program, robbery is taking or attempting to take anything of value from the care, custody, or control of a person or persons by force or threat of force or violence and/or by putting the victim in fear (Crime in the United States, 2019). </w:t>
      </w:r>
    </w:p>
    <w:p w:rsidR="67B24FEE" w:rsidP="67B24FEE" w:rsidRDefault="67B24FEE" w14:paraId="59CB9368" w14:textId="0B9B8FC6">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8F3FBE7" w:rsidP="67B24FEE" w:rsidRDefault="08F3FBE7" w14:paraId="317757DB" w14:textId="2A846F9D">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five key principles of the classical school of criminology are: </w:t>
      </w:r>
    </w:p>
    <w:p w:rsidR="08F3FBE7" w:rsidP="67B24FEE" w:rsidRDefault="08F3FBE7" w14:paraId="746D5582" w14:textId="4533BA8E">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Rationality. The theory concluded that people have free will and that they opt to commit crimes. For instance, Astrid decides to rob a bank. She has freely chosen to carry out the crime of robbery without someone forcing him to commit the crime. In addition to that, she thinks about it in advance and tells him that she needed the money so she will steal from the bank.  </w:t>
      </w:r>
    </w:p>
    <w:p w:rsidR="08F3FBE7" w:rsidP="67B24FEE" w:rsidRDefault="08F3FBE7" w14:paraId="2DF0A1BA" w14:textId="193C1480">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Hedonism. The theory also determined that people pursue pleasure and elude pain. For instance, Astrid is thinking about how the bank has a lot of money and how that money will bring her comfort and pleasure to be able to overcome the sufferings of being poor. Because of this, she decided to rob the bank.  </w:t>
      </w:r>
    </w:p>
    <w:p w:rsidR="08F3FBE7" w:rsidP="67B24FEE" w:rsidRDefault="08F3FBE7" w14:paraId="3B4D48D0" w14:textId="5F01A1B0">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Punishment. According to the theory, the gravity of punishment is proportional to the crime. For instance, if Astrid plans to steal from the bank but realizes she can face jail time, she might not continue her plan of robbery. This suggests that punishment is a deterrent to committing the crime. </w:t>
      </w:r>
    </w:p>
    <w:p w:rsidR="08F3FBE7" w:rsidP="67B24FEE" w:rsidRDefault="08F3FBE7" w14:paraId="2DA0EF38" w14:textId="6FACB0CC">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Human rights. The theory believes that all human has rights, and society needs to respect them. This entails that no person should be subjected to torture or death. For instance, Astrid carried out her plan of stealing from the bank and was caught, she must not face torture and be killed because of her crime. </w:t>
      </w:r>
    </w:p>
    <w:p w:rsidR="08F3FBE7" w:rsidP="67B24FEE" w:rsidRDefault="08F3FBE7" w14:paraId="612F2F53" w14:textId="291EC48B">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Due process. Since the classical theory developed criminal policy, a person will undergo a fair trial to determine his guilt or innocence. For instance, when Astrid was caught robbing the bank, she will be subjected to face a judge who will apply set rules to decide her punishment. </w:t>
      </w:r>
    </w:p>
    <w:p w:rsidR="67B24FEE" w:rsidP="67B24FEE" w:rsidRDefault="67B24FEE" w14:paraId="066962A4" w14:textId="76D5A063">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8F3FBE7" w:rsidP="67B24FEE" w:rsidRDefault="08F3FBE7" w14:paraId="3DEF9E38" w14:textId="7D992267">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Regarding the evidence-based policing </w:t>
      </w:r>
    </w:p>
    <w:p w:rsidR="08F3FBE7" w:rsidP="67B24FEE" w:rsidRDefault="08F3FBE7" w14:paraId="7A992DCE" w14:textId="37C5F575">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Since robbery is a persistent problem in every society, officers can use their crime data to track serial robbers and monitor them when they are out of jail. This approach can reduce robbery crimes. </w:t>
      </w:r>
    </w:p>
    <w:p w:rsidR="08F3FBE7" w:rsidP="67B24FEE" w:rsidRDefault="08F3FBE7" w14:paraId="1A3E58D6" w14:textId="0D757418">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assessing past robbery crime evidence, police officers determine how robbers commit a crime. This will help them give advice and suggest ways for people how to protect themselves from robbery. In addition, certain robbers have a pattern of committing robbery so studying robbery crime evidence can help police identify suspects or tie a robbery case to other unsolved robbery cases. </w:t>
      </w:r>
    </w:p>
    <w:p w:rsidR="67B24FEE" w:rsidP="67B24FEE" w:rsidRDefault="67B24FEE" w14:paraId="690CDE0B" w14:textId="073958BC">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8F3FBE7" w:rsidP="67B24FEE" w:rsidRDefault="08F3FBE7" w14:paraId="5E42B3F6" w14:textId="77B3A38F">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Using research evidence, police can find techniques on how to elicit answers from interviewing caught robbers. Capturing a person for robbery doesn’t stop there. Interviews are needed to find out the reason or how many times the person commit the crime. It might lead to solving an unsolved robbery in the past or another place.</w:t>
      </w:r>
    </w:p>
    <w:p w:rsidR="67B24FEE" w:rsidP="67B24FEE" w:rsidRDefault="67B24FEE" w14:paraId="3EEE1428" w14:textId="28EA0F33">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08F3FBE7" w:rsidP="67B24FEE" w:rsidRDefault="08F3FBE7" w14:paraId="0C62CA49" w14:textId="3EDD7137">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Evaluate the strengths and weaknesses of classical criminology and </w:t>
      </w:r>
      <w:r w:rsidRPr="67B24FEE" w:rsidR="512A96B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evidence-based</w:t>
      </w:r>
      <w:r w:rsidRPr="67B24FEE" w:rsidR="08F3FB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policing.</w:t>
      </w:r>
    </w:p>
    <w:p w:rsidR="67B24FEE" w:rsidP="67B24FEE" w:rsidRDefault="67B24FEE" w14:paraId="4726AE06" w14:textId="356B5D85">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8F3FBE7" w:rsidP="67B24FEE" w:rsidRDefault="08F3FBE7" w14:paraId="4CEF0E34" w14:textId="39DE9FE5">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Classical criminology </w:t>
      </w:r>
    </w:p>
    <w:p w:rsidR="08F3FBE7" w:rsidP="67B24FEE" w:rsidRDefault="08F3FBE7" w14:paraId="0082A29F" w14:textId="544AF645">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classical criminologists, every perpetrator has the same mentality, meaning that children and teens, imbeciles, and mentally ill people were all regarded as fully rational (Amarasinghe, 2020). This is the greatest weakness of classical theorists. It did not consider other means of remedy for children like rehabilitation and insane people to seek psychiatric help. Also, first offenders and habitual criminals or serial offenders were treated similarly and should get the same sentence regardless of the gravity of the offence (Nirvaan and Goel, 2018). This is an unfair practice as first-time offenders should be given leniency, but still depending on the crime committed. Another flaw of classical criminology is that it does not consider the elements of criminal liability (Amarasinghe, 2020). For instance, people who murder out of vengeance will get the same punishment as people who murder because of self-defence.  </w:t>
      </w:r>
    </w:p>
    <w:p w:rsidR="67B24FEE" w:rsidP="67B24FEE" w:rsidRDefault="67B24FEE" w14:paraId="1F244658" w14:textId="1B92393A">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8F3FBE7" w:rsidP="67B24FEE" w:rsidRDefault="08F3FBE7" w14:paraId="0C81653E" w14:textId="500E35C4">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the other hand, the greatest achievement of this classical theory is that it recognized and developed a set of rules or criminal policies which abolished unjust punishments. Before the emergence of classical theory, the perception of crime and criminals was based on religious beliefs and myths and argues that demons made people commit sins (Amarasinghe, 2020). Classical criminology denounced this way of reasoning. Another strength of the classical theory is that punishment fits the crime. According to the Classical Theory of Criminology, the severity of the punishment should be determined by the severity of the crime (Amarasinghe, 2020). According to Vold and Bernard, “If the mathematical estimation is used to determine the uncertain and limitless combinations of human actions, there might also be a corresponding weight of punishments in descending order from the greatest to the least. Since the introduction of the classical theory of criminology, the use of capital punishment, torture, and corporal discipline as a way of punishment has declined. This is also one of the greatest strengths of classical criminology as these forms of punishment are inhumane. </w:t>
      </w:r>
    </w:p>
    <w:p w:rsidR="08F3FBE7" w:rsidP="67B24FEE" w:rsidRDefault="08F3FBE7" w14:paraId="35C47CB3" w14:textId="710B83FF">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8F3FBE7" w:rsidP="67B24FEE" w:rsidRDefault="08F3FBE7" w14:paraId="1354CF80" w14:textId="0A776E7E">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Evidence-based policing </w:t>
      </w:r>
    </w:p>
    <w:p w:rsidR="08F3FBE7" w:rsidP="67B24FEE" w:rsidRDefault="08F3FBE7" w14:paraId="2B5A5257" w14:textId="6C428C3F">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One of the weaknesses of research-based policing is the quality and accessibility of the research evidence. In a study by Hunter et al. (2017), 50% of the officers surveyed nationally said that there had been instances where they had attempted to use research evidence to inform policy but could not find it. In addition, research evidence has been reported to be unclear and ‘full of jargon’ (Hunter et al., 2015: p. 6). Lumsden (2016) has noted that evidence-based policing has often been perceived as a buzzword because it is not only properly understood but also poorly applied in practice. Another weakness of this policing strategy is that it is a challenge for some police officers to evaluate and interpret research evidence to be able to conduct policing activity. Hunter et al. (2015) revealed that 81% of respondent officers in the national survey had not received training on the proper usage of research evidence leading to their inability to critically assess the evidence. Another weakness is that since it heavily relies on available research evidence, police experience and knowledge are ignored. The last weakness of evidence-based policing is that there is a lack of time to browse research evidence when a certain crime is committed and there is an immediate decision to be made.  </w:t>
      </w:r>
    </w:p>
    <w:p w:rsidR="67B24FEE" w:rsidP="67B24FEE" w:rsidRDefault="67B24FEE" w14:paraId="009263B3" w14:textId="5254A2B3">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8F3FBE7" w:rsidP="67B24FEE" w:rsidRDefault="08F3FBE7" w14:paraId="09ECEA91" w14:textId="571BEC62">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08F3F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the contrary, the biggest strength of evidence-based policing is that police can use certified and substantiated evidence as a foundation to base their decisions. Studying and assessing research studies allows police officers to make sound judgments based on discretion.</w:t>
      </w:r>
    </w:p>
    <w:p w:rsidR="67B24FEE" w:rsidP="67B24FEE" w:rsidRDefault="67B24FEE" w14:paraId="430AA830" w14:textId="32DB8C1C">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7B24FEE" w:rsidP="67B24FEE" w:rsidRDefault="67B24FEE" w14:paraId="7CE96E0D" w14:textId="4DDF758B">
      <w:pPr>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7D1FEADB" w:rsidP="67B24FEE" w:rsidRDefault="7D1FEADB" w14:paraId="1F4C8D18" w14:textId="52227CD1">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7D1FEA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REFERENCE </w:t>
      </w:r>
    </w:p>
    <w:p w:rsidR="7D1FEADB" w:rsidP="67B24FEE" w:rsidRDefault="7D1FEADB" w14:paraId="2BA3607B" w14:textId="2D7EDFD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Amarasinghe KK. (2020). Pure-Classical and Neo-Classical Schools of Criminology: Applicability into the Present Context of Criminal Law in Sri Lanka. </w:t>
      </w:r>
      <w:r w:rsidRPr="67B24FEE" w:rsidR="7D1FEA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Research Gate</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DOI: 10.17265/1548-6605/2020.08.003   </w:t>
      </w:r>
    </w:p>
    <w:p w:rsidR="7D1FEADB" w:rsidP="67B24FEE" w:rsidRDefault="7D1FEADB" w14:paraId="14796DBC" w14:textId="543181F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7D1FEAD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College of Policing (2017), Problem-oriented policing, accessed at </w:t>
      </w:r>
      <w:hyperlink r:id="R77b78659569c4888">
        <w:r w:rsidRPr="67B24FEE" w:rsidR="7D1FEAD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https://www.college.police.uk/research/crime-reduction-toolkit/problem-oriented-policing</w:t>
        </w:r>
      </w:hyperlink>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04 March 2023</w:t>
      </w:r>
    </w:p>
    <w:p w:rsidR="7D1FEADB" w:rsidP="67B24FEE" w:rsidRDefault="7D1FEADB" w14:paraId="60EBEF77" w14:textId="74743A5D">
      <w:pPr>
        <w:pStyle w:val="Heading1"/>
        <w:keepNext w:val="1"/>
        <w:keepLines w:val="1"/>
        <w:spacing w:before="240" w:after="0" w:line="259"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pPr>
      <w:r w:rsidRPr="67B24FEE" w:rsidR="7D1FEA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Classical: pain-pleasure decisions. (May 2018). United Nations on Drug and Crime</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w:t>
      </w:r>
      <w:r w:rsidRPr="67B24FEE" w:rsidR="7D1FEADB">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t xml:space="preserve"> Available at: </w:t>
      </w:r>
      <w:hyperlink r:id="Rb5bf9233474d44d0">
        <w:r w:rsidRPr="67B24FEE" w:rsidR="7D1FEAD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https://www.unodc.org/unodc/site-search.html?q=classical+criminology</w:t>
        </w:r>
      </w:hyperlink>
    </w:p>
    <w:p w:rsidR="67B24FEE" w:rsidP="67B24FEE" w:rsidRDefault="67B24FEE" w14:paraId="4DB4D49D" w14:textId="52215C51">
      <w:pPr>
        <w:pStyle w:val="Normal"/>
        <w:keepNext w:val="1"/>
        <w:keepLines w:val="1"/>
        <w:rPr>
          <w:noProof w:val="0"/>
          <w:lang w:val="en-GB"/>
        </w:rPr>
      </w:pPr>
    </w:p>
    <w:p w:rsidR="27603D4C" w:rsidP="67B24FEE" w:rsidRDefault="27603D4C" w14:paraId="0BFF3A1A" w14:textId="0E71E8C2">
      <w:pPr>
        <w:spacing w:after="160" w:line="259" w:lineRule="auto"/>
        <w:jc w:val="both"/>
        <w:rPr>
          <w:rFonts w:ascii="Times New Roman" w:hAnsi="Times New Roman" w:eastAsia="Times New Roman" w:cs="Times New Roman"/>
          <w:b w:val="0"/>
          <w:bCs w:val="0"/>
          <w:i w:val="0"/>
          <w:iCs w:val="0"/>
          <w:caps w:val="0"/>
          <w:smallCaps w:val="0"/>
          <w:noProof w:val="0"/>
          <w:color w:val="1A1A1A"/>
          <w:sz w:val="24"/>
          <w:szCs w:val="24"/>
          <w:lang w:val="en-GB"/>
        </w:rPr>
      </w:pPr>
      <w:r w:rsidRPr="67B24FEE" w:rsidR="27603D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David A., Donald C., Thomas J., et.al (2023). </w:t>
      </w:r>
      <w:r w:rsidRPr="67B24FEE" w:rsidR="27603D4C">
        <w:rPr>
          <w:rFonts w:ascii="Times New Roman" w:hAnsi="Times New Roman" w:eastAsia="Times New Roman" w:cs="Times New Roman"/>
          <w:b w:val="0"/>
          <w:bCs w:val="0"/>
          <w:i w:val="0"/>
          <w:iCs w:val="0"/>
          <w:caps w:val="0"/>
          <w:smallCaps w:val="0"/>
          <w:noProof w:val="0"/>
          <w:color w:val="1A1A1A"/>
          <w:sz w:val="24"/>
          <w:szCs w:val="24"/>
          <w:lang w:val="en-GB"/>
        </w:rPr>
        <w:t xml:space="preserve">"crime". </w:t>
      </w:r>
      <w:r w:rsidRPr="67B24FEE" w:rsidR="27603D4C">
        <w:rPr>
          <w:rFonts w:ascii="Times New Roman" w:hAnsi="Times New Roman" w:eastAsia="Times New Roman" w:cs="Times New Roman"/>
          <w:b w:val="0"/>
          <w:bCs w:val="0"/>
          <w:i w:val="1"/>
          <w:iCs w:val="1"/>
          <w:caps w:val="0"/>
          <w:smallCaps w:val="0"/>
          <w:noProof w:val="0"/>
          <w:color w:val="1A1A1A"/>
          <w:sz w:val="24"/>
          <w:szCs w:val="24"/>
          <w:lang w:val="en-GB"/>
        </w:rPr>
        <w:t>Encyclopedia Britannica</w:t>
      </w:r>
      <w:r w:rsidRPr="67B24FEE" w:rsidR="27603D4C">
        <w:rPr>
          <w:rFonts w:ascii="Times New Roman" w:hAnsi="Times New Roman" w:eastAsia="Times New Roman" w:cs="Times New Roman"/>
          <w:b w:val="0"/>
          <w:bCs w:val="0"/>
          <w:i w:val="0"/>
          <w:iCs w:val="0"/>
          <w:caps w:val="0"/>
          <w:smallCaps w:val="0"/>
          <w:noProof w:val="0"/>
          <w:color w:val="1A1A1A"/>
          <w:sz w:val="24"/>
          <w:szCs w:val="24"/>
          <w:lang w:val="en-GB"/>
        </w:rPr>
        <w:t xml:space="preserve">, </w:t>
      </w:r>
      <w:r w:rsidRPr="67B24FEE" w:rsidR="27603D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w:anchor="ref53406" r:id="Rfb5ee5275f7e4846">
        <w:r w:rsidRPr="67B24FEE" w:rsidR="27603D4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https://www.britannica.com/topic/crime-law#ref53406</w:t>
        </w:r>
      </w:hyperlink>
      <w:r w:rsidRPr="67B24FEE" w:rsidR="27603D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7B24FEE" w:rsidR="27603D4C">
        <w:rPr>
          <w:rFonts w:ascii="Times New Roman" w:hAnsi="Times New Roman" w:eastAsia="Times New Roman" w:cs="Times New Roman"/>
          <w:b w:val="0"/>
          <w:bCs w:val="0"/>
          <w:i w:val="0"/>
          <w:iCs w:val="0"/>
          <w:caps w:val="0"/>
          <w:smallCaps w:val="0"/>
          <w:noProof w:val="0"/>
          <w:color w:val="1A1A1A"/>
          <w:sz w:val="24"/>
          <w:szCs w:val="24"/>
          <w:lang w:val="en-GB"/>
        </w:rPr>
        <w:t>Accessed 9 March 2023</w:t>
      </w:r>
    </w:p>
    <w:p w:rsidR="7D1FEADB" w:rsidP="67B24FEE" w:rsidRDefault="7D1FEADB" w14:paraId="43B62017" w14:textId="72BB9F5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Fielding, Bullock, K., &amp; Holdaway, S. (2020). Critical reflections on evidence-based policing (Fielding, K. Bullock, &amp; S. Holdaway, Eds.). Routledge, Taylor &amp; Francis Group.</w:t>
      </w:r>
    </w:p>
    <w:p w:rsidR="385BF686" w:rsidP="67B24FEE" w:rsidRDefault="385BF686" w14:paraId="3BB4C90C" w14:textId="46A1147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385BF6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Gooch and Williams. (2015) Classical criminology. In A Dictionary of Law Enforcement (2nd ed.). Oxford University Press.</w:t>
      </w:r>
    </w:p>
    <w:p w:rsidR="7D1FEADB" w:rsidP="67B24FEE" w:rsidRDefault="7D1FEADB" w14:paraId="5DB24C34" w14:textId="310448CA">
      <w:pPr>
        <w:pStyle w:val="Heading1"/>
        <w:keepNext w:val="1"/>
        <w:keepLines w:val="1"/>
        <w:spacing w:before="240" w:after="0" w:line="259"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pPr>
      <w:r w:rsidRPr="67B24FEE" w:rsidR="7D1FEADB">
        <w:rPr>
          <w:rFonts w:ascii="Times New Roman" w:hAnsi="Times New Roman" w:eastAsia="Times New Roman" w:cs="Times New Roman"/>
          <w:b w:val="0"/>
          <w:bCs w:val="0"/>
          <w:i w:val="0"/>
          <w:iCs w:val="0"/>
          <w:caps w:val="0"/>
          <w:smallCaps w:val="0"/>
          <w:noProof w:val="0"/>
          <w:color w:val="292B2C"/>
          <w:sz w:val="24"/>
          <w:szCs w:val="24"/>
          <w:lang w:val="en-GB"/>
        </w:rPr>
        <w:t xml:space="preserve">Hinkle, J. et al. (2020), </w:t>
      </w:r>
      <w:r w:rsidRPr="67B24FEE" w:rsidR="7D1FEADB">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t xml:space="preserve">Problem‐oriented policing for reducing crime and disorder, accessed at </w:t>
      </w:r>
      <w:hyperlink r:id="Rf97e84633e804a26">
        <w:r w:rsidRPr="67B24FEE" w:rsidR="7D1FEAD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https://www.campbellcollaboration.org/better-evidence/effects-of-problem-oriented-policing-on-crime-and-disorder.html,</w:t>
        </w:r>
      </w:hyperlink>
      <w:r w:rsidRPr="67B24FEE" w:rsidR="7D1FEADB">
        <w:rPr>
          <w:rFonts w:ascii="Times New Roman" w:hAnsi="Times New Roman" w:eastAsia="Times New Roman" w:cs="Times New Roman"/>
          <w:b w:val="0"/>
          <w:bCs w:val="0"/>
          <w:i w:val="0"/>
          <w:iCs w:val="0"/>
          <w:caps w:val="0"/>
          <w:smallCaps w:val="0"/>
          <w:strike w:val="0"/>
          <w:dstrike w:val="0"/>
          <w:noProof w:val="0"/>
          <w:color w:val="2F5496" w:themeColor="accent1" w:themeTint="FF" w:themeShade="BF"/>
          <w:sz w:val="24"/>
          <w:szCs w:val="24"/>
          <w:u w:val="none"/>
          <w:lang w:val="en-GB"/>
        </w:rPr>
        <w:t xml:space="preserve"> accessed on 04 March 2023.</w:t>
      </w:r>
    </w:p>
    <w:p w:rsidR="67B24FEE" w:rsidP="67B24FEE" w:rsidRDefault="67B24FEE" w14:paraId="378A50C7" w14:textId="46FADDE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D1FEADB" w:rsidP="67B24FEE" w:rsidRDefault="7D1FEADB" w14:paraId="3A12E458" w14:textId="6AFA3F4C">
      <w:pPr>
        <w:spacing w:after="160" w:line="259" w:lineRule="auto"/>
        <w:ind w:left="567" w:hanging="56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7D1FEA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Hot spots policing</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w:t>
      </w:r>
      <w:r w:rsidRPr="67B24FEE" w:rsidR="7D1FEA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College of Policing</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614614e56a8e4ada">
        <w:r w:rsidRPr="67B24FEE" w:rsidR="7D1FEAD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https://www.college.police.uk/research/crime-reduction-toolkit/hot-spots-policing</w:t>
        </w:r>
      </w:hyperlink>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March 4, 2023).</w:t>
      </w:r>
    </w:p>
    <w:p w:rsidR="7D1FEADB" w:rsidP="67B24FEE" w:rsidRDefault="7D1FEADB" w14:paraId="1B02F53E" w14:textId="18EBF0D7">
      <w:pPr>
        <w:spacing w:after="160" w:line="259" w:lineRule="auto"/>
        <w:ind w:left="567" w:hanging="56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7D1FEA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Hot spots policing</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w:t>
      </w:r>
      <w:r w:rsidRPr="67B24FEE" w:rsidR="7D1FEA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Center for Evidence-Based Crime Policy (CEBCP)</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6002ee2f6bde4aa8">
        <w:r w:rsidRPr="67B24FEE" w:rsidR="7D1FEAD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https://cebcp.org/evidence-based-policing/what-works-in-policing/research-evidence-review/hot-spots-policing/</w:t>
        </w:r>
      </w:hyperlink>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March 4, 2023).</w:t>
      </w:r>
    </w:p>
    <w:p w:rsidR="7D1FEADB" w:rsidP="67B24FEE" w:rsidRDefault="7D1FEADB" w14:paraId="723408F9" w14:textId="0EE0B52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Hunter G., Wigzell W., May T. (2015). An Evaluation of “What Works Centre for Crime Reduction</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Year 1: Baseline. Institute for Criminal Policy Research.</w:t>
      </w:r>
    </w:p>
    <w:p w:rsidR="7D1FEADB" w:rsidP="67B24FEE" w:rsidRDefault="7D1FEADB" w14:paraId="0CD2DA7C" w14:textId="53413C8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Hunter G., May T., Hough M. (2017) An Evaluation of “What Works Centre for Crime Reduction”. Final Report. Institute for Criminal Policy Research.</w:t>
      </w:r>
    </w:p>
    <w:p w:rsidR="7D1FEADB" w:rsidP="67B24FEE" w:rsidRDefault="7D1FEADB" w14:paraId="7D61AA07" w14:textId="7F5B7C1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Lumsden, K. (2016) ‘Police officer and civilian staff receptivity to research and evidence-based policing in the UK: </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contextual understanding through qualitative </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interviews’</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7B24FEE" w:rsidR="7D1FEA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Policing: A journal of policy and practice</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11 (2), pp. 157–167</w:t>
      </w:r>
    </w:p>
    <w:p w:rsidR="7D1FEADB" w:rsidP="67B24FEE" w:rsidRDefault="7D1FEADB" w14:paraId="53D7B377" w14:textId="379CAB8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Measham F. &amp; Shiner M. (2009). The legacy of ‘normalisation’: The role of classical and contemporary criminological theory in understanding young people’s drug use. </w:t>
      </w:r>
      <w:r w:rsidRPr="67B24FEE" w:rsidR="7D1FEA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Drug Policy</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 Pp. 502–508  </w:t>
      </w:r>
    </w:p>
    <w:p w:rsidR="7D1FEADB" w:rsidP="67B24FEE" w:rsidRDefault="7D1FEADB" w14:paraId="384D3172" w14:textId="1D9EEB2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Nirvaan SL., &amp; Goel N. (2018). A comprehensive study of the classical school of criminology. </w:t>
      </w:r>
      <w:r w:rsidRPr="67B24FEE" w:rsidR="7D1FEA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Academic Research and Development</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3 (1), pp. 01-06.</w:t>
      </w:r>
    </w:p>
    <w:p w:rsidR="7D1FEADB" w:rsidP="67B24FEE" w:rsidRDefault="7D1FEADB" w14:paraId="121E8BB4" w14:textId="53B70DC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Vold GB. &amp; Bernard TJ. (1986). Theoretical Criminology, 3rd ed., New York, Oxford University. Pp 30 -34.</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D1FEADB" w:rsidP="67B24FEE" w:rsidRDefault="7D1FEADB" w14:paraId="426D3D4F" w14:textId="2E0652F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c41b517d76644893">
        <w:r w:rsidRPr="67B24FEE" w:rsidR="7D1FEAD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www.unodc.org</w:t>
        </w:r>
      </w:hyperlink>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w:t>
      </w:r>
      <w:r w:rsidRPr="67B24FEE" w:rsidR="7D1FEA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Organized Crime Module 6 Key Issues: Classical - Pain-Pleasure Decisions</w:t>
      </w:r>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d5ec5dea08844640">
        <w:r w:rsidRPr="67B24FEE" w:rsidR="7D1FEAD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https://www.unodc.org/e4j/en/organized-crime/module-6/key-issues/classical-pain-pleasure-decisions.html</w:t>
        </w:r>
      </w:hyperlink>
      <w:r w:rsidRPr="67B24FEE" w:rsidR="7D1FE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7B24FEE" w:rsidR="68BB58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7B24FEE" w:rsidR="68BB58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w:t>
      </w:r>
      <w:r w:rsidRPr="67B24FEE" w:rsidR="68BB58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09 March 2023)</w:t>
      </w:r>
    </w:p>
    <w:p w:rsidR="67B24FEE" w:rsidP="67B24FEE" w:rsidRDefault="67B24FEE" w14:paraId="30CF8E5C" w14:textId="2E40D896">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7B24FEE" w:rsidP="67B24FEE" w:rsidRDefault="67B24FEE" w14:paraId="405E51C0" w14:textId="631F9BAA">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7B24FEE" w:rsidP="67B24FEE" w:rsidRDefault="67B24FEE" w14:paraId="66F88025" w14:textId="571A6AD9">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7B24FEE" w:rsidP="67B24FEE" w:rsidRDefault="67B24FEE" w14:paraId="227E612C" w14:textId="1A75204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3bde6b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3ec4b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c6adf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07ba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9e69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46e8c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2272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rPr>
        <w:rFonts w:hint="default" w:ascii="Calibri" w:hAnsi="Calibri"/>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65D2CA"/>
    <w:rsid w:val="0051FA21"/>
    <w:rsid w:val="03899AE3"/>
    <w:rsid w:val="03899AE3"/>
    <w:rsid w:val="06169D86"/>
    <w:rsid w:val="08F3FBE7"/>
    <w:rsid w:val="124D1320"/>
    <w:rsid w:val="1265D2CA"/>
    <w:rsid w:val="1E213B89"/>
    <w:rsid w:val="2158DC4B"/>
    <w:rsid w:val="27603D4C"/>
    <w:rsid w:val="385BF686"/>
    <w:rsid w:val="3E7B05AA"/>
    <w:rsid w:val="512A96B4"/>
    <w:rsid w:val="668D068A"/>
    <w:rsid w:val="67B24FEE"/>
    <w:rsid w:val="68BB581A"/>
    <w:rsid w:val="69C4A74C"/>
    <w:rsid w:val="6A7F3731"/>
    <w:rsid w:val="6CFC480E"/>
    <w:rsid w:val="71CFB931"/>
    <w:rsid w:val="7D1A595E"/>
    <w:rsid w:val="7D1A595E"/>
    <w:rsid w:val="7D1FEADB"/>
    <w:rsid w:val="7FD62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5D2CA"/>
  <w15:chartTrackingRefBased/>
  <w15:docId w15:val="{969187DB-6B1D-4974-8826-6EC26F5843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ollege.police.uk/research/crime-reduction-toolkit/problem-oriented-policing" TargetMode="External" Id="R77b78659569c4888" /><Relationship Type="http://schemas.openxmlformats.org/officeDocument/2006/relationships/hyperlink" Target="https://www.unodc.org/unodc/site-search.html?q=classical+criminology" TargetMode="External" Id="Rb5bf9233474d44d0" /><Relationship Type="http://schemas.openxmlformats.org/officeDocument/2006/relationships/hyperlink" Target="https://www.britannica.com/topic/crime-law" TargetMode="External" Id="Rfb5ee5275f7e4846" /><Relationship Type="http://schemas.openxmlformats.org/officeDocument/2006/relationships/hyperlink" Target="https://www.campbellcollaboration.org/better-evidence/effects-of-problem-oriented-policing-on-crime-and-disorder.html," TargetMode="External" Id="Rf97e84633e804a26" /><Relationship Type="http://schemas.openxmlformats.org/officeDocument/2006/relationships/hyperlink" Target="https://www.college.police.uk/research/crime-reduction-toolkit/hot-spots-policing" TargetMode="External" Id="R614614e56a8e4ada" /><Relationship Type="http://schemas.openxmlformats.org/officeDocument/2006/relationships/hyperlink" Target="https://cebcp.org/evidence-based-policing/what-works-in-policing/research-evidence-review/hot-spots-policing/" TargetMode="External" Id="R6002ee2f6bde4aa8" /><Relationship Type="http://schemas.openxmlformats.org/officeDocument/2006/relationships/hyperlink" Target="https://ukc-word-edit.officeapps.live.com/we/www.unodc.org" TargetMode="External" Id="Rc41b517d76644893" /><Relationship Type="http://schemas.openxmlformats.org/officeDocument/2006/relationships/hyperlink" Target="https://www.unodc.org/e4j/en/organized-crime/module-6/key-issues/classical-pain-pleasure-decisions.html" TargetMode="External" Id="Rd5ec5dea08844640" /><Relationship Type="http://schemas.openxmlformats.org/officeDocument/2006/relationships/numbering" Target="/word/numbering.xml" Id="Rb04f807efb1c45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Sandie James Escol (2223946)</dc:creator>
  <keywords/>
  <dc:description/>
  <lastModifiedBy>Sandie James Escol (2223946)</lastModifiedBy>
  <revision>2</revision>
  <dcterms:created xsi:type="dcterms:W3CDTF">2023-03-09T23:35:20.6170644Z</dcterms:created>
  <dcterms:modified xsi:type="dcterms:W3CDTF">2023-03-09T23:45:52.7349066Z</dcterms:modified>
</coreProperties>
</file>