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0419BD" w14:textId="77777777" w:rsidR="00CA1F13" w:rsidRPr="00CA1F13" w:rsidRDefault="00CA1F13" w:rsidP="00CA1F13">
      <w:pPr>
        <w:rPr>
          <w:rFonts w:ascii="Arial" w:hAnsi="Arial" w:cs="Arial"/>
          <w:sz w:val="32"/>
          <w:szCs w:val="32"/>
        </w:rPr>
      </w:pPr>
      <w:r w:rsidRPr="00CA1F13">
        <w:rPr>
          <w:rFonts w:ascii="Arial" w:hAnsi="Arial" w:cs="Arial"/>
          <w:sz w:val="32"/>
          <w:szCs w:val="32"/>
        </w:rPr>
        <w:t>Student name: Muhammad Adil Nasir Khan</w:t>
      </w:r>
    </w:p>
    <w:p w14:paraId="6A5C5A00" w14:textId="77777777" w:rsidR="00CA1F13" w:rsidRPr="00CA1F13" w:rsidRDefault="00CA1F13" w:rsidP="00CA1F13">
      <w:pPr>
        <w:rPr>
          <w:rFonts w:ascii="Arial" w:hAnsi="Arial" w:cs="Arial"/>
          <w:sz w:val="32"/>
          <w:szCs w:val="32"/>
        </w:rPr>
      </w:pPr>
      <w:r w:rsidRPr="00CA1F13">
        <w:rPr>
          <w:rFonts w:ascii="Arial" w:hAnsi="Arial" w:cs="Arial"/>
          <w:sz w:val="32"/>
          <w:szCs w:val="32"/>
        </w:rPr>
        <w:t>Student ID: 2437481</w:t>
      </w:r>
    </w:p>
    <w:p w14:paraId="73F592E1" w14:textId="77777777" w:rsidR="00CA1F13" w:rsidRPr="00CA1F13" w:rsidRDefault="00CA1F13" w:rsidP="00CA1F13">
      <w:pPr>
        <w:rPr>
          <w:rFonts w:ascii="Arial" w:hAnsi="Arial" w:cs="Arial"/>
          <w:sz w:val="32"/>
          <w:szCs w:val="32"/>
        </w:rPr>
      </w:pPr>
      <w:r w:rsidRPr="00CA1F13">
        <w:rPr>
          <w:rFonts w:ascii="Arial" w:hAnsi="Arial" w:cs="Arial"/>
          <w:sz w:val="32"/>
          <w:szCs w:val="32"/>
        </w:rPr>
        <w:t>Module name: Introduction of Public Health</w:t>
      </w:r>
    </w:p>
    <w:p w14:paraId="2F10BC9F" w14:textId="193BD8DE" w:rsidR="00CA1F13" w:rsidRPr="00CA1F13" w:rsidRDefault="00CA1F13" w:rsidP="00CA1F13">
      <w:pPr>
        <w:rPr>
          <w:rFonts w:ascii="Arial" w:hAnsi="Arial" w:cs="Arial"/>
          <w:sz w:val="32"/>
          <w:szCs w:val="32"/>
        </w:rPr>
      </w:pPr>
      <w:r w:rsidRPr="00CA1F13">
        <w:rPr>
          <w:rFonts w:ascii="Arial" w:hAnsi="Arial" w:cs="Arial"/>
          <w:sz w:val="32"/>
          <w:szCs w:val="32"/>
        </w:rPr>
        <w:t>Module code: LCHS400</w:t>
      </w:r>
      <w:r>
        <w:rPr>
          <w:rFonts w:ascii="Arial" w:hAnsi="Arial" w:cs="Arial"/>
          <w:sz w:val="32"/>
          <w:szCs w:val="32"/>
        </w:rPr>
        <w:t>3</w:t>
      </w:r>
    </w:p>
    <w:p w14:paraId="439D87DA" w14:textId="133CE664" w:rsidR="00CA1F13" w:rsidRPr="00CA1F13" w:rsidRDefault="00CA1F13" w:rsidP="00CA1F13">
      <w:pPr>
        <w:rPr>
          <w:rFonts w:ascii="Arial" w:hAnsi="Arial" w:cs="Arial"/>
          <w:sz w:val="32"/>
          <w:szCs w:val="32"/>
        </w:rPr>
      </w:pPr>
      <w:r w:rsidRPr="00CA1F13">
        <w:rPr>
          <w:rFonts w:ascii="Arial" w:hAnsi="Arial" w:cs="Arial"/>
          <w:sz w:val="32"/>
          <w:szCs w:val="32"/>
        </w:rPr>
        <w:t xml:space="preserve">Lecturer name: </w:t>
      </w:r>
      <w:r>
        <w:rPr>
          <w:rFonts w:ascii="Arial" w:hAnsi="Arial" w:cs="Arial"/>
          <w:sz w:val="32"/>
          <w:szCs w:val="32"/>
        </w:rPr>
        <w:t>Muhammad Aliyu</w:t>
      </w:r>
    </w:p>
    <w:p w14:paraId="0F01BC5A" w14:textId="77777777" w:rsidR="00CA1F13" w:rsidRDefault="00CA1F13">
      <w:r>
        <w:br w:type="page"/>
      </w:r>
    </w:p>
    <w:sdt>
      <w:sdtPr>
        <w:id w:val="887301968"/>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7A43853A" w14:textId="17793A6B" w:rsidR="00CA1F13" w:rsidRDefault="00CA1F13">
          <w:pPr>
            <w:pStyle w:val="TOCHeading"/>
          </w:pPr>
          <w:r>
            <w:t>Contents</w:t>
          </w:r>
        </w:p>
        <w:p w14:paraId="068B8F02" w14:textId="7BEC654A" w:rsidR="004A10AA" w:rsidRDefault="00CA1F13">
          <w:pPr>
            <w:pStyle w:val="TOC1"/>
            <w:tabs>
              <w:tab w:val="right" w:leader="dot" w:pos="9350"/>
            </w:tabs>
            <w:rPr>
              <w:noProof/>
            </w:rPr>
          </w:pPr>
          <w:r>
            <w:fldChar w:fldCharType="begin"/>
          </w:r>
          <w:r>
            <w:instrText xml:space="preserve"> TOC \o "1-3" \h \z \u </w:instrText>
          </w:r>
          <w:r>
            <w:fldChar w:fldCharType="separate"/>
          </w:r>
          <w:hyperlink w:anchor="_Toc216707815" w:history="1">
            <w:r w:rsidR="004A10AA" w:rsidRPr="00AF0473">
              <w:rPr>
                <w:rStyle w:val="Hyperlink"/>
                <w:rFonts w:ascii="Arial" w:hAnsi="Arial" w:cs="Arial"/>
                <w:noProof/>
              </w:rPr>
              <w:t>Introduction</w:t>
            </w:r>
            <w:r w:rsidR="004A10AA">
              <w:rPr>
                <w:noProof/>
                <w:webHidden/>
              </w:rPr>
              <w:tab/>
            </w:r>
            <w:r w:rsidR="004A10AA">
              <w:rPr>
                <w:noProof/>
                <w:webHidden/>
              </w:rPr>
              <w:fldChar w:fldCharType="begin"/>
            </w:r>
            <w:r w:rsidR="004A10AA">
              <w:rPr>
                <w:noProof/>
                <w:webHidden/>
              </w:rPr>
              <w:instrText xml:space="preserve"> PAGEREF _Toc216707815 \h </w:instrText>
            </w:r>
            <w:r w:rsidR="004A10AA">
              <w:rPr>
                <w:noProof/>
                <w:webHidden/>
              </w:rPr>
            </w:r>
            <w:r w:rsidR="004A10AA">
              <w:rPr>
                <w:noProof/>
                <w:webHidden/>
              </w:rPr>
              <w:fldChar w:fldCharType="separate"/>
            </w:r>
            <w:r w:rsidR="004A10AA">
              <w:rPr>
                <w:noProof/>
                <w:webHidden/>
              </w:rPr>
              <w:t>3</w:t>
            </w:r>
            <w:r w:rsidR="004A10AA">
              <w:rPr>
                <w:noProof/>
                <w:webHidden/>
              </w:rPr>
              <w:fldChar w:fldCharType="end"/>
            </w:r>
          </w:hyperlink>
        </w:p>
        <w:p w14:paraId="32FA0616" w14:textId="352A3CF2" w:rsidR="004A10AA" w:rsidRDefault="004A10AA">
          <w:pPr>
            <w:pStyle w:val="TOC1"/>
            <w:tabs>
              <w:tab w:val="right" w:leader="dot" w:pos="9350"/>
            </w:tabs>
            <w:rPr>
              <w:noProof/>
            </w:rPr>
          </w:pPr>
          <w:hyperlink w:anchor="_Toc216707816" w:history="1">
            <w:r w:rsidRPr="00AF0473">
              <w:rPr>
                <w:rStyle w:val="Hyperlink"/>
                <w:rFonts w:ascii="Arial" w:hAnsi="Arial" w:cs="Arial"/>
                <w:noProof/>
              </w:rPr>
              <w:t>Importance of Effective Communication</w:t>
            </w:r>
            <w:r>
              <w:rPr>
                <w:noProof/>
                <w:webHidden/>
              </w:rPr>
              <w:tab/>
            </w:r>
            <w:r>
              <w:rPr>
                <w:noProof/>
                <w:webHidden/>
              </w:rPr>
              <w:fldChar w:fldCharType="begin"/>
            </w:r>
            <w:r>
              <w:rPr>
                <w:noProof/>
                <w:webHidden/>
              </w:rPr>
              <w:instrText xml:space="preserve"> PAGEREF _Toc216707816 \h </w:instrText>
            </w:r>
            <w:r>
              <w:rPr>
                <w:noProof/>
                <w:webHidden/>
              </w:rPr>
            </w:r>
            <w:r>
              <w:rPr>
                <w:noProof/>
                <w:webHidden/>
              </w:rPr>
              <w:fldChar w:fldCharType="separate"/>
            </w:r>
            <w:r>
              <w:rPr>
                <w:noProof/>
                <w:webHidden/>
              </w:rPr>
              <w:t>3</w:t>
            </w:r>
            <w:r>
              <w:rPr>
                <w:noProof/>
                <w:webHidden/>
              </w:rPr>
              <w:fldChar w:fldCharType="end"/>
            </w:r>
          </w:hyperlink>
        </w:p>
        <w:p w14:paraId="3CC842F9" w14:textId="75FE0BB5" w:rsidR="004A10AA" w:rsidRDefault="004A10AA">
          <w:pPr>
            <w:pStyle w:val="TOC1"/>
            <w:tabs>
              <w:tab w:val="right" w:leader="dot" w:pos="9350"/>
            </w:tabs>
            <w:rPr>
              <w:noProof/>
            </w:rPr>
          </w:pPr>
          <w:hyperlink w:anchor="_Toc216707817" w:history="1">
            <w:r w:rsidRPr="00AF0473">
              <w:rPr>
                <w:rStyle w:val="Hyperlink"/>
                <w:rFonts w:ascii="Arial" w:hAnsi="Arial" w:cs="Arial"/>
                <w:noProof/>
              </w:rPr>
              <w:t>Importance of Good Administrative Skills</w:t>
            </w:r>
            <w:r>
              <w:rPr>
                <w:noProof/>
                <w:webHidden/>
              </w:rPr>
              <w:tab/>
            </w:r>
            <w:r>
              <w:rPr>
                <w:noProof/>
                <w:webHidden/>
              </w:rPr>
              <w:fldChar w:fldCharType="begin"/>
            </w:r>
            <w:r>
              <w:rPr>
                <w:noProof/>
                <w:webHidden/>
              </w:rPr>
              <w:instrText xml:space="preserve"> PAGEREF _Toc216707817 \h </w:instrText>
            </w:r>
            <w:r>
              <w:rPr>
                <w:noProof/>
                <w:webHidden/>
              </w:rPr>
            </w:r>
            <w:r>
              <w:rPr>
                <w:noProof/>
                <w:webHidden/>
              </w:rPr>
              <w:fldChar w:fldCharType="separate"/>
            </w:r>
            <w:r>
              <w:rPr>
                <w:noProof/>
                <w:webHidden/>
              </w:rPr>
              <w:t>4</w:t>
            </w:r>
            <w:r>
              <w:rPr>
                <w:noProof/>
                <w:webHidden/>
              </w:rPr>
              <w:fldChar w:fldCharType="end"/>
            </w:r>
          </w:hyperlink>
        </w:p>
        <w:p w14:paraId="69BE2126" w14:textId="5181F661" w:rsidR="004A10AA" w:rsidRDefault="004A10AA">
          <w:pPr>
            <w:pStyle w:val="TOC1"/>
            <w:tabs>
              <w:tab w:val="right" w:leader="dot" w:pos="9350"/>
            </w:tabs>
            <w:rPr>
              <w:noProof/>
            </w:rPr>
          </w:pPr>
          <w:hyperlink w:anchor="_Toc216707818" w:history="1">
            <w:r w:rsidRPr="00AF0473">
              <w:rPr>
                <w:rStyle w:val="Hyperlink"/>
                <w:rFonts w:ascii="Arial" w:hAnsi="Arial" w:cs="Arial"/>
                <w:noProof/>
              </w:rPr>
              <w:t>Importance of Collaborative Working</w:t>
            </w:r>
            <w:r>
              <w:rPr>
                <w:noProof/>
                <w:webHidden/>
              </w:rPr>
              <w:tab/>
            </w:r>
            <w:r>
              <w:rPr>
                <w:noProof/>
                <w:webHidden/>
              </w:rPr>
              <w:fldChar w:fldCharType="begin"/>
            </w:r>
            <w:r>
              <w:rPr>
                <w:noProof/>
                <w:webHidden/>
              </w:rPr>
              <w:instrText xml:space="preserve"> PAGEREF _Toc216707818 \h </w:instrText>
            </w:r>
            <w:r>
              <w:rPr>
                <w:noProof/>
                <w:webHidden/>
              </w:rPr>
            </w:r>
            <w:r>
              <w:rPr>
                <w:noProof/>
                <w:webHidden/>
              </w:rPr>
              <w:fldChar w:fldCharType="separate"/>
            </w:r>
            <w:r>
              <w:rPr>
                <w:noProof/>
                <w:webHidden/>
              </w:rPr>
              <w:t>5</w:t>
            </w:r>
            <w:r>
              <w:rPr>
                <w:noProof/>
                <w:webHidden/>
              </w:rPr>
              <w:fldChar w:fldCharType="end"/>
            </w:r>
          </w:hyperlink>
        </w:p>
        <w:p w14:paraId="3E0A8EB7" w14:textId="002C1024" w:rsidR="004A10AA" w:rsidRDefault="004A10AA">
          <w:pPr>
            <w:pStyle w:val="TOC1"/>
            <w:tabs>
              <w:tab w:val="right" w:leader="dot" w:pos="9350"/>
            </w:tabs>
            <w:rPr>
              <w:noProof/>
            </w:rPr>
          </w:pPr>
          <w:hyperlink w:anchor="_Toc216707819" w:history="1">
            <w:r w:rsidRPr="00AF0473">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_Toc216707819 \h </w:instrText>
            </w:r>
            <w:r>
              <w:rPr>
                <w:noProof/>
                <w:webHidden/>
              </w:rPr>
            </w:r>
            <w:r>
              <w:rPr>
                <w:noProof/>
                <w:webHidden/>
              </w:rPr>
              <w:fldChar w:fldCharType="separate"/>
            </w:r>
            <w:r>
              <w:rPr>
                <w:noProof/>
                <w:webHidden/>
              </w:rPr>
              <w:t>6</w:t>
            </w:r>
            <w:r>
              <w:rPr>
                <w:noProof/>
                <w:webHidden/>
              </w:rPr>
              <w:fldChar w:fldCharType="end"/>
            </w:r>
          </w:hyperlink>
        </w:p>
        <w:p w14:paraId="3611C924" w14:textId="399C648B" w:rsidR="004A10AA" w:rsidRDefault="004A10AA">
          <w:pPr>
            <w:pStyle w:val="TOC1"/>
            <w:tabs>
              <w:tab w:val="right" w:leader="dot" w:pos="9350"/>
            </w:tabs>
            <w:rPr>
              <w:noProof/>
            </w:rPr>
          </w:pPr>
          <w:hyperlink w:anchor="_Toc216707820" w:history="1">
            <w:r w:rsidRPr="00AF0473">
              <w:rPr>
                <w:rStyle w:val="Hyperlink"/>
                <w:rFonts w:ascii="Arial" w:hAnsi="Arial" w:cs="Arial"/>
                <w:noProof/>
              </w:rPr>
              <w:t>Reference</w:t>
            </w:r>
            <w:r>
              <w:rPr>
                <w:noProof/>
                <w:webHidden/>
              </w:rPr>
              <w:tab/>
            </w:r>
            <w:r>
              <w:rPr>
                <w:noProof/>
                <w:webHidden/>
              </w:rPr>
              <w:fldChar w:fldCharType="begin"/>
            </w:r>
            <w:r>
              <w:rPr>
                <w:noProof/>
                <w:webHidden/>
              </w:rPr>
              <w:instrText xml:space="preserve"> PAGEREF _Toc216707820 \h </w:instrText>
            </w:r>
            <w:r>
              <w:rPr>
                <w:noProof/>
                <w:webHidden/>
              </w:rPr>
            </w:r>
            <w:r>
              <w:rPr>
                <w:noProof/>
                <w:webHidden/>
              </w:rPr>
              <w:fldChar w:fldCharType="separate"/>
            </w:r>
            <w:r>
              <w:rPr>
                <w:noProof/>
                <w:webHidden/>
              </w:rPr>
              <w:t>6</w:t>
            </w:r>
            <w:r>
              <w:rPr>
                <w:noProof/>
                <w:webHidden/>
              </w:rPr>
              <w:fldChar w:fldCharType="end"/>
            </w:r>
          </w:hyperlink>
        </w:p>
        <w:p w14:paraId="0B5AF59D" w14:textId="635E2891" w:rsidR="00CA1F13" w:rsidRDefault="00CA1F13">
          <w:r>
            <w:rPr>
              <w:b/>
              <w:bCs/>
              <w:noProof/>
            </w:rPr>
            <w:fldChar w:fldCharType="end"/>
          </w:r>
        </w:p>
      </w:sdtContent>
    </w:sdt>
    <w:p w14:paraId="0620C8B3" w14:textId="2C01383E" w:rsidR="00CA1F13" w:rsidRDefault="00CA1F13"/>
    <w:p w14:paraId="45D77372" w14:textId="77777777" w:rsidR="00CA1F13" w:rsidRDefault="00CA1F13">
      <w:r>
        <w:br w:type="page"/>
      </w:r>
    </w:p>
    <w:p w14:paraId="2D40DA3E" w14:textId="4176E3ED" w:rsidR="00CA1F13" w:rsidRDefault="00CA1F13" w:rsidP="00CA1F13">
      <w:pPr>
        <w:pStyle w:val="Title"/>
        <w:ind w:left="2880" w:firstLine="720"/>
        <w:rPr>
          <w:rFonts w:ascii="Arial" w:hAnsi="Arial" w:cs="Arial"/>
          <w:sz w:val="32"/>
          <w:szCs w:val="32"/>
        </w:rPr>
      </w:pPr>
      <w:r w:rsidRPr="00CA1F13">
        <w:rPr>
          <w:rFonts w:ascii="Arial" w:hAnsi="Arial" w:cs="Arial"/>
          <w:sz w:val="32"/>
          <w:szCs w:val="32"/>
        </w:rPr>
        <w:lastRenderedPageBreak/>
        <w:t>Case Study</w:t>
      </w:r>
    </w:p>
    <w:p w14:paraId="67395899" w14:textId="43EB0F39" w:rsidR="00CA1F13" w:rsidRDefault="00CA1F13" w:rsidP="00CA1F13">
      <w:pPr>
        <w:pStyle w:val="Heading1"/>
        <w:rPr>
          <w:rFonts w:ascii="Arial" w:hAnsi="Arial" w:cs="Arial"/>
          <w:color w:val="auto"/>
          <w:sz w:val="28"/>
          <w:szCs w:val="28"/>
        </w:rPr>
      </w:pPr>
      <w:bookmarkStart w:id="0" w:name="_Toc216707815"/>
      <w:r w:rsidRPr="00CA1F13">
        <w:rPr>
          <w:rFonts w:ascii="Arial" w:hAnsi="Arial" w:cs="Arial"/>
          <w:color w:val="auto"/>
          <w:sz w:val="28"/>
          <w:szCs w:val="28"/>
        </w:rPr>
        <w:t>Introduction</w:t>
      </w:r>
      <w:bookmarkEnd w:id="0"/>
    </w:p>
    <w:p w14:paraId="200AE2A3" w14:textId="5EC1BDBA" w:rsidR="00CA1F13" w:rsidRPr="00C50163" w:rsidRDefault="00003CCC" w:rsidP="00003CCC">
      <w:pPr>
        <w:spacing w:line="360" w:lineRule="auto"/>
        <w:rPr>
          <w:rFonts w:ascii="Arial" w:hAnsi="Arial" w:cs="Arial"/>
          <w:sz w:val="22"/>
          <w:szCs w:val="22"/>
        </w:rPr>
      </w:pPr>
      <w:r w:rsidRPr="00C50163">
        <w:rPr>
          <w:rFonts w:ascii="Arial" w:hAnsi="Arial" w:cs="Arial"/>
          <w:sz w:val="22"/>
          <w:szCs w:val="22"/>
        </w:rPr>
        <w:t>The situation of Mrs. Mann, a 72</w:t>
      </w:r>
      <w:r w:rsidRPr="00C50163">
        <w:rPr>
          <w:rFonts w:ascii="Cambria Math" w:hAnsi="Cambria Math" w:cs="Cambria Math"/>
          <w:sz w:val="22"/>
          <w:szCs w:val="22"/>
        </w:rPr>
        <w:t>‑</w:t>
      </w:r>
      <w:r w:rsidRPr="00C50163">
        <w:rPr>
          <w:rFonts w:ascii="Arial" w:hAnsi="Arial" w:cs="Arial"/>
          <w:sz w:val="22"/>
          <w:szCs w:val="22"/>
        </w:rPr>
        <w:t>year</w:t>
      </w:r>
      <w:r w:rsidRPr="00C50163">
        <w:rPr>
          <w:rFonts w:ascii="Cambria Math" w:hAnsi="Cambria Math" w:cs="Cambria Math"/>
          <w:sz w:val="22"/>
          <w:szCs w:val="22"/>
        </w:rPr>
        <w:t>‑</w:t>
      </w:r>
      <w:r w:rsidRPr="00C50163">
        <w:rPr>
          <w:rFonts w:ascii="Arial" w:hAnsi="Arial" w:cs="Arial"/>
          <w:sz w:val="22"/>
          <w:szCs w:val="22"/>
        </w:rPr>
        <w:t>old patient recently released following hip replacement surgery, is addressed in this report. Domestic support and multidisciplinary input are currently being provided to her</w:t>
      </w:r>
      <w:r w:rsidR="00FF1301">
        <w:rPr>
          <w:rFonts w:ascii="Arial" w:hAnsi="Arial" w:cs="Arial"/>
          <w:sz w:val="22"/>
          <w:szCs w:val="22"/>
        </w:rPr>
        <w:t xml:space="preserve">. </w:t>
      </w:r>
      <w:r w:rsidRPr="00C50163">
        <w:rPr>
          <w:rFonts w:ascii="Arial" w:hAnsi="Arial" w:cs="Arial"/>
          <w:sz w:val="22"/>
          <w:szCs w:val="22"/>
        </w:rPr>
        <w:t>Concerns have been expressed due to inconsistent documentation</w:t>
      </w:r>
      <w:r w:rsidR="00FF1301">
        <w:rPr>
          <w:rFonts w:ascii="Arial" w:hAnsi="Arial" w:cs="Arial"/>
          <w:sz w:val="22"/>
          <w:szCs w:val="22"/>
        </w:rPr>
        <w:t xml:space="preserve"> </w:t>
      </w:r>
      <w:r w:rsidRPr="00C50163">
        <w:rPr>
          <w:rFonts w:ascii="Arial" w:hAnsi="Arial" w:cs="Arial"/>
          <w:sz w:val="22"/>
          <w:szCs w:val="22"/>
        </w:rPr>
        <w:t xml:space="preserve">which resulted in postponements in altering her medication, thereby exposing risks to both safety and quality of </w:t>
      </w:r>
      <w:r w:rsidR="00FF1301" w:rsidRPr="00C50163">
        <w:rPr>
          <w:rFonts w:ascii="Arial" w:hAnsi="Arial" w:cs="Arial"/>
          <w:sz w:val="22"/>
          <w:szCs w:val="22"/>
        </w:rPr>
        <w:t>care (</w:t>
      </w:r>
      <w:r w:rsidR="00FF1301" w:rsidRPr="00C50163">
        <w:rPr>
          <w:rFonts w:ascii="Arial" w:hAnsi="Arial" w:cs="Arial"/>
          <w:sz w:val="22"/>
          <w:szCs w:val="22"/>
        </w:rPr>
        <w:t>Care Learning, 2024</w:t>
      </w:r>
      <w:r w:rsidR="004A10AA" w:rsidRPr="00C50163">
        <w:rPr>
          <w:rFonts w:ascii="Arial" w:hAnsi="Arial" w:cs="Arial"/>
          <w:sz w:val="22"/>
          <w:szCs w:val="22"/>
        </w:rPr>
        <w:t>).</w:t>
      </w:r>
      <w:r w:rsidRPr="00C50163">
        <w:rPr>
          <w:rFonts w:ascii="Arial" w:hAnsi="Arial" w:cs="Arial"/>
          <w:sz w:val="22"/>
          <w:szCs w:val="22"/>
        </w:rPr>
        <w:t xml:space="preserve"> The significance of communication with Mrs. Mann and her relatives will be considered first, with reference made to the Equality Act 2010 and a recognized communication framework (Equality and Human Rights Commission, 2013). The importance of sound administrative practice will then be examined, with emphasis placed on precise record keeping and adherence to the Data Protection Act 2018</w:t>
      </w:r>
      <w:r w:rsidR="00FF1301">
        <w:rPr>
          <w:rFonts w:ascii="Arial" w:hAnsi="Arial" w:cs="Arial"/>
          <w:sz w:val="22"/>
          <w:szCs w:val="22"/>
        </w:rPr>
        <w:t xml:space="preserve"> </w:t>
      </w:r>
      <w:r w:rsidRPr="00C50163">
        <w:rPr>
          <w:rFonts w:ascii="Arial" w:hAnsi="Arial" w:cs="Arial"/>
          <w:sz w:val="22"/>
          <w:szCs w:val="22"/>
        </w:rPr>
        <w:t>(NHS England, 2025). Finally, cooperative work among professionals engaged in her care will be discussed, and approaches to address difficulties in multi</w:t>
      </w:r>
      <w:r w:rsidRPr="00C50163">
        <w:rPr>
          <w:rFonts w:ascii="Cambria Math" w:hAnsi="Cambria Math" w:cs="Cambria Math"/>
          <w:sz w:val="22"/>
          <w:szCs w:val="22"/>
        </w:rPr>
        <w:t>‑</w:t>
      </w:r>
      <w:r w:rsidRPr="00C50163">
        <w:rPr>
          <w:rFonts w:ascii="Arial" w:hAnsi="Arial" w:cs="Arial"/>
          <w:sz w:val="22"/>
          <w:szCs w:val="22"/>
        </w:rPr>
        <w:t>agency practice will be outlined (Care Learning, 2025).</w:t>
      </w:r>
    </w:p>
    <w:p w14:paraId="1FF38BB8" w14:textId="1ACAC2FD" w:rsidR="00674C3C" w:rsidRDefault="00674C3C" w:rsidP="00674C3C">
      <w:pPr>
        <w:pStyle w:val="Heading1"/>
        <w:rPr>
          <w:rFonts w:ascii="Arial" w:hAnsi="Arial" w:cs="Arial"/>
          <w:color w:val="auto"/>
          <w:sz w:val="28"/>
          <w:szCs w:val="28"/>
        </w:rPr>
      </w:pPr>
      <w:bookmarkStart w:id="1" w:name="_Toc216707816"/>
      <w:r w:rsidRPr="00674C3C">
        <w:rPr>
          <w:rFonts w:ascii="Arial" w:hAnsi="Arial" w:cs="Arial"/>
          <w:color w:val="auto"/>
          <w:sz w:val="28"/>
          <w:szCs w:val="28"/>
        </w:rPr>
        <w:t>Importance of Effective Communication</w:t>
      </w:r>
      <w:bookmarkEnd w:id="1"/>
    </w:p>
    <w:p w14:paraId="78BA5E75" w14:textId="499877D7" w:rsidR="00BB32A1" w:rsidRDefault="001636E2" w:rsidP="001636E2">
      <w:pPr>
        <w:spacing w:line="360" w:lineRule="auto"/>
        <w:rPr>
          <w:rFonts w:ascii="Arial" w:hAnsi="Arial" w:cs="Arial"/>
          <w:sz w:val="22"/>
          <w:szCs w:val="22"/>
        </w:rPr>
      </w:pPr>
      <w:r w:rsidRPr="00BB32A1">
        <w:rPr>
          <w:rFonts w:ascii="Arial" w:hAnsi="Arial" w:cs="Arial"/>
          <w:sz w:val="22"/>
          <w:szCs w:val="22"/>
        </w:rPr>
        <w:t xml:space="preserve">Difficulties in comprehension are often experienced due to linguistic barriers, restricted literacy, age, or medical conditions, which </w:t>
      </w:r>
      <w:r w:rsidRPr="00BB32A1">
        <w:rPr>
          <w:rFonts w:ascii="Arial" w:hAnsi="Arial" w:cs="Arial"/>
          <w:sz w:val="22"/>
          <w:szCs w:val="22"/>
        </w:rPr>
        <w:t>demonstrate</w:t>
      </w:r>
      <w:r w:rsidRPr="00BB32A1">
        <w:rPr>
          <w:rFonts w:ascii="Arial" w:hAnsi="Arial" w:cs="Arial"/>
          <w:sz w:val="22"/>
          <w:szCs w:val="22"/>
        </w:rPr>
        <w:t xml:space="preserve"> the necessity for tailored approaches. The process of admission into a nursing home, foster placement, or healthcare facility is regarded as stressful, and reassurance is required to alleviate anxiety and fear. It has been highlighted by the World Health </w:t>
      </w:r>
      <w:r w:rsidRPr="00BB32A1">
        <w:rPr>
          <w:rFonts w:ascii="Arial" w:hAnsi="Arial" w:cs="Arial"/>
          <w:sz w:val="22"/>
          <w:szCs w:val="22"/>
        </w:rPr>
        <w:t>Organization</w:t>
      </w:r>
      <w:r w:rsidRPr="00BB32A1">
        <w:rPr>
          <w:rFonts w:ascii="Arial" w:hAnsi="Arial" w:cs="Arial"/>
          <w:sz w:val="22"/>
          <w:szCs w:val="22"/>
        </w:rPr>
        <w:t xml:space="preserve"> that the relationship between patients and healthcare staff has been transformed over time, shifting from a paternalistic model to one </w:t>
      </w:r>
      <w:r w:rsidRPr="00BB32A1">
        <w:rPr>
          <w:rFonts w:ascii="Arial" w:hAnsi="Arial" w:cs="Arial"/>
          <w:sz w:val="22"/>
          <w:szCs w:val="22"/>
        </w:rPr>
        <w:t>centered</w:t>
      </w:r>
      <w:r w:rsidRPr="00BB32A1">
        <w:rPr>
          <w:rFonts w:ascii="Arial" w:hAnsi="Arial" w:cs="Arial"/>
          <w:sz w:val="22"/>
          <w:szCs w:val="22"/>
        </w:rPr>
        <w:t xml:space="preserve"> on collaboration and shared decision-making </w:t>
      </w:r>
      <w:bookmarkStart w:id="2" w:name="_Hlk216703420"/>
      <w:r w:rsidRPr="00BB32A1">
        <w:rPr>
          <w:rFonts w:ascii="Arial" w:hAnsi="Arial" w:cs="Arial"/>
          <w:sz w:val="22"/>
          <w:szCs w:val="22"/>
        </w:rPr>
        <w:t>(WHO, 2025</w:t>
      </w:r>
      <w:bookmarkEnd w:id="2"/>
      <w:r w:rsidRPr="00BB32A1">
        <w:rPr>
          <w:rFonts w:ascii="Arial" w:hAnsi="Arial" w:cs="Arial"/>
          <w:sz w:val="22"/>
          <w:szCs w:val="22"/>
        </w:rPr>
        <w:t>; NICE, 2021). Consequently, the acquisition of interpersonal skills and effective communication strategies is considered essential for health and social care workers to ensure high standards of practice. In support of this, Benchmarks for Communication were published in 2010 by the Department of Health (now the Department of Health and Social Care) together with NHS England, emphasizing that the needs, preferences, and expectations of patients and carers must be addressed (Department of Health, 2010).</w:t>
      </w:r>
      <w:r w:rsidRPr="00BB32A1">
        <w:rPr>
          <w:rFonts w:ascii="Arial" w:hAnsi="Arial" w:cs="Arial"/>
          <w:sz w:val="22"/>
          <w:szCs w:val="22"/>
        </w:rPr>
        <w:t xml:space="preserve"> </w:t>
      </w:r>
      <w:r w:rsidRPr="00BB32A1">
        <w:rPr>
          <w:rFonts w:ascii="Arial" w:hAnsi="Arial" w:cs="Arial"/>
          <w:sz w:val="22"/>
          <w:szCs w:val="22"/>
        </w:rPr>
        <w:t>The delivery of safe, inclusive, and person</w:t>
      </w:r>
      <w:r w:rsidRPr="00BB32A1">
        <w:rPr>
          <w:rFonts w:ascii="Cambria Math" w:hAnsi="Cambria Math" w:cs="Cambria Math"/>
          <w:sz w:val="22"/>
          <w:szCs w:val="22"/>
        </w:rPr>
        <w:t>‑</w:t>
      </w:r>
      <w:r w:rsidRPr="00BB32A1">
        <w:rPr>
          <w:rFonts w:ascii="Arial" w:hAnsi="Arial" w:cs="Arial"/>
          <w:sz w:val="22"/>
          <w:szCs w:val="22"/>
        </w:rPr>
        <w:t>centered</w:t>
      </w:r>
      <w:r w:rsidRPr="00BB32A1">
        <w:rPr>
          <w:rFonts w:ascii="Arial" w:hAnsi="Arial" w:cs="Arial"/>
          <w:sz w:val="22"/>
          <w:szCs w:val="22"/>
        </w:rPr>
        <w:t xml:space="preserve"> care is considered to rely strongly on effective communication, particularly in circumstances such as </w:t>
      </w:r>
      <w:r w:rsidRPr="00BB32A1">
        <w:rPr>
          <w:rFonts w:ascii="Arial" w:hAnsi="Arial" w:cs="Arial"/>
          <w:sz w:val="22"/>
          <w:szCs w:val="22"/>
        </w:rPr>
        <w:t>Mrs.</w:t>
      </w:r>
      <w:r w:rsidRPr="00BB32A1">
        <w:rPr>
          <w:rFonts w:ascii="Arial" w:hAnsi="Arial" w:cs="Arial"/>
          <w:sz w:val="22"/>
          <w:szCs w:val="22"/>
        </w:rPr>
        <w:t xml:space="preserve"> Mann’s, where linguistic challenges and the involvement of several professionals are present. When communication is weakened, misunderstandings may be created, service user participation may be reduced, and clinical errors may be introduced</w:t>
      </w:r>
      <w:r w:rsidR="00FF1301">
        <w:rPr>
          <w:rFonts w:ascii="Arial" w:hAnsi="Arial" w:cs="Arial"/>
          <w:sz w:val="22"/>
          <w:szCs w:val="22"/>
        </w:rPr>
        <w:t xml:space="preserve">. </w:t>
      </w:r>
      <w:r w:rsidRPr="00BB32A1">
        <w:rPr>
          <w:rFonts w:ascii="Arial" w:hAnsi="Arial" w:cs="Arial"/>
          <w:sz w:val="22"/>
          <w:szCs w:val="22"/>
        </w:rPr>
        <w:t xml:space="preserve">Urdu is spoken as </w:t>
      </w:r>
      <w:r w:rsidRPr="00BB32A1">
        <w:rPr>
          <w:rFonts w:ascii="Arial" w:hAnsi="Arial" w:cs="Arial"/>
          <w:sz w:val="22"/>
          <w:szCs w:val="22"/>
        </w:rPr>
        <w:t>Mrs.</w:t>
      </w:r>
      <w:r w:rsidRPr="00BB32A1">
        <w:rPr>
          <w:rFonts w:ascii="Arial" w:hAnsi="Arial" w:cs="Arial"/>
          <w:sz w:val="22"/>
          <w:szCs w:val="22"/>
        </w:rPr>
        <w:t xml:space="preserve"> Mann’s main language, while her ability in </w:t>
      </w:r>
      <w:r w:rsidRPr="00BB32A1">
        <w:rPr>
          <w:rFonts w:ascii="Arial" w:hAnsi="Arial" w:cs="Arial"/>
          <w:sz w:val="22"/>
          <w:szCs w:val="22"/>
        </w:rPr>
        <w:lastRenderedPageBreak/>
        <w:t xml:space="preserve">English is limited. Under the Equality Act 2010, language is </w:t>
      </w:r>
      <w:r w:rsidRPr="00BB32A1">
        <w:rPr>
          <w:rFonts w:ascii="Arial" w:hAnsi="Arial" w:cs="Arial"/>
          <w:sz w:val="22"/>
          <w:szCs w:val="22"/>
        </w:rPr>
        <w:t>recognized</w:t>
      </w:r>
      <w:r w:rsidRPr="00BB32A1">
        <w:rPr>
          <w:rFonts w:ascii="Arial" w:hAnsi="Arial" w:cs="Arial"/>
          <w:sz w:val="22"/>
          <w:szCs w:val="22"/>
        </w:rPr>
        <w:t xml:space="preserve"> as a possible obstacle to accessing services, and a statutory responsibility is placed upon care providers to implement reasonable adjustments so that individuals are not placed at a disadvantage (Equality Act 2010)</w:t>
      </w:r>
      <w:r w:rsidRPr="00BB32A1">
        <w:rPr>
          <w:rFonts w:ascii="Arial" w:hAnsi="Arial" w:cs="Arial"/>
          <w:sz w:val="22"/>
          <w:szCs w:val="22"/>
        </w:rPr>
        <w:t>.</w:t>
      </w:r>
      <w:r w:rsidR="00BB32A1" w:rsidRPr="00BB32A1">
        <w:rPr>
          <w:rFonts w:ascii="Arial" w:hAnsi="Arial" w:cs="Arial"/>
        </w:rPr>
        <w:t xml:space="preserve"> </w:t>
      </w:r>
      <w:r w:rsidR="00BB32A1" w:rsidRPr="00BB32A1">
        <w:rPr>
          <w:rFonts w:ascii="Arial" w:hAnsi="Arial" w:cs="Arial"/>
          <w:sz w:val="22"/>
          <w:szCs w:val="22"/>
        </w:rPr>
        <w:t xml:space="preserve">Respectful and clear communication was expected to be maintained with </w:t>
      </w:r>
      <w:r w:rsidR="00BB32A1" w:rsidRPr="00BB32A1">
        <w:rPr>
          <w:rFonts w:ascii="Arial" w:hAnsi="Arial" w:cs="Arial"/>
          <w:sz w:val="22"/>
          <w:szCs w:val="22"/>
        </w:rPr>
        <w:t>Mrs.</w:t>
      </w:r>
      <w:r w:rsidR="00BB32A1" w:rsidRPr="00BB32A1">
        <w:rPr>
          <w:rFonts w:ascii="Arial" w:hAnsi="Arial" w:cs="Arial"/>
          <w:sz w:val="22"/>
          <w:szCs w:val="22"/>
        </w:rPr>
        <w:t xml:space="preserve"> Mann and her family, with adjustments made to suit her individual needs. Simple language was recommended to be used, medical terminology was advised to be avoided, and understanding was required to be checked regularly, with sufficient time provided for responses. The involvement of her daughter was considered beneficial in supporting family</w:t>
      </w:r>
      <w:r w:rsidR="00BB32A1" w:rsidRPr="00BB32A1">
        <w:rPr>
          <w:rFonts w:ascii="Arial" w:hAnsi="Arial" w:cs="Arial"/>
          <w:sz w:val="22"/>
          <w:szCs w:val="22"/>
        </w:rPr>
        <w:t xml:space="preserve"> centered</w:t>
      </w:r>
      <w:r w:rsidR="00BB32A1" w:rsidRPr="00BB32A1">
        <w:rPr>
          <w:rFonts w:ascii="Arial" w:hAnsi="Arial" w:cs="Arial"/>
          <w:sz w:val="22"/>
          <w:szCs w:val="22"/>
        </w:rPr>
        <w:t xml:space="preserve"> care; however, </w:t>
      </w:r>
      <w:r w:rsidR="00BB32A1" w:rsidRPr="00BB32A1">
        <w:rPr>
          <w:rFonts w:ascii="Arial" w:hAnsi="Arial" w:cs="Arial"/>
          <w:sz w:val="22"/>
          <w:szCs w:val="22"/>
        </w:rPr>
        <w:t>Mrs.</w:t>
      </w:r>
      <w:r w:rsidR="00BB32A1" w:rsidRPr="00BB32A1">
        <w:rPr>
          <w:rFonts w:ascii="Arial" w:hAnsi="Arial" w:cs="Arial"/>
          <w:sz w:val="22"/>
          <w:szCs w:val="22"/>
        </w:rPr>
        <w:t xml:space="preserve"> Mann’s own preferences and consent were required to be </w:t>
      </w:r>
      <w:r w:rsidR="00BB32A1" w:rsidRPr="00BB32A1">
        <w:rPr>
          <w:rFonts w:ascii="Arial" w:hAnsi="Arial" w:cs="Arial"/>
          <w:sz w:val="22"/>
          <w:szCs w:val="22"/>
        </w:rPr>
        <w:t>always prioritized</w:t>
      </w:r>
      <w:r w:rsidR="00BB32A1" w:rsidRPr="00BB32A1">
        <w:rPr>
          <w:rFonts w:ascii="Arial" w:hAnsi="Arial" w:cs="Arial"/>
          <w:sz w:val="22"/>
          <w:szCs w:val="22"/>
        </w:rPr>
        <w:t xml:space="preserve"> (NICE, 2018)</w:t>
      </w:r>
      <w:r w:rsidR="00BB32A1" w:rsidRPr="00BB32A1">
        <w:rPr>
          <w:rFonts w:ascii="Arial" w:hAnsi="Arial" w:cs="Arial"/>
          <w:sz w:val="22"/>
          <w:szCs w:val="22"/>
        </w:rPr>
        <w:t>.</w:t>
      </w:r>
    </w:p>
    <w:p w14:paraId="00575C69" w14:textId="4B22A30B" w:rsidR="00BB32A1" w:rsidRDefault="00BB32A1" w:rsidP="001636E2">
      <w:pPr>
        <w:spacing w:line="360" w:lineRule="auto"/>
        <w:rPr>
          <w:rFonts w:ascii="Arial" w:hAnsi="Arial" w:cs="Arial"/>
          <w:sz w:val="22"/>
          <w:szCs w:val="22"/>
        </w:rPr>
      </w:pPr>
      <w:r>
        <w:rPr>
          <w:rFonts w:ascii="Arial" w:hAnsi="Arial" w:cs="Arial"/>
          <w:sz w:val="22"/>
          <w:szCs w:val="22"/>
        </w:rPr>
        <w:t>T</w:t>
      </w:r>
      <w:r w:rsidRPr="00BB32A1">
        <w:rPr>
          <w:rFonts w:ascii="Arial" w:hAnsi="Arial" w:cs="Arial"/>
          <w:sz w:val="22"/>
          <w:szCs w:val="22"/>
        </w:rPr>
        <w:t xml:space="preserve">he Johari Window Model was introduced as a communication framework. It was described as a reciprocal model in which the roles of sender and receiver were shown to alternate. Through its application, communication preferences were able to be identified and possible limitations among learners were </w:t>
      </w:r>
      <w:r w:rsidRPr="00BB32A1">
        <w:rPr>
          <w:rFonts w:ascii="Arial" w:hAnsi="Arial" w:cs="Arial"/>
          <w:sz w:val="22"/>
          <w:szCs w:val="22"/>
        </w:rPr>
        <w:t>recognized</w:t>
      </w:r>
      <w:r w:rsidRPr="00BB32A1">
        <w:rPr>
          <w:rFonts w:ascii="Arial" w:hAnsi="Arial" w:cs="Arial"/>
          <w:sz w:val="22"/>
          <w:szCs w:val="22"/>
        </w:rPr>
        <w:t>, so that more effective interaction within educational settings could be facilitated</w:t>
      </w:r>
      <w:r>
        <w:rPr>
          <w:rFonts w:ascii="Arial" w:hAnsi="Arial" w:cs="Arial"/>
          <w:sz w:val="22"/>
          <w:szCs w:val="22"/>
        </w:rPr>
        <w:t xml:space="preserve"> (Start Teaching,2025).</w:t>
      </w:r>
      <w:r w:rsidR="00777BDB" w:rsidRPr="00777BDB">
        <w:t xml:space="preserve"> </w:t>
      </w:r>
      <w:r w:rsidR="00777BDB" w:rsidRPr="00777BDB">
        <w:rPr>
          <w:rFonts w:ascii="Arial" w:hAnsi="Arial" w:cs="Arial"/>
          <w:sz w:val="22"/>
          <w:szCs w:val="22"/>
        </w:rPr>
        <w:t xml:space="preserve">The Johari model was defined through the principles of sitting squarely, adopting an open posture, leaning towards the individual, maintaining eye contact, and remaining relaxed. When these </w:t>
      </w:r>
      <w:r w:rsidR="00777BDB" w:rsidRPr="00777BDB">
        <w:rPr>
          <w:rFonts w:ascii="Arial" w:hAnsi="Arial" w:cs="Arial"/>
          <w:sz w:val="22"/>
          <w:szCs w:val="22"/>
        </w:rPr>
        <w:t>behaviors</w:t>
      </w:r>
      <w:r w:rsidR="00777BDB" w:rsidRPr="00777BDB">
        <w:rPr>
          <w:rFonts w:ascii="Arial" w:hAnsi="Arial" w:cs="Arial"/>
          <w:sz w:val="22"/>
          <w:szCs w:val="22"/>
        </w:rPr>
        <w:t xml:space="preserve"> were applied in interactions with </w:t>
      </w:r>
      <w:r w:rsidR="00777BDB" w:rsidRPr="00777BDB">
        <w:rPr>
          <w:rFonts w:ascii="Arial" w:hAnsi="Arial" w:cs="Arial"/>
          <w:sz w:val="22"/>
          <w:szCs w:val="22"/>
        </w:rPr>
        <w:t>Mrs.</w:t>
      </w:r>
      <w:r w:rsidR="00777BDB" w:rsidRPr="00777BDB">
        <w:rPr>
          <w:rFonts w:ascii="Arial" w:hAnsi="Arial" w:cs="Arial"/>
          <w:sz w:val="22"/>
          <w:szCs w:val="22"/>
        </w:rPr>
        <w:t xml:space="preserve"> Mann, attentiveness, empathy, and respect were conveyed</w:t>
      </w:r>
      <w:r w:rsidR="004A10AA">
        <w:rPr>
          <w:rFonts w:ascii="Arial" w:hAnsi="Arial" w:cs="Arial"/>
          <w:sz w:val="22"/>
          <w:szCs w:val="22"/>
        </w:rPr>
        <w:t>.</w:t>
      </w:r>
    </w:p>
    <w:p w14:paraId="7B7540C4" w14:textId="3483A71F" w:rsidR="00C50163" w:rsidRDefault="00C50163" w:rsidP="00C50163">
      <w:pPr>
        <w:pStyle w:val="Heading1"/>
        <w:rPr>
          <w:rFonts w:ascii="Arial" w:hAnsi="Arial" w:cs="Arial"/>
          <w:color w:val="auto"/>
          <w:sz w:val="28"/>
          <w:szCs w:val="28"/>
        </w:rPr>
      </w:pPr>
      <w:bookmarkStart w:id="3" w:name="_Toc216707817"/>
      <w:r w:rsidRPr="00C50163">
        <w:rPr>
          <w:rFonts w:ascii="Arial" w:hAnsi="Arial" w:cs="Arial"/>
          <w:color w:val="auto"/>
          <w:sz w:val="28"/>
          <w:szCs w:val="28"/>
        </w:rPr>
        <w:t>Importance of Good Administrative Skills</w:t>
      </w:r>
      <w:bookmarkEnd w:id="3"/>
    </w:p>
    <w:p w14:paraId="2FE76EF2" w14:textId="44FEF08C" w:rsidR="00C50163" w:rsidRPr="00577103" w:rsidRDefault="00FF1301" w:rsidP="00907777">
      <w:pPr>
        <w:spacing w:line="360" w:lineRule="auto"/>
        <w:rPr>
          <w:rFonts w:ascii="Arial" w:hAnsi="Arial" w:cs="Arial"/>
          <w:sz w:val="22"/>
          <w:szCs w:val="22"/>
        </w:rPr>
      </w:pPr>
      <w:r w:rsidRPr="00577103">
        <w:rPr>
          <w:rFonts w:ascii="Arial" w:hAnsi="Arial" w:cs="Arial"/>
          <w:sz w:val="22"/>
          <w:szCs w:val="22"/>
        </w:rPr>
        <w:t>Strong administrative abilities are regarded as fundamental to the delivery of safe and effective professional practice, particularly within community</w:t>
      </w:r>
      <w:r w:rsidRPr="00577103">
        <w:rPr>
          <w:rFonts w:ascii="Cambria Math" w:hAnsi="Cambria Math" w:cs="Cambria Math"/>
          <w:sz w:val="22"/>
          <w:szCs w:val="22"/>
        </w:rPr>
        <w:t>‑</w:t>
      </w:r>
      <w:r w:rsidRPr="00577103">
        <w:rPr>
          <w:rFonts w:ascii="Arial" w:hAnsi="Arial" w:cs="Arial"/>
          <w:sz w:val="22"/>
          <w:szCs w:val="22"/>
        </w:rPr>
        <w:t xml:space="preserve">based services where multiple agencies are involved. In </w:t>
      </w:r>
      <w:r w:rsidRPr="00577103">
        <w:rPr>
          <w:rFonts w:ascii="Arial" w:hAnsi="Arial" w:cs="Arial"/>
          <w:sz w:val="22"/>
          <w:szCs w:val="22"/>
        </w:rPr>
        <w:t>Mrs.</w:t>
      </w:r>
      <w:r w:rsidRPr="00577103">
        <w:rPr>
          <w:rFonts w:ascii="Arial" w:hAnsi="Arial" w:cs="Arial"/>
          <w:sz w:val="22"/>
          <w:szCs w:val="22"/>
        </w:rPr>
        <w:t xml:space="preserve"> Mann’s situation, gaps in documentation and failures in communication were observed, which resulted in her medication being altered later than intended, thereby demonstrating the dangers associated with inadequate record management. The maintenance of records is </w:t>
      </w:r>
      <w:r w:rsidRPr="00577103">
        <w:rPr>
          <w:rFonts w:ascii="Arial" w:hAnsi="Arial" w:cs="Arial"/>
          <w:sz w:val="22"/>
          <w:szCs w:val="22"/>
        </w:rPr>
        <w:t>recognized</w:t>
      </w:r>
      <w:r w:rsidRPr="00577103">
        <w:rPr>
          <w:rFonts w:ascii="Arial" w:hAnsi="Arial" w:cs="Arial"/>
          <w:sz w:val="22"/>
          <w:szCs w:val="22"/>
        </w:rPr>
        <w:t xml:space="preserve"> as a professional, legal, and ethical obligation in health and social care. It is required that documentation be precise, transparent, timely, and factual so that current information can be accessed by every practitioner engaged in </w:t>
      </w:r>
      <w:r w:rsidRPr="00577103">
        <w:rPr>
          <w:rFonts w:ascii="Arial" w:hAnsi="Arial" w:cs="Arial"/>
          <w:sz w:val="22"/>
          <w:szCs w:val="22"/>
        </w:rPr>
        <w:t>Mrs.</w:t>
      </w:r>
      <w:r w:rsidRPr="00577103">
        <w:rPr>
          <w:rFonts w:ascii="Arial" w:hAnsi="Arial" w:cs="Arial"/>
          <w:sz w:val="22"/>
          <w:szCs w:val="22"/>
        </w:rPr>
        <w:t xml:space="preserve"> Mann’s care (NMC, 2018). Continuity of care, risk management, accountability, and evidence</w:t>
      </w:r>
      <w:r w:rsidRPr="00577103">
        <w:rPr>
          <w:rFonts w:ascii="Cambria Math" w:hAnsi="Cambria Math" w:cs="Cambria Math"/>
          <w:sz w:val="22"/>
          <w:szCs w:val="22"/>
        </w:rPr>
        <w:t>‑</w:t>
      </w:r>
      <w:r w:rsidRPr="00577103">
        <w:rPr>
          <w:rFonts w:ascii="Arial" w:hAnsi="Arial" w:cs="Arial"/>
          <w:sz w:val="22"/>
          <w:szCs w:val="22"/>
        </w:rPr>
        <w:t>based decisions are supported when records are effectively maintained (NMC, 2018)</w:t>
      </w:r>
      <w:r w:rsidRPr="00577103">
        <w:rPr>
          <w:rFonts w:ascii="Arial" w:hAnsi="Arial" w:cs="Arial"/>
          <w:sz w:val="22"/>
          <w:szCs w:val="22"/>
        </w:rPr>
        <w:t xml:space="preserve">. </w:t>
      </w:r>
    </w:p>
    <w:p w14:paraId="0A7CAAB8" w14:textId="23237566" w:rsidR="00907777" w:rsidRDefault="00907777" w:rsidP="00907777">
      <w:pPr>
        <w:spacing w:line="360" w:lineRule="auto"/>
        <w:rPr>
          <w:rFonts w:ascii="Arial" w:hAnsi="Arial" w:cs="Arial"/>
          <w:sz w:val="22"/>
          <w:szCs w:val="22"/>
        </w:rPr>
      </w:pPr>
      <w:r w:rsidRPr="00577103">
        <w:rPr>
          <w:rFonts w:ascii="Arial" w:hAnsi="Arial" w:cs="Arial"/>
          <w:sz w:val="22"/>
          <w:szCs w:val="22"/>
        </w:rPr>
        <w:t xml:space="preserve">The Data Protection Act 2018, incorporating the UK General Data Protection Regulation, was established to govern the management of personal information, requiring that it be processed lawfully, fairly, and transparently, collected for defined purposes, maintained accurately and </w:t>
      </w:r>
      <w:r w:rsidRPr="00577103">
        <w:rPr>
          <w:rFonts w:ascii="Arial" w:hAnsi="Arial" w:cs="Arial"/>
          <w:sz w:val="22"/>
          <w:szCs w:val="22"/>
        </w:rPr>
        <w:lastRenderedPageBreak/>
        <w:t xml:space="preserve">securely stored (Data Protection Act 2018). In </w:t>
      </w:r>
      <w:r w:rsidRPr="00577103">
        <w:rPr>
          <w:rFonts w:ascii="Arial" w:hAnsi="Arial" w:cs="Arial"/>
          <w:sz w:val="22"/>
          <w:szCs w:val="22"/>
        </w:rPr>
        <w:t>Mrs.</w:t>
      </w:r>
      <w:r w:rsidRPr="00577103">
        <w:rPr>
          <w:rFonts w:ascii="Arial" w:hAnsi="Arial" w:cs="Arial"/>
          <w:sz w:val="22"/>
          <w:szCs w:val="22"/>
        </w:rPr>
        <w:t xml:space="preserve"> Mann’s case, her records were required to be accessed only by </w:t>
      </w:r>
      <w:r w:rsidRPr="00577103">
        <w:rPr>
          <w:rFonts w:ascii="Arial" w:hAnsi="Arial" w:cs="Arial"/>
          <w:sz w:val="22"/>
          <w:szCs w:val="22"/>
        </w:rPr>
        <w:t>authorized</w:t>
      </w:r>
      <w:r w:rsidRPr="00577103">
        <w:rPr>
          <w:rFonts w:ascii="Arial" w:hAnsi="Arial" w:cs="Arial"/>
          <w:sz w:val="22"/>
          <w:szCs w:val="22"/>
        </w:rPr>
        <w:t xml:space="preserve"> staff and appropriately shared between the domiciliary care agency, GP, and physiotherapist. Confidentiality was regarded as particularly important due to her reliance on her daughter for interpretation, meaning that consent was expected to be obtained before information was shared and only relevant details were to be disclosed, since breaches of data protection law could result in legal consequences and diminished trust from service users. Governance frameworks such as the Care Quality Commission Fundamental Standards were </w:t>
      </w:r>
      <w:r w:rsidRPr="00577103">
        <w:rPr>
          <w:rFonts w:ascii="Arial" w:hAnsi="Arial" w:cs="Arial"/>
          <w:sz w:val="22"/>
          <w:szCs w:val="22"/>
        </w:rPr>
        <w:t>emphasized</w:t>
      </w:r>
      <w:r w:rsidRPr="00577103">
        <w:rPr>
          <w:rFonts w:ascii="Arial" w:hAnsi="Arial" w:cs="Arial"/>
          <w:sz w:val="22"/>
          <w:szCs w:val="22"/>
        </w:rPr>
        <w:t xml:space="preserve"> as highlighting the importance of effective record keeping and information exchange (CQC, 2023), with </w:t>
      </w:r>
      <w:r w:rsidRPr="00577103">
        <w:rPr>
          <w:rFonts w:ascii="Arial" w:hAnsi="Arial" w:cs="Arial"/>
          <w:sz w:val="22"/>
          <w:szCs w:val="22"/>
        </w:rPr>
        <w:t>standardized</w:t>
      </w:r>
      <w:r w:rsidRPr="00577103">
        <w:rPr>
          <w:rFonts w:ascii="Arial" w:hAnsi="Arial" w:cs="Arial"/>
          <w:sz w:val="22"/>
          <w:szCs w:val="22"/>
        </w:rPr>
        <w:t xml:space="preserve"> documentation, clear care plans, and routine audits being implemented to prevent mistakes such as those identified in </w:t>
      </w:r>
      <w:r w:rsidRPr="00577103">
        <w:rPr>
          <w:rFonts w:ascii="Arial" w:hAnsi="Arial" w:cs="Arial"/>
          <w:sz w:val="22"/>
          <w:szCs w:val="22"/>
        </w:rPr>
        <w:t>Mrs.</w:t>
      </w:r>
      <w:r w:rsidRPr="00577103">
        <w:rPr>
          <w:rFonts w:ascii="Arial" w:hAnsi="Arial" w:cs="Arial"/>
          <w:sz w:val="22"/>
          <w:szCs w:val="22"/>
        </w:rPr>
        <w:t xml:space="preserve"> Mann’s case. Good administrative practice was understood to include prompt updates to medication records, documentation of changes in mobility or pain, and recording of physiotherapy progress, while electronic care records, when correctly used, were shown to enhance accuracy and accessibility, reducing duplication and miscommunication</w:t>
      </w:r>
      <w:r w:rsidRPr="00577103">
        <w:rPr>
          <w:rFonts w:ascii="Arial" w:hAnsi="Arial" w:cs="Arial"/>
          <w:sz w:val="22"/>
          <w:szCs w:val="22"/>
        </w:rPr>
        <w:t xml:space="preserve"> </w:t>
      </w:r>
      <w:r w:rsidRPr="00577103">
        <w:rPr>
          <w:rFonts w:ascii="Arial" w:hAnsi="Arial" w:cs="Arial"/>
          <w:sz w:val="22"/>
          <w:szCs w:val="22"/>
        </w:rPr>
        <w:t>(WHO, 2025</w:t>
      </w:r>
      <w:r w:rsidRPr="00577103">
        <w:rPr>
          <w:rFonts w:ascii="Arial" w:hAnsi="Arial" w:cs="Arial"/>
          <w:sz w:val="22"/>
          <w:szCs w:val="22"/>
        </w:rPr>
        <w:t>)</w:t>
      </w:r>
      <w:r w:rsidRPr="00577103">
        <w:rPr>
          <w:rFonts w:ascii="Arial" w:hAnsi="Arial" w:cs="Arial"/>
          <w:sz w:val="22"/>
          <w:szCs w:val="22"/>
        </w:rPr>
        <w:t xml:space="preserve">. </w:t>
      </w:r>
      <w:r w:rsidR="00577103" w:rsidRPr="00577103">
        <w:rPr>
          <w:rFonts w:ascii="Arial" w:hAnsi="Arial" w:cs="Arial"/>
          <w:sz w:val="22"/>
          <w:szCs w:val="22"/>
        </w:rPr>
        <w:t>The principles were established to safeguard and advance the interests of patients, service users, and the wider public within health and social care research. Ethical practice and proportionate, assurance</w:t>
      </w:r>
      <w:r w:rsidR="00577103" w:rsidRPr="00577103">
        <w:rPr>
          <w:rFonts w:ascii="Cambria Math" w:hAnsi="Cambria Math" w:cs="Cambria Math"/>
          <w:sz w:val="22"/>
          <w:szCs w:val="22"/>
        </w:rPr>
        <w:t>‑</w:t>
      </w:r>
      <w:r w:rsidR="00577103" w:rsidRPr="00577103">
        <w:rPr>
          <w:rFonts w:ascii="Arial" w:hAnsi="Arial" w:cs="Arial"/>
          <w:sz w:val="22"/>
          <w:szCs w:val="22"/>
        </w:rPr>
        <w:t>based oversight were described so that high</w:t>
      </w:r>
      <w:r w:rsidR="00577103" w:rsidRPr="00577103">
        <w:rPr>
          <w:rFonts w:ascii="Cambria Math" w:hAnsi="Cambria Math" w:cs="Cambria Math"/>
          <w:sz w:val="22"/>
          <w:szCs w:val="22"/>
        </w:rPr>
        <w:t>‑</w:t>
      </w:r>
      <w:r w:rsidR="00577103" w:rsidRPr="00577103">
        <w:rPr>
          <w:rFonts w:ascii="Arial" w:hAnsi="Arial" w:cs="Arial"/>
          <w:sz w:val="22"/>
          <w:szCs w:val="22"/>
        </w:rPr>
        <w:t xml:space="preserve">quality studies across the UK could be supported and trusted by those involved. Responsibility for applying these principles was placed upon both </w:t>
      </w:r>
      <w:r w:rsidR="00577103" w:rsidRPr="00577103">
        <w:rPr>
          <w:rFonts w:ascii="Arial" w:hAnsi="Arial" w:cs="Arial"/>
          <w:sz w:val="22"/>
          <w:szCs w:val="22"/>
        </w:rPr>
        <w:t>organizations</w:t>
      </w:r>
      <w:r w:rsidR="00577103" w:rsidRPr="00577103">
        <w:rPr>
          <w:rFonts w:ascii="Arial" w:hAnsi="Arial" w:cs="Arial"/>
          <w:sz w:val="22"/>
          <w:szCs w:val="22"/>
        </w:rPr>
        <w:t xml:space="preserve"> and individuals engaged in research, including funders, sponsors, researchers and their employers, as well as research sites and car</w:t>
      </w:r>
      <w:r w:rsidR="00577103">
        <w:rPr>
          <w:rFonts w:ascii="Arial" w:hAnsi="Arial" w:cs="Arial"/>
          <w:sz w:val="22"/>
          <w:szCs w:val="22"/>
        </w:rPr>
        <w:t>e (HRA,2025).</w:t>
      </w:r>
    </w:p>
    <w:p w14:paraId="2EEDCDE9" w14:textId="4BB47A4C" w:rsidR="00577103" w:rsidRDefault="00577103" w:rsidP="00577103">
      <w:pPr>
        <w:pStyle w:val="Heading1"/>
        <w:rPr>
          <w:rFonts w:ascii="Arial" w:hAnsi="Arial" w:cs="Arial"/>
          <w:color w:val="auto"/>
          <w:sz w:val="28"/>
          <w:szCs w:val="28"/>
        </w:rPr>
      </w:pPr>
      <w:bookmarkStart w:id="4" w:name="_Toc216707818"/>
      <w:r w:rsidRPr="00577103">
        <w:rPr>
          <w:rFonts w:ascii="Arial" w:hAnsi="Arial" w:cs="Arial"/>
          <w:color w:val="auto"/>
          <w:sz w:val="28"/>
          <w:szCs w:val="28"/>
        </w:rPr>
        <w:t>Importance of Collaborative Working</w:t>
      </w:r>
      <w:bookmarkEnd w:id="4"/>
    </w:p>
    <w:p w14:paraId="2BF439BB" w14:textId="53578D6E" w:rsidR="004A10AA" w:rsidRPr="004A10AA" w:rsidRDefault="00FE1105" w:rsidP="004A10AA">
      <w:pPr>
        <w:spacing w:line="360" w:lineRule="auto"/>
        <w:rPr>
          <w:rFonts w:ascii="Arial" w:hAnsi="Arial" w:cs="Arial"/>
          <w:sz w:val="22"/>
          <w:szCs w:val="22"/>
        </w:rPr>
      </w:pPr>
      <w:r w:rsidRPr="00FE1105">
        <w:rPr>
          <w:rFonts w:ascii="Arial" w:hAnsi="Arial" w:cs="Arial"/>
          <w:sz w:val="22"/>
          <w:szCs w:val="22"/>
        </w:rPr>
        <w:t xml:space="preserve">Collaborative practice is widely </w:t>
      </w:r>
      <w:r w:rsidRPr="00FE1105">
        <w:rPr>
          <w:rFonts w:ascii="Arial" w:hAnsi="Arial" w:cs="Arial"/>
          <w:sz w:val="22"/>
          <w:szCs w:val="22"/>
        </w:rPr>
        <w:t>recognized</w:t>
      </w:r>
      <w:r w:rsidRPr="00FE1105">
        <w:rPr>
          <w:rFonts w:ascii="Arial" w:hAnsi="Arial" w:cs="Arial"/>
          <w:sz w:val="22"/>
          <w:szCs w:val="22"/>
        </w:rPr>
        <w:t xml:space="preserve"> as essential when supporting individuals with complex health and social care needs, such as </w:t>
      </w:r>
      <w:r w:rsidRPr="00FE1105">
        <w:rPr>
          <w:rFonts w:ascii="Arial" w:hAnsi="Arial" w:cs="Arial"/>
          <w:sz w:val="22"/>
          <w:szCs w:val="22"/>
        </w:rPr>
        <w:t>Mrs.</w:t>
      </w:r>
      <w:r w:rsidRPr="00FE1105">
        <w:rPr>
          <w:rFonts w:ascii="Arial" w:hAnsi="Arial" w:cs="Arial"/>
          <w:sz w:val="22"/>
          <w:szCs w:val="22"/>
        </w:rPr>
        <w:t xml:space="preserve"> Mann. Her care requires contributions from domiciliary carers, her GP, and a community physiotherapist, each of whom plays a role in promoting recovery and wellbeing. Effective collaboration is underpinned by clear communication, shared objectives, mutual respect, and defined responsibilities (WHO, 2010; NICE, 2018). Consistent information exchange ensures that changes in </w:t>
      </w:r>
      <w:r w:rsidRPr="00FE1105">
        <w:rPr>
          <w:rFonts w:ascii="Arial" w:hAnsi="Arial" w:cs="Arial"/>
          <w:sz w:val="22"/>
          <w:szCs w:val="22"/>
        </w:rPr>
        <w:t>Mrs.</w:t>
      </w:r>
      <w:r w:rsidRPr="00FE1105">
        <w:rPr>
          <w:rFonts w:ascii="Arial" w:hAnsi="Arial" w:cs="Arial"/>
          <w:sz w:val="22"/>
          <w:szCs w:val="22"/>
        </w:rPr>
        <w:t xml:space="preserve"> Mann’s health, medication, or mobility are addressed promptly, while multidisciplinary reviews and joint planning help coordinate interventions and reduce duplication or omissions in care (Care Learning, 2025). Approaches such as shared care plans, case conferences, and integrated digital records have been shown to strengthen coordination and improve outcomes (CQC, 2022). Person</w:t>
      </w:r>
      <w:r>
        <w:rPr>
          <w:rFonts w:ascii="Cambria Math" w:hAnsi="Cambria Math" w:cs="Cambria Math"/>
          <w:sz w:val="22"/>
          <w:szCs w:val="22"/>
        </w:rPr>
        <w:t xml:space="preserve"> </w:t>
      </w:r>
      <w:r w:rsidRPr="00FE1105">
        <w:rPr>
          <w:rFonts w:ascii="Arial" w:hAnsi="Arial" w:cs="Arial"/>
          <w:sz w:val="22"/>
          <w:szCs w:val="22"/>
        </w:rPr>
        <w:t>centered</w:t>
      </w:r>
      <w:r w:rsidRPr="00FE1105">
        <w:rPr>
          <w:rFonts w:ascii="Arial" w:hAnsi="Arial" w:cs="Arial"/>
          <w:sz w:val="22"/>
          <w:szCs w:val="22"/>
        </w:rPr>
        <w:t xml:space="preserve"> care must remain central, ensuring that </w:t>
      </w:r>
      <w:r w:rsidRPr="00FE1105">
        <w:rPr>
          <w:rFonts w:ascii="Arial" w:hAnsi="Arial" w:cs="Arial"/>
          <w:sz w:val="22"/>
          <w:szCs w:val="22"/>
        </w:rPr>
        <w:t>Mrs.</w:t>
      </w:r>
      <w:r w:rsidRPr="00FE1105">
        <w:rPr>
          <w:rFonts w:ascii="Arial" w:hAnsi="Arial" w:cs="Arial"/>
          <w:sz w:val="22"/>
          <w:szCs w:val="22"/>
        </w:rPr>
        <w:t xml:space="preserve"> Mann’s preferences, cultural background, and rehabilitation goals are incorporated into all professional decisions </w:t>
      </w:r>
      <w:r w:rsidRPr="00FE1105">
        <w:rPr>
          <w:rFonts w:ascii="Arial" w:hAnsi="Arial" w:cs="Arial"/>
          <w:sz w:val="22"/>
          <w:szCs w:val="22"/>
        </w:rPr>
        <w:lastRenderedPageBreak/>
        <w:t>(NICE, 2018).</w:t>
      </w:r>
      <w:r w:rsidRPr="00FE1105">
        <w:t xml:space="preserve"> </w:t>
      </w:r>
      <w:r w:rsidRPr="00FE1105">
        <w:rPr>
          <w:rFonts w:ascii="Arial" w:hAnsi="Arial" w:cs="Arial"/>
          <w:sz w:val="22"/>
          <w:szCs w:val="22"/>
        </w:rPr>
        <w:t xml:space="preserve">Operational efficiency was achieved when teamwork was demonstrated effectively, as administrative processes and resource distribution were managed more successfully, delays were </w:t>
      </w:r>
      <w:r w:rsidRPr="00FE1105">
        <w:rPr>
          <w:rFonts w:ascii="Arial" w:hAnsi="Arial" w:cs="Arial"/>
          <w:sz w:val="22"/>
          <w:szCs w:val="22"/>
        </w:rPr>
        <w:t>minimized</w:t>
      </w:r>
      <w:r w:rsidRPr="00FE1105">
        <w:rPr>
          <w:rFonts w:ascii="Arial" w:hAnsi="Arial" w:cs="Arial"/>
          <w:sz w:val="22"/>
          <w:szCs w:val="22"/>
        </w:rPr>
        <w:t xml:space="preserve">, and patient care was delivered more smoothly. By applying these strategies, a collaborative culture was created within healthcare </w:t>
      </w:r>
      <w:r w:rsidRPr="00FE1105">
        <w:rPr>
          <w:rFonts w:ascii="Arial" w:hAnsi="Arial" w:cs="Arial"/>
          <w:sz w:val="22"/>
          <w:szCs w:val="22"/>
        </w:rPr>
        <w:t>organizations</w:t>
      </w:r>
      <w:r w:rsidRPr="00FE1105">
        <w:rPr>
          <w:rFonts w:ascii="Arial" w:hAnsi="Arial" w:cs="Arial"/>
          <w:sz w:val="22"/>
          <w:szCs w:val="22"/>
        </w:rPr>
        <w:t>, through which both service quality and overall efficiency in patient care were strengthened</w:t>
      </w:r>
      <w:r w:rsidR="00370A34">
        <w:rPr>
          <w:rFonts w:ascii="Arial" w:hAnsi="Arial" w:cs="Arial"/>
          <w:sz w:val="22"/>
          <w:szCs w:val="22"/>
        </w:rPr>
        <w:t xml:space="preserve"> (KanBo,2025).</w:t>
      </w:r>
    </w:p>
    <w:p w14:paraId="505A23F2" w14:textId="77777777" w:rsidR="00577103" w:rsidRDefault="00907777" w:rsidP="00577103">
      <w:pPr>
        <w:pStyle w:val="Heading1"/>
        <w:rPr>
          <w:rFonts w:ascii="Arial" w:hAnsi="Arial" w:cs="Arial"/>
          <w:color w:val="auto"/>
          <w:sz w:val="28"/>
          <w:szCs w:val="28"/>
        </w:rPr>
      </w:pPr>
      <w:bookmarkStart w:id="5" w:name="_Toc216707819"/>
      <w:r w:rsidRPr="00907777">
        <w:rPr>
          <w:rFonts w:ascii="Arial" w:hAnsi="Arial" w:cs="Arial"/>
          <w:color w:val="auto"/>
          <w:sz w:val="28"/>
          <w:szCs w:val="28"/>
        </w:rPr>
        <w:t>Conclusion</w:t>
      </w:r>
      <w:bookmarkEnd w:id="5"/>
    </w:p>
    <w:p w14:paraId="6D2DE071" w14:textId="77777777" w:rsidR="004A10AA" w:rsidRDefault="00370A34" w:rsidP="004A10AA">
      <w:pPr>
        <w:spacing w:line="360" w:lineRule="auto"/>
        <w:rPr>
          <w:rFonts w:ascii="Arial" w:hAnsi="Arial" w:cs="Arial"/>
          <w:sz w:val="22"/>
          <w:szCs w:val="22"/>
        </w:rPr>
      </w:pPr>
      <w:r w:rsidRPr="00370A34">
        <w:rPr>
          <w:rFonts w:ascii="Arial" w:hAnsi="Arial" w:cs="Arial"/>
          <w:sz w:val="22"/>
          <w:szCs w:val="22"/>
        </w:rPr>
        <w:t>S</w:t>
      </w:r>
      <w:r w:rsidR="00577103" w:rsidRPr="00370A34">
        <w:rPr>
          <w:rFonts w:ascii="Arial" w:hAnsi="Arial" w:cs="Arial"/>
          <w:sz w:val="22"/>
          <w:szCs w:val="22"/>
        </w:rPr>
        <w:t>trong administrative skills were recognized as underpinning safe, lawful, and coordinated care, and in Mrs. Mann’s situation, improvements in record keeping and adherence to data protection principles were expected to reduce the likelihood of further errors.</w:t>
      </w:r>
      <w:r w:rsidRPr="00370A34">
        <w:rPr>
          <w:rFonts w:ascii="Arial" w:hAnsi="Arial" w:cs="Arial"/>
          <w:sz w:val="22"/>
          <w:szCs w:val="22"/>
        </w:rPr>
        <w:t xml:space="preserve"> Effective</w:t>
      </w:r>
      <w:r w:rsidRPr="00370A34">
        <w:rPr>
          <w:rFonts w:ascii="Arial" w:hAnsi="Arial" w:cs="Arial"/>
          <w:sz w:val="22"/>
          <w:szCs w:val="22"/>
        </w:rPr>
        <w:t xml:space="preserve"> communication promotes equality, enhances safety, supports shared decision-making, and improves outcomes for </w:t>
      </w:r>
      <w:r w:rsidRPr="00370A34">
        <w:rPr>
          <w:rFonts w:ascii="Arial" w:hAnsi="Arial" w:cs="Arial"/>
          <w:sz w:val="22"/>
          <w:szCs w:val="22"/>
        </w:rPr>
        <w:t>Mrs.</w:t>
      </w:r>
      <w:r w:rsidRPr="00370A34">
        <w:rPr>
          <w:rFonts w:ascii="Arial" w:hAnsi="Arial" w:cs="Arial"/>
          <w:sz w:val="22"/>
          <w:szCs w:val="22"/>
        </w:rPr>
        <w:t xml:space="preserve"> Mann by ensuring her needs are fully understood and addressed</w:t>
      </w:r>
      <w:r w:rsidRPr="00370A34">
        <w:rPr>
          <w:rFonts w:ascii="Arial" w:hAnsi="Arial" w:cs="Arial"/>
          <w:sz w:val="22"/>
          <w:szCs w:val="22"/>
        </w:rPr>
        <w:t xml:space="preserve"> (NHS,2021). </w:t>
      </w:r>
      <w:r w:rsidRPr="00370A34">
        <w:rPr>
          <w:rFonts w:ascii="Arial" w:hAnsi="Arial" w:cs="Arial"/>
          <w:sz w:val="22"/>
          <w:szCs w:val="22"/>
        </w:rPr>
        <w:t xml:space="preserve">The principles of the Equality Act 2010 were applied so that </w:t>
      </w:r>
      <w:r w:rsidRPr="00370A34">
        <w:rPr>
          <w:rFonts w:ascii="Arial" w:hAnsi="Arial" w:cs="Arial"/>
          <w:sz w:val="22"/>
          <w:szCs w:val="22"/>
        </w:rPr>
        <w:t>Mrs.</w:t>
      </w:r>
      <w:r w:rsidRPr="00370A34">
        <w:rPr>
          <w:rFonts w:ascii="Arial" w:hAnsi="Arial" w:cs="Arial"/>
          <w:sz w:val="22"/>
          <w:szCs w:val="22"/>
        </w:rPr>
        <w:t xml:space="preserve"> Mann’s communication needs were addressed fairly, while communication frameworks were </w:t>
      </w:r>
      <w:r w:rsidRPr="00370A34">
        <w:rPr>
          <w:rFonts w:ascii="Arial" w:hAnsi="Arial" w:cs="Arial"/>
          <w:sz w:val="22"/>
          <w:szCs w:val="22"/>
        </w:rPr>
        <w:t>utilized</w:t>
      </w:r>
      <w:r w:rsidRPr="00370A34">
        <w:rPr>
          <w:rFonts w:ascii="Arial" w:hAnsi="Arial" w:cs="Arial"/>
          <w:sz w:val="22"/>
          <w:szCs w:val="22"/>
        </w:rPr>
        <w:t xml:space="preserve"> to support meaningful engagement (CQC, 2019). Accurate record keeping was required, and compliance with the Data Protection Act 2018 was </w:t>
      </w:r>
      <w:r w:rsidRPr="00370A34">
        <w:rPr>
          <w:rFonts w:ascii="Arial" w:hAnsi="Arial" w:cs="Arial"/>
          <w:sz w:val="22"/>
          <w:szCs w:val="22"/>
        </w:rPr>
        <w:t>emphasized</w:t>
      </w:r>
      <w:r w:rsidRPr="00370A34">
        <w:rPr>
          <w:rFonts w:ascii="Arial" w:hAnsi="Arial" w:cs="Arial"/>
          <w:sz w:val="22"/>
          <w:szCs w:val="22"/>
        </w:rPr>
        <w:t xml:space="preserve"> to ensure that information was safeguarded and errors were prevented (Care Learning, 2025). Collaboration between professionals was highlighted as a means through which continuity, safety, and person</w:t>
      </w:r>
      <w:r w:rsidRPr="00370A34">
        <w:rPr>
          <w:rFonts w:ascii="Cambria Math" w:hAnsi="Cambria Math" w:cs="Cambria Math"/>
          <w:sz w:val="22"/>
          <w:szCs w:val="22"/>
        </w:rPr>
        <w:t>‑</w:t>
      </w:r>
      <w:r w:rsidRPr="00370A34">
        <w:rPr>
          <w:rFonts w:ascii="Arial" w:hAnsi="Arial" w:cs="Arial"/>
          <w:sz w:val="22"/>
          <w:szCs w:val="22"/>
        </w:rPr>
        <w:t>centered</w:t>
      </w:r>
      <w:r w:rsidRPr="00370A34">
        <w:rPr>
          <w:rFonts w:ascii="Arial" w:hAnsi="Arial" w:cs="Arial"/>
          <w:sz w:val="22"/>
          <w:szCs w:val="22"/>
        </w:rPr>
        <w:t xml:space="preserve"> care were enhanced (NHS England, 2023). Identified challenges were addressed through improved communication systems</w:t>
      </w:r>
      <w:r w:rsidRPr="00370A34">
        <w:rPr>
          <w:rFonts w:ascii="Arial" w:hAnsi="Arial" w:cs="Arial"/>
          <w:sz w:val="22"/>
          <w:szCs w:val="22"/>
        </w:rPr>
        <w:t>,</w:t>
      </w:r>
      <w:r w:rsidRPr="00370A34">
        <w:rPr>
          <w:rFonts w:ascii="Arial" w:hAnsi="Arial" w:cs="Arial"/>
          <w:sz w:val="22"/>
          <w:szCs w:val="22"/>
        </w:rPr>
        <w:t xml:space="preserve"> </w:t>
      </w:r>
      <w:r w:rsidRPr="00370A34">
        <w:rPr>
          <w:rFonts w:ascii="Arial" w:hAnsi="Arial" w:cs="Arial"/>
          <w:sz w:val="22"/>
          <w:szCs w:val="22"/>
        </w:rPr>
        <w:t>through</w:t>
      </w:r>
      <w:r w:rsidRPr="00370A34">
        <w:rPr>
          <w:rFonts w:ascii="Arial" w:hAnsi="Arial" w:cs="Arial"/>
          <w:sz w:val="22"/>
          <w:szCs w:val="22"/>
        </w:rPr>
        <w:t xml:space="preserve"> which outcomes for </w:t>
      </w:r>
      <w:r w:rsidRPr="00370A34">
        <w:rPr>
          <w:rFonts w:ascii="Arial" w:hAnsi="Arial" w:cs="Arial"/>
          <w:sz w:val="22"/>
          <w:szCs w:val="22"/>
        </w:rPr>
        <w:t>Mrs.</w:t>
      </w:r>
      <w:r w:rsidRPr="00370A34">
        <w:rPr>
          <w:rFonts w:ascii="Arial" w:hAnsi="Arial" w:cs="Arial"/>
          <w:sz w:val="22"/>
          <w:szCs w:val="22"/>
        </w:rPr>
        <w:t xml:space="preserve"> Mann were significantly improved and the risk of future incidents was reduced.</w:t>
      </w:r>
    </w:p>
    <w:p w14:paraId="3C8A8E19" w14:textId="04207B7B" w:rsidR="00CA1F13" w:rsidRPr="004A10AA" w:rsidRDefault="00003CCC" w:rsidP="004A10AA">
      <w:pPr>
        <w:pStyle w:val="Heading1"/>
        <w:rPr>
          <w:rFonts w:ascii="Arial" w:hAnsi="Arial" w:cs="Arial"/>
          <w:color w:val="auto"/>
          <w:sz w:val="28"/>
          <w:szCs w:val="28"/>
        </w:rPr>
      </w:pPr>
      <w:bookmarkStart w:id="6" w:name="_Toc216707820"/>
      <w:r w:rsidRPr="004A10AA">
        <w:rPr>
          <w:rFonts w:ascii="Arial" w:hAnsi="Arial" w:cs="Arial"/>
          <w:color w:val="auto"/>
          <w:sz w:val="28"/>
          <w:szCs w:val="28"/>
        </w:rPr>
        <w:t>Reference</w:t>
      </w:r>
      <w:bookmarkEnd w:id="6"/>
    </w:p>
    <w:p w14:paraId="0E2671A7" w14:textId="424BDB67" w:rsidR="00674C3C" w:rsidRPr="00674C3C" w:rsidRDefault="00674C3C" w:rsidP="00674C3C">
      <w:pPr>
        <w:spacing w:line="360" w:lineRule="auto"/>
        <w:rPr>
          <w:rFonts w:ascii="Arial" w:hAnsi="Arial" w:cs="Arial"/>
          <w:sz w:val="22"/>
          <w:szCs w:val="22"/>
        </w:rPr>
      </w:pPr>
      <w:r w:rsidRPr="00674C3C">
        <w:rPr>
          <w:rFonts w:ascii="Arial" w:hAnsi="Arial" w:cs="Arial"/>
          <w:sz w:val="22"/>
          <w:szCs w:val="22"/>
        </w:rPr>
        <w:t>Care Learning (2024) Person-</w:t>
      </w:r>
      <w:r w:rsidR="002E1AE8" w:rsidRPr="00674C3C">
        <w:rPr>
          <w:rFonts w:ascii="Arial" w:hAnsi="Arial" w:cs="Arial"/>
          <w:sz w:val="22"/>
          <w:szCs w:val="22"/>
        </w:rPr>
        <w:t>Centered</w:t>
      </w:r>
      <w:r w:rsidRPr="00674C3C">
        <w:rPr>
          <w:rFonts w:ascii="Arial" w:hAnsi="Arial" w:cs="Arial"/>
          <w:sz w:val="22"/>
          <w:szCs w:val="22"/>
        </w:rPr>
        <w:t xml:space="preserve"> Care Training Guide. Care Learning. Available at: https://carelearning.org.uk/guides/person-centred-care-training-guide/</w:t>
      </w:r>
      <w:r w:rsidRPr="00674C3C">
        <w:rPr>
          <w:rFonts w:ascii="Arial" w:hAnsi="Arial" w:cs="Arial"/>
          <w:sz w:val="22"/>
          <w:szCs w:val="22"/>
        </w:rPr>
        <w:t>.</w:t>
      </w:r>
    </w:p>
    <w:p w14:paraId="73E2C4E5" w14:textId="0AA8AAD4" w:rsidR="00674C3C" w:rsidRPr="00674C3C" w:rsidRDefault="00674C3C" w:rsidP="00674C3C">
      <w:pPr>
        <w:spacing w:line="360" w:lineRule="auto"/>
        <w:rPr>
          <w:rFonts w:ascii="Arial" w:hAnsi="Arial" w:cs="Arial"/>
          <w:sz w:val="22"/>
          <w:szCs w:val="22"/>
        </w:rPr>
      </w:pPr>
      <w:r w:rsidRPr="00674C3C">
        <w:rPr>
          <w:rFonts w:ascii="Arial" w:hAnsi="Arial" w:cs="Arial"/>
          <w:sz w:val="22"/>
          <w:szCs w:val="22"/>
        </w:rPr>
        <w:t>Care Learning (2025) Care Learning – Free Courses &amp; Guides. Care Learning. Available at: https://carelearning.org.uk.</w:t>
      </w:r>
    </w:p>
    <w:p w14:paraId="5DA86BFE" w14:textId="03AE2CA2" w:rsidR="00674C3C" w:rsidRPr="00674C3C" w:rsidRDefault="00674C3C" w:rsidP="00674C3C">
      <w:pPr>
        <w:spacing w:line="360" w:lineRule="auto"/>
        <w:rPr>
          <w:rFonts w:ascii="Arial" w:hAnsi="Arial" w:cs="Arial"/>
          <w:sz w:val="22"/>
          <w:szCs w:val="22"/>
        </w:rPr>
      </w:pPr>
      <w:r w:rsidRPr="00674C3C">
        <w:rPr>
          <w:rFonts w:ascii="Arial" w:hAnsi="Arial" w:cs="Arial"/>
          <w:sz w:val="22"/>
          <w:szCs w:val="22"/>
        </w:rPr>
        <w:t>Equality and Human Rights Commission (2013) Equality Act 2010: guidance. Government Equalities Office and Equality and Human Rights Commission. Available at: https://www.gov.uk/guidance/equality-act-2010-guidance.</w:t>
      </w:r>
    </w:p>
    <w:p w14:paraId="2143D135" w14:textId="206D031C" w:rsidR="00674C3C" w:rsidRDefault="00674C3C" w:rsidP="00674C3C">
      <w:pPr>
        <w:spacing w:line="360" w:lineRule="auto"/>
        <w:rPr>
          <w:rFonts w:ascii="Arial" w:hAnsi="Arial" w:cs="Arial"/>
          <w:sz w:val="22"/>
          <w:szCs w:val="22"/>
        </w:rPr>
      </w:pPr>
      <w:r w:rsidRPr="00674C3C">
        <w:rPr>
          <w:rFonts w:ascii="Arial" w:hAnsi="Arial" w:cs="Arial"/>
          <w:sz w:val="22"/>
          <w:szCs w:val="22"/>
        </w:rPr>
        <w:lastRenderedPageBreak/>
        <w:t xml:space="preserve">NHS England (2025) Information governance and data protection. NHS England. Available at: </w:t>
      </w:r>
      <w:hyperlink r:id="rId5" w:history="1">
        <w:r w:rsidR="001636E2" w:rsidRPr="00D87C95">
          <w:rPr>
            <w:rStyle w:val="Hyperlink"/>
            <w:rFonts w:ascii="Arial" w:hAnsi="Arial" w:cs="Arial"/>
            <w:sz w:val="22"/>
            <w:szCs w:val="22"/>
          </w:rPr>
          <w:t>https://www.england.nhs.uk/long-read/information-governance-and-data-protection/</w:t>
        </w:r>
      </w:hyperlink>
      <w:r w:rsidRPr="00674C3C">
        <w:rPr>
          <w:rFonts w:ascii="Arial" w:hAnsi="Arial" w:cs="Arial"/>
          <w:sz w:val="22"/>
          <w:szCs w:val="22"/>
        </w:rPr>
        <w:t>.</w:t>
      </w:r>
    </w:p>
    <w:p w14:paraId="769E4D17" w14:textId="01C61EA2" w:rsidR="001636E2" w:rsidRDefault="001636E2" w:rsidP="001636E2">
      <w:pPr>
        <w:spacing w:line="360" w:lineRule="auto"/>
        <w:rPr>
          <w:rFonts w:ascii="Arial" w:hAnsi="Arial" w:cs="Arial"/>
          <w:sz w:val="22"/>
          <w:szCs w:val="22"/>
        </w:rPr>
      </w:pPr>
      <w:r w:rsidRPr="001636E2">
        <w:rPr>
          <w:rFonts w:ascii="Arial" w:hAnsi="Arial" w:cs="Arial"/>
          <w:sz w:val="22"/>
          <w:szCs w:val="22"/>
        </w:rPr>
        <w:t>Department of Health (2010) Essence of Care 2010: Benchmarks for Communication. London: The Stationery Office. Available at: https://www.gov.uk/government/publications/essence-of-care-2010</w:t>
      </w:r>
      <w:r>
        <w:rPr>
          <w:rFonts w:ascii="Arial" w:hAnsi="Arial" w:cs="Arial"/>
          <w:sz w:val="22"/>
          <w:szCs w:val="22"/>
        </w:rPr>
        <w:t>.</w:t>
      </w:r>
    </w:p>
    <w:p w14:paraId="668F8A32" w14:textId="00B271D2" w:rsidR="004A10AA" w:rsidRDefault="001636E2" w:rsidP="001636E2">
      <w:pPr>
        <w:spacing w:line="360" w:lineRule="auto"/>
        <w:rPr>
          <w:rFonts w:ascii="Arial" w:hAnsi="Arial" w:cs="Arial"/>
          <w:sz w:val="22"/>
          <w:szCs w:val="22"/>
        </w:rPr>
      </w:pPr>
      <w:r w:rsidRPr="001636E2">
        <w:rPr>
          <w:rFonts w:ascii="Arial" w:hAnsi="Arial" w:cs="Arial"/>
          <w:sz w:val="22"/>
          <w:szCs w:val="22"/>
        </w:rPr>
        <w:t>NICE (2021) Shared decision making: NG197. National Institute for Health and Care Excellence. Available at: https://www.nice.org.uk/guidance/ng197</w:t>
      </w:r>
      <w:r w:rsidR="004A10AA">
        <w:rPr>
          <w:rFonts w:ascii="Arial" w:hAnsi="Arial" w:cs="Arial"/>
          <w:sz w:val="22"/>
          <w:szCs w:val="22"/>
        </w:rPr>
        <w:t>.</w:t>
      </w:r>
    </w:p>
    <w:p w14:paraId="31EC6FEF" w14:textId="77777777" w:rsidR="002E1AE8" w:rsidRDefault="001636E2" w:rsidP="002E1AE8">
      <w:pPr>
        <w:spacing w:line="360" w:lineRule="auto"/>
        <w:rPr>
          <w:rFonts w:ascii="Arial" w:hAnsi="Arial" w:cs="Arial"/>
          <w:sz w:val="22"/>
          <w:szCs w:val="22"/>
        </w:rPr>
      </w:pPr>
      <w:r w:rsidRPr="001636E2">
        <w:rPr>
          <w:rFonts w:ascii="Arial" w:hAnsi="Arial" w:cs="Arial"/>
          <w:sz w:val="22"/>
          <w:szCs w:val="22"/>
        </w:rPr>
        <w:t xml:space="preserve">WHO (2025) Principles for effective communications. World Health </w:t>
      </w:r>
      <w:r w:rsidR="004A10AA" w:rsidRPr="001636E2">
        <w:rPr>
          <w:rFonts w:ascii="Arial" w:hAnsi="Arial" w:cs="Arial"/>
          <w:sz w:val="22"/>
          <w:szCs w:val="22"/>
        </w:rPr>
        <w:t>Organization</w:t>
      </w:r>
      <w:r w:rsidRPr="001636E2">
        <w:rPr>
          <w:rFonts w:ascii="Arial" w:hAnsi="Arial" w:cs="Arial"/>
          <w:sz w:val="22"/>
          <w:szCs w:val="22"/>
        </w:rPr>
        <w:t xml:space="preserve">. Available at: </w:t>
      </w:r>
      <w:hyperlink r:id="rId6" w:history="1">
        <w:r w:rsidR="004A10AA" w:rsidRPr="000B0BEE">
          <w:rPr>
            <w:rStyle w:val="Hyperlink"/>
            <w:rFonts w:ascii="Arial" w:hAnsi="Arial" w:cs="Arial"/>
            <w:sz w:val="22"/>
            <w:szCs w:val="22"/>
          </w:rPr>
          <w:t>https://www.who.int/about/communications/principles</w:t>
        </w:r>
      </w:hyperlink>
      <w:r>
        <w:rPr>
          <w:rFonts w:ascii="Arial" w:hAnsi="Arial" w:cs="Arial"/>
          <w:sz w:val="22"/>
          <w:szCs w:val="22"/>
        </w:rPr>
        <w:t>.</w:t>
      </w:r>
    </w:p>
    <w:p w14:paraId="2F58D1FD" w14:textId="77777777" w:rsidR="002E1AE8" w:rsidRDefault="002E1AE8" w:rsidP="002E1AE8">
      <w:pPr>
        <w:spacing w:line="360" w:lineRule="auto"/>
        <w:rPr>
          <w:rFonts w:ascii="Arial" w:hAnsi="Arial" w:cs="Arial"/>
          <w:sz w:val="22"/>
          <w:szCs w:val="22"/>
        </w:rPr>
      </w:pPr>
      <w:r w:rsidRPr="002E1AE8">
        <w:rPr>
          <w:rFonts w:ascii="Arial" w:hAnsi="Arial" w:cs="Arial"/>
          <w:sz w:val="22"/>
          <w:szCs w:val="22"/>
        </w:rPr>
        <w:t>Care Quality Commission (CQC) (2023) Fundamental standards. London: Care Quality Commission. Available at: https://www.cqc.org.uk/about-us/fundamental</w:t>
      </w:r>
      <w:r>
        <w:rPr>
          <w:rFonts w:ascii="Arial" w:hAnsi="Arial" w:cs="Arial"/>
          <w:sz w:val="22"/>
          <w:szCs w:val="22"/>
        </w:rPr>
        <w:t>.</w:t>
      </w:r>
    </w:p>
    <w:p w14:paraId="35C0151F" w14:textId="77777777" w:rsidR="002E1AE8" w:rsidRDefault="002E1AE8" w:rsidP="002E1AE8">
      <w:pPr>
        <w:spacing w:line="360" w:lineRule="auto"/>
        <w:rPr>
          <w:rFonts w:ascii="Arial" w:hAnsi="Arial" w:cs="Arial"/>
          <w:sz w:val="22"/>
          <w:szCs w:val="22"/>
        </w:rPr>
      </w:pPr>
      <w:r w:rsidRPr="002E1AE8">
        <w:rPr>
          <w:rFonts w:ascii="Arial" w:hAnsi="Arial" w:cs="Arial"/>
          <w:sz w:val="22"/>
          <w:szCs w:val="22"/>
        </w:rPr>
        <w:t>Great Britain (2018) Data Protection Act 2018: Chapter 12. London: The Stationery Office (HMSO). Available at: https://www.legislation.gov.uk/ukpga/2018/12/contents</w:t>
      </w:r>
      <w:r>
        <w:rPr>
          <w:rFonts w:ascii="Arial" w:hAnsi="Arial" w:cs="Arial"/>
          <w:sz w:val="22"/>
          <w:szCs w:val="22"/>
        </w:rPr>
        <w:t>.</w:t>
      </w:r>
    </w:p>
    <w:p w14:paraId="3398D979" w14:textId="14F4A644" w:rsidR="004A10AA" w:rsidRDefault="002E1AE8" w:rsidP="002E1AE8">
      <w:pPr>
        <w:spacing w:line="360" w:lineRule="auto"/>
        <w:rPr>
          <w:rFonts w:ascii="Arial" w:hAnsi="Arial" w:cs="Arial"/>
          <w:sz w:val="22"/>
          <w:szCs w:val="22"/>
        </w:rPr>
      </w:pPr>
      <w:r w:rsidRPr="002E1AE8">
        <w:rPr>
          <w:rFonts w:ascii="Arial" w:hAnsi="Arial" w:cs="Arial"/>
          <w:sz w:val="22"/>
          <w:szCs w:val="22"/>
        </w:rPr>
        <w:t>Great Britain (2010) Equality Act 2010: Chapter 15. London: The Stationery Office (HMSO). Available at: https://www.legislation.gov.uk/ukpga/2010/15/contents</w:t>
      </w:r>
      <w:r>
        <w:rPr>
          <w:rFonts w:ascii="Arial" w:hAnsi="Arial" w:cs="Arial"/>
          <w:sz w:val="22"/>
          <w:szCs w:val="22"/>
        </w:rPr>
        <w:t>.</w:t>
      </w:r>
    </w:p>
    <w:p w14:paraId="70B1EC13" w14:textId="068C1547" w:rsidR="002E1AE8" w:rsidRPr="00674C3C" w:rsidRDefault="002E1AE8" w:rsidP="002E1AE8">
      <w:pPr>
        <w:spacing w:line="360" w:lineRule="auto"/>
        <w:rPr>
          <w:rFonts w:ascii="Arial" w:hAnsi="Arial" w:cs="Arial"/>
          <w:sz w:val="22"/>
          <w:szCs w:val="22"/>
        </w:rPr>
      </w:pPr>
      <w:r w:rsidRPr="002E1AE8">
        <w:rPr>
          <w:rFonts w:ascii="Arial" w:hAnsi="Arial" w:cs="Arial"/>
          <w:sz w:val="22"/>
          <w:szCs w:val="22"/>
        </w:rPr>
        <w:t>World Health Organization (WHO) (2010) Framework for action on interprofessional education and collaborative practice. Geneva: WHO.</w:t>
      </w:r>
    </w:p>
    <w:p w14:paraId="41BDA13D" w14:textId="77777777" w:rsidR="00674C3C" w:rsidRDefault="00674C3C" w:rsidP="00674C3C"/>
    <w:p w14:paraId="3EE5AEAB" w14:textId="77777777" w:rsidR="00003CCC" w:rsidRPr="00003CCC" w:rsidRDefault="00003CCC" w:rsidP="00003CCC"/>
    <w:sectPr w:rsidR="00003CCC" w:rsidRPr="00003CC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F13"/>
    <w:rsid w:val="00003CCC"/>
    <w:rsid w:val="001636E2"/>
    <w:rsid w:val="002E1AE8"/>
    <w:rsid w:val="00370A34"/>
    <w:rsid w:val="004A10AA"/>
    <w:rsid w:val="00577103"/>
    <w:rsid w:val="00674C3C"/>
    <w:rsid w:val="00696346"/>
    <w:rsid w:val="00777BDB"/>
    <w:rsid w:val="00907777"/>
    <w:rsid w:val="00A8131A"/>
    <w:rsid w:val="00BB32A1"/>
    <w:rsid w:val="00C50163"/>
    <w:rsid w:val="00CA1F13"/>
    <w:rsid w:val="00FE1105"/>
    <w:rsid w:val="00FF13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28059"/>
  <w15:chartTrackingRefBased/>
  <w15:docId w15:val="{63D9345D-E583-4A73-9B88-21D1A2495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1F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1F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1F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1F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1F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1F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1F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1F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1F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1F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1F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1F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1F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1F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1F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1F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1F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1F13"/>
    <w:rPr>
      <w:rFonts w:eastAsiaTheme="majorEastAsia" w:cstheme="majorBidi"/>
      <w:color w:val="272727" w:themeColor="text1" w:themeTint="D8"/>
    </w:rPr>
  </w:style>
  <w:style w:type="paragraph" w:styleId="Title">
    <w:name w:val="Title"/>
    <w:basedOn w:val="Normal"/>
    <w:next w:val="Normal"/>
    <w:link w:val="TitleChar"/>
    <w:uiPriority w:val="10"/>
    <w:qFormat/>
    <w:rsid w:val="00CA1F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1F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1F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1F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1F13"/>
    <w:pPr>
      <w:spacing w:before="160"/>
      <w:jc w:val="center"/>
    </w:pPr>
    <w:rPr>
      <w:i/>
      <w:iCs/>
      <w:color w:val="404040" w:themeColor="text1" w:themeTint="BF"/>
    </w:rPr>
  </w:style>
  <w:style w:type="character" w:customStyle="1" w:styleId="QuoteChar">
    <w:name w:val="Quote Char"/>
    <w:basedOn w:val="DefaultParagraphFont"/>
    <w:link w:val="Quote"/>
    <w:uiPriority w:val="29"/>
    <w:rsid w:val="00CA1F13"/>
    <w:rPr>
      <w:i/>
      <w:iCs/>
      <w:color w:val="404040" w:themeColor="text1" w:themeTint="BF"/>
    </w:rPr>
  </w:style>
  <w:style w:type="paragraph" w:styleId="ListParagraph">
    <w:name w:val="List Paragraph"/>
    <w:basedOn w:val="Normal"/>
    <w:uiPriority w:val="34"/>
    <w:qFormat/>
    <w:rsid w:val="00CA1F13"/>
    <w:pPr>
      <w:ind w:left="720"/>
      <w:contextualSpacing/>
    </w:pPr>
  </w:style>
  <w:style w:type="character" w:styleId="IntenseEmphasis">
    <w:name w:val="Intense Emphasis"/>
    <w:basedOn w:val="DefaultParagraphFont"/>
    <w:uiPriority w:val="21"/>
    <w:qFormat/>
    <w:rsid w:val="00CA1F13"/>
    <w:rPr>
      <w:i/>
      <w:iCs/>
      <w:color w:val="0F4761" w:themeColor="accent1" w:themeShade="BF"/>
    </w:rPr>
  </w:style>
  <w:style w:type="paragraph" w:styleId="IntenseQuote">
    <w:name w:val="Intense Quote"/>
    <w:basedOn w:val="Normal"/>
    <w:next w:val="Normal"/>
    <w:link w:val="IntenseQuoteChar"/>
    <w:uiPriority w:val="30"/>
    <w:qFormat/>
    <w:rsid w:val="00CA1F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1F13"/>
    <w:rPr>
      <w:i/>
      <w:iCs/>
      <w:color w:val="0F4761" w:themeColor="accent1" w:themeShade="BF"/>
    </w:rPr>
  </w:style>
  <w:style w:type="character" w:styleId="IntenseReference">
    <w:name w:val="Intense Reference"/>
    <w:basedOn w:val="DefaultParagraphFont"/>
    <w:uiPriority w:val="32"/>
    <w:qFormat/>
    <w:rsid w:val="00CA1F13"/>
    <w:rPr>
      <w:b/>
      <w:bCs/>
      <w:smallCaps/>
      <w:color w:val="0F4761" w:themeColor="accent1" w:themeShade="BF"/>
      <w:spacing w:val="5"/>
    </w:rPr>
  </w:style>
  <w:style w:type="paragraph" w:styleId="TOCHeading">
    <w:name w:val="TOC Heading"/>
    <w:basedOn w:val="Heading1"/>
    <w:next w:val="Normal"/>
    <w:uiPriority w:val="39"/>
    <w:unhideWhenUsed/>
    <w:qFormat/>
    <w:rsid w:val="00CA1F13"/>
    <w:pPr>
      <w:spacing w:before="240" w:after="0" w:line="259" w:lineRule="auto"/>
      <w:outlineLvl w:val="9"/>
    </w:pPr>
    <w:rPr>
      <w:kern w:val="0"/>
      <w:sz w:val="32"/>
      <w:szCs w:val="32"/>
      <w14:ligatures w14:val="none"/>
    </w:rPr>
  </w:style>
  <w:style w:type="character" w:styleId="Hyperlink">
    <w:name w:val="Hyperlink"/>
    <w:basedOn w:val="DefaultParagraphFont"/>
    <w:uiPriority w:val="99"/>
    <w:unhideWhenUsed/>
    <w:rsid w:val="001636E2"/>
    <w:rPr>
      <w:color w:val="467886" w:themeColor="hyperlink"/>
      <w:u w:val="single"/>
    </w:rPr>
  </w:style>
  <w:style w:type="character" w:styleId="UnresolvedMention">
    <w:name w:val="Unresolved Mention"/>
    <w:basedOn w:val="DefaultParagraphFont"/>
    <w:uiPriority w:val="99"/>
    <w:semiHidden/>
    <w:unhideWhenUsed/>
    <w:rsid w:val="001636E2"/>
    <w:rPr>
      <w:color w:val="605E5C"/>
      <w:shd w:val="clear" w:color="auto" w:fill="E1DFDD"/>
    </w:rPr>
  </w:style>
  <w:style w:type="paragraph" w:styleId="TOC1">
    <w:name w:val="toc 1"/>
    <w:basedOn w:val="Normal"/>
    <w:next w:val="Normal"/>
    <w:autoRedefine/>
    <w:uiPriority w:val="39"/>
    <w:unhideWhenUsed/>
    <w:rsid w:val="004A10A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who.int/about/communications/principles" TargetMode="External"/><Relationship Id="rId5" Type="http://schemas.openxmlformats.org/officeDocument/2006/relationships/hyperlink" Target="https://www.england.nhs.uk/long-read/information-governance-and-data-protec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8CAB43-9266-4BDB-B6EC-9A3E7140C7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TotalTime>
  <Pages>7</Pages>
  <Words>1892</Words>
  <Characters>10790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Adil Nasir Khan (2437481)</dc:creator>
  <cp:keywords/>
  <dc:description/>
  <cp:lastModifiedBy>Muhammad Adil Nasir Khan (2437481)</cp:lastModifiedBy>
  <cp:revision>2</cp:revision>
  <dcterms:created xsi:type="dcterms:W3CDTF">2025-12-15T11:55:00Z</dcterms:created>
  <dcterms:modified xsi:type="dcterms:W3CDTF">2025-12-15T16:29:00Z</dcterms:modified>
</cp:coreProperties>
</file>