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570073" w14:textId="77777777" w:rsidR="004A4455" w:rsidRDefault="004A4455" w:rsidP="004A4455">
      <w:pPr>
        <w:spacing w:line="360" w:lineRule="auto"/>
        <w:rPr>
          <w:rFonts w:ascii="Arial" w:hAnsi="Arial" w:cs="Arial"/>
          <w:b/>
          <w:bCs/>
          <w:sz w:val="22"/>
          <w:szCs w:val="22"/>
        </w:rPr>
      </w:pPr>
    </w:p>
    <w:p w14:paraId="17378790" w14:textId="77777777" w:rsidR="00601FC3" w:rsidRPr="00601FC3" w:rsidRDefault="00601FC3" w:rsidP="004A4455">
      <w:pPr>
        <w:spacing w:line="360" w:lineRule="auto"/>
        <w:rPr>
          <w:rFonts w:ascii="Arial" w:hAnsi="Arial" w:cs="Arial"/>
          <w:b/>
          <w:bCs/>
        </w:rPr>
      </w:pPr>
    </w:p>
    <w:p w14:paraId="4007138B" w14:textId="4C37BB89" w:rsidR="004A4455" w:rsidRPr="00601FC3" w:rsidRDefault="004A4455" w:rsidP="004A4455">
      <w:pPr>
        <w:spacing w:line="360" w:lineRule="auto"/>
        <w:rPr>
          <w:rFonts w:ascii="Arial" w:hAnsi="Arial" w:cs="Arial"/>
          <w:b/>
          <w:bCs/>
        </w:rPr>
      </w:pPr>
      <w:r w:rsidRPr="00601FC3">
        <w:rPr>
          <w:noProof/>
          <w:sz w:val="28"/>
          <w:szCs w:val="28"/>
        </w:rPr>
        <w:drawing>
          <wp:inline distT="0" distB="0" distL="0" distR="0" wp14:anchorId="112253D5" wp14:editId="6CF6DCC8">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1C4D0E19" w14:textId="77777777" w:rsidR="004A4455" w:rsidRDefault="004A4455" w:rsidP="004A4455">
      <w:pPr>
        <w:spacing w:line="360" w:lineRule="auto"/>
        <w:rPr>
          <w:rFonts w:ascii="Arial" w:hAnsi="Arial" w:cs="Arial"/>
          <w:b/>
          <w:bCs/>
        </w:rPr>
      </w:pPr>
    </w:p>
    <w:p w14:paraId="6A9A3DC5" w14:textId="77777777" w:rsidR="00601FC3" w:rsidRPr="00601FC3" w:rsidRDefault="00601FC3" w:rsidP="004A4455">
      <w:pPr>
        <w:spacing w:line="360" w:lineRule="auto"/>
        <w:rPr>
          <w:rFonts w:ascii="Arial" w:hAnsi="Arial" w:cs="Arial"/>
          <w:b/>
          <w:bCs/>
        </w:rPr>
      </w:pPr>
    </w:p>
    <w:p w14:paraId="7540CB43" w14:textId="1F8F211F" w:rsidR="004A4455" w:rsidRPr="00601FC3" w:rsidRDefault="004A4455" w:rsidP="00601FC3">
      <w:pPr>
        <w:spacing w:line="240" w:lineRule="auto"/>
        <w:jc w:val="center"/>
        <w:rPr>
          <w:rFonts w:ascii="Georgia" w:hAnsi="Georgia" w:cs="Arial"/>
          <w:b/>
          <w:bCs/>
          <w:sz w:val="36"/>
          <w:szCs w:val="36"/>
        </w:rPr>
      </w:pPr>
      <w:r w:rsidRPr="00601FC3">
        <w:rPr>
          <w:rFonts w:ascii="Georgia" w:hAnsi="Georgia" w:cs="Arial"/>
          <w:b/>
          <w:bCs/>
          <w:sz w:val="36"/>
          <w:szCs w:val="36"/>
        </w:rPr>
        <w:t xml:space="preserve">Module Title: </w:t>
      </w:r>
      <w:r w:rsidRPr="004A4455">
        <w:rPr>
          <w:rFonts w:ascii="Georgia" w:hAnsi="Georgia" w:cs="Arial"/>
          <w:b/>
          <w:bCs/>
          <w:sz w:val="36"/>
          <w:szCs w:val="36"/>
        </w:rPr>
        <w:t>Introduction to Physiology</w:t>
      </w:r>
    </w:p>
    <w:p w14:paraId="2E2F0A7A" w14:textId="77777777" w:rsidR="004A4455" w:rsidRPr="00601FC3" w:rsidRDefault="004A4455" w:rsidP="00601FC3">
      <w:pPr>
        <w:spacing w:line="240" w:lineRule="auto"/>
        <w:jc w:val="center"/>
        <w:rPr>
          <w:rFonts w:ascii="Georgia" w:hAnsi="Georgia" w:cs="Arial"/>
          <w:b/>
          <w:bCs/>
          <w:sz w:val="36"/>
          <w:szCs w:val="36"/>
        </w:rPr>
      </w:pPr>
      <w:r w:rsidRPr="00601FC3">
        <w:rPr>
          <w:rFonts w:ascii="Georgia" w:hAnsi="Georgia" w:cs="Arial"/>
          <w:b/>
          <w:bCs/>
          <w:sz w:val="36"/>
          <w:szCs w:val="36"/>
        </w:rPr>
        <w:t xml:space="preserve">Module Code: </w:t>
      </w:r>
      <w:r w:rsidRPr="00601FC3">
        <w:rPr>
          <w:rFonts w:ascii="Georgia" w:hAnsi="Georgia" w:cs="Arial"/>
          <w:b/>
          <w:bCs/>
          <w:sz w:val="36"/>
          <w:szCs w:val="36"/>
        </w:rPr>
        <w:t>BMHP5023</w:t>
      </w:r>
    </w:p>
    <w:p w14:paraId="199C7349" w14:textId="6D2906FD" w:rsidR="004A4455" w:rsidRPr="00601FC3" w:rsidRDefault="004A4455" w:rsidP="00601FC3">
      <w:pPr>
        <w:spacing w:line="240" w:lineRule="auto"/>
        <w:jc w:val="center"/>
        <w:rPr>
          <w:rFonts w:ascii="Georgia" w:hAnsi="Georgia" w:cs="Arial"/>
          <w:b/>
          <w:bCs/>
          <w:sz w:val="36"/>
          <w:szCs w:val="36"/>
        </w:rPr>
      </w:pPr>
      <w:r w:rsidRPr="00601FC3">
        <w:rPr>
          <w:rFonts w:ascii="Georgia" w:hAnsi="Georgia" w:cs="Arial"/>
          <w:b/>
          <w:bCs/>
          <w:sz w:val="36"/>
          <w:szCs w:val="36"/>
        </w:rPr>
        <w:t>Component 1</w:t>
      </w:r>
    </w:p>
    <w:p w14:paraId="01635F91" w14:textId="77777777" w:rsidR="004A4455" w:rsidRDefault="004A4455" w:rsidP="004A4455">
      <w:pPr>
        <w:spacing w:line="360" w:lineRule="auto"/>
        <w:rPr>
          <w:rFonts w:ascii="Arial" w:hAnsi="Arial" w:cs="Arial"/>
          <w:b/>
          <w:bCs/>
          <w:sz w:val="22"/>
          <w:szCs w:val="22"/>
        </w:rPr>
      </w:pPr>
    </w:p>
    <w:p w14:paraId="1C799E41" w14:textId="77777777" w:rsidR="00601FC3" w:rsidRPr="004A4455" w:rsidRDefault="00601FC3" w:rsidP="00601FC3">
      <w:pPr>
        <w:spacing w:line="360" w:lineRule="auto"/>
        <w:jc w:val="center"/>
        <w:rPr>
          <w:rFonts w:ascii="Arial" w:hAnsi="Arial" w:cs="Arial"/>
          <w:b/>
          <w:bCs/>
          <w:sz w:val="32"/>
          <w:szCs w:val="32"/>
        </w:rPr>
      </w:pPr>
      <w:r w:rsidRPr="004A4455">
        <w:rPr>
          <w:rFonts w:ascii="Arial" w:hAnsi="Arial" w:cs="Arial"/>
          <w:b/>
          <w:bCs/>
          <w:sz w:val="32"/>
          <w:szCs w:val="32"/>
        </w:rPr>
        <w:t>Case Study 1: Diabetes and the Physiological Regulation of Blood Sugar</w:t>
      </w:r>
    </w:p>
    <w:p w14:paraId="6A363E23" w14:textId="77777777" w:rsidR="004A4455" w:rsidRDefault="004A4455" w:rsidP="004A4455">
      <w:pPr>
        <w:spacing w:line="360" w:lineRule="auto"/>
        <w:rPr>
          <w:rFonts w:ascii="Arial" w:hAnsi="Arial" w:cs="Arial"/>
          <w:b/>
          <w:bCs/>
          <w:sz w:val="22"/>
          <w:szCs w:val="22"/>
        </w:rPr>
      </w:pPr>
    </w:p>
    <w:p w14:paraId="6CC5C34A" w14:textId="77777777" w:rsidR="00601FC3" w:rsidRDefault="00601FC3" w:rsidP="004A4455">
      <w:pPr>
        <w:spacing w:line="360" w:lineRule="auto"/>
        <w:rPr>
          <w:rFonts w:ascii="Arial" w:hAnsi="Arial" w:cs="Arial"/>
          <w:b/>
          <w:bCs/>
          <w:sz w:val="22"/>
          <w:szCs w:val="22"/>
        </w:rPr>
      </w:pPr>
    </w:p>
    <w:p w14:paraId="33FEAB1A" w14:textId="77777777" w:rsidR="00601FC3" w:rsidRDefault="00601FC3" w:rsidP="004A4455">
      <w:pPr>
        <w:spacing w:line="360" w:lineRule="auto"/>
        <w:rPr>
          <w:rFonts w:ascii="Arial" w:hAnsi="Arial" w:cs="Arial"/>
          <w:b/>
          <w:bCs/>
          <w:sz w:val="22"/>
          <w:szCs w:val="22"/>
        </w:rPr>
      </w:pPr>
    </w:p>
    <w:p w14:paraId="2C28418A" w14:textId="7B4C2A46" w:rsidR="004A4455" w:rsidRPr="00601FC3" w:rsidRDefault="004A4455" w:rsidP="004A4455">
      <w:pPr>
        <w:spacing w:line="360" w:lineRule="auto"/>
        <w:rPr>
          <w:rFonts w:ascii="Tahoma" w:hAnsi="Tahoma" w:cs="Tahoma"/>
          <w:b/>
          <w:bCs/>
          <w:sz w:val="28"/>
          <w:szCs w:val="28"/>
        </w:rPr>
      </w:pPr>
      <w:r w:rsidRPr="004A4455">
        <w:rPr>
          <w:rFonts w:ascii="Tahoma" w:hAnsi="Tahoma" w:cs="Tahoma"/>
          <w:b/>
          <w:bCs/>
          <w:sz w:val="28"/>
          <w:szCs w:val="28"/>
        </w:rPr>
        <w:t>Name: Ejiro P. Opiri Odi</w:t>
      </w:r>
      <w:r w:rsidRPr="004A4455">
        <w:rPr>
          <w:rFonts w:ascii="Tahoma" w:hAnsi="Tahoma" w:cs="Tahoma"/>
          <w:b/>
          <w:bCs/>
          <w:sz w:val="28"/>
          <w:szCs w:val="28"/>
        </w:rPr>
        <w:br/>
        <w:t>Student ID: 2309592</w:t>
      </w:r>
    </w:p>
    <w:p w14:paraId="607006C8" w14:textId="77777777" w:rsidR="00601FC3" w:rsidRDefault="00601FC3" w:rsidP="004A4455">
      <w:pPr>
        <w:spacing w:line="360" w:lineRule="auto"/>
        <w:rPr>
          <w:rFonts w:ascii="Arial" w:hAnsi="Arial" w:cs="Arial"/>
          <w:b/>
          <w:bCs/>
          <w:sz w:val="22"/>
          <w:szCs w:val="22"/>
        </w:rPr>
      </w:pPr>
    </w:p>
    <w:p w14:paraId="3E3C5747" w14:textId="77777777" w:rsidR="00601FC3" w:rsidRDefault="00601FC3" w:rsidP="004A4455">
      <w:pPr>
        <w:spacing w:line="360" w:lineRule="auto"/>
        <w:rPr>
          <w:rFonts w:ascii="Arial" w:hAnsi="Arial" w:cs="Arial"/>
          <w:b/>
          <w:bCs/>
          <w:sz w:val="22"/>
          <w:szCs w:val="22"/>
        </w:rPr>
      </w:pPr>
    </w:p>
    <w:p w14:paraId="439A1C38" w14:textId="77777777" w:rsidR="00601FC3" w:rsidRDefault="00601FC3" w:rsidP="004A4455">
      <w:pPr>
        <w:spacing w:line="360" w:lineRule="auto"/>
        <w:rPr>
          <w:rFonts w:ascii="Arial" w:hAnsi="Arial" w:cs="Arial"/>
          <w:b/>
          <w:bCs/>
          <w:sz w:val="22"/>
          <w:szCs w:val="22"/>
        </w:rPr>
      </w:pPr>
    </w:p>
    <w:p w14:paraId="58607699" w14:textId="77777777" w:rsidR="00601FC3" w:rsidRDefault="00601FC3" w:rsidP="004A4455">
      <w:pPr>
        <w:spacing w:line="360" w:lineRule="auto"/>
        <w:rPr>
          <w:rFonts w:ascii="Arial" w:hAnsi="Arial" w:cs="Arial"/>
          <w:b/>
          <w:bCs/>
          <w:sz w:val="22"/>
          <w:szCs w:val="22"/>
        </w:rPr>
      </w:pPr>
    </w:p>
    <w:p w14:paraId="58D726E6" w14:textId="54884CA7" w:rsidR="00601FC3" w:rsidRPr="004A4455" w:rsidRDefault="00601FC3" w:rsidP="004A4455">
      <w:pPr>
        <w:spacing w:line="360" w:lineRule="auto"/>
        <w:rPr>
          <w:rFonts w:ascii="Arial" w:hAnsi="Arial" w:cs="Arial"/>
          <w:b/>
          <w:bCs/>
          <w:sz w:val="22"/>
          <w:szCs w:val="22"/>
        </w:rPr>
      </w:pPr>
      <w:r>
        <w:rPr>
          <w:rFonts w:ascii="Arial" w:hAnsi="Arial" w:cs="Arial"/>
          <w:b/>
          <w:bCs/>
          <w:sz w:val="22"/>
          <w:szCs w:val="22"/>
        </w:rPr>
        <w:t xml:space="preserve">Word count: </w:t>
      </w:r>
      <w:r w:rsidR="00C97FE8">
        <w:rPr>
          <w:rFonts w:ascii="Arial" w:hAnsi="Arial" w:cs="Arial"/>
          <w:b/>
          <w:bCs/>
          <w:sz w:val="22"/>
          <w:szCs w:val="22"/>
        </w:rPr>
        <w:t>2050</w:t>
      </w:r>
    </w:p>
    <w:p w14:paraId="570E0C4D" w14:textId="77777777" w:rsidR="004A4455" w:rsidRPr="004A4455" w:rsidRDefault="004A4455" w:rsidP="004A4455">
      <w:pPr>
        <w:spacing w:line="360" w:lineRule="auto"/>
        <w:rPr>
          <w:rFonts w:ascii="Arial" w:hAnsi="Arial" w:cs="Arial"/>
          <w:b/>
          <w:bCs/>
          <w:sz w:val="22"/>
          <w:szCs w:val="22"/>
        </w:rPr>
      </w:pPr>
    </w:p>
    <w:p w14:paraId="729ADC8E" w14:textId="77777777" w:rsidR="004A4455" w:rsidRPr="004A4455" w:rsidRDefault="004A4455" w:rsidP="004A4455">
      <w:pPr>
        <w:spacing w:line="360" w:lineRule="auto"/>
        <w:rPr>
          <w:rFonts w:ascii="Arial" w:hAnsi="Arial" w:cs="Arial"/>
          <w:b/>
          <w:bCs/>
          <w:sz w:val="22"/>
          <w:szCs w:val="22"/>
        </w:rPr>
      </w:pPr>
    </w:p>
    <w:sdt>
      <w:sdtPr>
        <w:rPr>
          <w:rFonts w:ascii="Tahoma" w:hAnsi="Tahoma" w:cs="Tahoma"/>
          <w:b/>
          <w:bCs/>
          <w:color w:val="auto"/>
          <w:sz w:val="28"/>
          <w:szCs w:val="28"/>
        </w:rPr>
        <w:id w:val="-131717748"/>
        <w:docPartObj>
          <w:docPartGallery w:val="Table of Contents"/>
          <w:docPartUnique/>
        </w:docPartObj>
      </w:sdtPr>
      <w:sdtEndPr>
        <w:rPr>
          <w:rFonts w:asciiTheme="minorHAnsi" w:eastAsiaTheme="minorHAnsi" w:hAnsiTheme="minorHAnsi" w:cstheme="minorBidi"/>
          <w:noProof/>
          <w:sz w:val="24"/>
          <w:szCs w:val="24"/>
          <w:lang w:val="en-GB"/>
          <w14:ligatures w14:val="standardContextual"/>
        </w:rPr>
      </w:sdtEndPr>
      <w:sdtContent>
        <w:p w14:paraId="455EF437" w14:textId="64D6E884" w:rsidR="00B50C48" w:rsidRPr="00B50C48" w:rsidRDefault="00B50C48" w:rsidP="00B50C48">
          <w:pPr>
            <w:pStyle w:val="TOCHeading"/>
            <w:spacing w:line="360" w:lineRule="auto"/>
            <w:rPr>
              <w:rFonts w:ascii="Tahoma" w:hAnsi="Tahoma" w:cs="Tahoma"/>
              <w:b/>
              <w:bCs/>
              <w:color w:val="auto"/>
              <w:sz w:val="28"/>
              <w:szCs w:val="28"/>
            </w:rPr>
          </w:pPr>
          <w:r w:rsidRPr="00B50C48">
            <w:rPr>
              <w:rFonts w:ascii="Tahoma" w:hAnsi="Tahoma" w:cs="Tahoma"/>
              <w:b/>
              <w:bCs/>
              <w:color w:val="auto"/>
              <w:sz w:val="28"/>
              <w:szCs w:val="28"/>
            </w:rPr>
            <w:t>Table of Contents</w:t>
          </w:r>
        </w:p>
        <w:p w14:paraId="26789AD6" w14:textId="0FF0F84E" w:rsidR="00B50C48" w:rsidRPr="00B50C48" w:rsidRDefault="00B50C48" w:rsidP="00B50C48">
          <w:pPr>
            <w:pStyle w:val="TOC1"/>
            <w:tabs>
              <w:tab w:val="right" w:leader="dot" w:pos="9016"/>
            </w:tabs>
            <w:spacing w:line="360" w:lineRule="auto"/>
            <w:rPr>
              <w:rFonts w:ascii="Tahoma" w:hAnsi="Tahoma" w:cs="Tahoma"/>
              <w:noProof/>
              <w:sz w:val="22"/>
              <w:szCs w:val="22"/>
            </w:rPr>
          </w:pPr>
          <w:r w:rsidRPr="00B50C48">
            <w:rPr>
              <w:rFonts w:ascii="Tahoma" w:hAnsi="Tahoma" w:cs="Tahoma"/>
              <w:sz w:val="22"/>
              <w:szCs w:val="22"/>
            </w:rPr>
            <w:fldChar w:fldCharType="begin"/>
          </w:r>
          <w:r w:rsidRPr="00B50C48">
            <w:rPr>
              <w:rFonts w:ascii="Tahoma" w:hAnsi="Tahoma" w:cs="Tahoma"/>
              <w:sz w:val="22"/>
              <w:szCs w:val="22"/>
            </w:rPr>
            <w:instrText xml:space="preserve"> TOC \o "1-3" \h \z \u </w:instrText>
          </w:r>
          <w:r w:rsidRPr="00B50C48">
            <w:rPr>
              <w:rFonts w:ascii="Tahoma" w:hAnsi="Tahoma" w:cs="Tahoma"/>
              <w:sz w:val="22"/>
              <w:szCs w:val="22"/>
            </w:rPr>
            <w:fldChar w:fldCharType="separate"/>
          </w:r>
          <w:hyperlink w:anchor="_Toc213476935" w:history="1">
            <w:r w:rsidRPr="00B50C48">
              <w:rPr>
                <w:rStyle w:val="Hyperlink"/>
                <w:rFonts w:ascii="Tahoma" w:hAnsi="Tahoma" w:cs="Tahoma"/>
                <w:noProof/>
                <w:color w:val="auto"/>
                <w:sz w:val="22"/>
                <w:szCs w:val="22"/>
              </w:rPr>
              <w:t>Introduction</w:t>
            </w:r>
            <w:r w:rsidRPr="00B50C48">
              <w:rPr>
                <w:rFonts w:ascii="Tahoma" w:hAnsi="Tahoma" w:cs="Tahoma"/>
                <w:noProof/>
                <w:webHidden/>
                <w:sz w:val="22"/>
                <w:szCs w:val="22"/>
              </w:rPr>
              <w:tab/>
            </w:r>
            <w:r w:rsidRPr="00B50C48">
              <w:rPr>
                <w:rFonts w:ascii="Tahoma" w:hAnsi="Tahoma" w:cs="Tahoma"/>
                <w:noProof/>
                <w:webHidden/>
                <w:sz w:val="22"/>
                <w:szCs w:val="22"/>
              </w:rPr>
              <w:fldChar w:fldCharType="begin"/>
            </w:r>
            <w:r w:rsidRPr="00B50C48">
              <w:rPr>
                <w:rFonts w:ascii="Tahoma" w:hAnsi="Tahoma" w:cs="Tahoma"/>
                <w:noProof/>
                <w:webHidden/>
                <w:sz w:val="22"/>
                <w:szCs w:val="22"/>
              </w:rPr>
              <w:instrText xml:space="preserve"> PAGEREF _Toc213476935 \h </w:instrText>
            </w:r>
            <w:r w:rsidRPr="00B50C48">
              <w:rPr>
                <w:rFonts w:ascii="Tahoma" w:hAnsi="Tahoma" w:cs="Tahoma"/>
                <w:noProof/>
                <w:webHidden/>
                <w:sz w:val="22"/>
                <w:szCs w:val="22"/>
              </w:rPr>
            </w:r>
            <w:r w:rsidRPr="00B50C48">
              <w:rPr>
                <w:rFonts w:ascii="Tahoma" w:hAnsi="Tahoma" w:cs="Tahoma"/>
                <w:noProof/>
                <w:webHidden/>
                <w:sz w:val="22"/>
                <w:szCs w:val="22"/>
              </w:rPr>
              <w:fldChar w:fldCharType="separate"/>
            </w:r>
            <w:r w:rsidRPr="00B50C48">
              <w:rPr>
                <w:rFonts w:ascii="Tahoma" w:hAnsi="Tahoma" w:cs="Tahoma"/>
                <w:noProof/>
                <w:webHidden/>
                <w:sz w:val="22"/>
                <w:szCs w:val="22"/>
              </w:rPr>
              <w:t>3</w:t>
            </w:r>
            <w:r w:rsidRPr="00B50C48">
              <w:rPr>
                <w:rFonts w:ascii="Tahoma" w:hAnsi="Tahoma" w:cs="Tahoma"/>
                <w:noProof/>
                <w:webHidden/>
                <w:sz w:val="22"/>
                <w:szCs w:val="22"/>
              </w:rPr>
              <w:fldChar w:fldCharType="end"/>
            </w:r>
          </w:hyperlink>
        </w:p>
        <w:p w14:paraId="7BD8BC89" w14:textId="08A24298" w:rsidR="00B50C48" w:rsidRPr="00B50C48" w:rsidRDefault="00B50C48" w:rsidP="00B50C48">
          <w:pPr>
            <w:pStyle w:val="TOC1"/>
            <w:tabs>
              <w:tab w:val="right" w:leader="dot" w:pos="9016"/>
            </w:tabs>
            <w:spacing w:line="360" w:lineRule="auto"/>
            <w:rPr>
              <w:rFonts w:ascii="Tahoma" w:hAnsi="Tahoma" w:cs="Tahoma"/>
              <w:noProof/>
              <w:sz w:val="22"/>
              <w:szCs w:val="22"/>
            </w:rPr>
          </w:pPr>
          <w:hyperlink w:anchor="_Toc213476936" w:history="1">
            <w:r w:rsidRPr="00B50C48">
              <w:rPr>
                <w:rStyle w:val="Hyperlink"/>
                <w:rFonts w:ascii="Tahoma" w:hAnsi="Tahoma" w:cs="Tahoma"/>
                <w:noProof/>
                <w:color w:val="auto"/>
                <w:sz w:val="22"/>
                <w:szCs w:val="22"/>
              </w:rPr>
              <w:t>Regulation of Blood Glucose Levels</w:t>
            </w:r>
            <w:r w:rsidRPr="00B50C48">
              <w:rPr>
                <w:rFonts w:ascii="Tahoma" w:hAnsi="Tahoma" w:cs="Tahoma"/>
                <w:noProof/>
                <w:webHidden/>
                <w:sz w:val="22"/>
                <w:szCs w:val="22"/>
              </w:rPr>
              <w:tab/>
            </w:r>
            <w:r w:rsidRPr="00B50C48">
              <w:rPr>
                <w:rFonts w:ascii="Tahoma" w:hAnsi="Tahoma" w:cs="Tahoma"/>
                <w:noProof/>
                <w:webHidden/>
                <w:sz w:val="22"/>
                <w:szCs w:val="22"/>
              </w:rPr>
              <w:fldChar w:fldCharType="begin"/>
            </w:r>
            <w:r w:rsidRPr="00B50C48">
              <w:rPr>
                <w:rFonts w:ascii="Tahoma" w:hAnsi="Tahoma" w:cs="Tahoma"/>
                <w:noProof/>
                <w:webHidden/>
                <w:sz w:val="22"/>
                <w:szCs w:val="22"/>
              </w:rPr>
              <w:instrText xml:space="preserve"> PAGEREF _Toc213476936 \h </w:instrText>
            </w:r>
            <w:r w:rsidRPr="00B50C48">
              <w:rPr>
                <w:rFonts w:ascii="Tahoma" w:hAnsi="Tahoma" w:cs="Tahoma"/>
                <w:noProof/>
                <w:webHidden/>
                <w:sz w:val="22"/>
                <w:szCs w:val="22"/>
              </w:rPr>
            </w:r>
            <w:r w:rsidRPr="00B50C48">
              <w:rPr>
                <w:rFonts w:ascii="Tahoma" w:hAnsi="Tahoma" w:cs="Tahoma"/>
                <w:noProof/>
                <w:webHidden/>
                <w:sz w:val="22"/>
                <w:szCs w:val="22"/>
              </w:rPr>
              <w:fldChar w:fldCharType="separate"/>
            </w:r>
            <w:r w:rsidRPr="00B50C48">
              <w:rPr>
                <w:rFonts w:ascii="Tahoma" w:hAnsi="Tahoma" w:cs="Tahoma"/>
                <w:noProof/>
                <w:webHidden/>
                <w:sz w:val="22"/>
                <w:szCs w:val="22"/>
              </w:rPr>
              <w:t>3</w:t>
            </w:r>
            <w:r w:rsidRPr="00B50C48">
              <w:rPr>
                <w:rFonts w:ascii="Tahoma" w:hAnsi="Tahoma" w:cs="Tahoma"/>
                <w:noProof/>
                <w:webHidden/>
                <w:sz w:val="22"/>
                <w:szCs w:val="22"/>
              </w:rPr>
              <w:fldChar w:fldCharType="end"/>
            </w:r>
          </w:hyperlink>
        </w:p>
        <w:p w14:paraId="44C5C7D5" w14:textId="0D9107F5" w:rsidR="00B50C48" w:rsidRPr="00B50C48" w:rsidRDefault="00B50C48" w:rsidP="00B50C48">
          <w:pPr>
            <w:pStyle w:val="TOC1"/>
            <w:tabs>
              <w:tab w:val="right" w:leader="dot" w:pos="9016"/>
            </w:tabs>
            <w:spacing w:line="360" w:lineRule="auto"/>
            <w:rPr>
              <w:rFonts w:ascii="Tahoma" w:hAnsi="Tahoma" w:cs="Tahoma"/>
              <w:noProof/>
              <w:sz w:val="22"/>
              <w:szCs w:val="22"/>
            </w:rPr>
          </w:pPr>
          <w:hyperlink w:anchor="_Toc213476937" w:history="1">
            <w:r w:rsidRPr="00B50C48">
              <w:rPr>
                <w:rStyle w:val="Hyperlink"/>
                <w:rFonts w:ascii="Tahoma" w:hAnsi="Tahoma" w:cs="Tahoma"/>
                <w:noProof/>
                <w:color w:val="auto"/>
                <w:sz w:val="22"/>
                <w:szCs w:val="22"/>
              </w:rPr>
              <w:t>Monitoring and Tracking Blood Glucose Levels</w:t>
            </w:r>
            <w:r w:rsidRPr="00B50C48">
              <w:rPr>
                <w:rFonts w:ascii="Tahoma" w:hAnsi="Tahoma" w:cs="Tahoma"/>
                <w:noProof/>
                <w:webHidden/>
                <w:sz w:val="22"/>
                <w:szCs w:val="22"/>
              </w:rPr>
              <w:tab/>
            </w:r>
            <w:r w:rsidRPr="00B50C48">
              <w:rPr>
                <w:rFonts w:ascii="Tahoma" w:hAnsi="Tahoma" w:cs="Tahoma"/>
                <w:noProof/>
                <w:webHidden/>
                <w:sz w:val="22"/>
                <w:szCs w:val="22"/>
              </w:rPr>
              <w:fldChar w:fldCharType="begin"/>
            </w:r>
            <w:r w:rsidRPr="00B50C48">
              <w:rPr>
                <w:rFonts w:ascii="Tahoma" w:hAnsi="Tahoma" w:cs="Tahoma"/>
                <w:noProof/>
                <w:webHidden/>
                <w:sz w:val="22"/>
                <w:szCs w:val="22"/>
              </w:rPr>
              <w:instrText xml:space="preserve"> PAGEREF _Toc213476937 \h </w:instrText>
            </w:r>
            <w:r w:rsidRPr="00B50C48">
              <w:rPr>
                <w:rFonts w:ascii="Tahoma" w:hAnsi="Tahoma" w:cs="Tahoma"/>
                <w:noProof/>
                <w:webHidden/>
                <w:sz w:val="22"/>
                <w:szCs w:val="22"/>
              </w:rPr>
            </w:r>
            <w:r w:rsidRPr="00B50C48">
              <w:rPr>
                <w:rFonts w:ascii="Tahoma" w:hAnsi="Tahoma" w:cs="Tahoma"/>
                <w:noProof/>
                <w:webHidden/>
                <w:sz w:val="22"/>
                <w:szCs w:val="22"/>
              </w:rPr>
              <w:fldChar w:fldCharType="separate"/>
            </w:r>
            <w:r w:rsidRPr="00B50C48">
              <w:rPr>
                <w:rFonts w:ascii="Tahoma" w:hAnsi="Tahoma" w:cs="Tahoma"/>
                <w:noProof/>
                <w:webHidden/>
                <w:sz w:val="22"/>
                <w:szCs w:val="22"/>
              </w:rPr>
              <w:t>5</w:t>
            </w:r>
            <w:r w:rsidRPr="00B50C48">
              <w:rPr>
                <w:rFonts w:ascii="Tahoma" w:hAnsi="Tahoma" w:cs="Tahoma"/>
                <w:noProof/>
                <w:webHidden/>
                <w:sz w:val="22"/>
                <w:szCs w:val="22"/>
              </w:rPr>
              <w:fldChar w:fldCharType="end"/>
            </w:r>
          </w:hyperlink>
        </w:p>
        <w:p w14:paraId="72901E27" w14:textId="44457C71" w:rsidR="00B50C48" w:rsidRPr="00B50C48" w:rsidRDefault="00B50C48" w:rsidP="00B50C48">
          <w:pPr>
            <w:pStyle w:val="TOC1"/>
            <w:tabs>
              <w:tab w:val="right" w:leader="dot" w:pos="9016"/>
            </w:tabs>
            <w:spacing w:line="360" w:lineRule="auto"/>
            <w:rPr>
              <w:rFonts w:ascii="Tahoma" w:hAnsi="Tahoma" w:cs="Tahoma"/>
              <w:noProof/>
              <w:sz w:val="22"/>
              <w:szCs w:val="22"/>
            </w:rPr>
          </w:pPr>
          <w:hyperlink w:anchor="_Toc213476938" w:history="1">
            <w:r w:rsidRPr="00B50C48">
              <w:rPr>
                <w:rStyle w:val="Hyperlink"/>
                <w:rFonts w:ascii="Tahoma" w:hAnsi="Tahoma" w:cs="Tahoma"/>
                <w:noProof/>
                <w:color w:val="auto"/>
                <w:sz w:val="22"/>
                <w:szCs w:val="22"/>
              </w:rPr>
              <w:t>Lifestyle Modifications for Effective Management</w:t>
            </w:r>
            <w:r w:rsidRPr="00B50C48">
              <w:rPr>
                <w:rFonts w:ascii="Tahoma" w:hAnsi="Tahoma" w:cs="Tahoma"/>
                <w:noProof/>
                <w:webHidden/>
                <w:sz w:val="22"/>
                <w:szCs w:val="22"/>
              </w:rPr>
              <w:tab/>
            </w:r>
            <w:r w:rsidRPr="00B50C48">
              <w:rPr>
                <w:rFonts w:ascii="Tahoma" w:hAnsi="Tahoma" w:cs="Tahoma"/>
                <w:noProof/>
                <w:webHidden/>
                <w:sz w:val="22"/>
                <w:szCs w:val="22"/>
              </w:rPr>
              <w:fldChar w:fldCharType="begin"/>
            </w:r>
            <w:r w:rsidRPr="00B50C48">
              <w:rPr>
                <w:rFonts w:ascii="Tahoma" w:hAnsi="Tahoma" w:cs="Tahoma"/>
                <w:noProof/>
                <w:webHidden/>
                <w:sz w:val="22"/>
                <w:szCs w:val="22"/>
              </w:rPr>
              <w:instrText xml:space="preserve"> PAGEREF _Toc213476938 \h </w:instrText>
            </w:r>
            <w:r w:rsidRPr="00B50C48">
              <w:rPr>
                <w:rFonts w:ascii="Tahoma" w:hAnsi="Tahoma" w:cs="Tahoma"/>
                <w:noProof/>
                <w:webHidden/>
                <w:sz w:val="22"/>
                <w:szCs w:val="22"/>
              </w:rPr>
            </w:r>
            <w:r w:rsidRPr="00B50C48">
              <w:rPr>
                <w:rFonts w:ascii="Tahoma" w:hAnsi="Tahoma" w:cs="Tahoma"/>
                <w:noProof/>
                <w:webHidden/>
                <w:sz w:val="22"/>
                <w:szCs w:val="22"/>
              </w:rPr>
              <w:fldChar w:fldCharType="separate"/>
            </w:r>
            <w:r w:rsidRPr="00B50C48">
              <w:rPr>
                <w:rFonts w:ascii="Tahoma" w:hAnsi="Tahoma" w:cs="Tahoma"/>
                <w:noProof/>
                <w:webHidden/>
                <w:sz w:val="22"/>
                <w:szCs w:val="22"/>
              </w:rPr>
              <w:t>6</w:t>
            </w:r>
            <w:r w:rsidRPr="00B50C48">
              <w:rPr>
                <w:rFonts w:ascii="Tahoma" w:hAnsi="Tahoma" w:cs="Tahoma"/>
                <w:noProof/>
                <w:webHidden/>
                <w:sz w:val="22"/>
                <w:szCs w:val="22"/>
              </w:rPr>
              <w:fldChar w:fldCharType="end"/>
            </w:r>
          </w:hyperlink>
        </w:p>
        <w:p w14:paraId="1DE1ADF7" w14:textId="4B4106B5" w:rsidR="00B50C48" w:rsidRPr="00B50C48" w:rsidRDefault="00B50C48" w:rsidP="00B50C48">
          <w:pPr>
            <w:pStyle w:val="TOC2"/>
            <w:tabs>
              <w:tab w:val="right" w:leader="dot" w:pos="9016"/>
            </w:tabs>
            <w:spacing w:line="360" w:lineRule="auto"/>
            <w:rPr>
              <w:rFonts w:ascii="Tahoma" w:hAnsi="Tahoma" w:cs="Tahoma"/>
              <w:noProof/>
              <w:sz w:val="22"/>
              <w:szCs w:val="22"/>
            </w:rPr>
          </w:pPr>
          <w:hyperlink w:anchor="_Toc213476939" w:history="1">
            <w:r w:rsidRPr="00B50C48">
              <w:rPr>
                <w:rStyle w:val="Hyperlink"/>
                <w:rFonts w:ascii="Tahoma" w:hAnsi="Tahoma" w:cs="Tahoma"/>
                <w:noProof/>
                <w:color w:val="auto"/>
                <w:sz w:val="22"/>
                <w:szCs w:val="22"/>
              </w:rPr>
              <w:t>Diet and Nutrition</w:t>
            </w:r>
            <w:r w:rsidRPr="00B50C48">
              <w:rPr>
                <w:rFonts w:ascii="Tahoma" w:hAnsi="Tahoma" w:cs="Tahoma"/>
                <w:noProof/>
                <w:webHidden/>
                <w:sz w:val="22"/>
                <w:szCs w:val="22"/>
              </w:rPr>
              <w:tab/>
            </w:r>
            <w:r w:rsidRPr="00B50C48">
              <w:rPr>
                <w:rFonts w:ascii="Tahoma" w:hAnsi="Tahoma" w:cs="Tahoma"/>
                <w:noProof/>
                <w:webHidden/>
                <w:sz w:val="22"/>
                <w:szCs w:val="22"/>
              </w:rPr>
              <w:fldChar w:fldCharType="begin"/>
            </w:r>
            <w:r w:rsidRPr="00B50C48">
              <w:rPr>
                <w:rFonts w:ascii="Tahoma" w:hAnsi="Tahoma" w:cs="Tahoma"/>
                <w:noProof/>
                <w:webHidden/>
                <w:sz w:val="22"/>
                <w:szCs w:val="22"/>
              </w:rPr>
              <w:instrText xml:space="preserve"> PAGEREF _Toc213476939 \h </w:instrText>
            </w:r>
            <w:r w:rsidRPr="00B50C48">
              <w:rPr>
                <w:rFonts w:ascii="Tahoma" w:hAnsi="Tahoma" w:cs="Tahoma"/>
                <w:noProof/>
                <w:webHidden/>
                <w:sz w:val="22"/>
                <w:szCs w:val="22"/>
              </w:rPr>
            </w:r>
            <w:r w:rsidRPr="00B50C48">
              <w:rPr>
                <w:rFonts w:ascii="Tahoma" w:hAnsi="Tahoma" w:cs="Tahoma"/>
                <w:noProof/>
                <w:webHidden/>
                <w:sz w:val="22"/>
                <w:szCs w:val="22"/>
              </w:rPr>
              <w:fldChar w:fldCharType="separate"/>
            </w:r>
            <w:r w:rsidRPr="00B50C48">
              <w:rPr>
                <w:rFonts w:ascii="Tahoma" w:hAnsi="Tahoma" w:cs="Tahoma"/>
                <w:noProof/>
                <w:webHidden/>
                <w:sz w:val="22"/>
                <w:szCs w:val="22"/>
              </w:rPr>
              <w:t>6</w:t>
            </w:r>
            <w:r w:rsidRPr="00B50C48">
              <w:rPr>
                <w:rFonts w:ascii="Tahoma" w:hAnsi="Tahoma" w:cs="Tahoma"/>
                <w:noProof/>
                <w:webHidden/>
                <w:sz w:val="22"/>
                <w:szCs w:val="22"/>
              </w:rPr>
              <w:fldChar w:fldCharType="end"/>
            </w:r>
          </w:hyperlink>
        </w:p>
        <w:p w14:paraId="75DB9081" w14:textId="79EF7A51" w:rsidR="00B50C48" w:rsidRPr="00B50C48" w:rsidRDefault="00B50C48" w:rsidP="00B50C48">
          <w:pPr>
            <w:pStyle w:val="TOC2"/>
            <w:tabs>
              <w:tab w:val="right" w:leader="dot" w:pos="9016"/>
            </w:tabs>
            <w:spacing w:line="360" w:lineRule="auto"/>
            <w:rPr>
              <w:rFonts w:ascii="Tahoma" w:hAnsi="Tahoma" w:cs="Tahoma"/>
              <w:noProof/>
              <w:sz w:val="22"/>
              <w:szCs w:val="22"/>
            </w:rPr>
          </w:pPr>
          <w:hyperlink w:anchor="_Toc213476940" w:history="1">
            <w:r w:rsidRPr="00B50C48">
              <w:rPr>
                <w:rStyle w:val="Hyperlink"/>
                <w:rFonts w:ascii="Tahoma" w:hAnsi="Tahoma" w:cs="Tahoma"/>
                <w:noProof/>
                <w:color w:val="auto"/>
                <w:sz w:val="22"/>
                <w:szCs w:val="22"/>
              </w:rPr>
              <w:t>Physical Activity</w:t>
            </w:r>
            <w:r w:rsidRPr="00B50C48">
              <w:rPr>
                <w:rFonts w:ascii="Tahoma" w:hAnsi="Tahoma" w:cs="Tahoma"/>
                <w:noProof/>
                <w:webHidden/>
                <w:sz w:val="22"/>
                <w:szCs w:val="22"/>
              </w:rPr>
              <w:tab/>
            </w:r>
            <w:r w:rsidRPr="00B50C48">
              <w:rPr>
                <w:rFonts w:ascii="Tahoma" w:hAnsi="Tahoma" w:cs="Tahoma"/>
                <w:noProof/>
                <w:webHidden/>
                <w:sz w:val="22"/>
                <w:szCs w:val="22"/>
              </w:rPr>
              <w:fldChar w:fldCharType="begin"/>
            </w:r>
            <w:r w:rsidRPr="00B50C48">
              <w:rPr>
                <w:rFonts w:ascii="Tahoma" w:hAnsi="Tahoma" w:cs="Tahoma"/>
                <w:noProof/>
                <w:webHidden/>
                <w:sz w:val="22"/>
                <w:szCs w:val="22"/>
              </w:rPr>
              <w:instrText xml:space="preserve"> PAGEREF _Toc213476940 \h </w:instrText>
            </w:r>
            <w:r w:rsidRPr="00B50C48">
              <w:rPr>
                <w:rFonts w:ascii="Tahoma" w:hAnsi="Tahoma" w:cs="Tahoma"/>
                <w:noProof/>
                <w:webHidden/>
                <w:sz w:val="22"/>
                <w:szCs w:val="22"/>
              </w:rPr>
            </w:r>
            <w:r w:rsidRPr="00B50C48">
              <w:rPr>
                <w:rFonts w:ascii="Tahoma" w:hAnsi="Tahoma" w:cs="Tahoma"/>
                <w:noProof/>
                <w:webHidden/>
                <w:sz w:val="22"/>
                <w:szCs w:val="22"/>
              </w:rPr>
              <w:fldChar w:fldCharType="separate"/>
            </w:r>
            <w:r w:rsidRPr="00B50C48">
              <w:rPr>
                <w:rFonts w:ascii="Tahoma" w:hAnsi="Tahoma" w:cs="Tahoma"/>
                <w:noProof/>
                <w:webHidden/>
                <w:sz w:val="22"/>
                <w:szCs w:val="22"/>
              </w:rPr>
              <w:t>7</w:t>
            </w:r>
            <w:r w:rsidRPr="00B50C48">
              <w:rPr>
                <w:rFonts w:ascii="Tahoma" w:hAnsi="Tahoma" w:cs="Tahoma"/>
                <w:noProof/>
                <w:webHidden/>
                <w:sz w:val="22"/>
                <w:szCs w:val="22"/>
              </w:rPr>
              <w:fldChar w:fldCharType="end"/>
            </w:r>
          </w:hyperlink>
        </w:p>
        <w:p w14:paraId="0343926A" w14:textId="3ECAF0A6" w:rsidR="00B50C48" w:rsidRPr="00B50C48" w:rsidRDefault="00B50C48" w:rsidP="00B50C48">
          <w:pPr>
            <w:pStyle w:val="TOC2"/>
            <w:tabs>
              <w:tab w:val="right" w:leader="dot" w:pos="9016"/>
            </w:tabs>
            <w:spacing w:line="360" w:lineRule="auto"/>
            <w:rPr>
              <w:rFonts w:ascii="Tahoma" w:hAnsi="Tahoma" w:cs="Tahoma"/>
              <w:noProof/>
              <w:sz w:val="22"/>
              <w:szCs w:val="22"/>
            </w:rPr>
          </w:pPr>
          <w:hyperlink w:anchor="_Toc213476941" w:history="1">
            <w:r w:rsidRPr="00B50C48">
              <w:rPr>
                <w:rStyle w:val="Hyperlink"/>
                <w:rFonts w:ascii="Tahoma" w:hAnsi="Tahoma" w:cs="Tahoma"/>
                <w:noProof/>
                <w:color w:val="auto"/>
                <w:sz w:val="22"/>
                <w:szCs w:val="22"/>
              </w:rPr>
              <w:t>Weight Management and Smoking Cessation</w:t>
            </w:r>
            <w:r w:rsidRPr="00B50C48">
              <w:rPr>
                <w:rFonts w:ascii="Tahoma" w:hAnsi="Tahoma" w:cs="Tahoma"/>
                <w:noProof/>
                <w:webHidden/>
                <w:sz w:val="22"/>
                <w:szCs w:val="22"/>
              </w:rPr>
              <w:tab/>
            </w:r>
            <w:r w:rsidRPr="00B50C48">
              <w:rPr>
                <w:rFonts w:ascii="Tahoma" w:hAnsi="Tahoma" w:cs="Tahoma"/>
                <w:noProof/>
                <w:webHidden/>
                <w:sz w:val="22"/>
                <w:szCs w:val="22"/>
              </w:rPr>
              <w:fldChar w:fldCharType="begin"/>
            </w:r>
            <w:r w:rsidRPr="00B50C48">
              <w:rPr>
                <w:rFonts w:ascii="Tahoma" w:hAnsi="Tahoma" w:cs="Tahoma"/>
                <w:noProof/>
                <w:webHidden/>
                <w:sz w:val="22"/>
                <w:szCs w:val="22"/>
              </w:rPr>
              <w:instrText xml:space="preserve"> PAGEREF _Toc213476941 \h </w:instrText>
            </w:r>
            <w:r w:rsidRPr="00B50C48">
              <w:rPr>
                <w:rFonts w:ascii="Tahoma" w:hAnsi="Tahoma" w:cs="Tahoma"/>
                <w:noProof/>
                <w:webHidden/>
                <w:sz w:val="22"/>
                <w:szCs w:val="22"/>
              </w:rPr>
            </w:r>
            <w:r w:rsidRPr="00B50C48">
              <w:rPr>
                <w:rFonts w:ascii="Tahoma" w:hAnsi="Tahoma" w:cs="Tahoma"/>
                <w:noProof/>
                <w:webHidden/>
                <w:sz w:val="22"/>
                <w:szCs w:val="22"/>
              </w:rPr>
              <w:fldChar w:fldCharType="separate"/>
            </w:r>
            <w:r w:rsidRPr="00B50C48">
              <w:rPr>
                <w:rFonts w:ascii="Tahoma" w:hAnsi="Tahoma" w:cs="Tahoma"/>
                <w:noProof/>
                <w:webHidden/>
                <w:sz w:val="22"/>
                <w:szCs w:val="22"/>
              </w:rPr>
              <w:t>7</w:t>
            </w:r>
            <w:r w:rsidRPr="00B50C48">
              <w:rPr>
                <w:rFonts w:ascii="Tahoma" w:hAnsi="Tahoma" w:cs="Tahoma"/>
                <w:noProof/>
                <w:webHidden/>
                <w:sz w:val="22"/>
                <w:szCs w:val="22"/>
              </w:rPr>
              <w:fldChar w:fldCharType="end"/>
            </w:r>
          </w:hyperlink>
        </w:p>
        <w:p w14:paraId="52548F33" w14:textId="420BDD90" w:rsidR="00B50C48" w:rsidRPr="00B50C48" w:rsidRDefault="00B50C48" w:rsidP="00B50C48">
          <w:pPr>
            <w:pStyle w:val="TOC2"/>
            <w:tabs>
              <w:tab w:val="right" w:leader="dot" w:pos="9016"/>
            </w:tabs>
            <w:spacing w:line="360" w:lineRule="auto"/>
            <w:rPr>
              <w:rFonts w:ascii="Tahoma" w:hAnsi="Tahoma" w:cs="Tahoma"/>
              <w:noProof/>
              <w:sz w:val="22"/>
              <w:szCs w:val="22"/>
            </w:rPr>
          </w:pPr>
          <w:hyperlink w:anchor="_Toc213476942" w:history="1">
            <w:r w:rsidRPr="00B50C48">
              <w:rPr>
                <w:rStyle w:val="Hyperlink"/>
                <w:rFonts w:ascii="Tahoma" w:hAnsi="Tahoma" w:cs="Tahoma"/>
                <w:noProof/>
                <w:color w:val="auto"/>
                <w:sz w:val="22"/>
                <w:szCs w:val="22"/>
              </w:rPr>
              <w:t>Psychological and Behavioural Considerations</w:t>
            </w:r>
            <w:r w:rsidRPr="00B50C48">
              <w:rPr>
                <w:rFonts w:ascii="Tahoma" w:hAnsi="Tahoma" w:cs="Tahoma"/>
                <w:noProof/>
                <w:webHidden/>
                <w:sz w:val="22"/>
                <w:szCs w:val="22"/>
              </w:rPr>
              <w:tab/>
            </w:r>
            <w:r w:rsidRPr="00B50C48">
              <w:rPr>
                <w:rFonts w:ascii="Tahoma" w:hAnsi="Tahoma" w:cs="Tahoma"/>
                <w:noProof/>
                <w:webHidden/>
                <w:sz w:val="22"/>
                <w:szCs w:val="22"/>
              </w:rPr>
              <w:fldChar w:fldCharType="begin"/>
            </w:r>
            <w:r w:rsidRPr="00B50C48">
              <w:rPr>
                <w:rFonts w:ascii="Tahoma" w:hAnsi="Tahoma" w:cs="Tahoma"/>
                <w:noProof/>
                <w:webHidden/>
                <w:sz w:val="22"/>
                <w:szCs w:val="22"/>
              </w:rPr>
              <w:instrText xml:space="preserve"> PAGEREF _Toc213476942 \h </w:instrText>
            </w:r>
            <w:r w:rsidRPr="00B50C48">
              <w:rPr>
                <w:rFonts w:ascii="Tahoma" w:hAnsi="Tahoma" w:cs="Tahoma"/>
                <w:noProof/>
                <w:webHidden/>
                <w:sz w:val="22"/>
                <w:szCs w:val="22"/>
              </w:rPr>
            </w:r>
            <w:r w:rsidRPr="00B50C48">
              <w:rPr>
                <w:rFonts w:ascii="Tahoma" w:hAnsi="Tahoma" w:cs="Tahoma"/>
                <w:noProof/>
                <w:webHidden/>
                <w:sz w:val="22"/>
                <w:szCs w:val="22"/>
              </w:rPr>
              <w:fldChar w:fldCharType="separate"/>
            </w:r>
            <w:r w:rsidRPr="00B50C48">
              <w:rPr>
                <w:rFonts w:ascii="Tahoma" w:hAnsi="Tahoma" w:cs="Tahoma"/>
                <w:noProof/>
                <w:webHidden/>
                <w:sz w:val="22"/>
                <w:szCs w:val="22"/>
              </w:rPr>
              <w:t>8</w:t>
            </w:r>
            <w:r w:rsidRPr="00B50C48">
              <w:rPr>
                <w:rFonts w:ascii="Tahoma" w:hAnsi="Tahoma" w:cs="Tahoma"/>
                <w:noProof/>
                <w:webHidden/>
                <w:sz w:val="22"/>
                <w:szCs w:val="22"/>
              </w:rPr>
              <w:fldChar w:fldCharType="end"/>
            </w:r>
          </w:hyperlink>
        </w:p>
        <w:p w14:paraId="11067531" w14:textId="11A778C2" w:rsidR="00B50C48" w:rsidRPr="00B50C48" w:rsidRDefault="00B50C48" w:rsidP="00B50C48">
          <w:pPr>
            <w:pStyle w:val="TOC1"/>
            <w:tabs>
              <w:tab w:val="right" w:leader="dot" w:pos="9016"/>
            </w:tabs>
            <w:spacing w:line="360" w:lineRule="auto"/>
            <w:rPr>
              <w:rFonts w:ascii="Tahoma" w:hAnsi="Tahoma" w:cs="Tahoma"/>
              <w:noProof/>
              <w:sz w:val="22"/>
              <w:szCs w:val="22"/>
            </w:rPr>
          </w:pPr>
          <w:hyperlink w:anchor="_Toc213476943" w:history="1">
            <w:r w:rsidRPr="00B50C48">
              <w:rPr>
                <w:rStyle w:val="Hyperlink"/>
                <w:rFonts w:ascii="Tahoma" w:hAnsi="Tahoma" w:cs="Tahoma"/>
                <w:noProof/>
                <w:color w:val="auto"/>
                <w:sz w:val="22"/>
                <w:szCs w:val="22"/>
              </w:rPr>
              <w:t>Conclusion</w:t>
            </w:r>
            <w:r w:rsidRPr="00B50C48">
              <w:rPr>
                <w:rFonts w:ascii="Tahoma" w:hAnsi="Tahoma" w:cs="Tahoma"/>
                <w:noProof/>
                <w:webHidden/>
                <w:sz w:val="22"/>
                <w:szCs w:val="22"/>
              </w:rPr>
              <w:tab/>
            </w:r>
            <w:r w:rsidRPr="00B50C48">
              <w:rPr>
                <w:rFonts w:ascii="Tahoma" w:hAnsi="Tahoma" w:cs="Tahoma"/>
                <w:noProof/>
                <w:webHidden/>
                <w:sz w:val="22"/>
                <w:szCs w:val="22"/>
              </w:rPr>
              <w:fldChar w:fldCharType="begin"/>
            </w:r>
            <w:r w:rsidRPr="00B50C48">
              <w:rPr>
                <w:rFonts w:ascii="Tahoma" w:hAnsi="Tahoma" w:cs="Tahoma"/>
                <w:noProof/>
                <w:webHidden/>
                <w:sz w:val="22"/>
                <w:szCs w:val="22"/>
              </w:rPr>
              <w:instrText xml:space="preserve"> PAGEREF _Toc213476943 \h </w:instrText>
            </w:r>
            <w:r w:rsidRPr="00B50C48">
              <w:rPr>
                <w:rFonts w:ascii="Tahoma" w:hAnsi="Tahoma" w:cs="Tahoma"/>
                <w:noProof/>
                <w:webHidden/>
                <w:sz w:val="22"/>
                <w:szCs w:val="22"/>
              </w:rPr>
            </w:r>
            <w:r w:rsidRPr="00B50C48">
              <w:rPr>
                <w:rFonts w:ascii="Tahoma" w:hAnsi="Tahoma" w:cs="Tahoma"/>
                <w:noProof/>
                <w:webHidden/>
                <w:sz w:val="22"/>
                <w:szCs w:val="22"/>
              </w:rPr>
              <w:fldChar w:fldCharType="separate"/>
            </w:r>
            <w:r w:rsidRPr="00B50C48">
              <w:rPr>
                <w:rFonts w:ascii="Tahoma" w:hAnsi="Tahoma" w:cs="Tahoma"/>
                <w:noProof/>
                <w:webHidden/>
                <w:sz w:val="22"/>
                <w:szCs w:val="22"/>
              </w:rPr>
              <w:t>8</w:t>
            </w:r>
            <w:r w:rsidRPr="00B50C48">
              <w:rPr>
                <w:rFonts w:ascii="Tahoma" w:hAnsi="Tahoma" w:cs="Tahoma"/>
                <w:noProof/>
                <w:webHidden/>
                <w:sz w:val="22"/>
                <w:szCs w:val="22"/>
              </w:rPr>
              <w:fldChar w:fldCharType="end"/>
            </w:r>
          </w:hyperlink>
        </w:p>
        <w:p w14:paraId="3FCAA53A" w14:textId="37BF0823" w:rsidR="00B50C48" w:rsidRPr="00B50C48" w:rsidRDefault="00B50C48" w:rsidP="00B50C48">
          <w:pPr>
            <w:pStyle w:val="TOC1"/>
            <w:tabs>
              <w:tab w:val="right" w:leader="dot" w:pos="9016"/>
            </w:tabs>
            <w:spacing w:line="360" w:lineRule="auto"/>
            <w:rPr>
              <w:rFonts w:ascii="Tahoma" w:hAnsi="Tahoma" w:cs="Tahoma"/>
              <w:noProof/>
              <w:sz w:val="22"/>
              <w:szCs w:val="22"/>
            </w:rPr>
          </w:pPr>
          <w:hyperlink w:anchor="_Toc213476944" w:history="1">
            <w:r w:rsidRPr="00B50C48">
              <w:rPr>
                <w:rStyle w:val="Hyperlink"/>
                <w:rFonts w:ascii="Tahoma" w:hAnsi="Tahoma" w:cs="Tahoma"/>
                <w:noProof/>
                <w:color w:val="auto"/>
                <w:sz w:val="22"/>
                <w:szCs w:val="22"/>
              </w:rPr>
              <w:t>References</w:t>
            </w:r>
            <w:r w:rsidRPr="00B50C48">
              <w:rPr>
                <w:rFonts w:ascii="Tahoma" w:hAnsi="Tahoma" w:cs="Tahoma"/>
                <w:noProof/>
                <w:webHidden/>
                <w:sz w:val="22"/>
                <w:szCs w:val="22"/>
              </w:rPr>
              <w:tab/>
            </w:r>
            <w:r w:rsidRPr="00B50C48">
              <w:rPr>
                <w:rFonts w:ascii="Tahoma" w:hAnsi="Tahoma" w:cs="Tahoma"/>
                <w:noProof/>
                <w:webHidden/>
                <w:sz w:val="22"/>
                <w:szCs w:val="22"/>
              </w:rPr>
              <w:fldChar w:fldCharType="begin"/>
            </w:r>
            <w:r w:rsidRPr="00B50C48">
              <w:rPr>
                <w:rFonts w:ascii="Tahoma" w:hAnsi="Tahoma" w:cs="Tahoma"/>
                <w:noProof/>
                <w:webHidden/>
                <w:sz w:val="22"/>
                <w:szCs w:val="22"/>
              </w:rPr>
              <w:instrText xml:space="preserve"> PAGEREF _Toc213476944 \h </w:instrText>
            </w:r>
            <w:r w:rsidRPr="00B50C48">
              <w:rPr>
                <w:rFonts w:ascii="Tahoma" w:hAnsi="Tahoma" w:cs="Tahoma"/>
                <w:noProof/>
                <w:webHidden/>
                <w:sz w:val="22"/>
                <w:szCs w:val="22"/>
              </w:rPr>
            </w:r>
            <w:r w:rsidRPr="00B50C48">
              <w:rPr>
                <w:rFonts w:ascii="Tahoma" w:hAnsi="Tahoma" w:cs="Tahoma"/>
                <w:noProof/>
                <w:webHidden/>
                <w:sz w:val="22"/>
                <w:szCs w:val="22"/>
              </w:rPr>
              <w:fldChar w:fldCharType="separate"/>
            </w:r>
            <w:r w:rsidRPr="00B50C48">
              <w:rPr>
                <w:rFonts w:ascii="Tahoma" w:hAnsi="Tahoma" w:cs="Tahoma"/>
                <w:noProof/>
                <w:webHidden/>
                <w:sz w:val="22"/>
                <w:szCs w:val="22"/>
              </w:rPr>
              <w:t>8</w:t>
            </w:r>
            <w:r w:rsidRPr="00B50C48">
              <w:rPr>
                <w:rFonts w:ascii="Tahoma" w:hAnsi="Tahoma" w:cs="Tahoma"/>
                <w:noProof/>
                <w:webHidden/>
                <w:sz w:val="22"/>
                <w:szCs w:val="22"/>
              </w:rPr>
              <w:fldChar w:fldCharType="end"/>
            </w:r>
          </w:hyperlink>
        </w:p>
        <w:p w14:paraId="66CBC88F" w14:textId="36A7F7B7" w:rsidR="00B50C48" w:rsidRDefault="00B50C48" w:rsidP="00B50C48">
          <w:pPr>
            <w:spacing w:line="360" w:lineRule="auto"/>
          </w:pPr>
          <w:r w:rsidRPr="00B50C48">
            <w:rPr>
              <w:rFonts w:ascii="Tahoma" w:hAnsi="Tahoma" w:cs="Tahoma"/>
              <w:b/>
              <w:bCs/>
              <w:noProof/>
              <w:sz w:val="22"/>
              <w:szCs w:val="22"/>
            </w:rPr>
            <w:fldChar w:fldCharType="end"/>
          </w:r>
        </w:p>
      </w:sdtContent>
    </w:sdt>
    <w:p w14:paraId="204366FD" w14:textId="77777777" w:rsidR="004A4455" w:rsidRPr="004A4455" w:rsidRDefault="004A4455" w:rsidP="004A4455">
      <w:pPr>
        <w:spacing w:line="360" w:lineRule="auto"/>
        <w:rPr>
          <w:rFonts w:ascii="Arial" w:hAnsi="Arial" w:cs="Arial"/>
          <w:b/>
          <w:bCs/>
          <w:sz w:val="22"/>
          <w:szCs w:val="22"/>
        </w:rPr>
      </w:pPr>
    </w:p>
    <w:p w14:paraId="31FCFB84" w14:textId="77777777" w:rsidR="004A4455" w:rsidRPr="004A4455" w:rsidRDefault="004A4455" w:rsidP="004A4455">
      <w:pPr>
        <w:spacing w:line="360" w:lineRule="auto"/>
        <w:rPr>
          <w:rFonts w:ascii="Arial" w:hAnsi="Arial" w:cs="Arial"/>
          <w:b/>
          <w:bCs/>
          <w:sz w:val="22"/>
          <w:szCs w:val="22"/>
        </w:rPr>
      </w:pPr>
    </w:p>
    <w:p w14:paraId="166BDDF9" w14:textId="77777777" w:rsidR="004A4455" w:rsidRPr="004A4455" w:rsidRDefault="004A4455" w:rsidP="004A4455">
      <w:pPr>
        <w:spacing w:line="360" w:lineRule="auto"/>
        <w:rPr>
          <w:rFonts w:ascii="Arial" w:hAnsi="Arial" w:cs="Arial"/>
          <w:b/>
          <w:bCs/>
          <w:sz w:val="22"/>
          <w:szCs w:val="22"/>
        </w:rPr>
      </w:pPr>
    </w:p>
    <w:p w14:paraId="0CE5CD9D" w14:textId="77777777" w:rsidR="004A4455" w:rsidRPr="004A4455" w:rsidRDefault="004A4455" w:rsidP="004A4455">
      <w:pPr>
        <w:spacing w:line="360" w:lineRule="auto"/>
        <w:rPr>
          <w:rFonts w:ascii="Arial" w:hAnsi="Arial" w:cs="Arial"/>
          <w:b/>
          <w:bCs/>
          <w:sz w:val="22"/>
          <w:szCs w:val="22"/>
        </w:rPr>
      </w:pPr>
    </w:p>
    <w:p w14:paraId="15DFE0EB" w14:textId="77777777" w:rsidR="004A4455" w:rsidRPr="004A4455" w:rsidRDefault="004A4455" w:rsidP="004A4455">
      <w:pPr>
        <w:spacing w:line="360" w:lineRule="auto"/>
        <w:rPr>
          <w:rFonts w:ascii="Arial" w:hAnsi="Arial" w:cs="Arial"/>
          <w:b/>
          <w:bCs/>
          <w:sz w:val="22"/>
          <w:szCs w:val="22"/>
        </w:rPr>
      </w:pPr>
    </w:p>
    <w:p w14:paraId="2D167CE7" w14:textId="77777777" w:rsidR="004A4455" w:rsidRPr="004A4455" w:rsidRDefault="004A4455" w:rsidP="004A4455">
      <w:pPr>
        <w:spacing w:line="360" w:lineRule="auto"/>
        <w:rPr>
          <w:rFonts w:ascii="Arial" w:hAnsi="Arial" w:cs="Arial"/>
          <w:b/>
          <w:bCs/>
          <w:sz w:val="22"/>
          <w:szCs w:val="22"/>
        </w:rPr>
      </w:pPr>
    </w:p>
    <w:p w14:paraId="093492F3" w14:textId="77777777" w:rsidR="004A4455" w:rsidRPr="004A4455" w:rsidRDefault="004A4455" w:rsidP="004A4455">
      <w:pPr>
        <w:spacing w:line="360" w:lineRule="auto"/>
        <w:rPr>
          <w:rFonts w:ascii="Arial" w:hAnsi="Arial" w:cs="Arial"/>
          <w:b/>
          <w:bCs/>
          <w:sz w:val="22"/>
          <w:szCs w:val="22"/>
        </w:rPr>
      </w:pPr>
    </w:p>
    <w:p w14:paraId="3CF5B915" w14:textId="77777777" w:rsidR="004A4455" w:rsidRPr="004A4455" w:rsidRDefault="004A4455" w:rsidP="004A4455">
      <w:pPr>
        <w:spacing w:line="360" w:lineRule="auto"/>
        <w:rPr>
          <w:rFonts w:ascii="Arial" w:hAnsi="Arial" w:cs="Arial"/>
          <w:b/>
          <w:bCs/>
          <w:sz w:val="22"/>
          <w:szCs w:val="22"/>
        </w:rPr>
      </w:pPr>
    </w:p>
    <w:p w14:paraId="1A8E50D3" w14:textId="77777777" w:rsidR="004A4455" w:rsidRPr="004A4455" w:rsidRDefault="004A4455" w:rsidP="004A4455">
      <w:pPr>
        <w:spacing w:line="360" w:lineRule="auto"/>
        <w:rPr>
          <w:rFonts w:ascii="Arial" w:hAnsi="Arial" w:cs="Arial"/>
          <w:b/>
          <w:bCs/>
          <w:sz w:val="22"/>
          <w:szCs w:val="22"/>
        </w:rPr>
      </w:pPr>
    </w:p>
    <w:p w14:paraId="2A499078" w14:textId="77777777" w:rsidR="004A4455" w:rsidRPr="004A4455" w:rsidRDefault="004A4455" w:rsidP="004A4455">
      <w:pPr>
        <w:spacing w:line="360" w:lineRule="auto"/>
        <w:rPr>
          <w:rFonts w:ascii="Arial" w:hAnsi="Arial" w:cs="Arial"/>
          <w:b/>
          <w:bCs/>
          <w:sz w:val="22"/>
          <w:szCs w:val="22"/>
        </w:rPr>
      </w:pPr>
    </w:p>
    <w:p w14:paraId="7C2EE2EC" w14:textId="77777777" w:rsidR="004A4455" w:rsidRPr="004A4455" w:rsidRDefault="004A4455" w:rsidP="004A4455">
      <w:pPr>
        <w:spacing w:line="360" w:lineRule="auto"/>
        <w:rPr>
          <w:rFonts w:ascii="Arial" w:hAnsi="Arial" w:cs="Arial"/>
          <w:b/>
          <w:bCs/>
          <w:sz w:val="22"/>
          <w:szCs w:val="22"/>
        </w:rPr>
      </w:pPr>
    </w:p>
    <w:p w14:paraId="66C6B216" w14:textId="77777777" w:rsidR="004A4455" w:rsidRPr="004A4455" w:rsidRDefault="004A4455" w:rsidP="004A4455">
      <w:pPr>
        <w:spacing w:line="360" w:lineRule="auto"/>
        <w:rPr>
          <w:rFonts w:ascii="Arial" w:hAnsi="Arial" w:cs="Arial"/>
          <w:b/>
          <w:bCs/>
          <w:sz w:val="22"/>
          <w:szCs w:val="22"/>
        </w:rPr>
      </w:pPr>
    </w:p>
    <w:p w14:paraId="08F0B92A" w14:textId="77777777" w:rsidR="004A4455" w:rsidRPr="004A4455" w:rsidRDefault="004A4455" w:rsidP="004A4455">
      <w:pPr>
        <w:spacing w:line="360" w:lineRule="auto"/>
        <w:rPr>
          <w:rFonts w:ascii="Arial" w:hAnsi="Arial" w:cs="Arial"/>
          <w:b/>
          <w:bCs/>
          <w:sz w:val="22"/>
          <w:szCs w:val="22"/>
        </w:rPr>
      </w:pPr>
    </w:p>
    <w:p w14:paraId="07370686" w14:textId="77777777" w:rsidR="004A4455" w:rsidRPr="004A4455" w:rsidRDefault="004A4455" w:rsidP="004A4455">
      <w:pPr>
        <w:spacing w:line="360" w:lineRule="auto"/>
        <w:rPr>
          <w:rFonts w:ascii="Arial" w:hAnsi="Arial" w:cs="Arial"/>
          <w:b/>
          <w:bCs/>
          <w:sz w:val="22"/>
          <w:szCs w:val="22"/>
        </w:rPr>
      </w:pPr>
    </w:p>
    <w:p w14:paraId="0412FE36" w14:textId="77777777" w:rsidR="004A4455" w:rsidRPr="004A4455" w:rsidRDefault="004A4455" w:rsidP="004A4455">
      <w:pPr>
        <w:spacing w:line="360" w:lineRule="auto"/>
        <w:rPr>
          <w:rFonts w:ascii="Arial" w:hAnsi="Arial" w:cs="Arial"/>
          <w:b/>
          <w:bCs/>
          <w:sz w:val="22"/>
          <w:szCs w:val="22"/>
        </w:rPr>
      </w:pPr>
    </w:p>
    <w:p w14:paraId="1038E2DA" w14:textId="2D3B3B2D" w:rsidR="004A4455" w:rsidRPr="004A4455" w:rsidRDefault="004A4455" w:rsidP="00601FC3">
      <w:pPr>
        <w:pStyle w:val="Heading1"/>
        <w:jc w:val="both"/>
      </w:pPr>
      <w:bookmarkStart w:id="0" w:name="_Toc213476935"/>
      <w:r w:rsidRPr="004A4455">
        <w:lastRenderedPageBreak/>
        <w:t>Introduction</w:t>
      </w:r>
      <w:bookmarkEnd w:id="0"/>
    </w:p>
    <w:p w14:paraId="389A6141" w14:textId="1DE3225D" w:rsidR="00327035" w:rsidRPr="00327035" w:rsidRDefault="00327035" w:rsidP="00327035">
      <w:pPr>
        <w:spacing w:line="360" w:lineRule="auto"/>
        <w:jc w:val="both"/>
        <w:rPr>
          <w:rFonts w:ascii="Arial" w:hAnsi="Arial" w:cs="Arial"/>
          <w:sz w:val="22"/>
          <w:szCs w:val="22"/>
        </w:rPr>
      </w:pPr>
      <w:r w:rsidRPr="00327035">
        <w:rPr>
          <w:rFonts w:ascii="Arial" w:hAnsi="Arial" w:cs="Arial"/>
          <w:sz w:val="22"/>
          <w:szCs w:val="22"/>
        </w:rPr>
        <w:t>Diabetes mellitus exists as a chronic metabolic disease that hyperglycaemia characterises by (high blood glucose levels) because insulin secretion defects, action defects or both exist</w:t>
      </w:r>
      <w:r>
        <w:rPr>
          <w:rFonts w:ascii="Arial" w:hAnsi="Arial" w:cs="Arial"/>
          <w:sz w:val="22"/>
          <w:szCs w:val="22"/>
        </w:rPr>
        <w:t xml:space="preserve"> </w:t>
      </w:r>
      <w:r w:rsidRPr="004A4455">
        <w:rPr>
          <w:rFonts w:ascii="Arial" w:hAnsi="Arial" w:cs="Arial"/>
          <w:sz w:val="22"/>
          <w:szCs w:val="22"/>
        </w:rPr>
        <w:t>(World Health Organization [WHO], 2023)</w:t>
      </w:r>
      <w:r w:rsidRPr="00327035">
        <w:rPr>
          <w:rFonts w:ascii="Arial" w:hAnsi="Arial" w:cs="Arial"/>
          <w:sz w:val="22"/>
          <w:szCs w:val="22"/>
        </w:rPr>
        <w:t>. Roughly 537 million grown people globally live with diabetes a number expected to rise to 643 million grown people by 2030</w:t>
      </w:r>
      <w:r>
        <w:rPr>
          <w:rFonts w:ascii="Arial" w:hAnsi="Arial" w:cs="Arial"/>
          <w:sz w:val="22"/>
          <w:szCs w:val="22"/>
        </w:rPr>
        <w:t xml:space="preserve"> </w:t>
      </w:r>
      <w:r w:rsidRPr="004A4455">
        <w:rPr>
          <w:rFonts w:ascii="Arial" w:hAnsi="Arial" w:cs="Arial"/>
          <w:sz w:val="22"/>
          <w:szCs w:val="22"/>
        </w:rPr>
        <w:t>(International Diabetes Federation [IDF], 2021)</w:t>
      </w:r>
      <w:r w:rsidRPr="00327035">
        <w:rPr>
          <w:rFonts w:ascii="Arial" w:hAnsi="Arial" w:cs="Arial"/>
          <w:sz w:val="22"/>
          <w:szCs w:val="22"/>
        </w:rPr>
        <w:t>. Diabetes mainly classifies under two main types with type 1 diabetes because autoimmune destruction destroys the pancreatic beta cells and with type 2 diabetes mellitus (T2DM) because insulin resists and insulin inadequately secretes. Over 90 percent of all diabetes cases are T2DM (NHS, 2024).</w:t>
      </w:r>
    </w:p>
    <w:p w14:paraId="1591D162" w14:textId="0713D1AE" w:rsidR="00327035" w:rsidRPr="00327035" w:rsidRDefault="00327035" w:rsidP="00327035">
      <w:pPr>
        <w:spacing w:line="360" w:lineRule="auto"/>
        <w:jc w:val="both"/>
        <w:rPr>
          <w:rFonts w:ascii="Arial" w:hAnsi="Arial" w:cs="Arial"/>
          <w:sz w:val="22"/>
          <w:szCs w:val="22"/>
        </w:rPr>
      </w:pPr>
      <w:r>
        <w:rPr>
          <w:rFonts w:ascii="Arial" w:hAnsi="Arial" w:cs="Arial"/>
          <w:sz w:val="22"/>
          <w:szCs w:val="22"/>
        </w:rPr>
        <w:t xml:space="preserve">Furthermore, </w:t>
      </w:r>
      <w:r w:rsidRPr="00327035">
        <w:rPr>
          <w:rFonts w:ascii="Arial" w:hAnsi="Arial" w:cs="Arial"/>
          <w:sz w:val="22"/>
          <w:szCs w:val="22"/>
        </w:rPr>
        <w:t>physiological regulation of blood sugar is an important part of homeostasis, the process that keeps all systems of an organism's internal environment in a state where energy intake and energy use are balanced</w:t>
      </w:r>
      <w:r>
        <w:rPr>
          <w:rFonts w:ascii="Arial" w:hAnsi="Arial" w:cs="Arial"/>
          <w:sz w:val="22"/>
          <w:szCs w:val="22"/>
        </w:rPr>
        <w:t xml:space="preserve"> </w:t>
      </w:r>
      <w:r w:rsidRPr="004A4455">
        <w:rPr>
          <w:rFonts w:ascii="Arial" w:hAnsi="Arial" w:cs="Arial"/>
          <w:sz w:val="22"/>
          <w:szCs w:val="22"/>
        </w:rPr>
        <w:t>(Scanlon and Sanders, 2018)</w:t>
      </w:r>
      <w:r w:rsidRPr="00327035">
        <w:rPr>
          <w:rFonts w:ascii="Arial" w:hAnsi="Arial" w:cs="Arial"/>
          <w:sz w:val="22"/>
          <w:szCs w:val="22"/>
        </w:rPr>
        <w:t>. Disorders like diabetes might disrupt homeostasis within. This disruption can complicate matters in the long term and cause disease to the cardiovascular system, nerves, kidneys, and retinas</w:t>
      </w:r>
      <w:r>
        <w:rPr>
          <w:rFonts w:ascii="Arial" w:hAnsi="Arial" w:cs="Arial"/>
          <w:sz w:val="22"/>
          <w:szCs w:val="22"/>
        </w:rPr>
        <w:t xml:space="preserve"> </w:t>
      </w:r>
      <w:r w:rsidRPr="004A4455">
        <w:rPr>
          <w:rFonts w:ascii="Arial" w:hAnsi="Arial" w:cs="Arial"/>
          <w:sz w:val="22"/>
          <w:szCs w:val="22"/>
        </w:rPr>
        <w:t>(American Diabetes Association [ADA], 2024)</w:t>
      </w:r>
      <w:r w:rsidRPr="00327035">
        <w:rPr>
          <w:rFonts w:ascii="Arial" w:hAnsi="Arial" w:cs="Arial"/>
          <w:sz w:val="22"/>
          <w:szCs w:val="22"/>
        </w:rPr>
        <w:t>.</w:t>
      </w:r>
    </w:p>
    <w:p w14:paraId="25E42A11" w14:textId="742120A5" w:rsidR="00327035" w:rsidRDefault="00327035" w:rsidP="00327035">
      <w:pPr>
        <w:spacing w:line="360" w:lineRule="auto"/>
        <w:jc w:val="both"/>
        <w:rPr>
          <w:rFonts w:ascii="Arial" w:hAnsi="Arial" w:cs="Arial"/>
          <w:sz w:val="22"/>
          <w:szCs w:val="22"/>
        </w:rPr>
      </w:pPr>
      <w:r w:rsidRPr="00327035">
        <w:rPr>
          <w:rFonts w:ascii="Arial" w:hAnsi="Arial" w:cs="Arial"/>
          <w:sz w:val="22"/>
          <w:szCs w:val="22"/>
        </w:rPr>
        <w:t>Risk factors toward type 2 diabetes mellitus include obesity, lack of physical activity, diet, a family history of type 2 diabetes mellitus and older age</w:t>
      </w:r>
      <w:r>
        <w:rPr>
          <w:rFonts w:ascii="Arial" w:hAnsi="Arial" w:cs="Arial"/>
          <w:sz w:val="22"/>
          <w:szCs w:val="22"/>
        </w:rPr>
        <w:t xml:space="preserve"> </w:t>
      </w:r>
      <w:r w:rsidRPr="004A4455">
        <w:rPr>
          <w:rFonts w:ascii="Arial" w:hAnsi="Arial" w:cs="Arial"/>
          <w:sz w:val="22"/>
          <w:szCs w:val="22"/>
        </w:rPr>
        <w:t>(Public Health England, 2022)</w:t>
      </w:r>
      <w:r w:rsidRPr="00327035">
        <w:rPr>
          <w:rFonts w:ascii="Arial" w:hAnsi="Arial" w:cs="Arial"/>
          <w:sz w:val="22"/>
          <w:szCs w:val="22"/>
        </w:rPr>
        <w:t>. Insulin signals and metabolises glucose with critical aspects for understanding development of diabetes and diabetes care. About disease prevention and management, possible topics exist in glucose regulation, cellular respiration, or healthy lifestyle choices.</w:t>
      </w:r>
    </w:p>
    <w:p w14:paraId="51C5B711" w14:textId="77777777" w:rsidR="00601FC3" w:rsidRDefault="00601FC3" w:rsidP="00601FC3">
      <w:pPr>
        <w:spacing w:line="360" w:lineRule="auto"/>
        <w:jc w:val="both"/>
        <w:rPr>
          <w:rFonts w:ascii="Arial" w:hAnsi="Arial" w:cs="Arial"/>
          <w:b/>
          <w:bCs/>
          <w:sz w:val="22"/>
          <w:szCs w:val="22"/>
        </w:rPr>
      </w:pPr>
    </w:p>
    <w:p w14:paraId="4210BA8B" w14:textId="7157D650" w:rsidR="004A4455" w:rsidRPr="004A4455" w:rsidRDefault="004A4455" w:rsidP="00327035">
      <w:pPr>
        <w:pStyle w:val="Heading1"/>
      </w:pPr>
      <w:bookmarkStart w:id="1" w:name="_Toc213476936"/>
      <w:r w:rsidRPr="004A4455">
        <w:t>Regulation of Blood Glucose Levels</w:t>
      </w:r>
      <w:bookmarkEnd w:id="1"/>
    </w:p>
    <w:p w14:paraId="3615A004" w14:textId="6F083615" w:rsidR="001A59DF" w:rsidRPr="001A59DF" w:rsidRDefault="001A59DF" w:rsidP="001A59DF">
      <w:pPr>
        <w:spacing w:line="360" w:lineRule="auto"/>
        <w:jc w:val="both"/>
        <w:rPr>
          <w:rFonts w:ascii="Arial" w:hAnsi="Arial" w:cs="Arial"/>
          <w:sz w:val="22"/>
          <w:szCs w:val="22"/>
        </w:rPr>
      </w:pPr>
      <w:r w:rsidRPr="001A59DF">
        <w:rPr>
          <w:rFonts w:ascii="Arial" w:hAnsi="Arial" w:cs="Arial"/>
          <w:sz w:val="22"/>
          <w:szCs w:val="22"/>
        </w:rPr>
        <w:t>The pancreas controls blood glucose within. Insulin and glucagon secrete out from the pancreas, originating from the islets of Langerhans. Insulin secretes from the β-cells and glucagon secretes from the α-cells</w:t>
      </w:r>
      <w:r>
        <w:rPr>
          <w:rFonts w:ascii="Arial" w:hAnsi="Arial" w:cs="Arial"/>
          <w:sz w:val="22"/>
          <w:szCs w:val="22"/>
        </w:rPr>
        <w:t xml:space="preserve"> (</w:t>
      </w:r>
      <w:r w:rsidRPr="001A59DF">
        <w:rPr>
          <w:rFonts w:ascii="Arial" w:hAnsi="Arial" w:cs="Arial"/>
          <w:sz w:val="22"/>
          <w:szCs w:val="22"/>
        </w:rPr>
        <w:t>Scanlon and Sanders, 2018</w:t>
      </w:r>
      <w:r>
        <w:rPr>
          <w:rFonts w:ascii="Arial" w:hAnsi="Arial" w:cs="Arial"/>
          <w:sz w:val="22"/>
          <w:szCs w:val="22"/>
        </w:rPr>
        <w:t xml:space="preserve">; </w:t>
      </w:r>
      <w:r w:rsidRPr="001A59DF">
        <w:rPr>
          <w:rFonts w:ascii="Arial" w:hAnsi="Arial" w:cs="Arial"/>
          <w:sz w:val="22"/>
          <w:szCs w:val="22"/>
        </w:rPr>
        <w:t>Guyton and Hall, 2021</w:t>
      </w:r>
      <w:r>
        <w:rPr>
          <w:rFonts w:ascii="Arial" w:hAnsi="Arial" w:cs="Arial"/>
          <w:sz w:val="22"/>
          <w:szCs w:val="22"/>
        </w:rPr>
        <w:t>)</w:t>
      </w:r>
      <w:r w:rsidRPr="001A59DF">
        <w:rPr>
          <w:rFonts w:ascii="Arial" w:hAnsi="Arial" w:cs="Arial"/>
          <w:sz w:val="22"/>
          <w:szCs w:val="22"/>
        </w:rPr>
        <w:t>, state about insulin reducing blood glucose. They state glucagon increases it. Insulin prompts glucose to be taken into skeletal muscle and into adipose tissues. It does this through glucose transporter type 4 (GLUT4) receptors moving to the plasma membrane (Saltiel and Olefsky, 2017). Glucagon causes an increase in blood glucose levels by prompting glycogenolysis, which converts glycogen to glucose, and gluconeogenesis, which forms glucose from non-carbohydrate precursors inside the liver.</w:t>
      </w:r>
    </w:p>
    <w:p w14:paraId="76A8814E" w14:textId="77777777" w:rsidR="001A59DF" w:rsidRPr="001A59DF" w:rsidRDefault="001A59DF" w:rsidP="001A59DF">
      <w:pPr>
        <w:spacing w:line="360" w:lineRule="auto"/>
        <w:jc w:val="both"/>
        <w:rPr>
          <w:rFonts w:ascii="Arial" w:hAnsi="Arial" w:cs="Arial"/>
          <w:sz w:val="22"/>
          <w:szCs w:val="22"/>
        </w:rPr>
      </w:pPr>
      <w:r w:rsidRPr="001A59DF">
        <w:rPr>
          <w:rFonts w:ascii="Arial" w:hAnsi="Arial" w:cs="Arial"/>
          <w:sz w:val="22"/>
          <w:szCs w:val="22"/>
        </w:rPr>
        <w:t xml:space="preserve">Blood glucose level shows a negative feedback control system and stays within the physiological range of 3.9 to 7.8 mmol/L (70 to 140 mg/dl) during fasting and postprandial states respectively according to (Marieb and Hoehn, 2019). Pancreatic β-cells secrete insulin </w:t>
      </w:r>
      <w:r w:rsidRPr="001A59DF">
        <w:rPr>
          <w:rFonts w:ascii="Arial" w:hAnsi="Arial" w:cs="Arial"/>
          <w:sz w:val="22"/>
          <w:szCs w:val="22"/>
        </w:rPr>
        <w:lastRenderedPageBreak/>
        <w:t>when blood glucose levels rise in the post-prandial phase. Insulin connects to the receptor on target tissues. This activates signalling pathways. This results in glucose uptake and glycogen storage. Insulin secretes less in order to normalise when blood glucose concentrates and drops. When fasting, blood glucose concentration drops to a low level. This increases glucagon secretion to produce glucose for energy use (Guyton and Hall, 2021).</w:t>
      </w:r>
    </w:p>
    <w:p w14:paraId="397594F5" w14:textId="77777777" w:rsidR="001A59DF" w:rsidRPr="001A59DF" w:rsidRDefault="001A59DF" w:rsidP="001A59DF">
      <w:pPr>
        <w:spacing w:line="360" w:lineRule="auto"/>
        <w:jc w:val="both"/>
        <w:rPr>
          <w:rFonts w:ascii="Arial" w:hAnsi="Arial" w:cs="Arial"/>
          <w:sz w:val="22"/>
          <w:szCs w:val="22"/>
        </w:rPr>
      </w:pPr>
      <w:r w:rsidRPr="001A59DF">
        <w:rPr>
          <w:rFonts w:ascii="Arial" w:hAnsi="Arial" w:cs="Arial"/>
          <w:sz w:val="22"/>
          <w:szCs w:val="22"/>
        </w:rPr>
        <w:t>Insulin resists at the point in time when the body's cells no longer sense insulin, and glucose levels increase in spite of normal or elevated levels of insulin (DeFronzo et al., 2021). Obesity inflames, causes insulin resistance, and releases cytokines (such as TNF-α and IL-6) from adipose tissue. These cytokines cause interference in insulin signalling (Saltiel and Olefsky, 2017). The pancreatic β-cells become overtaxed and are eventually no longer able to secrete a sufficient amount of insulin in response for long, exacerbating the hyperglycemia.</w:t>
      </w:r>
    </w:p>
    <w:p w14:paraId="6EE04C26" w14:textId="77777777" w:rsidR="001A59DF" w:rsidRPr="001A59DF" w:rsidRDefault="001A59DF" w:rsidP="001A59DF">
      <w:pPr>
        <w:spacing w:line="360" w:lineRule="auto"/>
        <w:jc w:val="both"/>
        <w:rPr>
          <w:rFonts w:ascii="Arial" w:hAnsi="Arial" w:cs="Arial"/>
          <w:sz w:val="22"/>
          <w:szCs w:val="22"/>
        </w:rPr>
      </w:pPr>
      <w:r w:rsidRPr="001A59DF">
        <w:rPr>
          <w:rFonts w:ascii="Arial" w:hAnsi="Arial" w:cs="Arial"/>
          <w:sz w:val="22"/>
          <w:szCs w:val="22"/>
        </w:rPr>
        <w:t>The liver, muscle, and adipose tissue work together in service of glucose transport. The liver manages glucose it stores glucose as glycogen it breaks glycogen down for energy when needed. The muscle stores glucose in order to provide energy when it contracts. Adipose tissue uses glucose in conversion to triglycerides (Hall and Hall 2020). The nervous system itself is not insulin-dependent for utilisation of glucose but is considered as glucose-dependent; many of the systemic complications of poorly controlled diabetes, such as fatigue, weight loss and altered consciousness, are related to imbalances of glucose delivery to the brain (Sturgeon, 2018).</w:t>
      </w:r>
    </w:p>
    <w:p w14:paraId="25535ECB" w14:textId="290FC58F" w:rsidR="004A4455" w:rsidRDefault="001A59DF" w:rsidP="001A59DF">
      <w:pPr>
        <w:spacing w:line="360" w:lineRule="auto"/>
        <w:jc w:val="both"/>
        <w:rPr>
          <w:rFonts w:ascii="Arial" w:hAnsi="Arial" w:cs="Arial"/>
          <w:sz w:val="22"/>
          <w:szCs w:val="22"/>
        </w:rPr>
      </w:pPr>
      <w:r w:rsidRPr="001A59DF">
        <w:rPr>
          <w:rFonts w:ascii="Arial" w:hAnsi="Arial" w:cs="Arial"/>
          <w:sz w:val="22"/>
          <w:szCs w:val="22"/>
        </w:rPr>
        <w:t>Understanding this control can inform medical management like pharmacological and lifestyle interventions. The interventions correct impaired control. Metformin, first-line treatment for type 2 diabetes, treats by lessening hepatic glucose production and it improves insulin sensitivity through similar mechanisms (UK National Institute for Health and Care Excellence [NICE], 2023).</w:t>
      </w:r>
    </w:p>
    <w:p w14:paraId="662FFAC4" w14:textId="77777777" w:rsidR="001A59DF" w:rsidRPr="004A4455" w:rsidRDefault="001A59DF" w:rsidP="001A59DF">
      <w:pPr>
        <w:spacing w:line="360" w:lineRule="auto"/>
        <w:jc w:val="both"/>
        <w:rPr>
          <w:rFonts w:ascii="Arial" w:hAnsi="Arial" w:cs="Arial"/>
          <w:sz w:val="22"/>
          <w:szCs w:val="22"/>
        </w:rPr>
      </w:pPr>
    </w:p>
    <w:p w14:paraId="0A684719" w14:textId="1E5C36E5" w:rsidR="004A4455" w:rsidRPr="004A4455" w:rsidRDefault="004A4455" w:rsidP="00601FC3">
      <w:pPr>
        <w:spacing w:line="360" w:lineRule="auto"/>
        <w:jc w:val="both"/>
        <w:rPr>
          <w:rFonts w:ascii="Arial" w:hAnsi="Arial" w:cs="Arial"/>
          <w:b/>
          <w:bCs/>
          <w:sz w:val="22"/>
          <w:szCs w:val="22"/>
        </w:rPr>
      </w:pPr>
      <w:r w:rsidRPr="004A4455">
        <w:rPr>
          <w:rFonts w:ascii="Arial" w:hAnsi="Arial" w:cs="Arial"/>
          <w:b/>
          <w:bCs/>
          <w:sz w:val="22"/>
          <w:szCs w:val="22"/>
        </w:rPr>
        <w:t>Cellular Metabolism: Oxygen and Glucose in Energy Production</w:t>
      </w:r>
    </w:p>
    <w:p w14:paraId="5D7C4A25" w14:textId="6C87C343"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At the cellular level, glucose is a vital energy substrate used to generate adenosine triphosphate (ATP)</w:t>
      </w:r>
      <w:r w:rsidR="00601FC3" w:rsidRPr="001A59DF">
        <w:rPr>
          <w:rFonts w:ascii="Arial" w:hAnsi="Arial" w:cs="Arial"/>
          <w:sz w:val="22"/>
          <w:szCs w:val="22"/>
        </w:rPr>
        <w:t xml:space="preserve">, </w:t>
      </w:r>
      <w:r w:rsidRPr="004A4455">
        <w:rPr>
          <w:rFonts w:ascii="Arial" w:hAnsi="Arial" w:cs="Arial"/>
          <w:sz w:val="22"/>
          <w:szCs w:val="22"/>
        </w:rPr>
        <w:t>the universal energy currency of cells. Cellular respiration, occurring mainly in the mitochondria, converts glucose and oxygen into ATP, water, and carbon dioxide (Sturgeon, 2018). This process is summarised by the equation:</w:t>
      </w:r>
    </w:p>
    <w:p w14:paraId="043552E6" w14:textId="2DB5709A" w:rsidR="004A4455" w:rsidRPr="004A4455" w:rsidRDefault="004A4455" w:rsidP="00601FC3">
      <w:pPr>
        <w:spacing w:line="360" w:lineRule="auto"/>
        <w:jc w:val="both"/>
        <w:rPr>
          <w:rFonts w:ascii="Arial" w:hAnsi="Arial" w:cs="Arial"/>
          <w:sz w:val="22"/>
          <w:szCs w:val="22"/>
        </w:rPr>
      </w:pPr>
      <m:oMathPara>
        <m:oMath>
          <m:sSub>
            <m:sSubPr>
              <m:ctrlPr>
                <w:rPr>
                  <w:rFonts w:ascii="Cambria Math" w:hAnsi="Cambria Math" w:cs="Arial"/>
                  <w:sz w:val="22"/>
                  <w:szCs w:val="22"/>
                </w:rPr>
              </m:ctrlPr>
            </m:sSubPr>
            <m:e>
              <m:r>
                <w:rPr>
                  <w:rFonts w:ascii="Cambria Math" w:hAnsi="Cambria Math" w:cs="Arial"/>
                  <w:sz w:val="22"/>
                  <w:szCs w:val="22"/>
                </w:rPr>
                <m:t>C</m:t>
              </m:r>
            </m:e>
            <m:sub>
              <m:r>
                <w:rPr>
                  <w:rFonts w:ascii="Cambria Math" w:hAnsi="Cambria Math" w:cs="Arial"/>
                  <w:sz w:val="22"/>
                  <w:szCs w:val="22"/>
                </w:rPr>
                <m:t>6</m:t>
              </m:r>
            </m:sub>
          </m:sSub>
          <m:sSub>
            <m:sSubPr>
              <m:ctrlPr>
                <w:rPr>
                  <w:rFonts w:ascii="Cambria Math" w:hAnsi="Cambria Math" w:cs="Arial"/>
                  <w:sz w:val="22"/>
                  <w:szCs w:val="22"/>
                </w:rPr>
              </m:ctrlPr>
            </m:sSubPr>
            <m:e>
              <m:r>
                <w:rPr>
                  <w:rFonts w:ascii="Cambria Math" w:hAnsi="Cambria Math" w:cs="Arial"/>
                  <w:sz w:val="22"/>
                  <w:szCs w:val="22"/>
                </w:rPr>
                <m:t>H</m:t>
              </m:r>
            </m:e>
            <m:sub>
              <m:r>
                <w:rPr>
                  <w:rFonts w:ascii="Cambria Math" w:hAnsi="Cambria Math" w:cs="Arial"/>
                  <w:sz w:val="22"/>
                  <w:szCs w:val="22"/>
                </w:rPr>
                <m:t>12</m:t>
              </m:r>
            </m:sub>
          </m:sSub>
          <m:sSub>
            <m:sSubPr>
              <m:ctrlPr>
                <w:rPr>
                  <w:rFonts w:ascii="Cambria Math" w:hAnsi="Cambria Math" w:cs="Arial"/>
                  <w:sz w:val="22"/>
                  <w:szCs w:val="22"/>
                </w:rPr>
              </m:ctrlPr>
            </m:sSubPr>
            <m:e>
              <m:r>
                <w:rPr>
                  <w:rFonts w:ascii="Cambria Math" w:hAnsi="Cambria Math" w:cs="Arial"/>
                  <w:sz w:val="22"/>
                  <w:szCs w:val="22"/>
                </w:rPr>
                <m:t>O</m:t>
              </m:r>
            </m:e>
            <m:sub>
              <m:r>
                <w:rPr>
                  <w:rFonts w:ascii="Cambria Math" w:hAnsi="Cambria Math" w:cs="Arial"/>
                  <w:sz w:val="22"/>
                  <w:szCs w:val="22"/>
                </w:rPr>
                <m:t>6</m:t>
              </m:r>
            </m:sub>
          </m:sSub>
          <m:r>
            <w:rPr>
              <w:rFonts w:ascii="Cambria Math" w:hAnsi="Cambria Math" w:cs="Arial"/>
              <w:sz w:val="22"/>
              <w:szCs w:val="22"/>
            </w:rPr>
            <m:t>+6</m:t>
          </m:r>
          <m:sSub>
            <m:sSubPr>
              <m:ctrlPr>
                <w:rPr>
                  <w:rFonts w:ascii="Cambria Math" w:hAnsi="Cambria Math" w:cs="Arial"/>
                  <w:sz w:val="22"/>
                  <w:szCs w:val="22"/>
                </w:rPr>
              </m:ctrlPr>
            </m:sSubPr>
            <m:e>
              <m:r>
                <w:rPr>
                  <w:rFonts w:ascii="Cambria Math" w:hAnsi="Cambria Math" w:cs="Arial"/>
                  <w:sz w:val="22"/>
                  <w:szCs w:val="22"/>
                </w:rPr>
                <m:t>O</m:t>
              </m:r>
            </m:e>
            <m:sub>
              <m:r>
                <w:rPr>
                  <w:rFonts w:ascii="Cambria Math" w:hAnsi="Cambria Math" w:cs="Arial"/>
                  <w:sz w:val="22"/>
                  <w:szCs w:val="22"/>
                </w:rPr>
                <m:t>2</m:t>
              </m:r>
            </m:sub>
          </m:sSub>
          <m:r>
            <w:rPr>
              <w:rFonts w:ascii="Cambria Math" w:hAnsi="Cambria Math" w:cs="Arial"/>
              <w:sz w:val="22"/>
              <w:szCs w:val="22"/>
            </w:rPr>
            <m:t>→6C</m:t>
          </m:r>
          <m:sSub>
            <m:sSubPr>
              <m:ctrlPr>
                <w:rPr>
                  <w:rFonts w:ascii="Cambria Math" w:hAnsi="Cambria Math" w:cs="Arial"/>
                  <w:sz w:val="22"/>
                  <w:szCs w:val="22"/>
                </w:rPr>
              </m:ctrlPr>
            </m:sSubPr>
            <m:e>
              <m:r>
                <w:rPr>
                  <w:rFonts w:ascii="Cambria Math" w:hAnsi="Cambria Math" w:cs="Arial"/>
                  <w:sz w:val="22"/>
                  <w:szCs w:val="22"/>
                </w:rPr>
                <m:t>O</m:t>
              </m:r>
            </m:e>
            <m:sub>
              <m:r>
                <w:rPr>
                  <w:rFonts w:ascii="Cambria Math" w:hAnsi="Cambria Math" w:cs="Arial"/>
                  <w:sz w:val="22"/>
                  <w:szCs w:val="22"/>
                </w:rPr>
                <m:t>2</m:t>
              </m:r>
            </m:sub>
          </m:sSub>
          <m:r>
            <w:rPr>
              <w:rFonts w:ascii="Cambria Math" w:hAnsi="Cambria Math" w:cs="Arial"/>
              <w:sz w:val="22"/>
              <w:szCs w:val="22"/>
            </w:rPr>
            <m:t>+6</m:t>
          </m:r>
          <m:sSub>
            <m:sSubPr>
              <m:ctrlPr>
                <w:rPr>
                  <w:rFonts w:ascii="Cambria Math" w:hAnsi="Cambria Math" w:cs="Arial"/>
                  <w:sz w:val="22"/>
                  <w:szCs w:val="22"/>
                </w:rPr>
              </m:ctrlPr>
            </m:sSubPr>
            <m:e>
              <m:r>
                <w:rPr>
                  <w:rFonts w:ascii="Cambria Math" w:hAnsi="Cambria Math" w:cs="Arial"/>
                  <w:sz w:val="22"/>
                  <w:szCs w:val="22"/>
                </w:rPr>
                <m:t>H</m:t>
              </m:r>
            </m:e>
            <m:sub>
              <m:r>
                <w:rPr>
                  <w:rFonts w:ascii="Cambria Math" w:hAnsi="Cambria Math" w:cs="Arial"/>
                  <w:sz w:val="22"/>
                  <w:szCs w:val="22"/>
                </w:rPr>
                <m:t>2</m:t>
              </m:r>
            </m:sub>
          </m:sSub>
          <m:r>
            <w:rPr>
              <w:rFonts w:ascii="Cambria Math" w:hAnsi="Cambria Math" w:cs="Arial"/>
              <w:sz w:val="22"/>
              <w:szCs w:val="22"/>
            </w:rPr>
            <m:t>O+Energy(ATP)</m:t>
          </m:r>
          <m:r>
            <w:rPr>
              <w:rFonts w:ascii="Arial" w:hAnsi="Arial" w:cs="Arial"/>
              <w:i/>
              <w:sz w:val="22"/>
              <w:szCs w:val="22"/>
            </w:rPr>
            <w:br/>
          </m:r>
        </m:oMath>
      </m:oMathPara>
    </w:p>
    <w:p w14:paraId="1CF33448" w14:textId="77777777" w:rsidR="00B50C48" w:rsidRPr="00B50C48" w:rsidRDefault="00B50C48" w:rsidP="00B50C48">
      <w:pPr>
        <w:spacing w:line="360" w:lineRule="auto"/>
        <w:jc w:val="both"/>
        <w:rPr>
          <w:rFonts w:ascii="Arial" w:hAnsi="Arial" w:cs="Arial"/>
          <w:sz w:val="22"/>
          <w:szCs w:val="22"/>
        </w:rPr>
      </w:pPr>
      <w:r w:rsidRPr="00B50C48">
        <w:rPr>
          <w:rFonts w:ascii="Arial" w:hAnsi="Arial" w:cs="Arial"/>
          <w:sz w:val="22"/>
          <w:szCs w:val="22"/>
        </w:rPr>
        <w:lastRenderedPageBreak/>
        <w:t>The key stages of the cellular respiration process are glycolysis, the citric acid cycle (Krebs cycle), and the electron transport chain (ETC).</w:t>
      </w:r>
    </w:p>
    <w:p w14:paraId="392960E2" w14:textId="3660F067" w:rsidR="00B50C48" w:rsidRPr="00B50C48" w:rsidRDefault="00B50C48" w:rsidP="00B50C48">
      <w:pPr>
        <w:pStyle w:val="ListParagraph"/>
        <w:numPr>
          <w:ilvl w:val="0"/>
          <w:numId w:val="3"/>
        </w:numPr>
        <w:spacing w:line="360" w:lineRule="auto"/>
        <w:jc w:val="both"/>
        <w:rPr>
          <w:rFonts w:ascii="Arial" w:hAnsi="Arial" w:cs="Arial"/>
          <w:sz w:val="22"/>
          <w:szCs w:val="22"/>
        </w:rPr>
      </w:pPr>
      <w:r w:rsidRPr="00B50C48">
        <w:rPr>
          <w:rFonts w:ascii="Arial" w:hAnsi="Arial" w:cs="Arial"/>
          <w:sz w:val="22"/>
          <w:szCs w:val="22"/>
        </w:rPr>
        <w:t>The first stage of cellular respiration is glycolysis, in which glucose, a six-carbon monosaccharide, is broken down in the cytoplasm of the cell to two molecules of pyruvate, producing a net yield of two ATP and two molecules of NADH (Marieb and Hoehn, 2019).</w:t>
      </w:r>
    </w:p>
    <w:p w14:paraId="037696D2" w14:textId="7FB64B44" w:rsidR="00B50C48" w:rsidRPr="00B50C48" w:rsidRDefault="00B50C48" w:rsidP="00B50C48">
      <w:pPr>
        <w:pStyle w:val="ListParagraph"/>
        <w:numPr>
          <w:ilvl w:val="0"/>
          <w:numId w:val="3"/>
        </w:numPr>
        <w:spacing w:line="360" w:lineRule="auto"/>
        <w:jc w:val="both"/>
        <w:rPr>
          <w:rFonts w:ascii="Arial" w:hAnsi="Arial" w:cs="Arial"/>
          <w:sz w:val="22"/>
          <w:szCs w:val="22"/>
        </w:rPr>
      </w:pPr>
      <w:r w:rsidRPr="00B50C48">
        <w:rPr>
          <w:rFonts w:ascii="Arial" w:hAnsi="Arial" w:cs="Arial"/>
          <w:sz w:val="22"/>
          <w:szCs w:val="22"/>
        </w:rPr>
        <w:t>In the Krebs cycle within the mitochondrial matrix, the pyruvate is converted to carbon dioxide and electron carriers NADH and FADH</w:t>
      </w:r>
      <w:r w:rsidRPr="00B50C48">
        <w:rPr>
          <w:rFonts w:ascii="Cambria Math" w:hAnsi="Cambria Math" w:cs="Cambria Math"/>
          <w:sz w:val="22"/>
          <w:szCs w:val="22"/>
        </w:rPr>
        <w:t>₂</w:t>
      </w:r>
      <w:r w:rsidRPr="00B50C48">
        <w:rPr>
          <w:rFonts w:ascii="Arial" w:hAnsi="Arial" w:cs="Arial"/>
          <w:sz w:val="22"/>
          <w:szCs w:val="22"/>
        </w:rPr>
        <w:t>.</w:t>
      </w:r>
    </w:p>
    <w:p w14:paraId="2B43B7CD" w14:textId="70B369AC" w:rsidR="00B50C48" w:rsidRPr="00B50C48" w:rsidRDefault="00B50C48" w:rsidP="00B50C48">
      <w:pPr>
        <w:pStyle w:val="ListParagraph"/>
        <w:numPr>
          <w:ilvl w:val="0"/>
          <w:numId w:val="3"/>
        </w:numPr>
        <w:spacing w:line="360" w:lineRule="auto"/>
        <w:jc w:val="both"/>
        <w:rPr>
          <w:rFonts w:ascii="Arial" w:hAnsi="Arial" w:cs="Arial"/>
          <w:sz w:val="22"/>
          <w:szCs w:val="22"/>
        </w:rPr>
      </w:pPr>
      <w:r w:rsidRPr="00B50C48">
        <w:rPr>
          <w:rFonts w:ascii="Arial" w:hAnsi="Arial" w:cs="Arial"/>
          <w:sz w:val="22"/>
          <w:szCs w:val="22"/>
        </w:rPr>
        <w:t>These electron carriers are then used in the inner mitochondrial membrane as part of the electron transport chain (ETC), to produce large amounts of ATP via oxidative phosphorylation (Sturgeon, 2018).</w:t>
      </w:r>
    </w:p>
    <w:p w14:paraId="00B1F131" w14:textId="22BC422F" w:rsidR="001A59DF" w:rsidRDefault="001A59DF" w:rsidP="00B50C48">
      <w:pPr>
        <w:spacing w:line="360" w:lineRule="auto"/>
        <w:jc w:val="both"/>
        <w:rPr>
          <w:rFonts w:ascii="Arial" w:hAnsi="Arial" w:cs="Arial"/>
          <w:sz w:val="22"/>
          <w:szCs w:val="22"/>
        </w:rPr>
      </w:pPr>
      <w:r w:rsidRPr="001A59DF">
        <w:rPr>
          <w:rFonts w:ascii="Arial" w:hAnsi="Arial" w:cs="Arial"/>
          <w:sz w:val="22"/>
          <w:szCs w:val="22"/>
        </w:rPr>
        <w:t>Oxygen accepts electrons when electrons are delivered to cytochromes. This maximises ATP yield. Without oxygen, respiration continues as anaerobic fermentation, and it undergoes lactic acid fermentation. This relates to metabolic acidosis and fatigue in diabetes according to Berg et al. in 2019.</w:t>
      </w:r>
    </w:p>
    <w:p w14:paraId="13399DD3" w14:textId="023C347D" w:rsidR="001A59DF" w:rsidRDefault="001A59DF" w:rsidP="00601FC3">
      <w:pPr>
        <w:spacing w:line="360" w:lineRule="auto"/>
        <w:jc w:val="both"/>
        <w:rPr>
          <w:rFonts w:ascii="Arial" w:hAnsi="Arial" w:cs="Arial"/>
          <w:sz w:val="22"/>
          <w:szCs w:val="22"/>
        </w:rPr>
      </w:pPr>
      <w:r w:rsidRPr="001A59DF">
        <w:rPr>
          <w:rFonts w:ascii="Arial" w:hAnsi="Arial" w:cs="Arial"/>
          <w:sz w:val="22"/>
          <w:szCs w:val="22"/>
        </w:rPr>
        <w:t xml:space="preserve">In diabetes, much glucose is in the </w:t>
      </w:r>
      <w:r w:rsidRPr="001A59DF">
        <w:rPr>
          <w:rFonts w:ascii="Arial" w:hAnsi="Arial" w:cs="Arial"/>
          <w:sz w:val="22"/>
          <w:szCs w:val="22"/>
        </w:rPr>
        <w:t>blood,</w:t>
      </w:r>
      <w:r w:rsidRPr="001A59DF">
        <w:rPr>
          <w:rFonts w:ascii="Arial" w:hAnsi="Arial" w:cs="Arial"/>
          <w:sz w:val="22"/>
          <w:szCs w:val="22"/>
        </w:rPr>
        <w:t xml:space="preserve"> but glucose cannot enter cells to provide energy to the cells. Cells rely on fat for energy. This </w:t>
      </w:r>
      <w:r w:rsidRPr="001A59DF">
        <w:rPr>
          <w:rFonts w:ascii="Arial" w:hAnsi="Arial" w:cs="Arial"/>
          <w:sz w:val="22"/>
          <w:szCs w:val="22"/>
        </w:rPr>
        <w:t>relies on</w:t>
      </w:r>
      <w:r w:rsidRPr="001A59DF">
        <w:rPr>
          <w:rFonts w:ascii="Arial" w:hAnsi="Arial" w:cs="Arial"/>
          <w:sz w:val="22"/>
          <w:szCs w:val="22"/>
        </w:rPr>
        <w:t xml:space="preserve"> and concentrates free fatty acids and ketone bodies (DeFronzo et al., 2021). Ketones overproduce diabetic ketoacidosis or DKA mainly in patients with a lack of insulin (ADA, 2024).</w:t>
      </w:r>
      <w:r>
        <w:rPr>
          <w:rFonts w:ascii="Arial" w:hAnsi="Arial" w:cs="Arial"/>
          <w:sz w:val="22"/>
          <w:szCs w:val="22"/>
        </w:rPr>
        <w:t xml:space="preserve"> </w:t>
      </w:r>
      <w:r w:rsidRPr="001A59DF">
        <w:rPr>
          <w:rFonts w:ascii="Arial" w:hAnsi="Arial" w:cs="Arial"/>
          <w:sz w:val="22"/>
          <w:szCs w:val="22"/>
        </w:rPr>
        <w:t>Mitochondria metabolise energy in cells and balance redox. Diabetes-linked mitochondrial dysfunction links to increased oxidative stress with pathogenesis of complications (Lowell and Shulman, 2021). Cellular physiology's feedback loop and systemic metabolic control are shown here.</w:t>
      </w:r>
    </w:p>
    <w:p w14:paraId="011D2F7E" w14:textId="2468531D" w:rsidR="00327035" w:rsidRPr="001A59DF" w:rsidRDefault="001A59DF" w:rsidP="00601FC3">
      <w:pPr>
        <w:spacing w:line="360" w:lineRule="auto"/>
        <w:jc w:val="both"/>
        <w:rPr>
          <w:rFonts w:ascii="Arial" w:hAnsi="Arial" w:cs="Arial"/>
          <w:sz w:val="22"/>
          <w:szCs w:val="22"/>
        </w:rPr>
      </w:pPr>
      <w:r w:rsidRPr="001A59DF">
        <w:rPr>
          <w:rFonts w:ascii="Arial" w:hAnsi="Arial" w:cs="Arial"/>
          <w:sz w:val="22"/>
          <w:szCs w:val="22"/>
        </w:rPr>
        <w:t>Cellular respiration is linked with the cardiovascular system. The cardiovascular system gives oxygen and nutrients for the cells. Carbon dioxide and metabolic wastes exit through the cardiovascular system. Capillaries perfuse less and hypoxia occurs. Cellular respiration produces impaired ATP because diabetes impairs, possibly causing tissues to ulcerate (Scanlon and Sanders, 2018). This highlights the importance of maintaining the best glucose control.</w:t>
      </w:r>
    </w:p>
    <w:p w14:paraId="3D929F99" w14:textId="77777777" w:rsidR="001A59DF" w:rsidRDefault="001A59DF" w:rsidP="00601FC3">
      <w:pPr>
        <w:spacing w:line="360" w:lineRule="auto"/>
        <w:jc w:val="both"/>
        <w:rPr>
          <w:rFonts w:ascii="Arial" w:hAnsi="Arial" w:cs="Arial"/>
          <w:b/>
          <w:bCs/>
          <w:sz w:val="22"/>
          <w:szCs w:val="22"/>
        </w:rPr>
      </w:pPr>
    </w:p>
    <w:p w14:paraId="575B1411" w14:textId="6CF1537F" w:rsidR="004A4455" w:rsidRPr="004A4455" w:rsidRDefault="004A4455" w:rsidP="001A59DF">
      <w:pPr>
        <w:pStyle w:val="Heading1"/>
      </w:pPr>
      <w:bookmarkStart w:id="2" w:name="_Toc213476937"/>
      <w:r w:rsidRPr="004A4455">
        <w:t>Monitoring and Tracking Blood Glucose Levels</w:t>
      </w:r>
      <w:bookmarkEnd w:id="2"/>
    </w:p>
    <w:p w14:paraId="2BC7DDF4" w14:textId="77777777" w:rsidR="001A59DF" w:rsidRPr="001A59DF" w:rsidRDefault="001A59DF" w:rsidP="001A59DF">
      <w:pPr>
        <w:spacing w:line="360" w:lineRule="auto"/>
        <w:jc w:val="both"/>
        <w:rPr>
          <w:rFonts w:ascii="Arial" w:hAnsi="Arial" w:cs="Arial"/>
          <w:sz w:val="22"/>
          <w:szCs w:val="22"/>
        </w:rPr>
      </w:pPr>
      <w:r w:rsidRPr="001A59DF">
        <w:rPr>
          <w:rFonts w:ascii="Arial" w:hAnsi="Arial" w:cs="Arial"/>
          <w:sz w:val="22"/>
          <w:szCs w:val="22"/>
        </w:rPr>
        <w:t xml:space="preserve">Diabetes management includes blood glucose testing. A person can monitor glycaemic control through regular testing of blood glucose. This testing can detect and prevent short and long-term complications. A person can make informed choices about diet, medication, or about activity level, if blood glucose patterns show changes (NICE, 2023). Self-monitoring increases </w:t>
      </w:r>
      <w:r w:rsidRPr="001A59DF">
        <w:rPr>
          <w:rFonts w:ascii="Arial" w:hAnsi="Arial" w:cs="Arial"/>
          <w:sz w:val="22"/>
          <w:szCs w:val="22"/>
        </w:rPr>
        <w:lastRenderedPageBreak/>
        <w:t>patients' autonomy and self-management capabilities such as within homeostatic regulation, where the body is constantly monitoring and adjusting its systems to maintain homeostasis (Scanlon and Sanders, 2018).</w:t>
      </w:r>
    </w:p>
    <w:p w14:paraId="2D9AA2C6" w14:textId="77777777" w:rsidR="001A59DF" w:rsidRPr="001A59DF" w:rsidRDefault="001A59DF" w:rsidP="001A59DF">
      <w:pPr>
        <w:spacing w:line="360" w:lineRule="auto"/>
        <w:jc w:val="both"/>
        <w:rPr>
          <w:rFonts w:ascii="Arial" w:hAnsi="Arial" w:cs="Arial"/>
          <w:sz w:val="22"/>
          <w:szCs w:val="22"/>
        </w:rPr>
      </w:pPr>
      <w:r w:rsidRPr="001A59DF">
        <w:rPr>
          <w:rFonts w:ascii="Arial" w:hAnsi="Arial" w:cs="Arial"/>
          <w:sz w:val="22"/>
          <w:szCs w:val="22"/>
        </w:rPr>
        <w:t>Capillary blood glucose meters, continuous glucose monitors (CGM), and flash glucose monitors have the widest use of the options. A blood glucose meter uses a finger prick to sample blood toward glucose. A CGM uses sensors under the skin that detect glucose levels in the interstitial space (NHS, 2024). CGM studies also show use associates to lower rates of hypoglycaemia with better long-term glycaemic control measured as reduced glycated haemoglobin (HbA1c). HbA1c is a long-term measure for average blood glucose concentration over 8 to 12 weeks and is a good indicator of mean glycaemic stability (ADA, 2024).</w:t>
      </w:r>
    </w:p>
    <w:p w14:paraId="53B90E0F" w14:textId="5D961CD0" w:rsidR="001A59DF" w:rsidRDefault="001A59DF" w:rsidP="001A59DF">
      <w:pPr>
        <w:spacing w:line="360" w:lineRule="auto"/>
        <w:jc w:val="both"/>
        <w:rPr>
          <w:rFonts w:ascii="Arial" w:hAnsi="Arial" w:cs="Arial"/>
          <w:sz w:val="22"/>
          <w:szCs w:val="22"/>
        </w:rPr>
      </w:pPr>
      <w:r w:rsidRPr="001A59DF">
        <w:rPr>
          <w:rFonts w:ascii="Arial" w:hAnsi="Arial" w:cs="Arial"/>
          <w:sz w:val="22"/>
          <w:szCs w:val="22"/>
        </w:rPr>
        <w:t>Testing frequency will vary based on diabetes type and therapy. Daily testing or testing before meals is recommended for most adults with Type 2 diabetes who are prescribed insulin or sulfonylureas (NICE, 2023). Remote technology is also now available that allows people living with diabetes to share their test results with their healthcare professional. Continuous glucose monitoring provides biofeedback for behavioural control of homeostasis (Sturgeon, 2018).</w:t>
      </w:r>
      <w:r>
        <w:rPr>
          <w:rFonts w:ascii="Arial" w:hAnsi="Arial" w:cs="Arial"/>
          <w:sz w:val="22"/>
          <w:szCs w:val="22"/>
        </w:rPr>
        <w:t xml:space="preserve"> </w:t>
      </w:r>
      <w:r w:rsidRPr="001A59DF">
        <w:rPr>
          <w:rFonts w:ascii="Arial" w:hAnsi="Arial" w:cs="Arial"/>
          <w:sz w:val="22"/>
          <w:szCs w:val="22"/>
        </w:rPr>
        <w:t>If people monitor poorly, that may expose patients to hypoglycaemia like dizziness, confusion and in severe cases coma or hyperglycaemia alongside dehydration and ketoacidosis. Therefore, learning how to interpret glucose levels plus acting to restore metabolic homeostasis with corresponding actions such as increasing carbohydrate intake or taking additional anti-diabetic medication is essential to education (WHO, 2023).</w:t>
      </w:r>
    </w:p>
    <w:p w14:paraId="089BB7D5" w14:textId="77777777" w:rsidR="001A59DF" w:rsidRDefault="001A59DF" w:rsidP="001A59DF">
      <w:pPr>
        <w:spacing w:line="360" w:lineRule="auto"/>
        <w:jc w:val="both"/>
        <w:rPr>
          <w:rFonts w:ascii="Arial" w:hAnsi="Arial" w:cs="Arial"/>
          <w:sz w:val="22"/>
          <w:szCs w:val="22"/>
        </w:rPr>
      </w:pPr>
    </w:p>
    <w:p w14:paraId="2CDACDE8" w14:textId="47DA14AA" w:rsidR="004A4455" w:rsidRPr="004A4455" w:rsidRDefault="004A4455" w:rsidP="001A59DF">
      <w:pPr>
        <w:pStyle w:val="Heading1"/>
      </w:pPr>
      <w:bookmarkStart w:id="3" w:name="_Toc213476938"/>
      <w:r w:rsidRPr="004A4455">
        <w:t>Lifestyle Modifications for Effective Management</w:t>
      </w:r>
      <w:bookmarkEnd w:id="3"/>
    </w:p>
    <w:p w14:paraId="235CE228" w14:textId="4ACD8F7C" w:rsidR="001A59DF" w:rsidRDefault="001A59DF" w:rsidP="00601FC3">
      <w:pPr>
        <w:spacing w:line="360" w:lineRule="auto"/>
        <w:jc w:val="both"/>
        <w:rPr>
          <w:rFonts w:ascii="Arial" w:hAnsi="Arial" w:cs="Arial"/>
          <w:sz w:val="22"/>
          <w:szCs w:val="22"/>
        </w:rPr>
      </w:pPr>
      <w:r w:rsidRPr="001A59DF">
        <w:rPr>
          <w:rFonts w:ascii="Arial" w:hAnsi="Arial" w:cs="Arial"/>
          <w:sz w:val="22"/>
          <w:szCs w:val="22"/>
        </w:rPr>
        <w:t xml:space="preserve">People modify their lifestyles to </w:t>
      </w:r>
      <w:r w:rsidRPr="001A59DF">
        <w:rPr>
          <w:rFonts w:ascii="Arial" w:hAnsi="Arial" w:cs="Arial"/>
          <w:sz w:val="22"/>
          <w:szCs w:val="22"/>
        </w:rPr>
        <w:t>find</w:t>
      </w:r>
      <w:r w:rsidRPr="001A59DF">
        <w:rPr>
          <w:rFonts w:ascii="Arial" w:hAnsi="Arial" w:cs="Arial"/>
          <w:sz w:val="22"/>
          <w:szCs w:val="22"/>
        </w:rPr>
        <w:t xml:space="preserve"> the prevention of diabetes and also its management. It combines with pharmacotherapy and targets the underlying physiological and behavioural causes of diabetes. According to The Diabetes Prevention Program studies, intensive lifestyle interventions may lower Type 2 diabetes risk among high-risk people by up to 58% within high-risk people (Knowler et al., 2002; ADA, 2024).</w:t>
      </w:r>
    </w:p>
    <w:p w14:paraId="2F558B83" w14:textId="77777777" w:rsidR="001A59DF" w:rsidRDefault="001A59DF" w:rsidP="00601FC3">
      <w:pPr>
        <w:spacing w:line="360" w:lineRule="auto"/>
        <w:jc w:val="both"/>
        <w:rPr>
          <w:rFonts w:ascii="Arial" w:hAnsi="Arial" w:cs="Arial"/>
          <w:sz w:val="22"/>
          <w:szCs w:val="22"/>
        </w:rPr>
      </w:pPr>
    </w:p>
    <w:p w14:paraId="4029BB1E" w14:textId="3D5CE1F7" w:rsidR="004A4455" w:rsidRPr="004A4455" w:rsidRDefault="004A4455" w:rsidP="001A59DF">
      <w:pPr>
        <w:pStyle w:val="Heading2"/>
      </w:pPr>
      <w:bookmarkStart w:id="4" w:name="_Toc213476939"/>
      <w:r w:rsidRPr="004A4455">
        <w:t>Diet and Nutrition</w:t>
      </w:r>
      <w:bookmarkEnd w:id="4"/>
    </w:p>
    <w:p w14:paraId="1D764D1A" w14:textId="77777777" w:rsidR="001A59DF" w:rsidRPr="001A59DF" w:rsidRDefault="001A59DF" w:rsidP="001A59DF">
      <w:pPr>
        <w:spacing w:line="360" w:lineRule="auto"/>
        <w:jc w:val="both"/>
        <w:rPr>
          <w:rFonts w:ascii="Arial" w:hAnsi="Arial" w:cs="Arial"/>
          <w:sz w:val="22"/>
          <w:szCs w:val="22"/>
        </w:rPr>
      </w:pPr>
      <w:r w:rsidRPr="001A59DF">
        <w:rPr>
          <w:rFonts w:ascii="Arial" w:hAnsi="Arial" w:cs="Arial"/>
          <w:sz w:val="22"/>
          <w:szCs w:val="22"/>
        </w:rPr>
        <w:t xml:space="preserve">Diet is an important contributor to blood glucose levels. A good diet incorporates whole grains, fruit and vegetables, lean protein, and healthy fats to produce a gradual rise in blood glucose without drastic increases according to BDA of 2023. A glycaemic index (GI) diet is one that ranks carbohydrates according to their impact upon autoimmune symptoms. Foods such as </w:t>
      </w:r>
      <w:r w:rsidRPr="001A59DF">
        <w:rPr>
          <w:rFonts w:ascii="Arial" w:hAnsi="Arial" w:cs="Arial"/>
          <w:sz w:val="22"/>
          <w:szCs w:val="22"/>
        </w:rPr>
        <w:lastRenderedPageBreak/>
        <w:t>oats or legumes possess a low GI so they release glucose slowly which improves insulin sensitivity (Jenkins et al., 2021). Refined sugar and saturated fat reduction decreases insulin resistance, improving quality of life by decreasing cardiovascular disease risk factors (Evert et al., 2019).</w:t>
      </w:r>
    </w:p>
    <w:p w14:paraId="75688E5B" w14:textId="77777777" w:rsidR="001A59DF" w:rsidRDefault="001A59DF" w:rsidP="001A59DF">
      <w:pPr>
        <w:spacing w:line="360" w:lineRule="auto"/>
        <w:jc w:val="both"/>
        <w:rPr>
          <w:rFonts w:ascii="Arial" w:hAnsi="Arial" w:cs="Arial"/>
          <w:sz w:val="22"/>
          <w:szCs w:val="22"/>
        </w:rPr>
      </w:pPr>
      <w:r w:rsidRPr="001A59DF">
        <w:rPr>
          <w:rFonts w:ascii="Arial" w:hAnsi="Arial" w:cs="Arial"/>
          <w:sz w:val="22"/>
          <w:szCs w:val="22"/>
        </w:rPr>
        <w:t>Nutritional education promotes homeostatic control. It achieves this by matching energy intake to metabolic demand. Nutrient intake regulates metabolic pathways like glycolysis and lipid oxidation (Sturgeon, 2018). The imbalance of these macronutrients may be made worse through excessive caloric intake, which causes obesity and insulin resistance. Moderate caloric intake with portion control are encouraged.</w:t>
      </w:r>
    </w:p>
    <w:p w14:paraId="3A9E689B" w14:textId="77777777" w:rsidR="001A59DF" w:rsidRDefault="001A59DF" w:rsidP="001A59DF">
      <w:pPr>
        <w:spacing w:line="360" w:lineRule="auto"/>
        <w:jc w:val="both"/>
        <w:rPr>
          <w:rFonts w:ascii="Arial" w:hAnsi="Arial" w:cs="Arial"/>
          <w:sz w:val="22"/>
          <w:szCs w:val="22"/>
        </w:rPr>
      </w:pPr>
    </w:p>
    <w:p w14:paraId="6AB2ECCE" w14:textId="472A3E22" w:rsidR="004A4455" w:rsidRPr="004A4455" w:rsidRDefault="004A4455" w:rsidP="001A59DF">
      <w:pPr>
        <w:pStyle w:val="Heading2"/>
      </w:pPr>
      <w:bookmarkStart w:id="5" w:name="_Toc213476940"/>
      <w:r w:rsidRPr="004A4455">
        <w:t>Physical Activity</w:t>
      </w:r>
      <w:bookmarkEnd w:id="5"/>
    </w:p>
    <w:p w14:paraId="6DED6F23" w14:textId="77777777" w:rsidR="001A59DF" w:rsidRPr="001A59DF" w:rsidRDefault="001A59DF" w:rsidP="001A59DF">
      <w:pPr>
        <w:spacing w:line="360" w:lineRule="auto"/>
        <w:jc w:val="both"/>
        <w:rPr>
          <w:rFonts w:ascii="Arial" w:hAnsi="Arial" w:cs="Arial"/>
          <w:sz w:val="22"/>
          <w:szCs w:val="22"/>
        </w:rPr>
      </w:pPr>
      <w:r w:rsidRPr="001A59DF">
        <w:rPr>
          <w:rFonts w:ascii="Arial" w:hAnsi="Arial" w:cs="Arial"/>
          <w:sz w:val="22"/>
          <w:szCs w:val="22"/>
        </w:rPr>
        <w:t>Exercise improves the action of insulin on glucose uptake into skeletal muscle and helps to also maintain body weight. Muscles contract during exercise. This stimulates GLUT4 for transport of intracellular pools to the cell surface independent of insulin (Hawley and Lessard, 2008). Regular aerobic exercise such as brisk walking or cycling for a minimum of 150 min/week has been shown toward improvement in glycaemic control and cardiovascular function (Colberg et al., 2016).</w:t>
      </w:r>
    </w:p>
    <w:p w14:paraId="49A0839A" w14:textId="77777777" w:rsidR="001A59DF" w:rsidRDefault="001A59DF" w:rsidP="001A59DF">
      <w:pPr>
        <w:spacing w:line="360" w:lineRule="auto"/>
        <w:jc w:val="both"/>
        <w:rPr>
          <w:rFonts w:ascii="Arial" w:hAnsi="Arial" w:cs="Arial"/>
          <w:sz w:val="22"/>
          <w:szCs w:val="22"/>
        </w:rPr>
      </w:pPr>
      <w:r w:rsidRPr="001A59DF">
        <w:rPr>
          <w:rFonts w:ascii="Arial" w:hAnsi="Arial" w:cs="Arial"/>
          <w:sz w:val="22"/>
          <w:szCs w:val="22"/>
        </w:rPr>
        <w:t>Exercise increases mitochondria density. Exercise increases oxidative phosphorylation. Exercise increases ATP production. Cellular energy efficiency improves (Sturgeon, 2018). Resistance training supplements aerobic exercise for building lean mass, thereby increasing basal metabolic rate and helping in glucose disposal. Exercise stabilises blood glucose levels within. Exercise uses resources in a more efficient manner and in an effective manner which highlights the homeostatic value of exercise (Scanlon and Sanders, 2018).</w:t>
      </w:r>
    </w:p>
    <w:p w14:paraId="56BCC05E" w14:textId="77777777" w:rsidR="001A59DF" w:rsidRDefault="001A59DF" w:rsidP="001A59DF">
      <w:pPr>
        <w:spacing w:line="360" w:lineRule="auto"/>
        <w:jc w:val="both"/>
        <w:rPr>
          <w:rFonts w:ascii="Arial" w:hAnsi="Arial" w:cs="Arial"/>
          <w:sz w:val="22"/>
          <w:szCs w:val="22"/>
        </w:rPr>
      </w:pPr>
    </w:p>
    <w:p w14:paraId="135DAE90" w14:textId="2DE574C0" w:rsidR="004A4455" w:rsidRPr="004A4455" w:rsidRDefault="004A4455" w:rsidP="001A59DF">
      <w:pPr>
        <w:pStyle w:val="Heading2"/>
      </w:pPr>
      <w:bookmarkStart w:id="6" w:name="_Toc213476941"/>
      <w:r w:rsidRPr="004A4455">
        <w:t>Weight Management and Smoking Cessation</w:t>
      </w:r>
      <w:bookmarkEnd w:id="6"/>
    </w:p>
    <w:p w14:paraId="4ED75467" w14:textId="77777777" w:rsidR="001A59DF" w:rsidRPr="001A59DF" w:rsidRDefault="001A59DF" w:rsidP="001A59DF">
      <w:pPr>
        <w:spacing w:line="360" w:lineRule="auto"/>
        <w:jc w:val="both"/>
        <w:rPr>
          <w:rFonts w:ascii="Arial" w:hAnsi="Arial" w:cs="Arial"/>
          <w:sz w:val="22"/>
          <w:szCs w:val="22"/>
        </w:rPr>
      </w:pPr>
      <w:r w:rsidRPr="001A59DF">
        <w:rPr>
          <w:rFonts w:ascii="Arial" w:hAnsi="Arial" w:cs="Arial"/>
          <w:sz w:val="22"/>
          <w:szCs w:val="22"/>
        </w:rPr>
        <w:t>Obesity modifies and affects insulin resistance as a key factor. Body weight loss from 5 to 10 percent improves glucose tolerance and β-cell function (Wing et al., 2021). Adipose tissue itself also functions as an endocrine organ in addition. It releases adipokines out of adipose tissue, affecting the insulin signalling caused by excess visceral fat, and contributes to chronic low-grade inflammation (Saltiel and Olefsky 2017). Weight loss from diet and exercise typically lowers glucose levels and lipid levels in the body, and it increases heart health for diabetes patients.</w:t>
      </w:r>
    </w:p>
    <w:p w14:paraId="37F3A9DB" w14:textId="24474198" w:rsidR="001A59DF" w:rsidRDefault="001A59DF" w:rsidP="001A59DF">
      <w:pPr>
        <w:spacing w:line="360" w:lineRule="auto"/>
        <w:jc w:val="both"/>
        <w:rPr>
          <w:rFonts w:ascii="Arial" w:hAnsi="Arial" w:cs="Arial"/>
          <w:sz w:val="22"/>
          <w:szCs w:val="22"/>
        </w:rPr>
      </w:pPr>
      <w:r w:rsidRPr="001A59DF">
        <w:rPr>
          <w:rFonts w:ascii="Arial" w:hAnsi="Arial" w:cs="Arial"/>
          <w:sz w:val="22"/>
          <w:szCs w:val="22"/>
        </w:rPr>
        <w:t xml:space="preserve">Smoking damages vasculature and resists insulin by stressing oxidation and increasing endothelial function, which complicates retinopathy and nephropathy </w:t>
      </w:r>
      <w:r w:rsidRPr="001A59DF">
        <w:rPr>
          <w:rFonts w:ascii="Arial" w:hAnsi="Arial" w:cs="Arial"/>
          <w:sz w:val="22"/>
          <w:szCs w:val="22"/>
        </w:rPr>
        <w:t>microvascular</w:t>
      </w:r>
      <w:r w:rsidRPr="001A59DF">
        <w:rPr>
          <w:rFonts w:ascii="Arial" w:hAnsi="Arial" w:cs="Arial"/>
          <w:sz w:val="22"/>
          <w:szCs w:val="22"/>
        </w:rPr>
        <w:t xml:space="preserve"> (Pan et </w:t>
      </w:r>
      <w:r w:rsidRPr="001A59DF">
        <w:rPr>
          <w:rFonts w:ascii="Arial" w:hAnsi="Arial" w:cs="Arial"/>
          <w:sz w:val="22"/>
          <w:szCs w:val="22"/>
        </w:rPr>
        <w:lastRenderedPageBreak/>
        <w:t>al., 2020). Therefore, when people with diabetes stop smoking, that directly promotes homeostasis and reduces oxidative stress.</w:t>
      </w:r>
    </w:p>
    <w:p w14:paraId="28BA26CB" w14:textId="77777777" w:rsidR="001A59DF" w:rsidRDefault="001A59DF" w:rsidP="001A59DF">
      <w:pPr>
        <w:spacing w:line="360" w:lineRule="auto"/>
        <w:jc w:val="both"/>
        <w:rPr>
          <w:rFonts w:ascii="Arial" w:hAnsi="Arial" w:cs="Arial"/>
          <w:sz w:val="22"/>
          <w:szCs w:val="22"/>
        </w:rPr>
      </w:pPr>
    </w:p>
    <w:p w14:paraId="6D528E69" w14:textId="19C80024" w:rsidR="004A4455" w:rsidRPr="004A4455" w:rsidRDefault="004A4455" w:rsidP="00B50C48">
      <w:pPr>
        <w:pStyle w:val="Heading2"/>
      </w:pPr>
      <w:bookmarkStart w:id="7" w:name="_Toc213476942"/>
      <w:r w:rsidRPr="004A4455">
        <w:t>Psychological and Behavioural Considerations</w:t>
      </w:r>
      <w:bookmarkEnd w:id="7"/>
    </w:p>
    <w:p w14:paraId="32C1347F" w14:textId="534D61E8" w:rsidR="00327F81" w:rsidRDefault="00B50C48" w:rsidP="00601FC3">
      <w:pPr>
        <w:spacing w:line="360" w:lineRule="auto"/>
        <w:jc w:val="both"/>
        <w:rPr>
          <w:rFonts w:ascii="Arial" w:hAnsi="Arial" w:cs="Arial"/>
          <w:sz w:val="22"/>
          <w:szCs w:val="22"/>
        </w:rPr>
      </w:pPr>
      <w:r w:rsidRPr="00B50C48">
        <w:rPr>
          <w:rFonts w:ascii="Arial" w:hAnsi="Arial" w:cs="Arial"/>
          <w:sz w:val="22"/>
          <w:szCs w:val="22"/>
        </w:rPr>
        <w:t>Behavioural change supports lifestyle intervention in practice. Stress, anxiety and poor sleep can lead to increased cortisol and catecholamine release, both of which drive further hyperglycaemia (Surwit et al., 2002). Integrative measures that integrate mindfulness, a structured education program, and social support improve adherence to lifestyle changes and medications (Chrvala et al., 2016) to highlight the interdependence of psychological and physiological homeostasis, in keeping with Cannon's (1932) description of homeostasis and modern physiology (Marieb and Hoehn, 2019).</w:t>
      </w:r>
    </w:p>
    <w:p w14:paraId="7363EF1D" w14:textId="77777777" w:rsidR="00B50C48" w:rsidRDefault="00B50C48" w:rsidP="00601FC3">
      <w:pPr>
        <w:spacing w:line="360" w:lineRule="auto"/>
        <w:jc w:val="both"/>
        <w:rPr>
          <w:rFonts w:ascii="Arial" w:hAnsi="Arial" w:cs="Arial"/>
          <w:sz w:val="22"/>
          <w:szCs w:val="22"/>
        </w:rPr>
      </w:pPr>
    </w:p>
    <w:p w14:paraId="77415861" w14:textId="268761D7" w:rsidR="004A4455" w:rsidRPr="004A4455" w:rsidRDefault="004A4455" w:rsidP="00327F81">
      <w:pPr>
        <w:pStyle w:val="Heading1"/>
      </w:pPr>
      <w:bookmarkStart w:id="8" w:name="_Toc213476943"/>
      <w:r w:rsidRPr="004A4455">
        <w:t>Conclusion</w:t>
      </w:r>
      <w:bookmarkEnd w:id="8"/>
    </w:p>
    <w:p w14:paraId="6B23BE16" w14:textId="77777777" w:rsidR="00B50C48" w:rsidRPr="00B50C48" w:rsidRDefault="00B50C48" w:rsidP="00B50C48">
      <w:pPr>
        <w:spacing w:line="360" w:lineRule="auto"/>
        <w:jc w:val="both"/>
        <w:rPr>
          <w:rFonts w:ascii="Arial" w:hAnsi="Arial" w:cs="Arial"/>
          <w:sz w:val="22"/>
          <w:szCs w:val="22"/>
        </w:rPr>
      </w:pPr>
      <w:r w:rsidRPr="00B50C48">
        <w:rPr>
          <w:rFonts w:ascii="Arial" w:hAnsi="Arial" w:cs="Arial"/>
          <w:sz w:val="22"/>
          <w:szCs w:val="22"/>
        </w:rPr>
        <w:t>Diabetes mellitus involves a problem with blood glucose homeostasis, which the endocrine system, cellular metabolism, and lifestyle-modifiable behaviours affect including diet and physical activity. Insulin and glucagon interact, and cells respire, to maintain physiological glucose levels, ensuring adequate ATP produces. When this situation does not occur, chronic hyperglycaemia and its consequences happen.</w:t>
      </w:r>
    </w:p>
    <w:p w14:paraId="22E3935B" w14:textId="554045AE" w:rsidR="00327F81" w:rsidRDefault="00B50C48" w:rsidP="00B50C48">
      <w:pPr>
        <w:spacing w:line="360" w:lineRule="auto"/>
        <w:jc w:val="both"/>
        <w:rPr>
          <w:rFonts w:ascii="Arial" w:hAnsi="Arial" w:cs="Arial"/>
          <w:sz w:val="22"/>
          <w:szCs w:val="22"/>
        </w:rPr>
      </w:pPr>
      <w:r w:rsidRPr="00B50C48">
        <w:rPr>
          <w:rFonts w:ascii="Arial" w:hAnsi="Arial" w:cs="Arial"/>
          <w:sz w:val="22"/>
          <w:szCs w:val="22"/>
        </w:rPr>
        <w:t>Approaching diabetes management thoroughly via controlling glucose excursions, physiological counter-regulation, and lifestyle changes can restore better metabolic control and exercising regularly, intervening with nutrition, normalising weight, and ceasing smoking can improve quality of life. When diabetes patients have the knowledge about how their body systems work, their health is driven not only to biochemical normalisation but also to physiological equilibrium in the long run.</w:t>
      </w:r>
    </w:p>
    <w:p w14:paraId="1F62EC65" w14:textId="77777777" w:rsidR="00B50C48" w:rsidRDefault="00B50C48" w:rsidP="00B50C48">
      <w:pPr>
        <w:spacing w:line="360" w:lineRule="auto"/>
        <w:jc w:val="both"/>
        <w:rPr>
          <w:rFonts w:ascii="Arial" w:hAnsi="Arial" w:cs="Arial"/>
          <w:sz w:val="22"/>
          <w:szCs w:val="22"/>
        </w:rPr>
      </w:pPr>
    </w:p>
    <w:p w14:paraId="537C8DED" w14:textId="77777777" w:rsidR="00B50C48" w:rsidRDefault="00B50C48" w:rsidP="00B50C48">
      <w:pPr>
        <w:spacing w:line="360" w:lineRule="auto"/>
        <w:jc w:val="both"/>
        <w:rPr>
          <w:rFonts w:ascii="Arial" w:hAnsi="Arial" w:cs="Arial"/>
          <w:sz w:val="22"/>
          <w:szCs w:val="22"/>
        </w:rPr>
      </w:pPr>
    </w:p>
    <w:p w14:paraId="6170B8F2" w14:textId="77777777" w:rsidR="00B50C48" w:rsidRDefault="00B50C48" w:rsidP="00B50C48">
      <w:pPr>
        <w:spacing w:line="360" w:lineRule="auto"/>
        <w:jc w:val="both"/>
        <w:rPr>
          <w:rFonts w:ascii="Arial" w:hAnsi="Arial" w:cs="Arial"/>
          <w:sz w:val="22"/>
          <w:szCs w:val="22"/>
        </w:rPr>
      </w:pPr>
    </w:p>
    <w:p w14:paraId="4E9BC18E" w14:textId="77777777" w:rsidR="00B50C48" w:rsidRDefault="00B50C48" w:rsidP="00B50C48">
      <w:pPr>
        <w:spacing w:line="360" w:lineRule="auto"/>
        <w:jc w:val="both"/>
        <w:rPr>
          <w:rFonts w:ascii="Arial" w:hAnsi="Arial" w:cs="Arial"/>
          <w:sz w:val="22"/>
          <w:szCs w:val="22"/>
        </w:rPr>
      </w:pPr>
    </w:p>
    <w:p w14:paraId="78D2BCE4" w14:textId="77777777" w:rsidR="00B50C48" w:rsidRDefault="00B50C48" w:rsidP="00B50C48">
      <w:pPr>
        <w:spacing w:line="360" w:lineRule="auto"/>
        <w:jc w:val="both"/>
        <w:rPr>
          <w:rFonts w:ascii="Arial" w:hAnsi="Arial" w:cs="Arial"/>
          <w:sz w:val="22"/>
          <w:szCs w:val="22"/>
        </w:rPr>
      </w:pPr>
    </w:p>
    <w:p w14:paraId="0FC5FBAE" w14:textId="77777777" w:rsidR="00B50C48" w:rsidRDefault="00B50C48" w:rsidP="00B50C48">
      <w:pPr>
        <w:spacing w:line="360" w:lineRule="auto"/>
        <w:jc w:val="both"/>
        <w:rPr>
          <w:rFonts w:ascii="Arial" w:hAnsi="Arial" w:cs="Arial"/>
          <w:sz w:val="22"/>
          <w:szCs w:val="22"/>
        </w:rPr>
      </w:pPr>
    </w:p>
    <w:p w14:paraId="5815D46F" w14:textId="77777777" w:rsidR="00B50C48" w:rsidRDefault="00B50C48" w:rsidP="00B50C48">
      <w:pPr>
        <w:spacing w:line="360" w:lineRule="auto"/>
        <w:jc w:val="both"/>
        <w:rPr>
          <w:rFonts w:ascii="Arial" w:hAnsi="Arial" w:cs="Arial"/>
          <w:sz w:val="22"/>
          <w:szCs w:val="22"/>
        </w:rPr>
      </w:pPr>
    </w:p>
    <w:p w14:paraId="4735F97D" w14:textId="68D7339A" w:rsidR="004A4455" w:rsidRPr="004A4455" w:rsidRDefault="004A4455" w:rsidP="00B50C48">
      <w:pPr>
        <w:pStyle w:val="Heading1"/>
      </w:pPr>
      <w:bookmarkStart w:id="9" w:name="_Toc213476944"/>
      <w:r w:rsidRPr="004A4455">
        <w:lastRenderedPageBreak/>
        <w:t>References</w:t>
      </w:r>
      <w:bookmarkEnd w:id="9"/>
      <w:r w:rsidRPr="004A4455">
        <w:t xml:space="preserve"> </w:t>
      </w:r>
    </w:p>
    <w:p w14:paraId="7CB11B68"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American Diabetes Association (ADA) (2024) </w:t>
      </w:r>
      <w:r w:rsidRPr="004A4455">
        <w:rPr>
          <w:rFonts w:ascii="Arial" w:hAnsi="Arial" w:cs="Arial"/>
          <w:i/>
          <w:iCs/>
          <w:sz w:val="22"/>
          <w:szCs w:val="22"/>
        </w:rPr>
        <w:t>Standards of Medical Care in Diabetes—2024</w:t>
      </w:r>
      <w:r w:rsidRPr="004A4455">
        <w:rPr>
          <w:rFonts w:ascii="Arial" w:hAnsi="Arial" w:cs="Arial"/>
          <w:sz w:val="22"/>
          <w:szCs w:val="22"/>
        </w:rPr>
        <w:t xml:space="preserve">. </w:t>
      </w:r>
      <w:r w:rsidRPr="004A4455">
        <w:rPr>
          <w:rFonts w:ascii="Arial" w:hAnsi="Arial" w:cs="Arial"/>
          <w:i/>
          <w:iCs/>
          <w:sz w:val="22"/>
          <w:szCs w:val="22"/>
        </w:rPr>
        <w:t>Diabetes Care</w:t>
      </w:r>
      <w:r w:rsidRPr="004A4455">
        <w:rPr>
          <w:rFonts w:ascii="Arial" w:hAnsi="Arial" w:cs="Arial"/>
          <w:sz w:val="22"/>
          <w:szCs w:val="22"/>
        </w:rPr>
        <w:t>, 47(Suppl 1), pp. S1–S168.</w:t>
      </w:r>
    </w:p>
    <w:p w14:paraId="31754D4F"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Battelino, T. et al. (2019) ‘Clinical targets for continuous glucose monitoring data interpretation: Recommendations from the international consensus’, </w:t>
      </w:r>
      <w:r w:rsidRPr="004A4455">
        <w:rPr>
          <w:rFonts w:ascii="Arial" w:hAnsi="Arial" w:cs="Arial"/>
          <w:i/>
          <w:iCs/>
          <w:sz w:val="22"/>
          <w:szCs w:val="22"/>
        </w:rPr>
        <w:t>Diabetes Care</w:t>
      </w:r>
      <w:r w:rsidRPr="004A4455">
        <w:rPr>
          <w:rFonts w:ascii="Arial" w:hAnsi="Arial" w:cs="Arial"/>
          <w:sz w:val="22"/>
          <w:szCs w:val="22"/>
        </w:rPr>
        <w:t>, 42(8), pp. 1593–1603.</w:t>
      </w:r>
    </w:p>
    <w:p w14:paraId="7C239228"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Berg, J.M., Tymoczko, J.L. and Gatto, G.J. (2019) </w:t>
      </w:r>
      <w:r w:rsidRPr="004A4455">
        <w:rPr>
          <w:rFonts w:ascii="Arial" w:hAnsi="Arial" w:cs="Arial"/>
          <w:i/>
          <w:iCs/>
          <w:sz w:val="22"/>
          <w:szCs w:val="22"/>
        </w:rPr>
        <w:t>Biochemistry</w:t>
      </w:r>
      <w:r w:rsidRPr="004A4455">
        <w:rPr>
          <w:rFonts w:ascii="Arial" w:hAnsi="Arial" w:cs="Arial"/>
          <w:sz w:val="22"/>
          <w:szCs w:val="22"/>
        </w:rPr>
        <w:t>. 9th ed. New York: W.H. Freeman.</w:t>
      </w:r>
    </w:p>
    <w:p w14:paraId="7BAB0D27"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British Dietetic Association (BDA) (2023) </w:t>
      </w:r>
      <w:r w:rsidRPr="004A4455">
        <w:rPr>
          <w:rFonts w:ascii="Arial" w:hAnsi="Arial" w:cs="Arial"/>
          <w:i/>
          <w:iCs/>
          <w:sz w:val="22"/>
          <w:szCs w:val="22"/>
        </w:rPr>
        <w:t>Food Fact Sheet: Type 2 Diabetes</w:t>
      </w:r>
      <w:r w:rsidRPr="004A4455">
        <w:rPr>
          <w:rFonts w:ascii="Arial" w:hAnsi="Arial" w:cs="Arial"/>
          <w:sz w:val="22"/>
          <w:szCs w:val="22"/>
        </w:rPr>
        <w:t>. Available at: https://www.bda.uk.com/resource/type-2-diabetes.html (Accessed: 8 November 2025).</w:t>
      </w:r>
    </w:p>
    <w:p w14:paraId="6C247E7C"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Cannon, W.B. (1932) </w:t>
      </w:r>
      <w:r w:rsidRPr="004A4455">
        <w:rPr>
          <w:rFonts w:ascii="Arial" w:hAnsi="Arial" w:cs="Arial"/>
          <w:i/>
          <w:iCs/>
          <w:sz w:val="22"/>
          <w:szCs w:val="22"/>
        </w:rPr>
        <w:t>The Wisdom of the Body</w:t>
      </w:r>
      <w:r w:rsidRPr="004A4455">
        <w:rPr>
          <w:rFonts w:ascii="Arial" w:hAnsi="Arial" w:cs="Arial"/>
          <w:sz w:val="22"/>
          <w:szCs w:val="22"/>
        </w:rPr>
        <w:t>. New York: W.W. Norton.</w:t>
      </w:r>
    </w:p>
    <w:p w14:paraId="4F155BD9"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Chrvala, C.A., Sherr, D. and Lipman, R.D. (2016) ‘Diabetes self-management education for adults with type 2 diabetes mellitus: A systematic review’, </w:t>
      </w:r>
      <w:r w:rsidRPr="004A4455">
        <w:rPr>
          <w:rFonts w:ascii="Arial" w:hAnsi="Arial" w:cs="Arial"/>
          <w:i/>
          <w:iCs/>
          <w:sz w:val="22"/>
          <w:szCs w:val="22"/>
        </w:rPr>
        <w:t>Patient Education and Counseling</w:t>
      </w:r>
      <w:r w:rsidRPr="004A4455">
        <w:rPr>
          <w:rFonts w:ascii="Arial" w:hAnsi="Arial" w:cs="Arial"/>
          <w:sz w:val="22"/>
          <w:szCs w:val="22"/>
        </w:rPr>
        <w:t>, 99(6), pp. 926–943.</w:t>
      </w:r>
    </w:p>
    <w:p w14:paraId="017176F7"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Colberg, S.R. et al. (2016) ‘Physical activity/exercise and diabetes: A position statement of the American Diabetes Association’, </w:t>
      </w:r>
      <w:r w:rsidRPr="004A4455">
        <w:rPr>
          <w:rFonts w:ascii="Arial" w:hAnsi="Arial" w:cs="Arial"/>
          <w:i/>
          <w:iCs/>
          <w:sz w:val="22"/>
          <w:szCs w:val="22"/>
        </w:rPr>
        <w:t>Diabetes Care</w:t>
      </w:r>
      <w:r w:rsidRPr="004A4455">
        <w:rPr>
          <w:rFonts w:ascii="Arial" w:hAnsi="Arial" w:cs="Arial"/>
          <w:sz w:val="22"/>
          <w:szCs w:val="22"/>
        </w:rPr>
        <w:t>, 39(11), pp. 2065–2079.</w:t>
      </w:r>
    </w:p>
    <w:p w14:paraId="78EDA11E"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DeFronzo, R.A., Ferrannini, E. and Groop, L. (2021) ‘Pathophysiologic approach to therapy in patients with newly diagnosed type 2 diabetes’, </w:t>
      </w:r>
      <w:r w:rsidRPr="004A4455">
        <w:rPr>
          <w:rFonts w:ascii="Arial" w:hAnsi="Arial" w:cs="Arial"/>
          <w:i/>
          <w:iCs/>
          <w:sz w:val="22"/>
          <w:szCs w:val="22"/>
        </w:rPr>
        <w:t>Diabetes Care</w:t>
      </w:r>
      <w:r w:rsidRPr="004A4455">
        <w:rPr>
          <w:rFonts w:ascii="Arial" w:hAnsi="Arial" w:cs="Arial"/>
          <w:sz w:val="22"/>
          <w:szCs w:val="22"/>
        </w:rPr>
        <w:t>, 44(3), pp. 687–698.</w:t>
      </w:r>
    </w:p>
    <w:p w14:paraId="4F4AEF5D"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Evert, A.B. et al. (2019) ‘Nutrition therapy for adults with diabetes or prediabetes: A consensus report’, </w:t>
      </w:r>
      <w:r w:rsidRPr="004A4455">
        <w:rPr>
          <w:rFonts w:ascii="Arial" w:hAnsi="Arial" w:cs="Arial"/>
          <w:i/>
          <w:iCs/>
          <w:sz w:val="22"/>
          <w:szCs w:val="22"/>
        </w:rPr>
        <w:t>Diabetes Care</w:t>
      </w:r>
      <w:r w:rsidRPr="004A4455">
        <w:rPr>
          <w:rFonts w:ascii="Arial" w:hAnsi="Arial" w:cs="Arial"/>
          <w:sz w:val="22"/>
          <w:szCs w:val="22"/>
        </w:rPr>
        <w:t>, 42(5), pp. 731–754.</w:t>
      </w:r>
    </w:p>
    <w:p w14:paraId="08CDA4B8"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Guyton, A.C. and Hall, J.E. (2021) </w:t>
      </w:r>
      <w:r w:rsidRPr="004A4455">
        <w:rPr>
          <w:rFonts w:ascii="Arial" w:hAnsi="Arial" w:cs="Arial"/>
          <w:i/>
          <w:iCs/>
          <w:sz w:val="22"/>
          <w:szCs w:val="22"/>
        </w:rPr>
        <w:t>Textbook of Medical Physiology</w:t>
      </w:r>
      <w:r w:rsidRPr="004A4455">
        <w:rPr>
          <w:rFonts w:ascii="Arial" w:hAnsi="Arial" w:cs="Arial"/>
          <w:sz w:val="22"/>
          <w:szCs w:val="22"/>
        </w:rPr>
        <w:t>. 15th ed. Philadelphia: Elsevier.</w:t>
      </w:r>
    </w:p>
    <w:p w14:paraId="5434E9D4"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Hall, M.E. and Hall, J.E. (2020) ‘Insulin, glucagon, and diabetes mellitus’, </w:t>
      </w:r>
      <w:r w:rsidRPr="004A4455">
        <w:rPr>
          <w:rFonts w:ascii="Arial" w:hAnsi="Arial" w:cs="Arial"/>
          <w:i/>
          <w:iCs/>
          <w:sz w:val="22"/>
          <w:szCs w:val="22"/>
        </w:rPr>
        <w:t>Guyton and Hall Textbook of Medical Physiology</w:t>
      </w:r>
      <w:r w:rsidRPr="004A4455">
        <w:rPr>
          <w:rFonts w:ascii="Arial" w:hAnsi="Arial" w:cs="Arial"/>
          <w:sz w:val="22"/>
          <w:szCs w:val="22"/>
        </w:rPr>
        <w:t>, 14th ed. Philadelphia: Elsevier, pp. 1020–1038.</w:t>
      </w:r>
    </w:p>
    <w:p w14:paraId="0CFB52B2"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Hawley, J.A. and Lessard, S.J. (2008) ‘Exercise training-induced improvements in insulin action’, </w:t>
      </w:r>
      <w:r w:rsidRPr="004A4455">
        <w:rPr>
          <w:rFonts w:ascii="Arial" w:hAnsi="Arial" w:cs="Arial"/>
          <w:i/>
          <w:iCs/>
          <w:sz w:val="22"/>
          <w:szCs w:val="22"/>
        </w:rPr>
        <w:t>Acta Physiologica</w:t>
      </w:r>
      <w:r w:rsidRPr="004A4455">
        <w:rPr>
          <w:rFonts w:ascii="Arial" w:hAnsi="Arial" w:cs="Arial"/>
          <w:sz w:val="22"/>
          <w:szCs w:val="22"/>
        </w:rPr>
        <w:t>, 192(1), pp. 127–135.</w:t>
      </w:r>
    </w:p>
    <w:p w14:paraId="20A020A0"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International Diabetes Federation (IDF) (2021) </w:t>
      </w:r>
      <w:r w:rsidRPr="004A4455">
        <w:rPr>
          <w:rFonts w:ascii="Arial" w:hAnsi="Arial" w:cs="Arial"/>
          <w:i/>
          <w:iCs/>
          <w:sz w:val="22"/>
          <w:szCs w:val="22"/>
        </w:rPr>
        <w:t>IDF Diabetes Atlas</w:t>
      </w:r>
      <w:r w:rsidRPr="004A4455">
        <w:rPr>
          <w:rFonts w:ascii="Arial" w:hAnsi="Arial" w:cs="Arial"/>
          <w:sz w:val="22"/>
          <w:szCs w:val="22"/>
        </w:rPr>
        <w:t>. 10th ed. Brussels: IDF.</w:t>
      </w:r>
    </w:p>
    <w:p w14:paraId="3A10692D"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Jenkins, D.J.A. et al. (2021) ‘Low–glycemic index diet in type 2 diabetes: A meta-analysis of randomized controlled trials’, </w:t>
      </w:r>
      <w:r w:rsidRPr="004A4455">
        <w:rPr>
          <w:rFonts w:ascii="Arial" w:hAnsi="Arial" w:cs="Arial"/>
          <w:i/>
          <w:iCs/>
          <w:sz w:val="22"/>
          <w:szCs w:val="22"/>
        </w:rPr>
        <w:t>BMJ</w:t>
      </w:r>
      <w:r w:rsidRPr="004A4455">
        <w:rPr>
          <w:rFonts w:ascii="Arial" w:hAnsi="Arial" w:cs="Arial"/>
          <w:sz w:val="22"/>
          <w:szCs w:val="22"/>
        </w:rPr>
        <w:t>, 372, n165.</w:t>
      </w:r>
    </w:p>
    <w:p w14:paraId="229FAF07"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Knowler, W.C. et al. (2002) ‘Reduction in the incidence of type 2 diabetes with lifestyle intervention or metformin’, </w:t>
      </w:r>
      <w:r w:rsidRPr="004A4455">
        <w:rPr>
          <w:rFonts w:ascii="Arial" w:hAnsi="Arial" w:cs="Arial"/>
          <w:i/>
          <w:iCs/>
          <w:sz w:val="22"/>
          <w:szCs w:val="22"/>
        </w:rPr>
        <w:t>New England Journal of Medicine</w:t>
      </w:r>
      <w:r w:rsidRPr="004A4455">
        <w:rPr>
          <w:rFonts w:ascii="Arial" w:hAnsi="Arial" w:cs="Arial"/>
          <w:sz w:val="22"/>
          <w:szCs w:val="22"/>
        </w:rPr>
        <w:t>, 346(6), pp. 393–403.</w:t>
      </w:r>
    </w:p>
    <w:p w14:paraId="630A648D"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lastRenderedPageBreak/>
        <w:t xml:space="preserve">Lowell, B.B. and Shulman, G.I. (2021) ‘Mitochondrial dysfunction and type 2 diabetes’, </w:t>
      </w:r>
      <w:r w:rsidRPr="004A4455">
        <w:rPr>
          <w:rFonts w:ascii="Arial" w:hAnsi="Arial" w:cs="Arial"/>
          <w:i/>
          <w:iCs/>
          <w:sz w:val="22"/>
          <w:szCs w:val="22"/>
        </w:rPr>
        <w:t>Science</w:t>
      </w:r>
      <w:r w:rsidRPr="004A4455">
        <w:rPr>
          <w:rFonts w:ascii="Arial" w:hAnsi="Arial" w:cs="Arial"/>
          <w:sz w:val="22"/>
          <w:szCs w:val="22"/>
        </w:rPr>
        <w:t>, 373(6559), pp. 202–207.</w:t>
      </w:r>
    </w:p>
    <w:p w14:paraId="20C05A3A"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Marieb, E.N. and Hoehn, K. (2019) </w:t>
      </w:r>
      <w:r w:rsidRPr="004A4455">
        <w:rPr>
          <w:rFonts w:ascii="Arial" w:hAnsi="Arial" w:cs="Arial"/>
          <w:i/>
          <w:iCs/>
          <w:sz w:val="22"/>
          <w:szCs w:val="22"/>
        </w:rPr>
        <w:t>Human Anatomy &amp; Physiology</w:t>
      </w:r>
      <w:r w:rsidRPr="004A4455">
        <w:rPr>
          <w:rFonts w:ascii="Arial" w:hAnsi="Arial" w:cs="Arial"/>
          <w:sz w:val="22"/>
          <w:szCs w:val="22"/>
        </w:rPr>
        <w:t>. 11th ed. Harlow: Pearson Education.</w:t>
      </w:r>
    </w:p>
    <w:p w14:paraId="0E523738" w14:textId="76D36714"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National Health Service (NHS) (2024) </w:t>
      </w:r>
      <w:r w:rsidRPr="004A4455">
        <w:rPr>
          <w:rFonts w:ascii="Arial" w:hAnsi="Arial" w:cs="Arial"/>
          <w:i/>
          <w:iCs/>
          <w:sz w:val="22"/>
          <w:szCs w:val="22"/>
        </w:rPr>
        <w:t>Type 2 Diabetes – Diagnosis and Management</w:t>
      </w:r>
      <w:r w:rsidRPr="004A4455">
        <w:rPr>
          <w:rFonts w:ascii="Arial" w:hAnsi="Arial" w:cs="Arial"/>
          <w:sz w:val="22"/>
          <w:szCs w:val="22"/>
        </w:rPr>
        <w:t xml:space="preserve">. Available at: </w:t>
      </w:r>
      <w:hyperlink r:id="rId10" w:tgtFrame="_new" w:history="1">
        <w:r w:rsidRPr="004A4455">
          <w:rPr>
            <w:rStyle w:val="Hyperlink"/>
            <w:rFonts w:ascii="Arial" w:hAnsi="Arial" w:cs="Arial"/>
            <w:sz w:val="22"/>
            <w:szCs w:val="22"/>
          </w:rPr>
          <w:t>https://www.nhs.uk/conditions/type-2-diabetes/</w:t>
        </w:r>
      </w:hyperlink>
      <w:r w:rsidRPr="004A4455">
        <w:rPr>
          <w:rFonts w:ascii="Arial" w:hAnsi="Arial" w:cs="Arial"/>
          <w:sz w:val="22"/>
          <w:szCs w:val="22"/>
        </w:rPr>
        <w:t xml:space="preserve"> </w:t>
      </w:r>
    </w:p>
    <w:p w14:paraId="031D1226"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National Institute for Health and Care Excellence (NICE) (2023) </w:t>
      </w:r>
      <w:r w:rsidRPr="004A4455">
        <w:rPr>
          <w:rFonts w:ascii="Arial" w:hAnsi="Arial" w:cs="Arial"/>
          <w:i/>
          <w:iCs/>
          <w:sz w:val="22"/>
          <w:szCs w:val="22"/>
        </w:rPr>
        <w:t>Type 2 Diabetes in Adults: Management (NG28)</w:t>
      </w:r>
      <w:r w:rsidRPr="004A4455">
        <w:rPr>
          <w:rFonts w:ascii="Arial" w:hAnsi="Arial" w:cs="Arial"/>
          <w:sz w:val="22"/>
          <w:szCs w:val="22"/>
        </w:rPr>
        <w:t>. London: NICE.</w:t>
      </w:r>
    </w:p>
    <w:p w14:paraId="0D4DF521"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Pan, B. et al. (2020) ‘Impact of smoking on glycaemic control and insulin resistance in diabetes’, </w:t>
      </w:r>
      <w:r w:rsidRPr="004A4455">
        <w:rPr>
          <w:rFonts w:ascii="Arial" w:hAnsi="Arial" w:cs="Arial"/>
          <w:i/>
          <w:iCs/>
          <w:sz w:val="22"/>
          <w:szCs w:val="22"/>
        </w:rPr>
        <w:t>Diabetologia</w:t>
      </w:r>
      <w:r w:rsidRPr="004A4455">
        <w:rPr>
          <w:rFonts w:ascii="Arial" w:hAnsi="Arial" w:cs="Arial"/>
          <w:sz w:val="22"/>
          <w:szCs w:val="22"/>
        </w:rPr>
        <w:t>, 63(9), pp. 1901–1911.</w:t>
      </w:r>
    </w:p>
    <w:p w14:paraId="02C1A4BF"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Public Health England (2022) </w:t>
      </w:r>
      <w:r w:rsidRPr="004A4455">
        <w:rPr>
          <w:rFonts w:ascii="Arial" w:hAnsi="Arial" w:cs="Arial"/>
          <w:i/>
          <w:iCs/>
          <w:sz w:val="22"/>
          <w:szCs w:val="22"/>
        </w:rPr>
        <w:t>Health Matters: Preventing Type 2 Diabetes</w:t>
      </w:r>
      <w:r w:rsidRPr="004A4455">
        <w:rPr>
          <w:rFonts w:ascii="Arial" w:hAnsi="Arial" w:cs="Arial"/>
          <w:sz w:val="22"/>
          <w:szCs w:val="22"/>
        </w:rPr>
        <w:t>. London: PHE.</w:t>
      </w:r>
    </w:p>
    <w:p w14:paraId="59D9EEDF"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Saltiel, A.R. and Olefsky, J.M. (2017) ‘Inflammatory mechanisms linking obesity and metabolic disease’, </w:t>
      </w:r>
      <w:r w:rsidRPr="004A4455">
        <w:rPr>
          <w:rFonts w:ascii="Arial" w:hAnsi="Arial" w:cs="Arial"/>
          <w:i/>
          <w:iCs/>
          <w:sz w:val="22"/>
          <w:szCs w:val="22"/>
        </w:rPr>
        <w:t>Journal of Clinical Investigation</w:t>
      </w:r>
      <w:r w:rsidRPr="004A4455">
        <w:rPr>
          <w:rFonts w:ascii="Arial" w:hAnsi="Arial" w:cs="Arial"/>
          <w:sz w:val="22"/>
          <w:szCs w:val="22"/>
        </w:rPr>
        <w:t>, 127(1), pp. 1–4.</w:t>
      </w:r>
    </w:p>
    <w:p w14:paraId="18ADB424"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Scanlon, V.C. and Sanders, T. (2018) </w:t>
      </w:r>
      <w:r w:rsidRPr="004A4455">
        <w:rPr>
          <w:rFonts w:ascii="Arial" w:hAnsi="Arial" w:cs="Arial"/>
          <w:i/>
          <w:iCs/>
          <w:sz w:val="22"/>
          <w:szCs w:val="22"/>
        </w:rPr>
        <w:t>Essentials of Anatomy and Physiology</w:t>
      </w:r>
      <w:r w:rsidRPr="004A4455">
        <w:rPr>
          <w:rFonts w:ascii="Arial" w:hAnsi="Arial" w:cs="Arial"/>
          <w:sz w:val="22"/>
          <w:szCs w:val="22"/>
        </w:rPr>
        <w:t>. 8th ed. Philadelphia: F.A. Davis Company.</w:t>
      </w:r>
    </w:p>
    <w:p w14:paraId="5AE48578"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Sturgeon, D. (2018) </w:t>
      </w:r>
      <w:r w:rsidRPr="004A4455">
        <w:rPr>
          <w:rFonts w:ascii="Arial" w:hAnsi="Arial" w:cs="Arial"/>
          <w:i/>
          <w:iCs/>
          <w:sz w:val="22"/>
          <w:szCs w:val="22"/>
        </w:rPr>
        <w:t>Introduction to Anatomy and Physiology for Healthcare Students</w:t>
      </w:r>
      <w:r w:rsidRPr="004A4455">
        <w:rPr>
          <w:rFonts w:ascii="Arial" w:hAnsi="Arial" w:cs="Arial"/>
          <w:sz w:val="22"/>
          <w:szCs w:val="22"/>
        </w:rPr>
        <w:t>. London: Taylor &amp; Francis Group.</w:t>
      </w:r>
    </w:p>
    <w:p w14:paraId="0BE135DF"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Wing, R.R. et al. (2021) ‘Benefits of modest weight loss in improving metabolic outcomes’, </w:t>
      </w:r>
      <w:r w:rsidRPr="004A4455">
        <w:rPr>
          <w:rFonts w:ascii="Arial" w:hAnsi="Arial" w:cs="Arial"/>
          <w:i/>
          <w:iCs/>
          <w:sz w:val="22"/>
          <w:szCs w:val="22"/>
        </w:rPr>
        <w:t>Obesity</w:t>
      </w:r>
      <w:r w:rsidRPr="004A4455">
        <w:rPr>
          <w:rFonts w:ascii="Arial" w:hAnsi="Arial" w:cs="Arial"/>
          <w:sz w:val="22"/>
          <w:szCs w:val="22"/>
        </w:rPr>
        <w:t>, 29(9), pp. 1469–1478.</w:t>
      </w:r>
    </w:p>
    <w:p w14:paraId="59DC675B" w14:textId="77777777" w:rsidR="004A4455" w:rsidRPr="004A4455" w:rsidRDefault="004A4455" w:rsidP="00601FC3">
      <w:pPr>
        <w:spacing w:line="360" w:lineRule="auto"/>
        <w:jc w:val="both"/>
        <w:rPr>
          <w:rFonts w:ascii="Arial" w:hAnsi="Arial" w:cs="Arial"/>
          <w:sz w:val="22"/>
          <w:szCs w:val="22"/>
        </w:rPr>
      </w:pPr>
      <w:r w:rsidRPr="004A4455">
        <w:rPr>
          <w:rFonts w:ascii="Arial" w:hAnsi="Arial" w:cs="Arial"/>
          <w:sz w:val="22"/>
          <w:szCs w:val="22"/>
        </w:rPr>
        <w:t xml:space="preserve">World Health Organization (WHO) (2023) </w:t>
      </w:r>
      <w:r w:rsidRPr="004A4455">
        <w:rPr>
          <w:rFonts w:ascii="Arial" w:hAnsi="Arial" w:cs="Arial"/>
          <w:i/>
          <w:iCs/>
          <w:sz w:val="22"/>
          <w:szCs w:val="22"/>
        </w:rPr>
        <w:t>Global Report on Diabetes</w:t>
      </w:r>
      <w:r w:rsidRPr="004A4455">
        <w:rPr>
          <w:rFonts w:ascii="Arial" w:hAnsi="Arial" w:cs="Arial"/>
          <w:sz w:val="22"/>
          <w:szCs w:val="22"/>
        </w:rPr>
        <w:t>. Geneva: WHO.</w:t>
      </w:r>
    </w:p>
    <w:p w14:paraId="3DE4BE1D" w14:textId="77777777" w:rsidR="00E51ABF" w:rsidRPr="004A4455" w:rsidRDefault="00E51ABF" w:rsidP="00601FC3">
      <w:pPr>
        <w:spacing w:line="360" w:lineRule="auto"/>
        <w:jc w:val="both"/>
        <w:rPr>
          <w:rFonts w:ascii="Arial" w:hAnsi="Arial" w:cs="Arial"/>
          <w:sz w:val="22"/>
          <w:szCs w:val="22"/>
        </w:rPr>
      </w:pPr>
    </w:p>
    <w:sectPr w:rsidR="00E51ABF" w:rsidRPr="004A4455" w:rsidSect="00730FA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C23E4" w14:textId="77777777" w:rsidR="00615381" w:rsidRDefault="00615381" w:rsidP="00B50C48">
      <w:pPr>
        <w:spacing w:after="0" w:line="240" w:lineRule="auto"/>
      </w:pPr>
      <w:r>
        <w:separator/>
      </w:r>
    </w:p>
  </w:endnote>
  <w:endnote w:type="continuationSeparator" w:id="0">
    <w:p w14:paraId="596C99CF" w14:textId="77777777" w:rsidR="00615381" w:rsidRDefault="00615381" w:rsidP="00B50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0106426"/>
      <w:docPartObj>
        <w:docPartGallery w:val="Page Numbers (Bottom of Page)"/>
        <w:docPartUnique/>
      </w:docPartObj>
    </w:sdtPr>
    <w:sdtEndPr>
      <w:rPr>
        <w:noProof/>
      </w:rPr>
    </w:sdtEndPr>
    <w:sdtContent>
      <w:p w14:paraId="594048C9" w14:textId="30028727" w:rsidR="00B50C48" w:rsidRDefault="00B50C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5EDA29" w14:textId="77777777" w:rsidR="00B50C48" w:rsidRDefault="00B50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05BC7" w14:textId="77777777" w:rsidR="00615381" w:rsidRDefault="00615381" w:rsidP="00B50C48">
      <w:pPr>
        <w:spacing w:after="0" w:line="240" w:lineRule="auto"/>
      </w:pPr>
      <w:r>
        <w:separator/>
      </w:r>
    </w:p>
  </w:footnote>
  <w:footnote w:type="continuationSeparator" w:id="0">
    <w:p w14:paraId="33CC8E6B" w14:textId="77777777" w:rsidR="00615381" w:rsidRDefault="00615381" w:rsidP="00B50C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4A16BD"/>
    <w:multiLevelType w:val="multilevel"/>
    <w:tmpl w:val="243E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617C2D"/>
    <w:multiLevelType w:val="multilevel"/>
    <w:tmpl w:val="4CC45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CB056C"/>
    <w:multiLevelType w:val="hybridMultilevel"/>
    <w:tmpl w:val="5468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1630729">
    <w:abstractNumId w:val="0"/>
  </w:num>
  <w:num w:numId="2" w16cid:durableId="102502536">
    <w:abstractNumId w:val="1"/>
  </w:num>
  <w:num w:numId="3" w16cid:durableId="297533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455"/>
    <w:rsid w:val="001A59DF"/>
    <w:rsid w:val="00233328"/>
    <w:rsid w:val="00327035"/>
    <w:rsid w:val="00327F81"/>
    <w:rsid w:val="00331CB3"/>
    <w:rsid w:val="004A4455"/>
    <w:rsid w:val="004E7710"/>
    <w:rsid w:val="00601FC3"/>
    <w:rsid w:val="00615381"/>
    <w:rsid w:val="00730FAE"/>
    <w:rsid w:val="00B50C48"/>
    <w:rsid w:val="00C62418"/>
    <w:rsid w:val="00C97FE8"/>
    <w:rsid w:val="00DC1E02"/>
    <w:rsid w:val="00E51ABF"/>
    <w:rsid w:val="00E7050A"/>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59987"/>
  <w15:chartTrackingRefBased/>
  <w15:docId w15:val="{D2689C71-C033-485D-AE65-8E75093BB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FC3"/>
    <w:pPr>
      <w:spacing w:after="0" w:line="360" w:lineRule="auto"/>
      <w:outlineLvl w:val="0"/>
    </w:pPr>
    <w:rPr>
      <w:rFonts w:ascii="Arial" w:hAnsi="Arial" w:cs="Arial"/>
      <w:b/>
      <w:bCs/>
    </w:rPr>
  </w:style>
  <w:style w:type="paragraph" w:styleId="Heading2">
    <w:name w:val="heading 2"/>
    <w:basedOn w:val="Normal"/>
    <w:next w:val="Normal"/>
    <w:link w:val="Heading2Char"/>
    <w:uiPriority w:val="9"/>
    <w:unhideWhenUsed/>
    <w:qFormat/>
    <w:rsid w:val="001A59DF"/>
    <w:pPr>
      <w:spacing w:after="0" w:line="360" w:lineRule="auto"/>
      <w:jc w:val="both"/>
      <w:outlineLvl w:val="1"/>
    </w:pPr>
    <w:rPr>
      <w:rFonts w:ascii="Arial" w:hAnsi="Arial" w:cs="Arial"/>
      <w:b/>
      <w:bCs/>
      <w:sz w:val="22"/>
      <w:szCs w:val="22"/>
    </w:rPr>
  </w:style>
  <w:style w:type="paragraph" w:styleId="Heading3">
    <w:name w:val="heading 3"/>
    <w:basedOn w:val="Normal"/>
    <w:next w:val="Normal"/>
    <w:link w:val="Heading3Char"/>
    <w:uiPriority w:val="9"/>
    <w:semiHidden/>
    <w:unhideWhenUsed/>
    <w:qFormat/>
    <w:rsid w:val="004A44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44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44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4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FC3"/>
    <w:rPr>
      <w:rFonts w:ascii="Arial" w:hAnsi="Arial" w:cs="Arial"/>
      <w:b/>
      <w:bCs/>
    </w:rPr>
  </w:style>
  <w:style w:type="character" w:customStyle="1" w:styleId="Heading2Char">
    <w:name w:val="Heading 2 Char"/>
    <w:basedOn w:val="DefaultParagraphFont"/>
    <w:link w:val="Heading2"/>
    <w:uiPriority w:val="9"/>
    <w:rsid w:val="001A59DF"/>
    <w:rPr>
      <w:rFonts w:ascii="Arial" w:hAnsi="Arial" w:cs="Arial"/>
      <w:b/>
      <w:bCs/>
      <w:sz w:val="22"/>
      <w:szCs w:val="22"/>
    </w:rPr>
  </w:style>
  <w:style w:type="character" w:customStyle="1" w:styleId="Heading3Char">
    <w:name w:val="Heading 3 Char"/>
    <w:basedOn w:val="DefaultParagraphFont"/>
    <w:link w:val="Heading3"/>
    <w:uiPriority w:val="9"/>
    <w:semiHidden/>
    <w:rsid w:val="004A44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A44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A44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A4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455"/>
    <w:rPr>
      <w:rFonts w:eastAsiaTheme="majorEastAsia" w:cstheme="majorBidi"/>
      <w:color w:val="272727" w:themeColor="text1" w:themeTint="D8"/>
    </w:rPr>
  </w:style>
  <w:style w:type="paragraph" w:styleId="Title">
    <w:name w:val="Title"/>
    <w:basedOn w:val="Normal"/>
    <w:next w:val="Normal"/>
    <w:link w:val="TitleChar"/>
    <w:uiPriority w:val="10"/>
    <w:qFormat/>
    <w:rsid w:val="004A4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455"/>
    <w:pPr>
      <w:spacing w:before="160"/>
      <w:jc w:val="center"/>
    </w:pPr>
    <w:rPr>
      <w:i/>
      <w:iCs/>
      <w:color w:val="404040" w:themeColor="text1" w:themeTint="BF"/>
    </w:rPr>
  </w:style>
  <w:style w:type="character" w:customStyle="1" w:styleId="QuoteChar">
    <w:name w:val="Quote Char"/>
    <w:basedOn w:val="DefaultParagraphFont"/>
    <w:link w:val="Quote"/>
    <w:uiPriority w:val="29"/>
    <w:rsid w:val="004A4455"/>
    <w:rPr>
      <w:i/>
      <w:iCs/>
      <w:color w:val="404040" w:themeColor="text1" w:themeTint="BF"/>
    </w:rPr>
  </w:style>
  <w:style w:type="paragraph" w:styleId="ListParagraph">
    <w:name w:val="List Paragraph"/>
    <w:basedOn w:val="Normal"/>
    <w:uiPriority w:val="34"/>
    <w:qFormat/>
    <w:rsid w:val="004A4455"/>
    <w:pPr>
      <w:ind w:left="720"/>
      <w:contextualSpacing/>
    </w:pPr>
  </w:style>
  <w:style w:type="character" w:styleId="IntenseEmphasis">
    <w:name w:val="Intense Emphasis"/>
    <w:basedOn w:val="DefaultParagraphFont"/>
    <w:uiPriority w:val="21"/>
    <w:qFormat/>
    <w:rsid w:val="004A4455"/>
    <w:rPr>
      <w:i/>
      <w:iCs/>
      <w:color w:val="2F5496" w:themeColor="accent1" w:themeShade="BF"/>
    </w:rPr>
  </w:style>
  <w:style w:type="paragraph" w:styleId="IntenseQuote">
    <w:name w:val="Intense Quote"/>
    <w:basedOn w:val="Normal"/>
    <w:next w:val="Normal"/>
    <w:link w:val="IntenseQuoteChar"/>
    <w:uiPriority w:val="30"/>
    <w:qFormat/>
    <w:rsid w:val="004A44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4455"/>
    <w:rPr>
      <w:i/>
      <w:iCs/>
      <w:color w:val="2F5496" w:themeColor="accent1" w:themeShade="BF"/>
    </w:rPr>
  </w:style>
  <w:style w:type="character" w:styleId="IntenseReference">
    <w:name w:val="Intense Reference"/>
    <w:basedOn w:val="DefaultParagraphFont"/>
    <w:uiPriority w:val="32"/>
    <w:qFormat/>
    <w:rsid w:val="004A4455"/>
    <w:rPr>
      <w:b/>
      <w:bCs/>
      <w:smallCaps/>
      <w:color w:val="2F5496" w:themeColor="accent1" w:themeShade="BF"/>
      <w:spacing w:val="5"/>
    </w:rPr>
  </w:style>
  <w:style w:type="character" w:styleId="Hyperlink">
    <w:name w:val="Hyperlink"/>
    <w:basedOn w:val="DefaultParagraphFont"/>
    <w:uiPriority w:val="99"/>
    <w:unhideWhenUsed/>
    <w:rsid w:val="004A4455"/>
    <w:rPr>
      <w:color w:val="0563C1" w:themeColor="hyperlink"/>
      <w:u w:val="single"/>
    </w:rPr>
  </w:style>
  <w:style w:type="character" w:styleId="UnresolvedMention">
    <w:name w:val="Unresolved Mention"/>
    <w:basedOn w:val="DefaultParagraphFont"/>
    <w:uiPriority w:val="99"/>
    <w:semiHidden/>
    <w:unhideWhenUsed/>
    <w:rsid w:val="004A4455"/>
    <w:rPr>
      <w:color w:val="605E5C"/>
      <w:shd w:val="clear" w:color="auto" w:fill="E1DFDD"/>
    </w:rPr>
  </w:style>
  <w:style w:type="paragraph" w:styleId="TOCHeading">
    <w:name w:val="TOC Heading"/>
    <w:basedOn w:val="Heading1"/>
    <w:next w:val="Normal"/>
    <w:uiPriority w:val="39"/>
    <w:unhideWhenUsed/>
    <w:qFormat/>
    <w:rsid w:val="00B50C48"/>
    <w:pPr>
      <w:keepNext/>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B50C48"/>
    <w:pPr>
      <w:spacing w:after="100"/>
    </w:pPr>
  </w:style>
  <w:style w:type="paragraph" w:styleId="TOC2">
    <w:name w:val="toc 2"/>
    <w:basedOn w:val="Normal"/>
    <w:next w:val="Normal"/>
    <w:autoRedefine/>
    <w:uiPriority w:val="39"/>
    <w:unhideWhenUsed/>
    <w:rsid w:val="00B50C48"/>
    <w:pPr>
      <w:spacing w:after="100"/>
      <w:ind w:left="240"/>
    </w:pPr>
  </w:style>
  <w:style w:type="paragraph" w:styleId="Header">
    <w:name w:val="header"/>
    <w:basedOn w:val="Normal"/>
    <w:link w:val="HeaderChar"/>
    <w:uiPriority w:val="99"/>
    <w:unhideWhenUsed/>
    <w:rsid w:val="00B50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C48"/>
  </w:style>
  <w:style w:type="paragraph" w:styleId="Footer">
    <w:name w:val="footer"/>
    <w:basedOn w:val="Normal"/>
    <w:link w:val="FooterChar"/>
    <w:uiPriority w:val="99"/>
    <w:unhideWhenUsed/>
    <w:rsid w:val="00B50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C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hs.uk/conditions/type-2-diabet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27C1B-3033-4F39-9D59-12A1E7645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10</Pages>
  <Words>2877</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4</cp:revision>
  <dcterms:created xsi:type="dcterms:W3CDTF">2025-11-08T04:11:00Z</dcterms:created>
  <dcterms:modified xsi:type="dcterms:W3CDTF">2025-11-08T05:51:00Z</dcterms:modified>
</cp:coreProperties>
</file>