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415CD" w14:textId="51FB003C" w:rsidR="00A325C2" w:rsidRPr="000E0AD2" w:rsidRDefault="00A325C2">
      <w:pPr>
        <w:rPr>
          <w:sz w:val="24"/>
          <w:szCs w:val="24"/>
        </w:rPr>
      </w:pPr>
      <w:r w:rsidRPr="000E0AD2">
        <w:rPr>
          <w:sz w:val="24"/>
          <w:szCs w:val="24"/>
        </w:rPr>
        <w:t>Hannah Howells</w:t>
      </w:r>
    </w:p>
    <w:p w14:paraId="2544DBFC" w14:textId="2433B603" w:rsidR="00A325C2" w:rsidRPr="00B27928" w:rsidRDefault="00A325C2" w:rsidP="00A325C2">
      <w:pPr>
        <w:jc w:val="center"/>
        <w:rPr>
          <w:sz w:val="24"/>
          <w:szCs w:val="24"/>
          <w:u w:val="single"/>
        </w:rPr>
      </w:pPr>
      <w:r w:rsidRPr="00B27928">
        <w:rPr>
          <w:sz w:val="24"/>
          <w:szCs w:val="24"/>
          <w:u w:val="single"/>
        </w:rPr>
        <w:t>Gwerthuswch arwyddocad y Mishnah o fewn y grefydd Iddewig.</w:t>
      </w:r>
    </w:p>
    <w:p w14:paraId="67C4994E" w14:textId="2C31B0E2" w:rsidR="007E652B" w:rsidRDefault="00673405" w:rsidP="00A325C2">
      <w:pPr>
        <w:rPr>
          <w:sz w:val="24"/>
          <w:szCs w:val="24"/>
        </w:rPr>
      </w:pPr>
      <w:r w:rsidRPr="00673405">
        <w:rPr>
          <w:sz w:val="24"/>
          <w:szCs w:val="24"/>
        </w:rPr>
        <w:t xml:space="preserve">Y </w:t>
      </w:r>
      <w:r w:rsidRPr="00BD479C">
        <w:rPr>
          <w:i/>
          <w:sz w:val="24"/>
          <w:szCs w:val="24"/>
        </w:rPr>
        <w:t>Mishnah</w:t>
      </w:r>
      <w:r w:rsidR="00F52408">
        <w:rPr>
          <w:sz w:val="24"/>
          <w:szCs w:val="24"/>
        </w:rPr>
        <w:t xml:space="preserve"> yw y</w:t>
      </w:r>
      <w:r w:rsidRPr="00673405">
        <w:rPr>
          <w:sz w:val="24"/>
          <w:szCs w:val="24"/>
        </w:rPr>
        <w:t>r cofnod ysgrifenedig cyntaf o’r hyn oedd y Gyfraith Lafar. Cyn y Mishnah, doedd y Gyfraith Lafar ddim yn cael eu cofnodi lawr. Gwnaed y penderfyniad i gynhyrchu cofnod ffisegol o drafodaethau a dyfarniadau ysgolheigion am fod yn cael eu trosglwyddo ar lafar yn unig. Mae Iddewon Uniongred yn credu roedd D</w:t>
      </w:r>
      <w:r w:rsidR="00E204AD">
        <w:rPr>
          <w:sz w:val="24"/>
          <w:szCs w:val="24"/>
        </w:rPr>
        <w:t>uw yn dysgu'r Gyfraith Lafar i M</w:t>
      </w:r>
      <w:r w:rsidRPr="00673405">
        <w:rPr>
          <w:sz w:val="24"/>
          <w:szCs w:val="24"/>
        </w:rPr>
        <w:t>oses, ac roedd Moses yn trosglwyddo i eraill. Parhaodd y traddodiad yma ar lafar hyd</w:t>
      </w:r>
      <w:r>
        <w:rPr>
          <w:sz w:val="24"/>
          <w:szCs w:val="24"/>
        </w:rPr>
        <w:t xml:space="preserve"> nes diwedd yr ail ganrif O.C. </w:t>
      </w:r>
      <w:r w:rsidRPr="00673405">
        <w:rPr>
          <w:sz w:val="24"/>
          <w:szCs w:val="24"/>
        </w:rPr>
        <w:t>ar ôl dinistriad y Deml yn 70.0.C. Dros y canrifau nesaf ceir sylwebaeth ychwanegol yn ymhelaethu ar y Mishnah a oedd yn cael eu hysgrifennu yn Jerwsalem a Babylon. Y sylwe</w:t>
      </w:r>
      <w:r w:rsidR="00F52408">
        <w:rPr>
          <w:sz w:val="24"/>
          <w:szCs w:val="24"/>
        </w:rPr>
        <w:t>baeth ychwanegol yw y</w:t>
      </w:r>
      <w:r w:rsidR="00512BCD">
        <w:rPr>
          <w:sz w:val="24"/>
          <w:szCs w:val="24"/>
        </w:rPr>
        <w:t>r Gemara. Mae</w:t>
      </w:r>
      <w:r w:rsidR="005D1F96">
        <w:rPr>
          <w:sz w:val="24"/>
          <w:szCs w:val="24"/>
        </w:rPr>
        <w:t xml:space="preserve"> yr </w:t>
      </w:r>
      <w:r w:rsidRPr="00673405">
        <w:rPr>
          <w:sz w:val="24"/>
          <w:szCs w:val="24"/>
        </w:rPr>
        <w:t>Gemara ac yr Mishnah yn cael eu galw'r Talmwd. Roedd y Talmwd yn cael eu cwblhau yn y pumed ganri</w:t>
      </w:r>
      <w:r>
        <w:rPr>
          <w:sz w:val="24"/>
          <w:szCs w:val="24"/>
        </w:rPr>
        <w:t>f O.C</w:t>
      </w:r>
      <w:r w:rsidR="00ED01F7">
        <w:rPr>
          <w:sz w:val="24"/>
          <w:szCs w:val="24"/>
        </w:rPr>
        <w:t>.</w:t>
      </w:r>
      <w:r w:rsidR="00162521">
        <w:rPr>
          <w:rStyle w:val="FootnoteReference"/>
          <w:sz w:val="24"/>
          <w:szCs w:val="24"/>
        </w:rPr>
        <w:footnoteReference w:id="1"/>
      </w:r>
    </w:p>
    <w:p w14:paraId="6EDA4E14" w14:textId="12B651B2" w:rsidR="00A325C2" w:rsidRPr="000E0AD2" w:rsidRDefault="001B4EB2" w:rsidP="00A325C2">
      <w:pPr>
        <w:rPr>
          <w:sz w:val="24"/>
          <w:szCs w:val="24"/>
        </w:rPr>
      </w:pPr>
      <w:r>
        <w:rPr>
          <w:sz w:val="24"/>
          <w:szCs w:val="24"/>
        </w:rPr>
        <w:t>Roedd Ra</w:t>
      </w:r>
      <w:r w:rsidR="00D763D8" w:rsidRPr="00D763D8">
        <w:rPr>
          <w:sz w:val="24"/>
          <w:szCs w:val="24"/>
        </w:rPr>
        <w:t>bi Yehuda y Patriarch yn cymryd y</w:t>
      </w:r>
      <w:r w:rsidR="00CF540C">
        <w:rPr>
          <w:sz w:val="24"/>
          <w:szCs w:val="24"/>
        </w:rPr>
        <w:t xml:space="preserve"> cyfrifoldeb i gasglu ac addasu y</w:t>
      </w:r>
      <w:r w:rsidR="00D763D8" w:rsidRPr="00D763D8">
        <w:rPr>
          <w:sz w:val="24"/>
          <w:szCs w:val="24"/>
        </w:rPr>
        <w:t xml:space="preserve">r </w:t>
      </w:r>
      <w:r w:rsidR="00D763D8" w:rsidRPr="00D763D8">
        <w:rPr>
          <w:i/>
          <w:sz w:val="24"/>
          <w:szCs w:val="24"/>
        </w:rPr>
        <w:t>halachot</w:t>
      </w:r>
      <w:r w:rsidR="00D763D8" w:rsidRPr="00D763D8">
        <w:rPr>
          <w:sz w:val="24"/>
          <w:szCs w:val="24"/>
        </w:rPr>
        <w:t xml:space="preserve"> er mwyn sicrhau goroesiad dysgeidiaeth Iddewig. Cafodd y Mishnah y rydym yn cael heddiw eu cwblhau yn 188 O.C. Mae Mishnah yn golygu ‘ailadrodd’ a phwrpas y Mishnah yw ailadrodd ac i astud</w:t>
      </w:r>
      <w:r w:rsidR="00CF540C">
        <w:rPr>
          <w:sz w:val="24"/>
          <w:szCs w:val="24"/>
        </w:rPr>
        <w:t>io. Mae Herbert Danby yn egluro y</w:t>
      </w:r>
      <w:r w:rsidR="00D763D8" w:rsidRPr="00D763D8">
        <w:rPr>
          <w:sz w:val="24"/>
          <w:szCs w:val="24"/>
        </w:rPr>
        <w:t>r ang</w:t>
      </w:r>
      <w:r w:rsidR="00CF540C">
        <w:rPr>
          <w:sz w:val="24"/>
          <w:szCs w:val="24"/>
        </w:rPr>
        <w:t>en am y Mishnah gan bwysleisio yr</w:t>
      </w:r>
      <w:r w:rsidR="00D763D8" w:rsidRPr="00D763D8">
        <w:rPr>
          <w:sz w:val="24"/>
          <w:szCs w:val="24"/>
        </w:rPr>
        <w:t xml:space="preserve"> pwysigrwydd o ‘preservation, cultivation, and application to the life of The Law.’ Mae Dan</w:t>
      </w:r>
      <w:r w:rsidR="00CF540C">
        <w:rPr>
          <w:sz w:val="24"/>
          <w:szCs w:val="24"/>
        </w:rPr>
        <w:t>by yn egluro fod angen sicrhau yr</w:t>
      </w:r>
      <w:r w:rsidR="00D763D8" w:rsidRPr="00D763D8">
        <w:rPr>
          <w:sz w:val="24"/>
          <w:szCs w:val="24"/>
        </w:rPr>
        <w:t xml:space="preserve"> Gyfraith Lafar yn cael eu cadw yn union i’r cenedlaethau Iddewig nesaf deall ac ymarfer</w:t>
      </w:r>
      <w:r w:rsidR="00A325C2" w:rsidRPr="000E0AD2">
        <w:rPr>
          <w:sz w:val="24"/>
          <w:szCs w:val="24"/>
        </w:rPr>
        <w:t>.</w:t>
      </w:r>
      <w:r w:rsidR="00A325C2" w:rsidRPr="000E0AD2">
        <w:rPr>
          <w:rStyle w:val="FootnoteReference"/>
          <w:sz w:val="24"/>
          <w:szCs w:val="24"/>
        </w:rPr>
        <w:footnoteReference w:id="2"/>
      </w:r>
    </w:p>
    <w:p w14:paraId="6814BB21" w14:textId="6267545D" w:rsidR="00100330" w:rsidRDefault="00BA1E75" w:rsidP="00100330">
      <w:pPr>
        <w:rPr>
          <w:sz w:val="24"/>
          <w:szCs w:val="24"/>
        </w:rPr>
      </w:pPr>
      <w:r w:rsidRPr="00BA1E75">
        <w:rPr>
          <w:sz w:val="24"/>
          <w:szCs w:val="24"/>
        </w:rPr>
        <w:t>Roedd angen am yr eglurhad o’r Torah Llafar am fod rhai cyfreithiau, dehongliadau yn achosi problemau o ran dilyn y cyfreithiau yn union i’r gair. Mae Glyndŵr Harris yn egluro ‘nid yw’n hawdd esbonio'r gwaith air am air neu ei ddehongli’n gwbl gywir.’ Nodwyd Harris mae Iddewon yn dysgu'r Gyfraith Lafar ar gof am ei fod yn adlewyrchu ‘ysbryd ymarferol y ffydd a’r grefydd.</w:t>
      </w:r>
      <w:r w:rsidR="00076800">
        <w:rPr>
          <w:sz w:val="24"/>
          <w:szCs w:val="24"/>
        </w:rPr>
        <w:t>’</w:t>
      </w:r>
      <w:r w:rsidR="00076800">
        <w:rPr>
          <w:rStyle w:val="FootnoteReference"/>
          <w:sz w:val="24"/>
          <w:szCs w:val="24"/>
        </w:rPr>
        <w:footnoteReference w:id="3"/>
      </w:r>
      <w:r w:rsidRPr="00BA1E75">
        <w:t xml:space="preserve"> </w:t>
      </w:r>
      <w:r w:rsidRPr="00BA1E75">
        <w:rPr>
          <w:sz w:val="24"/>
          <w:szCs w:val="24"/>
        </w:rPr>
        <w:t>Gwelwn enghraifft o anghlurdeb y Torah Llafar. Os rydym yn edrych ar Deuteronomium 24:1 sy’n dweud yng ngeiriau'r Beibl Cymraeg Newydd</w:t>
      </w:r>
      <w:r w:rsidR="00100330">
        <w:rPr>
          <w:sz w:val="24"/>
          <w:szCs w:val="24"/>
        </w:rPr>
        <w:t>:</w:t>
      </w:r>
    </w:p>
    <w:p w14:paraId="2680A907" w14:textId="7905686A" w:rsidR="00100330" w:rsidRDefault="00100330" w:rsidP="00100330">
      <w:pPr>
        <w:ind w:left="720"/>
        <w:rPr>
          <w:sz w:val="24"/>
          <w:szCs w:val="24"/>
        </w:rPr>
      </w:pPr>
      <w:r>
        <w:rPr>
          <w:sz w:val="24"/>
          <w:szCs w:val="24"/>
        </w:rPr>
        <w:t>‘Os bydd dyn wedi cymryd gwraig a’i phriodi, a hithau wedyn heb fod yn ei fodloni am iddo gael rhywbeth anweddus ynddi, yna y mae i ysgrifennu llythyr ysgar iddi…’</w:t>
      </w:r>
    </w:p>
    <w:p w14:paraId="4A0B8D40" w14:textId="13CD6028" w:rsidR="00A325C2" w:rsidRPr="000E0AD2" w:rsidRDefault="007A17BB" w:rsidP="00A325C2">
      <w:pPr>
        <w:rPr>
          <w:sz w:val="24"/>
          <w:szCs w:val="24"/>
        </w:rPr>
      </w:pPr>
      <w:r w:rsidRPr="007A17BB">
        <w:rPr>
          <w:sz w:val="24"/>
          <w:szCs w:val="24"/>
        </w:rPr>
        <w:t>Mae C. Pilkington yn egluro mae’n anodd deall rhai gosodiadau o ran dehongliadau gwahanol. Mae rheswm dros ysgaru yn dibynnu ar ystyr ‘rhywbeth anweddus ynddi.’ Gwelwn gamddealltwriaeth o ran eglurder y testun. Pwrpas y Mishnah yw ail-ddehongli'r testun er mwyn symleiddio ac i geisio egluro yn glirach</w:t>
      </w:r>
      <w:r w:rsidR="00512F1A">
        <w:rPr>
          <w:sz w:val="24"/>
          <w:szCs w:val="24"/>
        </w:rPr>
        <w:t>.</w:t>
      </w:r>
      <w:r w:rsidR="00512F1A">
        <w:rPr>
          <w:rStyle w:val="FootnoteReference"/>
          <w:sz w:val="24"/>
          <w:szCs w:val="24"/>
        </w:rPr>
        <w:footnoteReference w:id="4"/>
      </w:r>
      <w:r w:rsidR="00833804">
        <w:rPr>
          <w:sz w:val="24"/>
          <w:szCs w:val="24"/>
        </w:rPr>
        <w:t xml:space="preserve"> </w:t>
      </w:r>
      <w:r w:rsidRPr="007A17BB">
        <w:rPr>
          <w:sz w:val="24"/>
          <w:szCs w:val="24"/>
        </w:rPr>
        <w:t xml:space="preserve">Yn y Mishnah, mae Gittin 9:10 yn rhoi dehongliadau gwahanol am ysgariad, y Mishnah yn egluro ymhellach y dehongliadau. Y Mishnah yn egluro sut mae ysgol Shammai yn datgan does dim hawl i ddyn ysgaru ei wraig heb reswm sylweddol dros wneud hynny. Mae ysgol Hillel yn cael eu dehongli yn wahanol gan ddweud caiff dyn ysgaru eu gwraig hyd yn oed os hi wedi llosgi eu bwyd neu wedi coginio yn wael. Yn ychwanegol, mae barn Rabbi Akiva yn y Mishnah am ysgariad yn </w:t>
      </w:r>
      <w:r w:rsidRPr="007A17BB">
        <w:rPr>
          <w:sz w:val="24"/>
          <w:szCs w:val="24"/>
        </w:rPr>
        <w:lastRenderedPageBreak/>
        <w:t>wahanol eto, felly cawn ddeall dehongliad arall.</w:t>
      </w:r>
      <w:r w:rsidR="003C650A" w:rsidRPr="003C650A">
        <w:t xml:space="preserve"> </w:t>
      </w:r>
      <w:r w:rsidR="001B4EB2">
        <w:rPr>
          <w:sz w:val="24"/>
          <w:szCs w:val="24"/>
        </w:rPr>
        <w:t>Mae Ra</w:t>
      </w:r>
      <w:r w:rsidR="003C650A" w:rsidRPr="003C650A">
        <w:rPr>
          <w:sz w:val="24"/>
          <w:szCs w:val="24"/>
        </w:rPr>
        <w:t>bi Akiva yn egluro fod perffaith hawl i ddyn ysgaru ei wraig os oedd yn ffeindio menyw harddach na eu gwraig. Gwelwn arwyddocâd y Mishnah trwy gynnig dehongliadau gwahanol i alluogi Iddewon dewis a gallent ddeall</w:t>
      </w:r>
      <w:r w:rsidR="00B83DD9">
        <w:rPr>
          <w:sz w:val="24"/>
          <w:szCs w:val="24"/>
        </w:rPr>
        <w:t>.</w:t>
      </w:r>
      <w:r w:rsidR="00BF3167">
        <w:rPr>
          <w:rStyle w:val="FootnoteReference"/>
          <w:sz w:val="24"/>
          <w:szCs w:val="24"/>
        </w:rPr>
        <w:footnoteReference w:id="5"/>
      </w:r>
    </w:p>
    <w:p w14:paraId="2B054A03" w14:textId="77925B5E" w:rsidR="00857B7C" w:rsidRPr="000E0AD2" w:rsidRDefault="00BD0429" w:rsidP="00857B7C">
      <w:pPr>
        <w:rPr>
          <w:sz w:val="24"/>
          <w:szCs w:val="24"/>
        </w:rPr>
      </w:pPr>
      <w:r>
        <w:rPr>
          <w:sz w:val="24"/>
          <w:szCs w:val="24"/>
        </w:rPr>
        <w:t>Y</w:t>
      </w:r>
      <w:r w:rsidR="00881630">
        <w:rPr>
          <w:sz w:val="24"/>
          <w:szCs w:val="24"/>
        </w:rPr>
        <w:t xml:space="preserve"> </w:t>
      </w:r>
      <w:r w:rsidR="00857B7C" w:rsidRPr="000E0AD2">
        <w:rPr>
          <w:sz w:val="24"/>
          <w:szCs w:val="24"/>
        </w:rPr>
        <w:t xml:space="preserve">Mishnah yn gynnwys traddodiadau </w:t>
      </w:r>
      <w:r w:rsidR="00857B7C" w:rsidRPr="000E0AD2">
        <w:rPr>
          <w:i/>
          <w:sz w:val="24"/>
          <w:szCs w:val="24"/>
        </w:rPr>
        <w:t xml:space="preserve">halakhic, </w:t>
      </w:r>
      <w:r w:rsidR="00857B7C" w:rsidRPr="000E0AD2">
        <w:rPr>
          <w:sz w:val="24"/>
          <w:szCs w:val="24"/>
        </w:rPr>
        <w:t>hynny yw t</w:t>
      </w:r>
      <w:r w:rsidR="00A84659">
        <w:rPr>
          <w:sz w:val="24"/>
          <w:szCs w:val="24"/>
        </w:rPr>
        <w:t xml:space="preserve">raddodiadau sydd yn ymwneud â </w:t>
      </w:r>
      <w:r w:rsidR="00857B7C" w:rsidRPr="000E0AD2">
        <w:rPr>
          <w:sz w:val="24"/>
          <w:szCs w:val="24"/>
        </w:rPr>
        <w:t>Gyfraith</w:t>
      </w:r>
      <w:r w:rsidR="00857B7C" w:rsidRPr="000E0AD2">
        <w:rPr>
          <w:b/>
          <w:sz w:val="24"/>
          <w:szCs w:val="24"/>
        </w:rPr>
        <w:t xml:space="preserve"> </w:t>
      </w:r>
      <w:r w:rsidR="00857B7C" w:rsidRPr="000E0AD2">
        <w:rPr>
          <w:sz w:val="24"/>
          <w:szCs w:val="24"/>
        </w:rPr>
        <w:t xml:space="preserve">am y rhan fwyaf, er ei fod yn cynnwys rhai traddodiadau </w:t>
      </w:r>
      <w:r w:rsidR="00857B7C" w:rsidRPr="000E0AD2">
        <w:rPr>
          <w:i/>
          <w:sz w:val="24"/>
          <w:szCs w:val="24"/>
        </w:rPr>
        <w:t>aggadic</w:t>
      </w:r>
      <w:r w:rsidR="00857B7C" w:rsidRPr="000E0AD2">
        <w:rPr>
          <w:b/>
          <w:i/>
          <w:sz w:val="24"/>
          <w:szCs w:val="24"/>
        </w:rPr>
        <w:t>.</w:t>
      </w:r>
      <w:r w:rsidR="00857B7C" w:rsidRPr="000E0AD2">
        <w:rPr>
          <w:b/>
          <w:sz w:val="24"/>
          <w:szCs w:val="24"/>
        </w:rPr>
        <w:t xml:space="preserve"> </w:t>
      </w:r>
      <w:r w:rsidR="00A84659">
        <w:rPr>
          <w:sz w:val="24"/>
          <w:szCs w:val="24"/>
        </w:rPr>
        <w:t>Mae y</w:t>
      </w:r>
      <w:r w:rsidR="00857B7C" w:rsidRPr="000E0AD2">
        <w:rPr>
          <w:sz w:val="24"/>
          <w:szCs w:val="24"/>
        </w:rPr>
        <w:t xml:space="preserve">r Mishnah yn cael eu rhannu mewn i Halakhah a </w:t>
      </w:r>
      <w:r w:rsidR="00C11629">
        <w:rPr>
          <w:sz w:val="24"/>
          <w:szCs w:val="24"/>
        </w:rPr>
        <w:t>Aggadah. Mae yr</w:t>
      </w:r>
      <w:r w:rsidR="00857B7C" w:rsidRPr="000E0AD2">
        <w:rPr>
          <w:sz w:val="24"/>
          <w:szCs w:val="24"/>
        </w:rPr>
        <w:t xml:space="preserve"> Halakah yn ‘the way in which one walks.’</w:t>
      </w:r>
      <w:r w:rsidR="00461A44" w:rsidRPr="00461A44">
        <w:t xml:space="preserve"> </w:t>
      </w:r>
      <w:r w:rsidR="00461A44" w:rsidRPr="00461A44">
        <w:rPr>
          <w:sz w:val="24"/>
          <w:szCs w:val="24"/>
        </w:rPr>
        <w:t>Yr Halakah yn cyfeirio â thraddodiadau cyfreithiol, y traddodiadau sydd yn ymwneud â’r Mitzvot a’u cy</w:t>
      </w:r>
      <w:r w:rsidR="00C11629">
        <w:rPr>
          <w:sz w:val="24"/>
          <w:szCs w:val="24"/>
        </w:rPr>
        <w:t xml:space="preserve">mhwyso at fywyd pob dydd. Mae yr </w:t>
      </w:r>
      <w:r w:rsidR="00461A44" w:rsidRPr="00461A44">
        <w:rPr>
          <w:sz w:val="24"/>
          <w:szCs w:val="24"/>
        </w:rPr>
        <w:t>Aggadah</w:t>
      </w:r>
      <w:r w:rsidR="00A84659">
        <w:rPr>
          <w:sz w:val="24"/>
          <w:szCs w:val="24"/>
        </w:rPr>
        <w:t xml:space="preserve"> yn ‘that which one tells.’ Mae y</w:t>
      </w:r>
      <w:r w:rsidR="00461A44" w:rsidRPr="00461A44">
        <w:rPr>
          <w:sz w:val="24"/>
          <w:szCs w:val="24"/>
        </w:rPr>
        <w:t>r term yn cwmpasu llawer o bethau gwahanol megis Llên gwerin, straeon chwedlonol, cyngor moesegol, diarhebion, damhegion, gweddïau a chyngor meddygol. Pwrpas y deunydd aggadic yw helpu esbonio'r ysgrythu</w:t>
      </w:r>
      <w:r w:rsidR="00A84659">
        <w:rPr>
          <w:sz w:val="24"/>
          <w:szCs w:val="24"/>
        </w:rPr>
        <w:t>rau mewn ffordd anffurfiol. Mae</w:t>
      </w:r>
      <w:r w:rsidR="00461A44" w:rsidRPr="00461A44">
        <w:rPr>
          <w:sz w:val="24"/>
          <w:szCs w:val="24"/>
        </w:rPr>
        <w:t xml:space="preserve"> traddodiadau sydd wedi eu cynnwys yn y Mishnah yn dod o ysgol Rabi Akiva yn bennaf. Ysgrifennwyd y Mishnah mewn tafodiaith o Hebraeg, gwahanol i Hebraeg Beiblaidd yn</w:t>
      </w:r>
      <w:r w:rsidR="00C11629">
        <w:rPr>
          <w:sz w:val="24"/>
          <w:szCs w:val="24"/>
        </w:rPr>
        <w:t xml:space="preserve"> ramadegol ac o ran geirfa. Mae y</w:t>
      </w:r>
      <w:r w:rsidR="00461A44" w:rsidRPr="00461A44">
        <w:rPr>
          <w:sz w:val="24"/>
          <w:szCs w:val="24"/>
        </w:rPr>
        <w:t>r Mishnah yn rhannu'r corf cyfan o’r Gyfraith Lafar yn chwe adran gyffredinol</w:t>
      </w:r>
      <w:r w:rsidR="00857B7C" w:rsidRPr="000E0AD2">
        <w:rPr>
          <w:sz w:val="24"/>
          <w:szCs w:val="24"/>
        </w:rPr>
        <w:t xml:space="preserve">; enwir </w:t>
      </w:r>
      <w:r w:rsidR="00857B7C" w:rsidRPr="000E0AD2">
        <w:rPr>
          <w:i/>
          <w:sz w:val="24"/>
          <w:szCs w:val="24"/>
        </w:rPr>
        <w:t>s’darim.</w:t>
      </w:r>
      <w:r w:rsidR="00857B7C" w:rsidRPr="000E0AD2">
        <w:rPr>
          <w:sz w:val="24"/>
          <w:szCs w:val="24"/>
        </w:rPr>
        <w:t xml:space="preserve"> </w:t>
      </w:r>
      <w:r w:rsidR="001B4EB2" w:rsidRPr="001B4EB2">
        <w:rPr>
          <w:sz w:val="24"/>
          <w:szCs w:val="24"/>
        </w:rPr>
        <w:t xml:space="preserve">Ymhellach, yr s’darim yn cael eu rhannu mewn i chwe deg tri isadran enwir yn </w:t>
      </w:r>
      <w:r w:rsidR="00857B7C" w:rsidRPr="000E0AD2">
        <w:rPr>
          <w:i/>
          <w:sz w:val="24"/>
          <w:szCs w:val="24"/>
        </w:rPr>
        <w:t>masechot,</w:t>
      </w:r>
      <w:r w:rsidR="001B4EB2">
        <w:rPr>
          <w:sz w:val="24"/>
          <w:szCs w:val="24"/>
        </w:rPr>
        <w:t xml:space="preserve"> sy’n cael eu rhannu mewn i be</w:t>
      </w:r>
      <w:r w:rsidR="00857B7C" w:rsidRPr="000E0AD2">
        <w:rPr>
          <w:sz w:val="24"/>
          <w:szCs w:val="24"/>
        </w:rPr>
        <w:t xml:space="preserve">nodau </w:t>
      </w:r>
      <w:r w:rsidR="00857B7C" w:rsidRPr="000E0AD2">
        <w:rPr>
          <w:i/>
          <w:sz w:val="24"/>
          <w:szCs w:val="24"/>
        </w:rPr>
        <w:t xml:space="preserve">p’rakim. </w:t>
      </w:r>
      <w:r w:rsidR="003566A5">
        <w:rPr>
          <w:sz w:val="24"/>
          <w:szCs w:val="24"/>
        </w:rPr>
        <w:t>Yr adran olaf yw y</w:t>
      </w:r>
      <w:r w:rsidR="00857B7C" w:rsidRPr="000E0AD2">
        <w:rPr>
          <w:sz w:val="24"/>
          <w:szCs w:val="24"/>
        </w:rPr>
        <w:t>r Mishnah, un datganiad cyfreithiol. Ma</w:t>
      </w:r>
      <w:r w:rsidR="001B4EB2">
        <w:rPr>
          <w:sz w:val="24"/>
          <w:szCs w:val="24"/>
        </w:rPr>
        <w:t>e pob gosodiad yn un heb unrhyw</w:t>
      </w:r>
      <w:r w:rsidR="00857B7C" w:rsidRPr="000E0AD2">
        <w:rPr>
          <w:sz w:val="24"/>
          <w:szCs w:val="24"/>
        </w:rPr>
        <w:t xml:space="preserve"> esboniad.</w:t>
      </w:r>
    </w:p>
    <w:p w14:paraId="393BFEA8" w14:textId="51F8BF4C" w:rsidR="00B87055" w:rsidRDefault="00857B7C" w:rsidP="00857B7C">
      <w:pPr>
        <w:rPr>
          <w:sz w:val="24"/>
          <w:szCs w:val="24"/>
        </w:rPr>
      </w:pPr>
      <w:r w:rsidRPr="00681360">
        <w:rPr>
          <w:sz w:val="24"/>
          <w:szCs w:val="24"/>
        </w:rPr>
        <w:t xml:space="preserve">O fewn y Mishnah, caiff Y Chwe Seder. Yn gyntaf caiff </w:t>
      </w:r>
      <w:r w:rsidRPr="00681360">
        <w:rPr>
          <w:i/>
          <w:sz w:val="24"/>
          <w:szCs w:val="24"/>
        </w:rPr>
        <w:t xml:space="preserve">Zera’im </w:t>
      </w:r>
      <w:r w:rsidRPr="00681360">
        <w:rPr>
          <w:sz w:val="24"/>
          <w:szCs w:val="24"/>
        </w:rPr>
        <w:t>sydd</w:t>
      </w:r>
      <w:r w:rsidR="00FA368A" w:rsidRPr="00FA368A">
        <w:rPr>
          <w:sz w:val="24"/>
          <w:szCs w:val="24"/>
        </w:rPr>
        <w:t xml:space="preserve"> yn golygu yn llythrennol ‘Hadau’. Mae Zera’im yw'r drafodaeth ar fendithion a gweddïau; rheoliadau ar amaethyddiaeth a’r cyfraniadau ar gyfer y tlawd, yr offeriad a’r Lefiaid. Yn ail, caiff</w:t>
      </w:r>
      <w:r w:rsidRPr="00FA368A">
        <w:rPr>
          <w:sz w:val="24"/>
          <w:szCs w:val="24"/>
        </w:rPr>
        <w:t xml:space="preserve"> </w:t>
      </w:r>
      <w:r w:rsidRPr="00FA368A">
        <w:rPr>
          <w:i/>
          <w:sz w:val="24"/>
          <w:szCs w:val="24"/>
        </w:rPr>
        <w:t>Mo’ed</w:t>
      </w:r>
      <w:r w:rsidRPr="00FA368A">
        <w:rPr>
          <w:sz w:val="24"/>
          <w:szCs w:val="24"/>
        </w:rPr>
        <w:t xml:space="preserve"> </w:t>
      </w:r>
      <w:r w:rsidR="00435B52" w:rsidRPr="00435B52">
        <w:rPr>
          <w:sz w:val="24"/>
          <w:szCs w:val="24"/>
        </w:rPr>
        <w:t xml:space="preserve">sydd yn golygu ‘Amseroedd a Thymhorau Penodedig.’ Mae Mo’ed yn egluro'r rheoliadau o ran y gwyliau a’r diwrnodau arbennig yn ystod y flwyddyn, gan gynnwys y </w:t>
      </w:r>
      <w:r w:rsidRPr="00435B52">
        <w:rPr>
          <w:i/>
          <w:sz w:val="24"/>
          <w:szCs w:val="24"/>
        </w:rPr>
        <w:t>Shabbat, Pesach, Yom Kippur a Rosh Hashanah</w:t>
      </w:r>
      <w:r w:rsidRPr="00435B52">
        <w:rPr>
          <w:sz w:val="24"/>
          <w:szCs w:val="24"/>
        </w:rPr>
        <w:t xml:space="preserve">. Yn drydydd caiff </w:t>
      </w:r>
      <w:r w:rsidRPr="00435B52">
        <w:rPr>
          <w:i/>
          <w:sz w:val="24"/>
          <w:szCs w:val="24"/>
        </w:rPr>
        <w:t>Nashim</w:t>
      </w:r>
      <w:r w:rsidRPr="00435B52">
        <w:rPr>
          <w:sz w:val="24"/>
          <w:szCs w:val="24"/>
        </w:rPr>
        <w:t xml:space="preserve"> </w:t>
      </w:r>
      <w:r w:rsidR="00435B52" w:rsidRPr="00435B52">
        <w:rPr>
          <w:sz w:val="24"/>
          <w:szCs w:val="24"/>
        </w:rPr>
        <w:t xml:space="preserve">sydd yn golygu ‘Menywod’. Mae Nashim yn ymwneud â chyfreithiau sy’n llywodraethu priodas a chytundebau priodas, ysgariad a’r rheolau sydd yn dilyn ysgariad a godineb. </w:t>
      </w:r>
      <w:r w:rsidRPr="00435B52">
        <w:rPr>
          <w:sz w:val="24"/>
          <w:szCs w:val="24"/>
        </w:rPr>
        <w:t xml:space="preserve">Yr pedwerydd Seder yw </w:t>
      </w:r>
      <w:r w:rsidRPr="00435B52">
        <w:rPr>
          <w:i/>
          <w:sz w:val="24"/>
          <w:szCs w:val="24"/>
        </w:rPr>
        <w:t xml:space="preserve">Nezikin </w:t>
      </w:r>
      <w:r w:rsidR="00435B52" w:rsidRPr="00435B52">
        <w:rPr>
          <w:sz w:val="24"/>
          <w:szCs w:val="24"/>
        </w:rPr>
        <w:t>sy’n ymwneud ag Iawndal; pwysleisiwyd y gyfraith sifil a throsedd. Mae Nezikin yn egluro hawliau, weithdrefnau cyfreithiol, iawndal am ddifrod, gwerthu a phrynu tir</w:t>
      </w:r>
      <w:r w:rsidR="00435B52" w:rsidRPr="00435B52">
        <w:rPr>
          <w:i/>
          <w:sz w:val="24"/>
          <w:szCs w:val="24"/>
        </w:rPr>
        <w:t xml:space="preserve">. </w:t>
      </w:r>
      <w:r w:rsidR="00435B52">
        <w:rPr>
          <w:sz w:val="24"/>
          <w:szCs w:val="24"/>
        </w:rPr>
        <w:t>Y</w:t>
      </w:r>
      <w:r w:rsidRPr="00435B52">
        <w:rPr>
          <w:sz w:val="24"/>
          <w:szCs w:val="24"/>
        </w:rPr>
        <w:t xml:space="preserve"> pumed Seder yw </w:t>
      </w:r>
      <w:r w:rsidRPr="00435B52">
        <w:rPr>
          <w:i/>
          <w:sz w:val="24"/>
          <w:szCs w:val="24"/>
        </w:rPr>
        <w:t>Kodashim</w:t>
      </w:r>
      <w:r w:rsidR="00435B52" w:rsidRPr="00435B52">
        <w:rPr>
          <w:sz w:val="24"/>
          <w:szCs w:val="24"/>
        </w:rPr>
        <w:t>, dyma yw’</w:t>
      </w:r>
      <w:r w:rsidRPr="00435B52">
        <w:rPr>
          <w:sz w:val="24"/>
          <w:szCs w:val="24"/>
        </w:rPr>
        <w:t xml:space="preserve">r ‘pethau sanctaidd.’ Mae Kodashim yn trafod materion yn ymwneud a’r deml, aberthu, y lladd defodol a’r offeiriadaeth. Yn olaf, caiff </w:t>
      </w:r>
      <w:r w:rsidRPr="00435B52">
        <w:rPr>
          <w:i/>
          <w:sz w:val="24"/>
          <w:szCs w:val="24"/>
        </w:rPr>
        <w:t>Tohorot</w:t>
      </w:r>
      <w:r w:rsidR="00435B52">
        <w:rPr>
          <w:i/>
          <w:sz w:val="24"/>
          <w:szCs w:val="24"/>
        </w:rPr>
        <w:t xml:space="preserve"> </w:t>
      </w:r>
      <w:r w:rsidR="00105852" w:rsidRPr="00435B52">
        <w:rPr>
          <w:sz w:val="24"/>
          <w:szCs w:val="24"/>
        </w:rPr>
        <w:t>sydd yn cyfieithu i ‘burdeb’ ac y chweched seder yn egluro mwy ar y sefyllfaoedd amrywiol y gall pobl neu bethau ddod yn ddefodol amhur ynddyn nhw; sut y gellir cyflawni puredigaeth; y cyfyngiadau sy’n cael eu creu gan yr amhuredd</w:t>
      </w:r>
      <w:r w:rsidR="00A61288" w:rsidRPr="00435B52">
        <w:rPr>
          <w:sz w:val="24"/>
          <w:szCs w:val="24"/>
        </w:rPr>
        <w:t>.</w:t>
      </w:r>
      <w:r w:rsidRPr="00435B52">
        <w:rPr>
          <w:rStyle w:val="FootnoteReference"/>
          <w:sz w:val="24"/>
          <w:szCs w:val="24"/>
        </w:rPr>
        <w:footnoteReference w:id="6"/>
      </w:r>
    </w:p>
    <w:p w14:paraId="0FADF255" w14:textId="31F9ED70" w:rsidR="00344D54" w:rsidRDefault="001B4EB2" w:rsidP="00D10195">
      <w:pPr>
        <w:rPr>
          <w:sz w:val="24"/>
          <w:szCs w:val="24"/>
        </w:rPr>
      </w:pPr>
      <w:r w:rsidRPr="001B4EB2">
        <w:rPr>
          <w:sz w:val="24"/>
          <w:szCs w:val="24"/>
        </w:rPr>
        <w:t xml:space="preserve">Y Mishnah yw llyfr mwyaf arwyddocaol i ddilyn y Beibl Hebraeg. Mae Jacob Neusner yn datgan ‘The Mishnah is important because it forms the foundation for the Babylonian and Palestinian Talmud. It therefore stands alongside the Hebrew Bible as the Holy Book.’ Mae yna dau Talmwd; y Talwd Palestiniaid ac y Talmwd Babyloniaid. Mae Neusner yn </w:t>
      </w:r>
      <w:r w:rsidR="00D10195" w:rsidRPr="000E0AD2">
        <w:rPr>
          <w:sz w:val="24"/>
          <w:szCs w:val="24"/>
        </w:rPr>
        <w:lastRenderedPageBreak/>
        <w:t xml:space="preserve">atgyfnerthu pwysigrwydd y Mishnah wrth esbonio mae’r Mishnah yn </w:t>
      </w:r>
      <w:r w:rsidR="00605E22">
        <w:rPr>
          <w:sz w:val="24"/>
          <w:szCs w:val="24"/>
        </w:rPr>
        <w:t xml:space="preserve">creu </w:t>
      </w:r>
      <w:r w:rsidR="00D10195" w:rsidRPr="000E0AD2">
        <w:rPr>
          <w:sz w:val="24"/>
          <w:szCs w:val="24"/>
        </w:rPr>
        <w:t>sylfaen</w:t>
      </w:r>
      <w:r w:rsidR="00605E22">
        <w:rPr>
          <w:sz w:val="24"/>
          <w:szCs w:val="24"/>
        </w:rPr>
        <w:t xml:space="preserve"> </w:t>
      </w:r>
      <w:r w:rsidR="00764E73">
        <w:rPr>
          <w:sz w:val="24"/>
          <w:szCs w:val="24"/>
        </w:rPr>
        <w:t>y Talmwd Palestiniaid a Babyloniaid</w:t>
      </w:r>
      <w:r w:rsidR="00666C05">
        <w:rPr>
          <w:sz w:val="24"/>
          <w:szCs w:val="24"/>
        </w:rPr>
        <w:t>.</w:t>
      </w:r>
      <w:r w:rsidR="00D10195" w:rsidRPr="000E0AD2">
        <w:rPr>
          <w:rStyle w:val="FootnoteReference"/>
          <w:sz w:val="24"/>
          <w:szCs w:val="24"/>
        </w:rPr>
        <w:footnoteReference w:id="7"/>
      </w:r>
    </w:p>
    <w:p w14:paraId="4E7E10F6" w14:textId="7D903664" w:rsidR="00344D54" w:rsidRDefault="001B4EB2" w:rsidP="00D10195">
      <w:pPr>
        <w:rPr>
          <w:sz w:val="24"/>
          <w:szCs w:val="24"/>
        </w:rPr>
      </w:pPr>
      <w:r w:rsidRPr="001B4EB2">
        <w:rPr>
          <w:sz w:val="24"/>
          <w:szCs w:val="24"/>
        </w:rPr>
        <w:t>Mae Herbert Danby yn pwysleisio pwysigrwydd y Mishnah i’r grefydd Iddewig am fod yn egluro'r Mishnah yn rhoi cysylltiad rhwng Iddewiaeth Palestiniaidd ac Iddewon nad ydynt yn Palestiniaidd. Mae Danby yn datgan y Mishnah yn ‘strong enough and authoritative enough to endure and to bind together the Jewish people despite their geographical disintegration.’ Mae Danby yn uwcholeuo fod y Mishnah yn uno'r grefydd Iddewig er y gwahaniad daearyddol Iddewig</w:t>
      </w:r>
      <w:r w:rsidR="00A61288">
        <w:rPr>
          <w:sz w:val="24"/>
          <w:szCs w:val="24"/>
        </w:rPr>
        <w:t>.</w:t>
      </w:r>
      <w:r w:rsidR="00AE1B93">
        <w:rPr>
          <w:rStyle w:val="FootnoteReference"/>
          <w:sz w:val="24"/>
          <w:szCs w:val="24"/>
        </w:rPr>
        <w:footnoteReference w:id="8"/>
      </w:r>
    </w:p>
    <w:p w14:paraId="03601454" w14:textId="1254C6F4" w:rsidR="002830BC" w:rsidRDefault="00461FA2" w:rsidP="002830BC">
      <w:pPr>
        <w:spacing w:after="0" w:line="240" w:lineRule="auto"/>
        <w:rPr>
          <w:rFonts w:cs="Times New Roman"/>
          <w:sz w:val="24"/>
          <w:szCs w:val="24"/>
          <w:lang w:eastAsia="en-GB"/>
        </w:rPr>
      </w:pPr>
      <w:r w:rsidRPr="00461FA2">
        <w:rPr>
          <w:rFonts w:cs="Times New Roman"/>
          <w:sz w:val="24"/>
          <w:szCs w:val="24"/>
          <w:lang w:eastAsia="en-GB"/>
        </w:rPr>
        <w:t xml:space="preserve">Mae Norman Solomon yn trafod pwysigrwydd y Mishnah gan egluro'r Mishnah yw datganiad systematig cynharaf </w:t>
      </w:r>
      <w:r w:rsidR="002D073A">
        <w:rPr>
          <w:rFonts w:cs="Times New Roman"/>
          <w:sz w:val="24"/>
          <w:szCs w:val="24"/>
          <w:lang w:eastAsia="en-GB"/>
        </w:rPr>
        <w:t>Iddewig. Y Mishnah yn fwy na chô</w:t>
      </w:r>
      <w:r w:rsidRPr="00461FA2">
        <w:rPr>
          <w:rFonts w:cs="Times New Roman"/>
          <w:sz w:val="24"/>
          <w:szCs w:val="24"/>
          <w:lang w:eastAsia="en-GB"/>
        </w:rPr>
        <w:t>d cyfreithiol am fod y Mishnah yn cwmpasu gwerthoedd yn ogystal â chyfreithiau, egwyddorion moesegol a rheolau. Ymhellach y Mishnah yn ymwneud ag addoli a phurdeb gymaint â gyda rheidrwydd sifil a throseddol a statws personol. Mae Solomon yn nodi awdurdod y Mishnah ac o ganlyniad daeth datblygiad y Talmwd</w:t>
      </w:r>
      <w:r w:rsidR="00F21904">
        <w:rPr>
          <w:rFonts w:cs="Times New Roman"/>
          <w:sz w:val="24"/>
          <w:szCs w:val="24"/>
          <w:lang w:eastAsia="en-GB"/>
        </w:rPr>
        <w:t>.</w:t>
      </w:r>
      <w:r w:rsidR="00F21904">
        <w:rPr>
          <w:rStyle w:val="FootnoteReference"/>
          <w:rFonts w:cs="Times New Roman"/>
          <w:sz w:val="24"/>
          <w:szCs w:val="24"/>
          <w:lang w:eastAsia="en-GB"/>
        </w:rPr>
        <w:footnoteReference w:id="9"/>
      </w:r>
      <w:r w:rsidR="002830BC">
        <w:rPr>
          <w:rFonts w:cs="Times New Roman"/>
          <w:sz w:val="24"/>
          <w:szCs w:val="24"/>
          <w:lang w:eastAsia="en-GB"/>
        </w:rPr>
        <w:t xml:space="preserve"> </w:t>
      </w:r>
    </w:p>
    <w:p w14:paraId="3574BA8F" w14:textId="77777777" w:rsidR="002830BC" w:rsidRDefault="002830BC" w:rsidP="002830BC">
      <w:pPr>
        <w:spacing w:after="0" w:line="240" w:lineRule="auto"/>
        <w:rPr>
          <w:rFonts w:cs="Times New Roman"/>
          <w:sz w:val="24"/>
          <w:szCs w:val="24"/>
          <w:lang w:eastAsia="en-GB"/>
        </w:rPr>
      </w:pPr>
    </w:p>
    <w:p w14:paraId="5CA7DDFC" w14:textId="5FC0EE73" w:rsidR="00263ADE" w:rsidRPr="002830BC" w:rsidRDefault="00023143" w:rsidP="002830BC">
      <w:pPr>
        <w:spacing w:after="0" w:line="240" w:lineRule="auto"/>
        <w:rPr>
          <w:rFonts w:cs="Times New Roman"/>
          <w:sz w:val="24"/>
          <w:szCs w:val="24"/>
          <w:lang w:eastAsia="en-GB"/>
        </w:rPr>
      </w:pPr>
      <w:r w:rsidRPr="00023143">
        <w:rPr>
          <w:sz w:val="24"/>
          <w:szCs w:val="24"/>
        </w:rPr>
        <w:t>Mae'r Gemara ac y Mishnah yn creu'r Talmwd. Mae Norman Solomon yn datgan ‘The Talmud really is the heart of Judaism.’ Mae Solomon yn no</w:t>
      </w:r>
      <w:r w:rsidR="00D52E51">
        <w:rPr>
          <w:sz w:val="24"/>
          <w:szCs w:val="24"/>
        </w:rPr>
        <w:t>di'r Talmwd yn cael eu hastudio y</w:t>
      </w:r>
      <w:r w:rsidRPr="00023143">
        <w:rPr>
          <w:sz w:val="24"/>
          <w:szCs w:val="24"/>
        </w:rPr>
        <w:t>r mwyaf yn y grefydd Iddewig ac felly yn atgyfnerthu pwysigrwydd y Mishnah am fod yr Mishnah yn rhan o’r Talmwd ac yr Talmwd yn cael eu portreadu fel calon Iddewiaeth</w:t>
      </w:r>
      <w:r w:rsidR="00BD04EA" w:rsidRPr="000E0AD2">
        <w:rPr>
          <w:sz w:val="24"/>
          <w:szCs w:val="24"/>
        </w:rPr>
        <w:t>.</w:t>
      </w:r>
      <w:r w:rsidR="00BD04EA" w:rsidRPr="000E0AD2">
        <w:rPr>
          <w:rStyle w:val="FootnoteReference"/>
          <w:sz w:val="24"/>
          <w:szCs w:val="24"/>
        </w:rPr>
        <w:footnoteReference w:id="10"/>
      </w:r>
      <w:r w:rsidR="000E0AD2" w:rsidRPr="000E0AD2">
        <w:rPr>
          <w:sz w:val="24"/>
          <w:szCs w:val="24"/>
        </w:rPr>
        <w:t xml:space="preserve">  </w:t>
      </w:r>
    </w:p>
    <w:p w14:paraId="4D71C207" w14:textId="1C27AAAC" w:rsidR="00BB53ED" w:rsidRDefault="00023143" w:rsidP="00F21904">
      <w:pPr>
        <w:rPr>
          <w:sz w:val="24"/>
          <w:szCs w:val="24"/>
        </w:rPr>
      </w:pPr>
      <w:r w:rsidRPr="00023143">
        <w:rPr>
          <w:sz w:val="24"/>
          <w:szCs w:val="24"/>
        </w:rPr>
        <w:t>Y Mishnah yn arwyddocaol i Iddewon am fod yr Mishnah yn caniatáu i Iddewon o’r genhedlaeth newydd gryfhau eu cysylltiad â hanes Iddewig ac i ddeall ymhellach traddodiadau sanctaidd</w:t>
      </w:r>
      <w:r w:rsidR="000E0AD2" w:rsidRPr="000E0AD2">
        <w:rPr>
          <w:sz w:val="24"/>
          <w:szCs w:val="24"/>
        </w:rPr>
        <w:t>.</w:t>
      </w:r>
      <w:r w:rsidR="000E0AD2" w:rsidRPr="000E0AD2">
        <w:rPr>
          <w:rStyle w:val="FootnoteReference"/>
          <w:sz w:val="24"/>
          <w:szCs w:val="24"/>
        </w:rPr>
        <w:footnoteReference w:id="11"/>
      </w:r>
      <w:r w:rsidR="008E2B19" w:rsidRPr="008E2B19">
        <w:t xml:space="preserve"> </w:t>
      </w:r>
      <w:r w:rsidR="008E2B19" w:rsidRPr="008E2B19">
        <w:rPr>
          <w:sz w:val="24"/>
          <w:szCs w:val="24"/>
        </w:rPr>
        <w:t>Mae Danby yn atgyfnerthu pwysigrwydd y Mishnah o ran addys</w:t>
      </w:r>
      <w:r w:rsidR="005C153A">
        <w:rPr>
          <w:sz w:val="24"/>
          <w:szCs w:val="24"/>
        </w:rPr>
        <w:t>gu'r genhedlaeth nesaf gan nodi y</w:t>
      </w:r>
      <w:r w:rsidR="008E2B19" w:rsidRPr="008E2B19">
        <w:rPr>
          <w:sz w:val="24"/>
          <w:szCs w:val="24"/>
        </w:rPr>
        <w:t>r Mishnah yn ‘object of devotional study through life.’ Mae Danby yn egluro fod y Mishnah yn sanctaidd ac yn</w:t>
      </w:r>
      <w:r w:rsidR="005C153A">
        <w:rPr>
          <w:sz w:val="24"/>
          <w:szCs w:val="24"/>
        </w:rPr>
        <w:t xml:space="preserve"> cael eu defnyddio fel llyfr sydd y</w:t>
      </w:r>
      <w:r w:rsidR="008E2B19" w:rsidRPr="008E2B19">
        <w:rPr>
          <w:sz w:val="24"/>
          <w:szCs w:val="24"/>
        </w:rPr>
        <w:t>n cael eu hastudio gan Iddewon trwy gydol eu bywyd. Gellir dadlau felly, y Mishnah yn arwyddocaol i’r grefydd Iddewig am fod yn rhan o fywyd pob dydd yr Iddew</w:t>
      </w:r>
      <w:r w:rsidR="008F16BB">
        <w:rPr>
          <w:sz w:val="24"/>
          <w:szCs w:val="24"/>
        </w:rPr>
        <w:t>.</w:t>
      </w:r>
      <w:r w:rsidR="008D1245">
        <w:rPr>
          <w:rStyle w:val="FootnoteReference"/>
          <w:sz w:val="24"/>
          <w:szCs w:val="24"/>
        </w:rPr>
        <w:footnoteReference w:id="12"/>
      </w:r>
      <w:r w:rsidR="00211527" w:rsidRPr="00211527">
        <w:t xml:space="preserve"> </w:t>
      </w:r>
      <w:r w:rsidR="00211527" w:rsidRPr="00211527">
        <w:rPr>
          <w:sz w:val="24"/>
          <w:szCs w:val="24"/>
        </w:rPr>
        <w:t xml:space="preserve">Mae rhai Iddewon </w:t>
      </w:r>
      <w:r w:rsidR="00DD6AFC">
        <w:rPr>
          <w:sz w:val="24"/>
          <w:szCs w:val="24"/>
        </w:rPr>
        <w:t>Uniongred yn sicrhau astudio’</w:t>
      </w:r>
      <w:r w:rsidR="00211527" w:rsidRPr="00211527">
        <w:rPr>
          <w:sz w:val="24"/>
          <w:szCs w:val="24"/>
        </w:rPr>
        <w:t>r T</w:t>
      </w:r>
      <w:r w:rsidR="00DD6AFC">
        <w:rPr>
          <w:sz w:val="24"/>
          <w:szCs w:val="24"/>
        </w:rPr>
        <w:t>almwd yn ddyddiol. Rydym yn alw y</w:t>
      </w:r>
      <w:r w:rsidR="00211527" w:rsidRPr="00211527">
        <w:rPr>
          <w:sz w:val="24"/>
          <w:szCs w:val="24"/>
        </w:rPr>
        <w:t xml:space="preserve">r traddodiad yma yn </w:t>
      </w:r>
      <w:r w:rsidR="00211527" w:rsidRPr="00DD6AFC">
        <w:rPr>
          <w:i/>
          <w:sz w:val="24"/>
          <w:szCs w:val="24"/>
        </w:rPr>
        <w:t>Daf Yomi</w:t>
      </w:r>
      <w:r w:rsidR="00211527" w:rsidRPr="00211527">
        <w:rPr>
          <w:sz w:val="24"/>
          <w:szCs w:val="24"/>
        </w:rPr>
        <w:t>, term Hebraeg am ‘page of the day.’ Roedd traddodiad yma yn dechrau ar ôl cyngres ryngwladol gyntaf Mudiad Byd Agudath Yisrael ym</w:t>
      </w:r>
      <w:r w:rsidR="00491068">
        <w:rPr>
          <w:sz w:val="24"/>
          <w:szCs w:val="24"/>
        </w:rPr>
        <w:t xml:space="preserve"> mis Awst 1923, pwrpas oedd uno y</w:t>
      </w:r>
      <w:r w:rsidR="00211527" w:rsidRPr="00211527">
        <w:rPr>
          <w:sz w:val="24"/>
          <w:szCs w:val="24"/>
        </w:rPr>
        <w:t>r grefydd Iddewig trwy ddarlleniad dyddiol y Talmwd</w:t>
      </w:r>
      <w:r w:rsidR="00DC353B">
        <w:rPr>
          <w:sz w:val="24"/>
          <w:szCs w:val="24"/>
        </w:rPr>
        <w:t>.</w:t>
      </w:r>
      <w:r w:rsidR="00DC353B">
        <w:rPr>
          <w:rStyle w:val="FootnoteReference"/>
          <w:sz w:val="24"/>
          <w:szCs w:val="24"/>
        </w:rPr>
        <w:footnoteReference w:id="13"/>
      </w:r>
    </w:p>
    <w:p w14:paraId="03678535" w14:textId="1C831214" w:rsidR="000E0AD2" w:rsidRPr="009F0986" w:rsidRDefault="00211527" w:rsidP="00A325C2">
      <w:pPr>
        <w:rPr>
          <w:sz w:val="24"/>
          <w:szCs w:val="24"/>
        </w:rPr>
      </w:pPr>
      <w:r w:rsidRPr="00211527">
        <w:rPr>
          <w:sz w:val="24"/>
          <w:szCs w:val="24"/>
        </w:rPr>
        <w:t>Gwelwn bwysigrwydd y Mishnah i Iddewon am fod y Mishnah yn rhan o’r Talmwd ac mae Glyndŵr Harris yn datgan ‘o’r de</w:t>
      </w:r>
      <w:r w:rsidR="00A049E5">
        <w:rPr>
          <w:sz w:val="24"/>
          <w:szCs w:val="24"/>
        </w:rPr>
        <w:t>chrau i’r diwedd, yn pwysleisio y</w:t>
      </w:r>
      <w:r w:rsidRPr="00211527">
        <w:rPr>
          <w:sz w:val="24"/>
          <w:szCs w:val="24"/>
        </w:rPr>
        <w:t>r undod rhwng crefydd a bywyd, a’r berthynas rhwng ffydd a gweithredoedd.’ Gwelwn bwysigrwydd y Mishnah i’r grefydd Iddewig am fod yn uno'r grefydd â bywyd pob dydd, gan sicrhau cysylltiad rhwng ffydd a gweithredoedd dyddiol</w:t>
      </w:r>
      <w:r w:rsidR="00B6016D">
        <w:rPr>
          <w:sz w:val="24"/>
          <w:szCs w:val="24"/>
        </w:rPr>
        <w:t>.</w:t>
      </w:r>
      <w:r w:rsidR="009939B7">
        <w:rPr>
          <w:rStyle w:val="FootnoteReference"/>
          <w:sz w:val="24"/>
          <w:szCs w:val="24"/>
        </w:rPr>
        <w:footnoteReference w:id="14"/>
      </w:r>
    </w:p>
    <w:p w14:paraId="058FF25C" w14:textId="01B27BF6" w:rsidR="00530FE0" w:rsidRDefault="00D11757" w:rsidP="00A325C2">
      <w:pPr>
        <w:rPr>
          <w:sz w:val="24"/>
        </w:rPr>
      </w:pPr>
      <w:r w:rsidRPr="00D11757">
        <w:rPr>
          <w:sz w:val="24"/>
        </w:rPr>
        <w:lastRenderedPageBreak/>
        <w:t>Er pwysigrwydd y Mishnah, rhaid ystyried ni ellir deall y Torah ysgrifenedig heb y Torah Llafar. Felly, gellir datgan mae'r Torah llafar yn fwy arwyddocaol. Gellir dadlau gan fod y Torah ysgrifenedig yn ymddangos yn ddiffygiol am fod wedi eu hategu gan y Torah Llafar, mae gwrthod y Torah Llafar o reidrwydd yn arwain at wadu tarddiad dwyfol y Torah Ysgrifenedig hefyd. Y Torah Llafar yn wreiddiol wedi cael eu trosglwyddir trwy lafar. Gellir dadlau gall testun ysgrifenedig cael eu cam ddeall hefyd. Rydym yn deall y ddadl mae</w:t>
      </w:r>
      <w:r w:rsidR="00C11629">
        <w:rPr>
          <w:sz w:val="24"/>
        </w:rPr>
        <w:t xml:space="preserve"> yn anodd dehongli yr</w:t>
      </w:r>
      <w:r w:rsidRPr="00D11757">
        <w:rPr>
          <w:sz w:val="24"/>
        </w:rPr>
        <w:t xml:space="preserve"> Torah Llafar, ond rhaid cymryd mewn ystyriaeth mae</w:t>
      </w:r>
      <w:r w:rsidR="00C11629">
        <w:rPr>
          <w:sz w:val="24"/>
        </w:rPr>
        <w:t xml:space="preserve"> y</w:t>
      </w:r>
      <w:r w:rsidRPr="00D11757">
        <w:rPr>
          <w:sz w:val="24"/>
        </w:rPr>
        <w:t>r Torah Ysgrifenedig yn gallu cael eu camddehongli. Pwrpas y Torah Llafar oedd goroesi'r canrifoedd i ddod, gellir dadlau doedd dim modd ysgrifennu yn ei gyfanrwydd. Yn Ecclesiastes 12:12 ‘Of making many books there is no end.’ Gellir awgrymu roedd Duw yn rhoi Moses set o reolau lle gellir cymhwyso'r Torah ymhob achos</w:t>
      </w:r>
      <w:r w:rsidR="00F5288F">
        <w:rPr>
          <w:sz w:val="24"/>
        </w:rPr>
        <w:t>.</w:t>
      </w:r>
      <w:r w:rsidR="00AF4902">
        <w:rPr>
          <w:rStyle w:val="FootnoteReference"/>
          <w:sz w:val="24"/>
        </w:rPr>
        <w:footnoteReference w:id="15"/>
      </w:r>
    </w:p>
    <w:p w14:paraId="0095A80D" w14:textId="179061BC" w:rsidR="00AF4902" w:rsidRDefault="006C6F00" w:rsidP="00A325C2">
      <w:pPr>
        <w:rPr>
          <w:sz w:val="24"/>
        </w:rPr>
      </w:pPr>
      <w:r w:rsidRPr="006C6F00">
        <w:rPr>
          <w:sz w:val="24"/>
        </w:rPr>
        <w:t>Rhaid</w:t>
      </w:r>
      <w:r w:rsidR="009764A7">
        <w:rPr>
          <w:sz w:val="24"/>
        </w:rPr>
        <w:t xml:space="preserve"> ystyried fod y Torah Llafar yw y</w:t>
      </w:r>
      <w:r w:rsidRPr="006C6F00">
        <w:rPr>
          <w:sz w:val="24"/>
        </w:rPr>
        <w:t>r ‘main thing that distinguishes Judaism and makes it unique.’ Rhaid sylwe</w:t>
      </w:r>
      <w:r w:rsidR="009764A7">
        <w:rPr>
          <w:sz w:val="24"/>
        </w:rPr>
        <w:t>ddoli doedd dim modd ysgrifennu y</w:t>
      </w:r>
      <w:r w:rsidRPr="006C6F00">
        <w:rPr>
          <w:sz w:val="24"/>
        </w:rPr>
        <w:t>r Torah Llafar cyn i rai sydd ddim yn Iddewig mabwysiadu eu crefydd yn seil</w:t>
      </w:r>
      <w:r w:rsidR="009764A7">
        <w:rPr>
          <w:sz w:val="24"/>
        </w:rPr>
        <w:t>iedig ar y Beibl. Gellir dadlau y</w:t>
      </w:r>
      <w:r w:rsidRPr="006C6F00">
        <w:rPr>
          <w:sz w:val="24"/>
        </w:rPr>
        <w:t>r Torah Llafar yn fwy arwyddocaol i’r grefydd Iddewig am fod y Gyfraith Lafar yw sut mae'r Iddewon yn ymroddedig i Dduw a'u ddysgeidiaeth</w:t>
      </w:r>
      <w:r w:rsidR="00533147">
        <w:rPr>
          <w:sz w:val="24"/>
        </w:rPr>
        <w:t>.</w:t>
      </w:r>
      <w:r w:rsidR="003446C0">
        <w:rPr>
          <w:rStyle w:val="FootnoteReference"/>
          <w:sz w:val="24"/>
        </w:rPr>
        <w:footnoteReference w:id="16"/>
      </w:r>
    </w:p>
    <w:p w14:paraId="6993E1D7" w14:textId="6AC7A0D5" w:rsidR="00DE7F6E" w:rsidRDefault="00EA397C" w:rsidP="00A325C2">
      <w:pPr>
        <w:rPr>
          <w:sz w:val="24"/>
          <w:szCs w:val="24"/>
        </w:rPr>
      </w:pPr>
      <w:r w:rsidRPr="00EA397C">
        <w:rPr>
          <w:sz w:val="24"/>
          <w:szCs w:val="24"/>
        </w:rPr>
        <w:t>I gloi felly, er bwysigrwydd y Torah Llafar i Iddewon am fod yn wneud y grefydd Iddewig yn unigryw, rhaid cofio'r an</w:t>
      </w:r>
      <w:r w:rsidR="0037691F">
        <w:rPr>
          <w:sz w:val="24"/>
          <w:szCs w:val="24"/>
        </w:rPr>
        <w:t>gen am y dehongliadau pellach o’</w:t>
      </w:r>
      <w:r w:rsidRPr="00EA397C">
        <w:rPr>
          <w:sz w:val="24"/>
          <w:szCs w:val="24"/>
        </w:rPr>
        <w:t>r Torah Llaf</w:t>
      </w:r>
      <w:r w:rsidR="0037691F">
        <w:rPr>
          <w:sz w:val="24"/>
          <w:szCs w:val="24"/>
        </w:rPr>
        <w:t>ar. Y Mishnah yn arwyddocaol i y</w:t>
      </w:r>
      <w:r w:rsidRPr="00EA397C">
        <w:rPr>
          <w:sz w:val="24"/>
          <w:szCs w:val="24"/>
        </w:rPr>
        <w:t xml:space="preserve"> grefydd Iddewig am fod yn caniatáu i bob Iddew deall dysgeidiaeth Duw y</w:t>
      </w:r>
      <w:r w:rsidR="00202370">
        <w:rPr>
          <w:sz w:val="24"/>
          <w:szCs w:val="24"/>
        </w:rPr>
        <w:t>n hyderus. Mae angen bwysleisio y</w:t>
      </w:r>
      <w:r w:rsidRPr="00EA397C">
        <w:rPr>
          <w:sz w:val="24"/>
          <w:szCs w:val="24"/>
        </w:rPr>
        <w:t xml:space="preserve">r addasiadau yma </w:t>
      </w:r>
      <w:r w:rsidR="00202370">
        <w:rPr>
          <w:sz w:val="24"/>
          <w:szCs w:val="24"/>
        </w:rPr>
        <w:t xml:space="preserve">am fod y Mishnah </w:t>
      </w:r>
      <w:r w:rsidRPr="00EA397C">
        <w:rPr>
          <w:sz w:val="24"/>
          <w:szCs w:val="24"/>
        </w:rPr>
        <w:t>wedi sicrhau goroesiad y ffydd Iddewig. Y Mishnah wedi sicrhau fod y cenedlaethau i ddod yn gallu deall ac astudio'r T</w:t>
      </w:r>
      <w:r w:rsidR="00202370">
        <w:rPr>
          <w:sz w:val="24"/>
          <w:szCs w:val="24"/>
        </w:rPr>
        <w:t>almwd. Y Mishnah wedi caniatáu yr</w:t>
      </w:r>
      <w:r w:rsidRPr="00EA397C">
        <w:rPr>
          <w:sz w:val="24"/>
          <w:szCs w:val="24"/>
        </w:rPr>
        <w:t xml:space="preserve"> undod rh</w:t>
      </w:r>
      <w:r w:rsidR="00202370">
        <w:rPr>
          <w:sz w:val="24"/>
          <w:szCs w:val="24"/>
        </w:rPr>
        <w:t>wng crefydd a bywyd pob dydd. Mae yr</w:t>
      </w:r>
      <w:r w:rsidRPr="00EA397C">
        <w:rPr>
          <w:sz w:val="24"/>
          <w:szCs w:val="24"/>
        </w:rPr>
        <w:t xml:space="preserve"> Mishnah yn hanfodol o ran y cenedlaethau newydd gryfhau eu cysylltiad â hanes Iddewig ac i ddeall ymhellach traddodiadau sanctaidd. Yr Mishnah yn caniatáu Iddewon gryfhau eu perthynas â Duw; y perthynas â Duw yw’r peth mwyaf sanctaidd ac yr Mishnah yn atgyfnerthu hyn.</w:t>
      </w:r>
    </w:p>
    <w:p w14:paraId="1CCA8607" w14:textId="20847C2F" w:rsidR="00DE7F6E" w:rsidRDefault="00DE7F6E" w:rsidP="00A325C2">
      <w:pPr>
        <w:rPr>
          <w:sz w:val="24"/>
          <w:szCs w:val="24"/>
        </w:rPr>
      </w:pPr>
    </w:p>
    <w:p w14:paraId="159CCF0C" w14:textId="3BBFCD23" w:rsidR="00DE7F6E" w:rsidRDefault="00DE7F6E" w:rsidP="00A325C2">
      <w:pPr>
        <w:rPr>
          <w:sz w:val="24"/>
          <w:szCs w:val="24"/>
        </w:rPr>
      </w:pPr>
    </w:p>
    <w:p w14:paraId="482D8005" w14:textId="14952486" w:rsidR="00DE7F6E" w:rsidRDefault="00DE7F6E" w:rsidP="00A325C2">
      <w:pPr>
        <w:rPr>
          <w:sz w:val="24"/>
          <w:szCs w:val="24"/>
        </w:rPr>
      </w:pPr>
    </w:p>
    <w:p w14:paraId="38A6E0F4" w14:textId="7510B3EC" w:rsidR="00DE7F6E" w:rsidRDefault="00DE7F6E" w:rsidP="00A325C2">
      <w:pPr>
        <w:rPr>
          <w:sz w:val="24"/>
          <w:szCs w:val="24"/>
        </w:rPr>
      </w:pPr>
    </w:p>
    <w:p w14:paraId="1CD36949" w14:textId="0EA7634D" w:rsidR="00DE7F6E" w:rsidRDefault="00DE7F6E" w:rsidP="00A325C2">
      <w:pPr>
        <w:rPr>
          <w:sz w:val="24"/>
          <w:szCs w:val="24"/>
        </w:rPr>
      </w:pPr>
    </w:p>
    <w:p w14:paraId="46994A68" w14:textId="01C84290" w:rsidR="00570240" w:rsidRDefault="00570240" w:rsidP="00A325C2">
      <w:pPr>
        <w:rPr>
          <w:sz w:val="24"/>
          <w:szCs w:val="24"/>
        </w:rPr>
      </w:pPr>
    </w:p>
    <w:p w14:paraId="7AAE4C6D" w14:textId="0BB6E1B2" w:rsidR="00570240" w:rsidRDefault="00570240" w:rsidP="00A325C2">
      <w:pPr>
        <w:rPr>
          <w:sz w:val="24"/>
          <w:szCs w:val="24"/>
        </w:rPr>
      </w:pPr>
    </w:p>
    <w:p w14:paraId="01FD2A08" w14:textId="77777777" w:rsidR="00570240" w:rsidRDefault="00570240" w:rsidP="00A325C2">
      <w:pPr>
        <w:rPr>
          <w:sz w:val="24"/>
          <w:szCs w:val="24"/>
        </w:rPr>
      </w:pPr>
    </w:p>
    <w:p w14:paraId="045ADAD8" w14:textId="2C8A49F1" w:rsidR="00DE7F6E" w:rsidRDefault="00DE7F6E" w:rsidP="00A325C2">
      <w:pPr>
        <w:rPr>
          <w:sz w:val="24"/>
          <w:szCs w:val="24"/>
        </w:rPr>
      </w:pPr>
    </w:p>
    <w:p w14:paraId="007043DC" w14:textId="48E159E9" w:rsidR="00DE7F6E" w:rsidRPr="00D429A9" w:rsidRDefault="00DE7F6E" w:rsidP="00A36E0D">
      <w:pPr>
        <w:jc w:val="center"/>
        <w:rPr>
          <w:b/>
          <w:sz w:val="24"/>
          <w:szCs w:val="24"/>
        </w:rPr>
      </w:pPr>
      <w:bookmarkStart w:id="0" w:name="_GoBack"/>
      <w:r w:rsidRPr="00DE7F6E">
        <w:rPr>
          <w:b/>
          <w:sz w:val="24"/>
          <w:szCs w:val="24"/>
        </w:rPr>
        <w:t>Bibliography</w:t>
      </w:r>
    </w:p>
    <w:bookmarkEnd w:id="0"/>
    <w:p w14:paraId="43EBD3FC" w14:textId="26E37E8C" w:rsidR="00DE7F6E" w:rsidRPr="00045676" w:rsidRDefault="00DE7F6E" w:rsidP="00D429A9">
      <w:r w:rsidRPr="00045676">
        <w:t xml:space="preserve">Danby, H., </w:t>
      </w:r>
      <w:r w:rsidRPr="00045676">
        <w:rPr>
          <w:i/>
        </w:rPr>
        <w:t>The Mishnah</w:t>
      </w:r>
      <w:r w:rsidRPr="00045676">
        <w:t>., (Oxford University Press</w:t>
      </w:r>
      <w:r w:rsidR="00045676">
        <w:t>,</w:t>
      </w:r>
      <w:r w:rsidRPr="00045676">
        <w:t xml:space="preserve"> 1933)</w:t>
      </w:r>
    </w:p>
    <w:p w14:paraId="52BE0654" w14:textId="2B0A8922" w:rsidR="00045676" w:rsidRDefault="00045676" w:rsidP="00D429A9">
      <w:pPr>
        <w:pStyle w:val="FootnoteText"/>
        <w:rPr>
          <w:rFonts w:ascii="Calibri" w:hAnsi="Calibri"/>
          <w:color w:val="000000"/>
          <w:sz w:val="22"/>
          <w:szCs w:val="22"/>
          <w:shd w:val="clear" w:color="auto" w:fill="FFFFFF"/>
        </w:rPr>
      </w:pPr>
      <w:r w:rsidRPr="00045676">
        <w:rPr>
          <w:rFonts w:ascii="Calibri" w:hAnsi="Calibri"/>
          <w:color w:val="000000"/>
          <w:sz w:val="22"/>
          <w:szCs w:val="22"/>
          <w:shd w:val="clear" w:color="auto" w:fill="FFFFFF"/>
        </w:rPr>
        <w:t>Harris, J. G., </w:t>
      </w:r>
      <w:r w:rsidRPr="00045676">
        <w:rPr>
          <w:rFonts w:ascii="Calibri" w:hAnsi="Calibri"/>
          <w:i/>
          <w:iCs/>
          <w:color w:val="000000"/>
          <w:sz w:val="22"/>
          <w:szCs w:val="22"/>
          <w:shd w:val="clear" w:color="auto" w:fill="FFFFFF"/>
        </w:rPr>
        <w:t>Arweiniad at Iddewiaeth</w:t>
      </w:r>
      <w:r w:rsidRPr="00045676">
        <w:rPr>
          <w:rFonts w:ascii="Calibri" w:hAnsi="Calibri"/>
          <w:color w:val="000000"/>
          <w:sz w:val="22"/>
          <w:szCs w:val="22"/>
          <w:shd w:val="clear" w:color="auto" w:fill="FFFFFF"/>
        </w:rPr>
        <w:t> (Caernarfon: Gwasg Pantycelyn, 1983)</w:t>
      </w:r>
    </w:p>
    <w:p w14:paraId="4E3BB791" w14:textId="77777777" w:rsidR="00C12334" w:rsidRPr="00045676" w:rsidRDefault="00C12334" w:rsidP="00D429A9">
      <w:pPr>
        <w:pStyle w:val="FootnoteText"/>
        <w:rPr>
          <w:rFonts w:ascii="Calibri" w:hAnsi="Calibri"/>
          <w:color w:val="000000"/>
          <w:sz w:val="22"/>
          <w:szCs w:val="22"/>
          <w:shd w:val="clear" w:color="auto" w:fill="FFFFFF"/>
        </w:rPr>
      </w:pPr>
    </w:p>
    <w:p w14:paraId="64F59DED" w14:textId="35FD7D18" w:rsidR="00D429A9" w:rsidRDefault="00C12334" w:rsidP="00C12334">
      <w:pPr>
        <w:pStyle w:val="FootnoteText"/>
        <w:rPr>
          <w:sz w:val="22"/>
          <w:szCs w:val="22"/>
        </w:rPr>
      </w:pPr>
      <w:r w:rsidRPr="00045676">
        <w:rPr>
          <w:sz w:val="22"/>
          <w:szCs w:val="22"/>
        </w:rPr>
        <w:t>Mi Yodesha., ‘</w:t>
      </w:r>
      <w:r w:rsidRPr="00045676">
        <w:rPr>
          <w:i/>
          <w:sz w:val="22"/>
          <w:szCs w:val="22"/>
        </w:rPr>
        <w:t>Reasons for divorcing a woman</w:t>
      </w:r>
      <w:r w:rsidRPr="00045676">
        <w:rPr>
          <w:sz w:val="22"/>
          <w:szCs w:val="22"/>
        </w:rPr>
        <w:t xml:space="preserve">.’., </w:t>
      </w:r>
      <w:hyperlink r:id="rId8" w:history="1">
        <w:r w:rsidRPr="00045676">
          <w:rPr>
            <w:rStyle w:val="Hyperlink"/>
            <w:sz w:val="22"/>
            <w:szCs w:val="22"/>
          </w:rPr>
          <w:t>https://judaism.stackexchange.com/questions/28554/reasons-for-divorcing-a-woman-sourcing-a-chiddush</w:t>
        </w:r>
      </w:hyperlink>
      <w:r w:rsidRPr="00045676">
        <w:rPr>
          <w:sz w:val="22"/>
          <w:szCs w:val="22"/>
        </w:rPr>
        <w:t xml:space="preserve"> , (Date Accessed 5/12/17)</w:t>
      </w:r>
    </w:p>
    <w:p w14:paraId="58B4CC32" w14:textId="77777777" w:rsidR="00C12334" w:rsidRPr="00C12334" w:rsidRDefault="00C12334" w:rsidP="00C12334">
      <w:pPr>
        <w:pStyle w:val="FootnoteText"/>
        <w:rPr>
          <w:sz w:val="22"/>
          <w:szCs w:val="22"/>
        </w:rPr>
      </w:pPr>
    </w:p>
    <w:p w14:paraId="6FDB8F85" w14:textId="01B20E84" w:rsidR="00DE7F6E" w:rsidRPr="00045676" w:rsidRDefault="00DE7F6E" w:rsidP="00D429A9">
      <w:r w:rsidRPr="00045676">
        <w:t xml:space="preserve">Neusner, J., </w:t>
      </w:r>
      <w:r w:rsidRPr="00045676">
        <w:rPr>
          <w:i/>
        </w:rPr>
        <w:t>The Mishnah: A New Transla</w:t>
      </w:r>
      <w:r w:rsidR="00D429A9" w:rsidRPr="00045676">
        <w:rPr>
          <w:i/>
        </w:rPr>
        <w:t>tion</w:t>
      </w:r>
      <w:r w:rsidR="00D429A9" w:rsidRPr="00045676">
        <w:t>., (New Haven, CT: Yale University Press</w:t>
      </w:r>
      <w:r w:rsidR="00045676">
        <w:t>,</w:t>
      </w:r>
      <w:r w:rsidR="00D429A9" w:rsidRPr="00045676">
        <w:t xml:space="preserve"> 1988)</w:t>
      </w:r>
    </w:p>
    <w:p w14:paraId="0A4508E3" w14:textId="7EFE6D3F" w:rsidR="00045676" w:rsidRPr="00045676" w:rsidRDefault="00045676" w:rsidP="00045676">
      <w:pPr>
        <w:shd w:val="clear" w:color="auto" w:fill="FFFFFF"/>
        <w:spacing w:after="0" w:line="240" w:lineRule="auto"/>
        <w:rPr>
          <w:rFonts w:ascii="Calibri" w:eastAsia="Times New Roman" w:hAnsi="Calibri" w:cs="Times New Roman"/>
          <w:color w:val="000000"/>
          <w:lang w:eastAsia="en-GB"/>
        </w:rPr>
      </w:pPr>
      <w:r w:rsidRPr="00045676">
        <w:rPr>
          <w:rFonts w:ascii="Calibri" w:eastAsia="Times New Roman" w:hAnsi="Calibri" w:cs="Times New Roman"/>
          <w:color w:val="000000"/>
          <w:lang w:eastAsia="en-GB"/>
        </w:rPr>
        <w:t>Pilkington, C. M., </w:t>
      </w:r>
      <w:r w:rsidRPr="00045676">
        <w:rPr>
          <w:rFonts w:ascii="Calibri" w:eastAsia="Times New Roman" w:hAnsi="Calibri" w:cs="Times New Roman"/>
          <w:i/>
          <w:iCs/>
          <w:color w:val="000000"/>
          <w:lang w:eastAsia="en-GB"/>
        </w:rPr>
        <w:t>Iddewiaeth</w:t>
      </w:r>
      <w:r w:rsidRPr="00045676">
        <w:rPr>
          <w:rFonts w:ascii="Calibri" w:eastAsia="Times New Roman" w:hAnsi="Calibri" w:cs="Times New Roman"/>
          <w:color w:val="000000"/>
          <w:lang w:eastAsia="en-GB"/>
        </w:rPr>
        <w:t>, cyf. gan Sian A. Edwards</w:t>
      </w:r>
      <w:r>
        <w:rPr>
          <w:rFonts w:ascii="Calibri" w:eastAsia="Times New Roman" w:hAnsi="Calibri" w:cs="Times New Roman"/>
          <w:color w:val="000000"/>
          <w:lang w:eastAsia="en-GB"/>
        </w:rPr>
        <w:t xml:space="preserve">., </w:t>
      </w:r>
      <w:r w:rsidRPr="00045676">
        <w:rPr>
          <w:rFonts w:ascii="Calibri" w:eastAsia="Times New Roman" w:hAnsi="Calibri" w:cs="Times New Roman"/>
          <w:color w:val="000000"/>
          <w:lang w:eastAsia="en-GB"/>
        </w:rPr>
        <w:t>(Caerdydd: Gwasg UWIC, 2005)</w:t>
      </w:r>
    </w:p>
    <w:p w14:paraId="6AF2C0C3" w14:textId="77777777" w:rsidR="00045676" w:rsidRPr="00045676" w:rsidRDefault="00045676" w:rsidP="00D429A9"/>
    <w:p w14:paraId="4C68377D" w14:textId="1572AA0F" w:rsidR="00D429A9" w:rsidRPr="00045676" w:rsidRDefault="00D429A9" w:rsidP="00D429A9">
      <w:r w:rsidRPr="00045676">
        <w:t xml:space="preserve">Rabbi Aryeh Kaplan., ‘The Oral Tradition.’, </w:t>
      </w:r>
      <w:hyperlink r:id="rId9" w:history="1">
        <w:r w:rsidRPr="00045676">
          <w:rPr>
            <w:rStyle w:val="Hyperlink"/>
          </w:rPr>
          <w:t>http://www.aish.com/jl/b/ol/48943186.html</w:t>
        </w:r>
      </w:hyperlink>
      <w:r w:rsidRPr="00045676">
        <w:t xml:space="preserve"> , (Date Accessed 5/12/17)</w:t>
      </w:r>
    </w:p>
    <w:p w14:paraId="0E76AF64" w14:textId="77777777" w:rsidR="00D429A9" w:rsidRPr="00045676" w:rsidRDefault="00D429A9" w:rsidP="00D429A9">
      <w:pPr>
        <w:pStyle w:val="FootnoteText"/>
        <w:rPr>
          <w:sz w:val="22"/>
          <w:szCs w:val="22"/>
        </w:rPr>
      </w:pPr>
      <w:r w:rsidRPr="00045676">
        <w:rPr>
          <w:sz w:val="22"/>
          <w:szCs w:val="22"/>
        </w:rPr>
        <w:t xml:space="preserve">Rich, T.R., Tracey R. Rich., </w:t>
      </w:r>
      <w:r w:rsidRPr="00045676">
        <w:rPr>
          <w:i/>
          <w:sz w:val="22"/>
          <w:szCs w:val="22"/>
        </w:rPr>
        <w:t>Judaism 101: ‘Torah’</w:t>
      </w:r>
      <w:r w:rsidRPr="00045676">
        <w:rPr>
          <w:sz w:val="22"/>
          <w:szCs w:val="22"/>
        </w:rPr>
        <w:t xml:space="preserve">., </w:t>
      </w:r>
      <w:hyperlink r:id="rId10" w:history="1">
        <w:r w:rsidRPr="00045676">
          <w:rPr>
            <w:rStyle w:val="Hyperlink"/>
            <w:sz w:val="22"/>
            <w:szCs w:val="22"/>
          </w:rPr>
          <w:t>http://www.jewfaq.org/torah.htm</w:t>
        </w:r>
      </w:hyperlink>
      <w:r w:rsidRPr="00045676">
        <w:rPr>
          <w:sz w:val="22"/>
          <w:szCs w:val="22"/>
        </w:rPr>
        <w:t>, (Date Accessed 5/12/17)</w:t>
      </w:r>
    </w:p>
    <w:p w14:paraId="6A7CDA0A" w14:textId="77777777" w:rsidR="00D429A9" w:rsidRPr="00045676" w:rsidRDefault="00D429A9" w:rsidP="00D429A9"/>
    <w:p w14:paraId="1C16B691" w14:textId="007A9B3B" w:rsidR="00DE7F6E" w:rsidRPr="00045676" w:rsidRDefault="00DE7F6E" w:rsidP="00D429A9">
      <w:r w:rsidRPr="00045676">
        <w:t xml:space="preserve">Soloman, N., </w:t>
      </w:r>
      <w:r w:rsidRPr="00045676">
        <w:rPr>
          <w:i/>
        </w:rPr>
        <w:t>Judaism: A Very Short Introduction</w:t>
      </w:r>
      <w:r w:rsidRPr="00045676">
        <w:t>., (Oxford University Press</w:t>
      </w:r>
      <w:r w:rsidR="00045676">
        <w:t>,</w:t>
      </w:r>
      <w:r w:rsidRPr="00045676">
        <w:t xml:space="preserve"> 1996)</w:t>
      </w:r>
    </w:p>
    <w:p w14:paraId="7D3FCDC4" w14:textId="506B25DD" w:rsidR="00D429A9" w:rsidRPr="00045676" w:rsidRDefault="00D429A9" w:rsidP="00D429A9">
      <w:r w:rsidRPr="00045676">
        <w:t xml:space="preserve">The Mishnah., </w:t>
      </w:r>
      <w:hyperlink r:id="rId11" w:history="1">
        <w:r w:rsidRPr="00045676">
          <w:rPr>
            <w:rStyle w:val="Hyperlink"/>
          </w:rPr>
          <w:t>https://reformjudaism.org/mishnah</w:t>
        </w:r>
      </w:hyperlink>
      <w:r w:rsidRPr="00045676">
        <w:t xml:space="preserve"> (Dat</w:t>
      </w:r>
      <w:r w:rsidR="00045676">
        <w:t>e Accessed 19/11/17</w:t>
      </w:r>
      <w:r w:rsidRPr="00045676">
        <w:t>)</w:t>
      </w:r>
    </w:p>
    <w:p w14:paraId="2DB668D5" w14:textId="77777777" w:rsidR="00DE7F6E" w:rsidRPr="00DE7F6E" w:rsidRDefault="00DE7F6E" w:rsidP="00DE7F6E">
      <w:pPr>
        <w:rPr>
          <w:b/>
          <w:sz w:val="24"/>
        </w:rPr>
      </w:pPr>
    </w:p>
    <w:sectPr w:rsidR="00DE7F6E" w:rsidRPr="00DE7F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B3030" w14:textId="77777777" w:rsidR="00716DEF" w:rsidRDefault="00716DEF" w:rsidP="00A325C2">
      <w:pPr>
        <w:spacing w:after="0" w:line="240" w:lineRule="auto"/>
      </w:pPr>
      <w:r>
        <w:separator/>
      </w:r>
    </w:p>
  </w:endnote>
  <w:endnote w:type="continuationSeparator" w:id="0">
    <w:p w14:paraId="539EBBB0" w14:textId="77777777" w:rsidR="00716DEF" w:rsidRDefault="00716DEF" w:rsidP="00A32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1803AB" w14:textId="77777777" w:rsidR="00716DEF" w:rsidRDefault="00716DEF" w:rsidP="00A325C2">
      <w:pPr>
        <w:spacing w:after="0" w:line="240" w:lineRule="auto"/>
      </w:pPr>
      <w:r>
        <w:separator/>
      </w:r>
    </w:p>
  </w:footnote>
  <w:footnote w:type="continuationSeparator" w:id="0">
    <w:p w14:paraId="76C0B240" w14:textId="77777777" w:rsidR="00716DEF" w:rsidRDefault="00716DEF" w:rsidP="00A325C2">
      <w:pPr>
        <w:spacing w:after="0" w:line="240" w:lineRule="auto"/>
      </w:pPr>
      <w:r>
        <w:continuationSeparator/>
      </w:r>
    </w:p>
  </w:footnote>
  <w:footnote w:id="1">
    <w:p w14:paraId="189E86AD" w14:textId="105B285F" w:rsidR="00162521" w:rsidRDefault="00162521">
      <w:pPr>
        <w:pStyle w:val="FootnoteText"/>
      </w:pPr>
      <w:r>
        <w:rPr>
          <w:rStyle w:val="FootnoteReference"/>
        </w:rPr>
        <w:footnoteRef/>
      </w:r>
      <w:r>
        <w:t xml:space="preserve"> </w:t>
      </w:r>
      <w:r w:rsidR="00CE5A00">
        <w:t xml:space="preserve">Tracey R. Rich., </w:t>
      </w:r>
      <w:r w:rsidR="00CE5A00" w:rsidRPr="00CE5A00">
        <w:rPr>
          <w:i/>
        </w:rPr>
        <w:t>Judaism 101:</w:t>
      </w:r>
      <w:r w:rsidRPr="00CE5A00">
        <w:rPr>
          <w:i/>
        </w:rPr>
        <w:t xml:space="preserve"> ‘Torah’</w:t>
      </w:r>
      <w:r>
        <w:t xml:space="preserve">., </w:t>
      </w:r>
      <w:hyperlink r:id="rId1" w:history="1">
        <w:r w:rsidRPr="00176E50">
          <w:rPr>
            <w:rStyle w:val="Hyperlink"/>
          </w:rPr>
          <w:t>http://www.jewfaq.org/torah.htm</w:t>
        </w:r>
      </w:hyperlink>
      <w:r>
        <w:t>, (Date Accessed 5/12/17)</w:t>
      </w:r>
    </w:p>
  </w:footnote>
  <w:footnote w:id="2">
    <w:p w14:paraId="6FBB771E" w14:textId="6FD06E1E" w:rsidR="00A325C2" w:rsidRPr="004F02F1" w:rsidRDefault="00A325C2" w:rsidP="00A325C2">
      <w:pPr>
        <w:pStyle w:val="FootnoteText"/>
      </w:pPr>
      <w:r>
        <w:rPr>
          <w:rStyle w:val="FootnoteReference"/>
        </w:rPr>
        <w:footnoteRef/>
      </w:r>
      <w:r>
        <w:t xml:space="preserve"> Herbert Danby., </w:t>
      </w:r>
      <w:r>
        <w:rPr>
          <w:i/>
        </w:rPr>
        <w:t xml:space="preserve">The Mishnah: Translated from the Hebrew with Introduction and Brief Explanatory Notes: Chapter 1. </w:t>
      </w:r>
      <w:r w:rsidR="00A25110">
        <w:t>(Oxford University Press, 1933</w:t>
      </w:r>
      <w:r>
        <w:t>)</w:t>
      </w:r>
    </w:p>
  </w:footnote>
  <w:footnote w:id="3">
    <w:p w14:paraId="2127ABDE" w14:textId="4F30D6D4" w:rsidR="00076800" w:rsidRDefault="00076800" w:rsidP="00076800">
      <w:pPr>
        <w:pStyle w:val="FootnoteText"/>
      </w:pPr>
      <w:r>
        <w:rPr>
          <w:rStyle w:val="FootnoteReference"/>
        </w:rPr>
        <w:footnoteRef/>
      </w:r>
      <w:r>
        <w:t xml:space="preserve"> Glyndŵr Harris., </w:t>
      </w:r>
      <w:r w:rsidR="00616064">
        <w:rPr>
          <w:i/>
        </w:rPr>
        <w:t>Arweiniad at Iddewiaeth</w:t>
      </w:r>
      <w:proofErr w:type="gramStart"/>
      <w:r w:rsidR="00616064">
        <w:t>.,</w:t>
      </w:r>
      <w:r>
        <w:t>t</w:t>
      </w:r>
      <w:proofErr w:type="gramEnd"/>
      <w:r>
        <w:t>94</w:t>
      </w:r>
      <w:r w:rsidR="00616064">
        <w:t xml:space="preserve"> (Caernarfon: Gwasg Pantycelyn, 1983)</w:t>
      </w:r>
      <w:r>
        <w:t xml:space="preserve"> </w:t>
      </w:r>
    </w:p>
  </w:footnote>
  <w:footnote w:id="4">
    <w:p w14:paraId="71154222" w14:textId="1301CEED" w:rsidR="00512F1A" w:rsidRPr="00512F1A" w:rsidRDefault="00512F1A">
      <w:pPr>
        <w:pStyle w:val="FootnoteText"/>
      </w:pPr>
      <w:r>
        <w:rPr>
          <w:rStyle w:val="FootnoteReference"/>
        </w:rPr>
        <w:footnoteRef/>
      </w:r>
      <w:r>
        <w:t xml:space="preserve"> C.</w:t>
      </w:r>
      <w:r w:rsidR="00616064">
        <w:t xml:space="preserve">M Pilkington., Iddewiaeth, cf. gan Sian </w:t>
      </w:r>
      <w:proofErr w:type="gramStart"/>
      <w:r w:rsidR="00616064">
        <w:t>A.Edwards</w:t>
      </w:r>
      <w:proofErr w:type="gramEnd"/>
      <w:r w:rsidR="00616064">
        <w:t>., t37 (Caerdydd: Gwasg UWIC, 2005)</w:t>
      </w:r>
    </w:p>
  </w:footnote>
  <w:footnote w:id="5">
    <w:p w14:paraId="10071BFA" w14:textId="1F9DB024" w:rsidR="00BF3167" w:rsidRDefault="00BF3167">
      <w:pPr>
        <w:pStyle w:val="FootnoteText"/>
      </w:pPr>
      <w:r>
        <w:rPr>
          <w:rStyle w:val="FootnoteReference"/>
        </w:rPr>
        <w:footnoteRef/>
      </w:r>
      <w:r>
        <w:t xml:space="preserve"> Mi Yodeya: ‘</w:t>
      </w:r>
      <w:r w:rsidRPr="000C4D93">
        <w:rPr>
          <w:i/>
        </w:rPr>
        <w:t>Reasons for divorcing a woman</w:t>
      </w:r>
      <w:r>
        <w:t xml:space="preserve">.’., </w:t>
      </w:r>
      <w:hyperlink r:id="rId2" w:history="1">
        <w:r w:rsidRPr="00176E50">
          <w:rPr>
            <w:rStyle w:val="Hyperlink"/>
          </w:rPr>
          <w:t>https://judaism.stackexchange.com/questions/28554/reasons-for-divorcing-a-woman-sourcing-a-chiddush</w:t>
        </w:r>
      </w:hyperlink>
      <w:r>
        <w:t xml:space="preserve"> , (Date Accessed 5/12/17)</w:t>
      </w:r>
    </w:p>
  </w:footnote>
  <w:footnote w:id="6">
    <w:p w14:paraId="4975BBE8" w14:textId="284B5925" w:rsidR="00857B7C" w:rsidRDefault="00857B7C" w:rsidP="00857B7C">
      <w:pPr>
        <w:pStyle w:val="FootnoteText"/>
      </w:pPr>
      <w:r>
        <w:rPr>
          <w:rStyle w:val="FootnoteReference"/>
        </w:rPr>
        <w:footnoteRef/>
      </w:r>
      <w:r>
        <w:t xml:space="preserve"> Norman Solomon., Judaism: A Very Short Introduction, t32., (Oxford University Press</w:t>
      </w:r>
      <w:r w:rsidR="00A25110">
        <w:t>,</w:t>
      </w:r>
      <w:r>
        <w:t xml:space="preserve"> 1996) </w:t>
      </w:r>
    </w:p>
  </w:footnote>
  <w:footnote w:id="7">
    <w:p w14:paraId="63F13643" w14:textId="79C110F1" w:rsidR="00D10195" w:rsidRDefault="00D10195" w:rsidP="00D10195">
      <w:pPr>
        <w:pStyle w:val="FootnoteText"/>
      </w:pPr>
      <w:r>
        <w:rPr>
          <w:rStyle w:val="FootnoteReference"/>
        </w:rPr>
        <w:footnoteRef/>
      </w:r>
      <w:r>
        <w:t xml:space="preserve"> </w:t>
      </w:r>
      <w:r w:rsidR="00F63CD6">
        <w:t xml:space="preserve">Jacob </w:t>
      </w:r>
      <w:r>
        <w:t>Neusner,</w:t>
      </w:r>
      <w:r>
        <w:rPr>
          <w:i/>
        </w:rPr>
        <w:t xml:space="preserve"> The Mishnah: A New Translation.</w:t>
      </w:r>
      <w:r>
        <w:t xml:space="preserve"> (New Haven, CT: Yale University Press, 1988.)</w:t>
      </w:r>
    </w:p>
  </w:footnote>
  <w:footnote w:id="8">
    <w:p w14:paraId="7FA0AF35" w14:textId="44456CD5" w:rsidR="00AE1B93" w:rsidRDefault="00AE1B93">
      <w:pPr>
        <w:pStyle w:val="FootnoteText"/>
      </w:pPr>
      <w:r>
        <w:rPr>
          <w:rStyle w:val="FootnoteReference"/>
        </w:rPr>
        <w:footnoteRef/>
      </w:r>
      <w:r>
        <w:t xml:space="preserve"> Herbert Danby, </w:t>
      </w:r>
      <w:r>
        <w:rPr>
          <w:i/>
        </w:rPr>
        <w:t>The Mishnah</w:t>
      </w:r>
      <w:r>
        <w:t>., t13., (Oxford University Press</w:t>
      </w:r>
      <w:r w:rsidR="00260B1D">
        <w:t>,</w:t>
      </w:r>
      <w:r>
        <w:t xml:space="preserve"> 1933)</w:t>
      </w:r>
    </w:p>
  </w:footnote>
  <w:footnote w:id="9">
    <w:p w14:paraId="69AD5441" w14:textId="08A9FBA0" w:rsidR="00F21904" w:rsidRDefault="00F21904">
      <w:pPr>
        <w:pStyle w:val="FootnoteText"/>
      </w:pPr>
      <w:r>
        <w:rPr>
          <w:rStyle w:val="FootnoteReference"/>
        </w:rPr>
        <w:footnoteRef/>
      </w:r>
      <w:r>
        <w:t xml:space="preserve"> Norman Solomon., Judaism: A Very Short Introduction, t33., (Oxford University Press</w:t>
      </w:r>
      <w:r w:rsidR="00260B1D">
        <w:t>,</w:t>
      </w:r>
      <w:r>
        <w:t xml:space="preserve"> 1996)</w:t>
      </w:r>
    </w:p>
  </w:footnote>
  <w:footnote w:id="10">
    <w:p w14:paraId="2C3A790C" w14:textId="7C26D122" w:rsidR="00BD04EA" w:rsidRDefault="00BD04EA">
      <w:pPr>
        <w:pStyle w:val="FootnoteText"/>
      </w:pPr>
      <w:r>
        <w:rPr>
          <w:rStyle w:val="FootnoteReference"/>
        </w:rPr>
        <w:footnoteRef/>
      </w:r>
      <w:r>
        <w:t xml:space="preserve"> Norman Solomon., Judaism: A Very Short Introduction, t34., (Oxford University Press</w:t>
      </w:r>
      <w:r w:rsidR="00260B1D">
        <w:t>,</w:t>
      </w:r>
      <w:r>
        <w:t xml:space="preserve"> 1996)</w:t>
      </w:r>
    </w:p>
  </w:footnote>
  <w:footnote w:id="11">
    <w:p w14:paraId="32ED67C7" w14:textId="51028C2C" w:rsidR="000E0AD2" w:rsidRDefault="000E0AD2" w:rsidP="000E0AD2">
      <w:pPr>
        <w:pStyle w:val="FootnoteText"/>
      </w:pPr>
      <w:r>
        <w:rPr>
          <w:rStyle w:val="FootnoteReference"/>
        </w:rPr>
        <w:footnoteRef/>
      </w:r>
      <w:r w:rsidR="00C901B1">
        <w:t xml:space="preserve">  T</w:t>
      </w:r>
      <w:r>
        <w:t xml:space="preserve">he Mishnah: </w:t>
      </w:r>
      <w:hyperlink r:id="rId3" w:history="1">
        <w:r>
          <w:rPr>
            <w:rStyle w:val="Hyperlink"/>
          </w:rPr>
          <w:t>https://reformjudaism.org/mishnah</w:t>
        </w:r>
      </w:hyperlink>
      <w:r>
        <w:t xml:space="preserve"> </w:t>
      </w:r>
      <w:r w:rsidR="00260B1D">
        <w:t>(Date Accessed 19/11/</w:t>
      </w:r>
      <w:r>
        <w:t>2017)</w:t>
      </w:r>
    </w:p>
  </w:footnote>
  <w:footnote w:id="12">
    <w:p w14:paraId="56E5C5C4" w14:textId="7986D279" w:rsidR="008D1245" w:rsidRPr="008D1245" w:rsidRDefault="008D1245">
      <w:pPr>
        <w:pStyle w:val="FootnoteText"/>
      </w:pPr>
      <w:r>
        <w:rPr>
          <w:rStyle w:val="FootnoteReference"/>
        </w:rPr>
        <w:footnoteRef/>
      </w:r>
      <w:r>
        <w:t xml:space="preserve"> Herbert Danby, </w:t>
      </w:r>
      <w:r>
        <w:rPr>
          <w:i/>
        </w:rPr>
        <w:t>The Mishnah</w:t>
      </w:r>
      <w:r>
        <w:t>., t</w:t>
      </w:r>
      <w:r w:rsidR="00C9074C">
        <w:t>13.,</w:t>
      </w:r>
      <w:r w:rsidR="00AD7CD6">
        <w:t xml:space="preserve"> (Oxford University Press</w:t>
      </w:r>
      <w:r w:rsidR="00260B1D">
        <w:t>,</w:t>
      </w:r>
      <w:r w:rsidR="00AD7CD6">
        <w:t xml:space="preserve"> 1933)</w:t>
      </w:r>
    </w:p>
  </w:footnote>
  <w:footnote w:id="13">
    <w:p w14:paraId="3EA87831" w14:textId="67E7CF94" w:rsidR="00DC353B" w:rsidRDefault="00DC353B">
      <w:pPr>
        <w:pStyle w:val="FootnoteText"/>
      </w:pPr>
      <w:r>
        <w:rPr>
          <w:rStyle w:val="FootnoteReference"/>
        </w:rPr>
        <w:footnoteRef/>
      </w:r>
      <w:r>
        <w:t xml:space="preserve"> </w:t>
      </w:r>
      <w:r w:rsidR="00E02B28">
        <w:t xml:space="preserve">BBC Religion: </w:t>
      </w:r>
      <w:r>
        <w:t>‘</w:t>
      </w:r>
      <w:r w:rsidRPr="00DC353B">
        <w:rPr>
          <w:i/>
        </w:rPr>
        <w:t>The Talmud’</w:t>
      </w:r>
      <w:r>
        <w:t xml:space="preserve">., </w:t>
      </w:r>
      <w:hyperlink r:id="rId4" w:history="1">
        <w:r w:rsidRPr="00176E50">
          <w:rPr>
            <w:rStyle w:val="Hyperlink"/>
          </w:rPr>
          <w:t>http://www.bbc.co.uk/religion/religions/judaism/texts/talmud.shtml</w:t>
        </w:r>
      </w:hyperlink>
      <w:r>
        <w:t>, (Date Accessed 5/12/17)</w:t>
      </w:r>
    </w:p>
  </w:footnote>
  <w:footnote w:id="14">
    <w:p w14:paraId="487C2780" w14:textId="7AC75039" w:rsidR="009939B7" w:rsidRDefault="009939B7">
      <w:pPr>
        <w:pStyle w:val="FootnoteText"/>
      </w:pPr>
      <w:r>
        <w:rPr>
          <w:rStyle w:val="FootnoteReference"/>
        </w:rPr>
        <w:footnoteRef/>
      </w:r>
      <w:r>
        <w:t xml:space="preserve"> </w:t>
      </w:r>
      <w:r w:rsidR="00616064">
        <w:t xml:space="preserve">Glyndŵr Harris., </w:t>
      </w:r>
      <w:r w:rsidR="00616064">
        <w:rPr>
          <w:i/>
        </w:rPr>
        <w:t>Arweiniad at Iddewiaeth</w:t>
      </w:r>
      <w:proofErr w:type="gramStart"/>
      <w:r w:rsidR="00616064">
        <w:t>.,t</w:t>
      </w:r>
      <w:proofErr w:type="gramEnd"/>
      <w:r w:rsidR="00616064">
        <w:t xml:space="preserve">94 (Caernarfon: Gwasg Pantycelyn, 1983) </w:t>
      </w:r>
    </w:p>
  </w:footnote>
  <w:footnote w:id="15">
    <w:p w14:paraId="53EBAF41" w14:textId="307F7B44" w:rsidR="00AF4902" w:rsidRDefault="00AF4902">
      <w:pPr>
        <w:pStyle w:val="FootnoteText"/>
      </w:pPr>
      <w:r>
        <w:rPr>
          <w:rStyle w:val="FootnoteReference"/>
        </w:rPr>
        <w:footnoteRef/>
      </w:r>
      <w:r w:rsidR="00006E56">
        <w:t xml:space="preserve">Rabbi Aryeh Kaplan., </w:t>
      </w:r>
      <w:r w:rsidR="003446C0">
        <w:t>‘The Oral Tradition.’,</w:t>
      </w:r>
      <w:r>
        <w:t xml:space="preserve"> </w:t>
      </w:r>
      <w:hyperlink r:id="rId5" w:history="1">
        <w:r w:rsidRPr="00176E50">
          <w:rPr>
            <w:rStyle w:val="Hyperlink"/>
          </w:rPr>
          <w:t>http://www.aish.com/jl/b/ol/48943186.html</w:t>
        </w:r>
      </w:hyperlink>
      <w:r>
        <w:t xml:space="preserve"> , (Date Accessed 5/12/17)</w:t>
      </w:r>
    </w:p>
  </w:footnote>
  <w:footnote w:id="16">
    <w:p w14:paraId="30D3B901" w14:textId="0D7B055D" w:rsidR="003446C0" w:rsidRDefault="003446C0">
      <w:pPr>
        <w:pStyle w:val="FootnoteText"/>
      </w:pPr>
      <w:r>
        <w:rPr>
          <w:rStyle w:val="FootnoteReference"/>
        </w:rPr>
        <w:footnoteRef/>
      </w:r>
      <w:r>
        <w:t xml:space="preserve"> </w:t>
      </w:r>
      <w:r w:rsidR="00006E56">
        <w:t xml:space="preserve">Rabbi Aryeh Kaplan., </w:t>
      </w:r>
      <w:r>
        <w:t xml:space="preserve">‘The Oral Tradition.’, </w:t>
      </w:r>
      <w:hyperlink r:id="rId6" w:history="1">
        <w:r w:rsidRPr="00176E50">
          <w:rPr>
            <w:rStyle w:val="Hyperlink"/>
          </w:rPr>
          <w:t>http://www.aish.com/jl/b/ol/48943186.html</w:t>
        </w:r>
      </w:hyperlink>
      <w:r>
        <w:t xml:space="preserve"> , (Date Accessed 5/12/17)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E4EDC"/>
    <w:multiLevelType w:val="hybridMultilevel"/>
    <w:tmpl w:val="2522F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5C2"/>
    <w:rsid w:val="00005DC6"/>
    <w:rsid w:val="00006E56"/>
    <w:rsid w:val="00007E47"/>
    <w:rsid w:val="00017FEE"/>
    <w:rsid w:val="00023143"/>
    <w:rsid w:val="00027D09"/>
    <w:rsid w:val="00045022"/>
    <w:rsid w:val="00045676"/>
    <w:rsid w:val="00076800"/>
    <w:rsid w:val="0008105A"/>
    <w:rsid w:val="00093C94"/>
    <w:rsid w:val="000B2B10"/>
    <w:rsid w:val="000C4D93"/>
    <w:rsid w:val="000E0AD2"/>
    <w:rsid w:val="00100330"/>
    <w:rsid w:val="001021AD"/>
    <w:rsid w:val="00105852"/>
    <w:rsid w:val="00114B8B"/>
    <w:rsid w:val="00121E9E"/>
    <w:rsid w:val="0013792D"/>
    <w:rsid w:val="00154B09"/>
    <w:rsid w:val="00162521"/>
    <w:rsid w:val="001B4EB2"/>
    <w:rsid w:val="001E053C"/>
    <w:rsid w:val="001F150D"/>
    <w:rsid w:val="00202370"/>
    <w:rsid w:val="00211527"/>
    <w:rsid w:val="00260B1D"/>
    <w:rsid w:val="00263ADE"/>
    <w:rsid w:val="002830BC"/>
    <w:rsid w:val="002B7D45"/>
    <w:rsid w:val="002D073A"/>
    <w:rsid w:val="003043CA"/>
    <w:rsid w:val="00305691"/>
    <w:rsid w:val="003446C0"/>
    <w:rsid w:val="00344D54"/>
    <w:rsid w:val="003566A5"/>
    <w:rsid w:val="0037691F"/>
    <w:rsid w:val="0038156E"/>
    <w:rsid w:val="00382131"/>
    <w:rsid w:val="00390C5B"/>
    <w:rsid w:val="003A382F"/>
    <w:rsid w:val="003B467E"/>
    <w:rsid w:val="003C650A"/>
    <w:rsid w:val="004132DB"/>
    <w:rsid w:val="00435B52"/>
    <w:rsid w:val="00456372"/>
    <w:rsid w:val="00456FA4"/>
    <w:rsid w:val="00461A44"/>
    <w:rsid w:val="00461FA2"/>
    <w:rsid w:val="00476B50"/>
    <w:rsid w:val="00491068"/>
    <w:rsid w:val="004E1513"/>
    <w:rsid w:val="004E724A"/>
    <w:rsid w:val="004F76F2"/>
    <w:rsid w:val="00512BCD"/>
    <w:rsid w:val="00512F1A"/>
    <w:rsid w:val="00530FE0"/>
    <w:rsid w:val="00533147"/>
    <w:rsid w:val="005462B0"/>
    <w:rsid w:val="0056289C"/>
    <w:rsid w:val="00563CCF"/>
    <w:rsid w:val="00570240"/>
    <w:rsid w:val="00581C70"/>
    <w:rsid w:val="005C153A"/>
    <w:rsid w:val="005C68EF"/>
    <w:rsid w:val="005D1F96"/>
    <w:rsid w:val="005D50AE"/>
    <w:rsid w:val="00605E22"/>
    <w:rsid w:val="00616064"/>
    <w:rsid w:val="00640279"/>
    <w:rsid w:val="00666C05"/>
    <w:rsid w:val="00673405"/>
    <w:rsid w:val="00681360"/>
    <w:rsid w:val="00697757"/>
    <w:rsid w:val="006B3771"/>
    <w:rsid w:val="006B605A"/>
    <w:rsid w:val="006C6F00"/>
    <w:rsid w:val="006F43F0"/>
    <w:rsid w:val="006F7599"/>
    <w:rsid w:val="007072C8"/>
    <w:rsid w:val="00716DEF"/>
    <w:rsid w:val="00721D04"/>
    <w:rsid w:val="00751FBF"/>
    <w:rsid w:val="00764E73"/>
    <w:rsid w:val="00770DB8"/>
    <w:rsid w:val="007865F9"/>
    <w:rsid w:val="007A17BB"/>
    <w:rsid w:val="007B126F"/>
    <w:rsid w:val="007B3D06"/>
    <w:rsid w:val="007E652B"/>
    <w:rsid w:val="007F191C"/>
    <w:rsid w:val="00811D32"/>
    <w:rsid w:val="008172A6"/>
    <w:rsid w:val="00823973"/>
    <w:rsid w:val="00833804"/>
    <w:rsid w:val="00850B04"/>
    <w:rsid w:val="00857B7C"/>
    <w:rsid w:val="00862AF2"/>
    <w:rsid w:val="00881630"/>
    <w:rsid w:val="008D1245"/>
    <w:rsid w:val="008E2B19"/>
    <w:rsid w:val="008F16BB"/>
    <w:rsid w:val="00937456"/>
    <w:rsid w:val="00941D8B"/>
    <w:rsid w:val="00964476"/>
    <w:rsid w:val="00970983"/>
    <w:rsid w:val="009764A7"/>
    <w:rsid w:val="009939B7"/>
    <w:rsid w:val="009F0986"/>
    <w:rsid w:val="00A049E5"/>
    <w:rsid w:val="00A13997"/>
    <w:rsid w:val="00A17471"/>
    <w:rsid w:val="00A25110"/>
    <w:rsid w:val="00A31FAA"/>
    <w:rsid w:val="00A325C2"/>
    <w:rsid w:val="00A36E0D"/>
    <w:rsid w:val="00A46CEB"/>
    <w:rsid w:val="00A61288"/>
    <w:rsid w:val="00A65F71"/>
    <w:rsid w:val="00A84659"/>
    <w:rsid w:val="00A9034E"/>
    <w:rsid w:val="00AA7DCA"/>
    <w:rsid w:val="00AD4DA3"/>
    <w:rsid w:val="00AD7CD6"/>
    <w:rsid w:val="00AE1B93"/>
    <w:rsid w:val="00AF4325"/>
    <w:rsid w:val="00AF4902"/>
    <w:rsid w:val="00B1447D"/>
    <w:rsid w:val="00B15ECB"/>
    <w:rsid w:val="00B27928"/>
    <w:rsid w:val="00B6016D"/>
    <w:rsid w:val="00B64983"/>
    <w:rsid w:val="00B83DD9"/>
    <w:rsid w:val="00B87055"/>
    <w:rsid w:val="00BA1087"/>
    <w:rsid w:val="00BA1E75"/>
    <w:rsid w:val="00BB53ED"/>
    <w:rsid w:val="00BC35DF"/>
    <w:rsid w:val="00BD0429"/>
    <w:rsid w:val="00BD04EA"/>
    <w:rsid w:val="00BD3332"/>
    <w:rsid w:val="00BD479C"/>
    <w:rsid w:val="00BE1E4C"/>
    <w:rsid w:val="00BF3167"/>
    <w:rsid w:val="00C073DE"/>
    <w:rsid w:val="00C11629"/>
    <w:rsid w:val="00C12334"/>
    <w:rsid w:val="00C15A04"/>
    <w:rsid w:val="00C3293D"/>
    <w:rsid w:val="00C45740"/>
    <w:rsid w:val="00C61E6D"/>
    <w:rsid w:val="00C71AD2"/>
    <w:rsid w:val="00C81B64"/>
    <w:rsid w:val="00C901B1"/>
    <w:rsid w:val="00C9074C"/>
    <w:rsid w:val="00C92BF9"/>
    <w:rsid w:val="00CB0333"/>
    <w:rsid w:val="00CE5A00"/>
    <w:rsid w:val="00CF540C"/>
    <w:rsid w:val="00D10195"/>
    <w:rsid w:val="00D11757"/>
    <w:rsid w:val="00D429A9"/>
    <w:rsid w:val="00D45DCD"/>
    <w:rsid w:val="00D52E51"/>
    <w:rsid w:val="00D763D8"/>
    <w:rsid w:val="00D86139"/>
    <w:rsid w:val="00D87648"/>
    <w:rsid w:val="00DC353B"/>
    <w:rsid w:val="00DD376E"/>
    <w:rsid w:val="00DD6AFC"/>
    <w:rsid w:val="00DE6C8B"/>
    <w:rsid w:val="00DE7F6E"/>
    <w:rsid w:val="00E02B28"/>
    <w:rsid w:val="00E200EF"/>
    <w:rsid w:val="00E204AD"/>
    <w:rsid w:val="00E20B0D"/>
    <w:rsid w:val="00E723F3"/>
    <w:rsid w:val="00EA397C"/>
    <w:rsid w:val="00ED01F7"/>
    <w:rsid w:val="00F21904"/>
    <w:rsid w:val="00F34BE3"/>
    <w:rsid w:val="00F52408"/>
    <w:rsid w:val="00F5288F"/>
    <w:rsid w:val="00F63CD6"/>
    <w:rsid w:val="00F93D75"/>
    <w:rsid w:val="00FA368A"/>
    <w:rsid w:val="00FF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16B85"/>
  <w15:chartTrackingRefBased/>
  <w15:docId w15:val="{D24CBF56-8246-4DFB-8286-1BF1F5CC0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325C2"/>
    <w:pPr>
      <w:spacing w:after="0" w:line="240" w:lineRule="auto"/>
    </w:pPr>
    <w:rPr>
      <w:sz w:val="20"/>
      <w:szCs w:val="20"/>
    </w:rPr>
  </w:style>
  <w:style w:type="character" w:customStyle="1" w:styleId="FootnoteTextChar">
    <w:name w:val="Footnote Text Char"/>
    <w:basedOn w:val="DefaultParagraphFont"/>
    <w:link w:val="FootnoteText"/>
    <w:uiPriority w:val="99"/>
    <w:rsid w:val="00A325C2"/>
    <w:rPr>
      <w:sz w:val="20"/>
      <w:szCs w:val="20"/>
    </w:rPr>
  </w:style>
  <w:style w:type="character" w:styleId="FootnoteReference">
    <w:name w:val="footnote reference"/>
    <w:basedOn w:val="DefaultParagraphFont"/>
    <w:uiPriority w:val="99"/>
    <w:semiHidden/>
    <w:unhideWhenUsed/>
    <w:rsid w:val="00A325C2"/>
    <w:rPr>
      <w:vertAlign w:val="superscript"/>
    </w:rPr>
  </w:style>
  <w:style w:type="character" w:styleId="Hyperlink">
    <w:name w:val="Hyperlink"/>
    <w:basedOn w:val="DefaultParagraphFont"/>
    <w:uiPriority w:val="99"/>
    <w:unhideWhenUsed/>
    <w:rsid w:val="000E0AD2"/>
    <w:rPr>
      <w:color w:val="0563C1" w:themeColor="hyperlink"/>
      <w:u w:val="single"/>
    </w:rPr>
  </w:style>
  <w:style w:type="character" w:styleId="UnresolvedMention">
    <w:name w:val="Unresolved Mention"/>
    <w:basedOn w:val="DefaultParagraphFont"/>
    <w:uiPriority w:val="99"/>
    <w:semiHidden/>
    <w:unhideWhenUsed/>
    <w:rsid w:val="00DC353B"/>
    <w:rPr>
      <w:color w:val="808080"/>
      <w:shd w:val="clear" w:color="auto" w:fill="E6E6E6"/>
    </w:rPr>
  </w:style>
  <w:style w:type="paragraph" w:styleId="ListParagraph">
    <w:name w:val="List Paragraph"/>
    <w:basedOn w:val="Normal"/>
    <w:uiPriority w:val="34"/>
    <w:qFormat/>
    <w:rsid w:val="00D429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88869">
      <w:bodyDiv w:val="1"/>
      <w:marLeft w:val="0"/>
      <w:marRight w:val="0"/>
      <w:marTop w:val="0"/>
      <w:marBottom w:val="0"/>
      <w:divBdr>
        <w:top w:val="none" w:sz="0" w:space="0" w:color="auto"/>
        <w:left w:val="none" w:sz="0" w:space="0" w:color="auto"/>
        <w:bottom w:val="none" w:sz="0" w:space="0" w:color="auto"/>
        <w:right w:val="none" w:sz="0" w:space="0" w:color="auto"/>
      </w:divBdr>
    </w:div>
    <w:div w:id="486358004">
      <w:bodyDiv w:val="1"/>
      <w:marLeft w:val="0"/>
      <w:marRight w:val="0"/>
      <w:marTop w:val="0"/>
      <w:marBottom w:val="0"/>
      <w:divBdr>
        <w:top w:val="none" w:sz="0" w:space="0" w:color="auto"/>
        <w:left w:val="none" w:sz="0" w:space="0" w:color="auto"/>
        <w:bottom w:val="none" w:sz="0" w:space="0" w:color="auto"/>
        <w:right w:val="none" w:sz="0" w:space="0" w:color="auto"/>
      </w:divBdr>
    </w:div>
    <w:div w:id="1315111701">
      <w:bodyDiv w:val="1"/>
      <w:marLeft w:val="0"/>
      <w:marRight w:val="0"/>
      <w:marTop w:val="0"/>
      <w:marBottom w:val="0"/>
      <w:divBdr>
        <w:top w:val="none" w:sz="0" w:space="0" w:color="auto"/>
        <w:left w:val="none" w:sz="0" w:space="0" w:color="auto"/>
        <w:bottom w:val="none" w:sz="0" w:space="0" w:color="auto"/>
        <w:right w:val="none" w:sz="0" w:space="0" w:color="auto"/>
      </w:divBdr>
      <w:divsChild>
        <w:div w:id="1520587280">
          <w:marLeft w:val="0"/>
          <w:marRight w:val="0"/>
          <w:marTop w:val="0"/>
          <w:marBottom w:val="0"/>
          <w:divBdr>
            <w:top w:val="none" w:sz="0" w:space="0" w:color="auto"/>
            <w:left w:val="none" w:sz="0" w:space="0" w:color="auto"/>
            <w:bottom w:val="none" w:sz="0" w:space="0" w:color="auto"/>
            <w:right w:val="none" w:sz="0" w:space="0" w:color="auto"/>
          </w:divBdr>
        </w:div>
      </w:divsChild>
    </w:div>
    <w:div w:id="176471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daism.stackexchange.com/questions/28554/reasons-for-divorcing-a-woman-sourcing-a-chiddush"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formjudaism.org/mishnah" TargetMode="External"/><Relationship Id="rId5" Type="http://schemas.openxmlformats.org/officeDocument/2006/relationships/webSettings" Target="webSettings.xml"/><Relationship Id="rId10" Type="http://schemas.openxmlformats.org/officeDocument/2006/relationships/hyperlink" Target="http://www.jewfaq.org/torah.htm" TargetMode="External"/><Relationship Id="rId4" Type="http://schemas.openxmlformats.org/officeDocument/2006/relationships/settings" Target="settings.xml"/><Relationship Id="rId9" Type="http://schemas.openxmlformats.org/officeDocument/2006/relationships/hyperlink" Target="http://www.aish.com/jl/b/ol/48943186.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reformjudaism.org/mishnah" TargetMode="External"/><Relationship Id="rId2" Type="http://schemas.openxmlformats.org/officeDocument/2006/relationships/hyperlink" Target="https://judaism.stackexchange.com/questions/28554/reasons-for-divorcing-a-woman-sourcing-a-chiddush" TargetMode="External"/><Relationship Id="rId1" Type="http://schemas.openxmlformats.org/officeDocument/2006/relationships/hyperlink" Target="http://www.jewfaq.org/torah.htm" TargetMode="External"/><Relationship Id="rId6" Type="http://schemas.openxmlformats.org/officeDocument/2006/relationships/hyperlink" Target="http://www.aish.com/jl/b/ol/48943186.html" TargetMode="External"/><Relationship Id="rId5" Type="http://schemas.openxmlformats.org/officeDocument/2006/relationships/hyperlink" Target="http://www.aish.com/jl/b/ol/48943186.html" TargetMode="External"/><Relationship Id="rId4" Type="http://schemas.openxmlformats.org/officeDocument/2006/relationships/hyperlink" Target="http://www.bbc.co.uk/religion/religions/judaism/texts/talmu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37DD7-D5FD-42D2-A303-9ECFE8F90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5</Pages>
  <Words>1765</Words>
  <Characters>10066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171</cp:revision>
  <dcterms:created xsi:type="dcterms:W3CDTF">2017-12-04T15:04:00Z</dcterms:created>
  <dcterms:modified xsi:type="dcterms:W3CDTF">2017-12-07T12:59:00Z</dcterms:modified>
</cp:coreProperties>
</file>