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2C58C" w14:textId="53E28503" w:rsidR="00504712" w:rsidRDefault="00EE2619" w:rsidP="00B414FF">
      <w:pPr>
        <w:jc w:val="center"/>
        <w:rPr>
          <w:b/>
          <w:bCs/>
          <w:u w:val="single"/>
        </w:rPr>
      </w:pPr>
      <w:r w:rsidRPr="00B414FF">
        <w:rPr>
          <w:b/>
          <w:bCs/>
          <w:u w:val="single"/>
        </w:rPr>
        <w:t>ECAD5010</w:t>
      </w:r>
      <w:r w:rsidR="00B414FF" w:rsidRPr="00B414FF">
        <w:rPr>
          <w:b/>
          <w:bCs/>
          <w:u w:val="single"/>
        </w:rPr>
        <w:t xml:space="preserve"> – Researching the learning: what, how and why am I teaching?</w:t>
      </w:r>
    </w:p>
    <w:p w14:paraId="3D021D81" w14:textId="77777777" w:rsidR="00B414FF" w:rsidRDefault="00B414FF" w:rsidP="00B414FF">
      <w:pPr>
        <w:jc w:val="center"/>
      </w:pPr>
    </w:p>
    <w:p w14:paraId="53BBBD36" w14:textId="32D7860D" w:rsidR="00B414FF" w:rsidRPr="00AD1FF9" w:rsidRDefault="00B414FF" w:rsidP="00B414FF">
      <w:pPr>
        <w:jc w:val="center"/>
        <w:rPr>
          <w:b/>
          <w:bCs/>
        </w:rPr>
      </w:pPr>
      <w:r w:rsidRPr="00AD1FF9">
        <w:rPr>
          <w:b/>
          <w:bCs/>
        </w:rPr>
        <w:t>Design and conduct a small-</w:t>
      </w:r>
      <w:r w:rsidR="00C21FB1" w:rsidRPr="00AD1FF9">
        <w:rPr>
          <w:b/>
          <w:bCs/>
        </w:rPr>
        <w:t>scale</w:t>
      </w:r>
      <w:r w:rsidRPr="00AD1FF9">
        <w:rPr>
          <w:b/>
          <w:bCs/>
        </w:rPr>
        <w:t xml:space="preserve"> research study, and critically evaluate </w:t>
      </w:r>
      <w:r w:rsidR="00C21FB1" w:rsidRPr="00AD1FF9">
        <w:rPr>
          <w:b/>
          <w:bCs/>
        </w:rPr>
        <w:t xml:space="preserve">the impact of chosen research tools and data/findings on the learner and on your professional practice. </w:t>
      </w:r>
    </w:p>
    <w:p w14:paraId="6C566AF4" w14:textId="77777777" w:rsidR="00C21FB1" w:rsidRDefault="00C21FB1" w:rsidP="00C21FB1"/>
    <w:p w14:paraId="0EC8E2A5" w14:textId="004547CA" w:rsidR="003B3E84" w:rsidRPr="0046142E" w:rsidRDefault="009204F5" w:rsidP="003B3E84">
      <w:pPr>
        <w:rPr>
          <w:rFonts w:eastAsia="Times New Roman" w:cstheme="minorHAnsi"/>
          <w:lang w:eastAsia="en-GB"/>
        </w:rPr>
      </w:pPr>
      <w:r>
        <w:t>I conducted a small scare research study</w:t>
      </w:r>
      <w:r w:rsidR="00D24A0F">
        <w:t xml:space="preserve"> based upon the assessment for learning strategy of peer assessment. Within this research, I proposed the</w:t>
      </w:r>
      <w:r w:rsidR="001E5ACA">
        <w:t xml:space="preserve"> research question of ‘what are staff and year 6 students’ perceptions on peer assessment?’</w:t>
      </w:r>
      <w:r w:rsidR="008F5A6C">
        <w:t xml:space="preserve"> </w:t>
      </w:r>
      <w:r w:rsidR="00D14FDF">
        <w:t>The purpose of this research was to</w:t>
      </w:r>
      <w:r w:rsidR="008F5A6C">
        <w:t xml:space="preserve"> gain an insight of opinions regarding the implementation of this strategy within KS2</w:t>
      </w:r>
      <w:r w:rsidR="00166C52">
        <w:t xml:space="preserve"> and to highlight the importance – or lack </w:t>
      </w:r>
      <w:r w:rsidR="00173662">
        <w:t>thereof</w:t>
      </w:r>
      <w:r w:rsidR="00166C52">
        <w:t xml:space="preserve"> regarding</w:t>
      </w:r>
      <w:r w:rsidR="00173662">
        <w:t xml:space="preserve"> the use of peer assessment</w:t>
      </w:r>
      <w:r w:rsidR="008F5A6C">
        <w:t xml:space="preserve">. </w:t>
      </w:r>
      <w:r w:rsidR="00362536">
        <w:t xml:space="preserve">This research </w:t>
      </w:r>
      <w:r w:rsidR="003A6700">
        <w:t xml:space="preserve">study </w:t>
      </w:r>
      <w:r w:rsidR="00362536">
        <w:t>took place within School C</w:t>
      </w:r>
      <w:r w:rsidR="00CC2207">
        <w:t xml:space="preserve"> containing </w:t>
      </w:r>
      <w:r w:rsidR="00DD716B">
        <w:t>around 294 students. 32% of students within the school have been identified has being eligible for free school meals</w:t>
      </w:r>
      <w:r w:rsidR="00F0371F">
        <w:t xml:space="preserve">, which is about average in Wales, with the average statistic being 19%. </w:t>
      </w:r>
      <w:r w:rsidR="003204DB">
        <w:t xml:space="preserve">In addition to this, </w:t>
      </w:r>
      <w:r w:rsidR="001870D5">
        <w:t>School C has identified 54% of students having additional learning needs, which again is above the national</w:t>
      </w:r>
      <w:r w:rsidR="00C10068">
        <w:t xml:space="preserve"> average of 21%, but the school </w:t>
      </w:r>
      <w:r w:rsidR="00F65879">
        <w:t xml:space="preserve">offers a special teaching facility which majority of students with ALN attends. </w:t>
      </w:r>
      <w:r w:rsidR="00DA1B6C">
        <w:t xml:space="preserve">It has </w:t>
      </w:r>
      <w:r w:rsidR="00E01D16">
        <w:t xml:space="preserve">also </w:t>
      </w:r>
      <w:r w:rsidR="00DA1B6C">
        <w:t>been identified that there are very few pupils within the care of the local authority</w:t>
      </w:r>
      <w:r w:rsidR="00E01D16">
        <w:t>.</w:t>
      </w:r>
      <w:r w:rsidR="00533E09">
        <w:t xml:space="preserve"> Furthermore, </w:t>
      </w:r>
      <w:r w:rsidR="00734C20">
        <w:t xml:space="preserve">many of the students attending the school are of white British ethnicity and identifies very few students with </w:t>
      </w:r>
      <w:r w:rsidR="00F25F69">
        <w:t xml:space="preserve">EDL. </w:t>
      </w:r>
      <w:r w:rsidR="003B3E84" w:rsidRPr="003B3E84">
        <w:rPr>
          <w:rFonts w:ascii="Times New Roman" w:eastAsia="Times New Roman" w:hAnsi="Times New Roman" w:cs="Times New Roman"/>
          <w:color w:val="000000"/>
          <w:lang w:eastAsia="en-GB"/>
        </w:rPr>
        <w:t>(Estyn</w:t>
      </w:r>
      <w:r w:rsidR="003B3E84">
        <w:rPr>
          <w:rFonts w:ascii="Times New Roman" w:eastAsia="Times New Roman" w:hAnsi="Times New Roman" w:cs="Times New Roman"/>
          <w:color w:val="000000"/>
          <w:lang w:eastAsia="en-GB"/>
        </w:rPr>
        <w:t>, 2018</w:t>
      </w:r>
      <w:r w:rsidR="003B3E84" w:rsidRPr="003B3E84">
        <w:rPr>
          <w:rFonts w:ascii="Times New Roman" w:eastAsia="Times New Roman" w:hAnsi="Times New Roman" w:cs="Times New Roman"/>
          <w:color w:val="000000"/>
          <w:lang w:eastAsia="en-GB"/>
        </w:rPr>
        <w:t>)</w:t>
      </w:r>
      <w:r w:rsidR="003B3E84">
        <w:rPr>
          <w:rFonts w:ascii="Times New Roman" w:eastAsia="Times New Roman" w:hAnsi="Times New Roman" w:cs="Times New Roman"/>
          <w:color w:val="000000"/>
          <w:lang w:eastAsia="en-GB"/>
        </w:rPr>
        <w:t xml:space="preserve">. </w:t>
      </w:r>
      <w:r w:rsidR="001466D4">
        <w:rPr>
          <w:rFonts w:eastAsia="Times New Roman" w:cstheme="minorHAnsi"/>
          <w:color w:val="000000"/>
          <w:lang w:eastAsia="en-GB"/>
        </w:rPr>
        <w:t xml:space="preserve">The aim of this assignment is to critically evaluate </w:t>
      </w:r>
      <w:r w:rsidR="0041080D">
        <w:rPr>
          <w:rFonts w:eastAsia="Times New Roman" w:cstheme="minorHAnsi"/>
          <w:color w:val="000000"/>
          <w:lang w:eastAsia="en-GB"/>
        </w:rPr>
        <w:t>the</w:t>
      </w:r>
      <w:r w:rsidR="001466D4">
        <w:rPr>
          <w:rFonts w:eastAsia="Times New Roman" w:cstheme="minorHAnsi"/>
          <w:color w:val="000000"/>
          <w:lang w:eastAsia="en-GB"/>
        </w:rPr>
        <w:t xml:space="preserve"> findings surrounding the perceptions of peer assessment </w:t>
      </w:r>
      <w:r w:rsidR="0041080D">
        <w:rPr>
          <w:rFonts w:eastAsia="Times New Roman" w:cstheme="minorHAnsi"/>
          <w:color w:val="000000"/>
          <w:lang w:eastAsia="en-GB"/>
        </w:rPr>
        <w:t xml:space="preserve">as an assessment for learning strategy from the perspective of year 6 students and KS2 teaching facilitators. </w:t>
      </w:r>
    </w:p>
    <w:p w14:paraId="33681418" w14:textId="4BAB7BF4" w:rsidR="001C2ACA" w:rsidRPr="001C2ACA" w:rsidRDefault="001C2ACA" w:rsidP="001C2ACA"/>
    <w:p w14:paraId="12A83B46" w14:textId="434C3A4C" w:rsidR="00A16DF6" w:rsidRPr="00930F63" w:rsidRDefault="00A16DF6" w:rsidP="001C2ACA">
      <w:pPr>
        <w:rPr>
          <w:rFonts w:ascii="Times New Roman" w:eastAsia="Times New Roman" w:hAnsi="Times New Roman" w:cs="Times New Roman"/>
          <w:lang w:eastAsia="en-GB"/>
        </w:rPr>
      </w:pPr>
      <w:r>
        <w:t xml:space="preserve">          </w:t>
      </w:r>
      <w:r w:rsidR="003A697C">
        <w:t xml:space="preserve">Peer assessment </w:t>
      </w:r>
      <w:r w:rsidR="00EB7DA9">
        <w:t xml:space="preserve">is defined as an assessment for learning strategy and is a process </w:t>
      </w:r>
      <w:r w:rsidR="00DE394D">
        <w:t xml:space="preserve">that allows students to evaluate the work of their peers, and in return provide </w:t>
      </w:r>
      <w:r w:rsidR="0092620E">
        <w:t xml:space="preserve">students with feedback based around formative assessment. </w:t>
      </w:r>
      <w:r w:rsidR="00DC1241">
        <w:t xml:space="preserve">It can be implemented in multiple different ways including </w:t>
      </w:r>
      <w:r w:rsidR="00AB330A">
        <w:t>through feedback</w:t>
      </w:r>
      <w:r w:rsidR="00E46DE3">
        <w:t xml:space="preserve"> as a form of formative peer assessment and then</w:t>
      </w:r>
      <w:r w:rsidR="00AB330A">
        <w:t xml:space="preserve"> grading and reviewing</w:t>
      </w:r>
      <w:r w:rsidR="00E46DE3">
        <w:t xml:space="preserve"> as a form of summative peer assessment. </w:t>
      </w:r>
      <w:r w:rsidR="00D81AC6" w:rsidRPr="00D81AC6">
        <w:rPr>
          <w:rFonts w:ascii="Times New Roman" w:eastAsia="Times New Roman" w:hAnsi="Times New Roman" w:cs="Times New Roman"/>
          <w:color w:val="000000"/>
          <w:lang w:eastAsia="en-GB"/>
        </w:rPr>
        <w:t>(Sadler, 1989)</w:t>
      </w:r>
      <w:r w:rsidR="00D81AC6">
        <w:rPr>
          <w:rFonts w:ascii="Times New Roman" w:eastAsia="Times New Roman" w:hAnsi="Times New Roman" w:cs="Times New Roman"/>
          <w:lang w:eastAsia="en-GB"/>
        </w:rPr>
        <w:t xml:space="preserve">. </w:t>
      </w:r>
      <w:r w:rsidR="00C41E22">
        <w:t xml:space="preserve">Peer assessment is heavily associated with constructivist theories, due to the emphasis </w:t>
      </w:r>
      <w:r w:rsidR="00A03F4B">
        <w:t xml:space="preserve">of the importance of social interaction </w:t>
      </w:r>
      <w:r w:rsidR="000F070D">
        <w:t xml:space="preserve">and building key social skills, and the </w:t>
      </w:r>
      <w:r w:rsidR="00EE5E7F">
        <w:t>importance</w:t>
      </w:r>
      <w:r w:rsidR="000F070D">
        <w:t xml:space="preserve"> of collaborative learning within </w:t>
      </w:r>
      <w:r w:rsidR="00DF17A2">
        <w:t>student’s</w:t>
      </w:r>
      <w:r w:rsidR="00EE5E7F">
        <w:t xml:space="preserve"> educational experiences. </w:t>
      </w:r>
      <w:r w:rsidR="00D81AC6" w:rsidRPr="00D81AC6">
        <w:rPr>
          <w:rFonts w:ascii="Times New Roman" w:eastAsia="Times New Roman" w:hAnsi="Times New Roman" w:cs="Times New Roman"/>
          <w:color w:val="000000"/>
          <w:lang w:eastAsia="en-GB"/>
        </w:rPr>
        <w:t>(Topping, 2009)</w:t>
      </w:r>
      <w:r w:rsidR="00EE5E7F">
        <w:t xml:space="preserve">. </w:t>
      </w:r>
      <w:r w:rsidR="007502ED">
        <w:t xml:space="preserve">The constructivism theory </w:t>
      </w:r>
      <w:r w:rsidR="006E3C10">
        <w:t>suggests that lea</w:t>
      </w:r>
      <w:r w:rsidR="00D64F25">
        <w:t>rning is an active process which</w:t>
      </w:r>
      <w:r w:rsidR="00231855">
        <w:t xml:space="preserve"> relies on social interaction </w:t>
      </w:r>
      <w:r w:rsidR="00833F79">
        <w:t xml:space="preserve">and collaboration between peers as well as teachers. </w:t>
      </w:r>
      <w:r w:rsidR="00714617" w:rsidRPr="00714617">
        <w:rPr>
          <w:rFonts w:ascii="Times New Roman" w:eastAsia="Times New Roman" w:hAnsi="Times New Roman" w:cs="Times New Roman"/>
          <w:color w:val="000000"/>
          <w:lang w:eastAsia="en-GB"/>
        </w:rPr>
        <w:t>(Piaget, 1976)</w:t>
      </w:r>
      <w:r w:rsidR="00833F79">
        <w:t xml:space="preserve">. Which therefore </w:t>
      </w:r>
      <w:r w:rsidR="001F4EB5">
        <w:t>suggests that by students taking part in peer assessment</w:t>
      </w:r>
      <w:r w:rsidR="00AC3220">
        <w:t>,</w:t>
      </w:r>
      <w:r w:rsidR="001F4EB5">
        <w:t xml:space="preserve"> students </w:t>
      </w:r>
      <w:r w:rsidR="00661598">
        <w:t>build upon and construct their knowledge</w:t>
      </w:r>
      <w:r w:rsidR="007512BB">
        <w:t xml:space="preserve">, assisting </w:t>
      </w:r>
      <w:r w:rsidR="00460CEF">
        <w:t xml:space="preserve">in students </w:t>
      </w:r>
      <w:r w:rsidR="00AC7D4F">
        <w:t xml:space="preserve">gaining a deeper understanding within their learning and </w:t>
      </w:r>
      <w:r w:rsidR="005A7FAF">
        <w:t xml:space="preserve">develop their higher order thinking skills. </w:t>
      </w:r>
      <w:r w:rsidR="00714617" w:rsidRPr="00714617">
        <w:rPr>
          <w:rFonts w:ascii="Times New Roman" w:eastAsia="Times New Roman" w:hAnsi="Times New Roman" w:cs="Times New Roman"/>
          <w:color w:val="000000"/>
          <w:lang w:eastAsia="en-GB"/>
        </w:rPr>
        <w:t>(Piaget, 1976)</w:t>
      </w:r>
      <w:r w:rsidR="005A7FAF">
        <w:t>.</w:t>
      </w:r>
      <w:r w:rsidR="00231855">
        <w:t xml:space="preserve"> </w:t>
      </w:r>
      <w:r w:rsidR="005A7FAF">
        <w:t>This can be supported by</w:t>
      </w:r>
      <w:r w:rsidR="00DF17A2">
        <w:t xml:space="preserve"> Vygotsky’s sociocultural theory,</w:t>
      </w:r>
      <w:r w:rsidR="005A7FAF">
        <w:t xml:space="preserve"> as he suggests</w:t>
      </w:r>
      <w:r w:rsidR="00DF17A2">
        <w:t xml:space="preserve"> </w:t>
      </w:r>
      <w:r w:rsidR="007B025D">
        <w:t>the implementation of peer assessment within learning allows for students to be provided with key opportunities for social interaction and co</w:t>
      </w:r>
      <w:r w:rsidR="00F0311A">
        <w:t xml:space="preserve">gnitive development </w:t>
      </w:r>
      <w:r w:rsidR="009511CD">
        <w:t xml:space="preserve">due to the encouragement of discussion, negotiation and debating and through exchanging feedback with one another. </w:t>
      </w:r>
      <w:r w:rsidR="00714617" w:rsidRPr="00714617">
        <w:rPr>
          <w:rFonts w:ascii="Times New Roman" w:eastAsia="Times New Roman" w:hAnsi="Times New Roman" w:cs="Times New Roman"/>
          <w:color w:val="000000"/>
          <w:lang w:eastAsia="en-GB"/>
        </w:rPr>
        <w:t>(Vygotsky, 1978)</w:t>
      </w:r>
      <w:r w:rsidR="009511CD">
        <w:t xml:space="preserve">. </w:t>
      </w:r>
      <w:r w:rsidR="00023D05">
        <w:t xml:space="preserve">Within this theory, Vygotsky also highlights the </w:t>
      </w:r>
      <w:r w:rsidR="00547C53">
        <w:t>importance</w:t>
      </w:r>
      <w:r w:rsidR="00023D05">
        <w:t xml:space="preserve"> of</w:t>
      </w:r>
      <w:r w:rsidR="00547C53">
        <w:t xml:space="preserve"> implicating a more knowledgeable other (MKO) within pupils</w:t>
      </w:r>
      <w:r w:rsidR="004B6C4E">
        <w:t xml:space="preserve"> learning, which is defined as an individual with more knowledge or experience. Although this is typically classe</w:t>
      </w:r>
      <w:r w:rsidR="007512BB">
        <w:t>d</w:t>
      </w:r>
      <w:r w:rsidR="004B6C4E">
        <w:t xml:space="preserve"> as a teacher or adult, it can also refer to more abled and talented students (MAT) </w:t>
      </w:r>
      <w:r w:rsidR="002064FB">
        <w:t xml:space="preserve">to provide their peers with </w:t>
      </w:r>
      <w:r w:rsidR="007D02F1">
        <w:t xml:space="preserve">the opportunity of higher attainment through guidance and encouragement </w:t>
      </w:r>
      <w:r w:rsidR="00F338EE">
        <w:t xml:space="preserve">from a skilled partner. </w:t>
      </w:r>
      <w:r w:rsidR="00930F63" w:rsidRPr="00930F63">
        <w:rPr>
          <w:rFonts w:ascii="Times New Roman" w:eastAsia="Times New Roman" w:hAnsi="Times New Roman" w:cs="Times New Roman"/>
          <w:color w:val="000000"/>
          <w:lang w:eastAsia="en-GB"/>
        </w:rPr>
        <w:t>(</w:t>
      </w:r>
      <w:proofErr w:type="spellStart"/>
      <w:r w:rsidR="00930F63" w:rsidRPr="00930F63">
        <w:rPr>
          <w:rFonts w:ascii="Times New Roman" w:eastAsia="Times New Roman" w:hAnsi="Times New Roman" w:cs="Times New Roman"/>
          <w:color w:val="000000"/>
          <w:lang w:eastAsia="en-GB"/>
        </w:rPr>
        <w:t>Mcleod</w:t>
      </w:r>
      <w:proofErr w:type="spellEnd"/>
      <w:r w:rsidR="00930F63" w:rsidRPr="00930F63">
        <w:rPr>
          <w:rFonts w:ascii="Times New Roman" w:eastAsia="Times New Roman" w:hAnsi="Times New Roman" w:cs="Times New Roman"/>
          <w:color w:val="000000"/>
          <w:lang w:eastAsia="en-GB"/>
        </w:rPr>
        <w:t>, 2022)</w:t>
      </w:r>
      <w:r w:rsidR="00930F63">
        <w:rPr>
          <w:rFonts w:ascii="Times New Roman" w:eastAsia="Times New Roman" w:hAnsi="Times New Roman" w:cs="Times New Roman"/>
          <w:lang w:eastAsia="en-GB"/>
        </w:rPr>
        <w:t>.</w:t>
      </w:r>
    </w:p>
    <w:p w14:paraId="418F8265" w14:textId="77777777" w:rsidR="00A16DF6" w:rsidRDefault="00A16DF6" w:rsidP="001C2ACA"/>
    <w:p w14:paraId="00442078" w14:textId="6637E98A" w:rsidR="001C2ACA" w:rsidRPr="006101DE" w:rsidRDefault="0037382D" w:rsidP="001C2ACA">
      <w:pPr>
        <w:rPr>
          <w:rFonts w:ascii="Times New Roman" w:eastAsia="Times New Roman" w:hAnsi="Times New Roman" w:cs="Times New Roman"/>
          <w:lang w:eastAsia="en-GB"/>
        </w:rPr>
      </w:pPr>
      <w:r>
        <w:lastRenderedPageBreak/>
        <w:t xml:space="preserve">There have been multiple studies in which the benefits of </w:t>
      </w:r>
      <w:r w:rsidR="00284890">
        <w:t>implementing</w:t>
      </w:r>
      <w:r>
        <w:t xml:space="preserve"> peer assessment </w:t>
      </w:r>
      <w:r w:rsidR="00BC3907">
        <w:t xml:space="preserve">have been proven in </w:t>
      </w:r>
      <w:r w:rsidR="00284890">
        <w:t>improving</w:t>
      </w:r>
      <w:r w:rsidR="00BC3907">
        <w:t xml:space="preserve"> student’s learning outcomes. For example, it is argued by Black and William (1998), who are key theorists regarding assessment for learning, </w:t>
      </w:r>
      <w:r w:rsidR="00E62E5F">
        <w:t xml:space="preserve">that the use of peer assessment helps to promote </w:t>
      </w:r>
      <w:r w:rsidR="00C22FA9">
        <w:t xml:space="preserve">active engagement, critical thinking skills </w:t>
      </w:r>
      <w:proofErr w:type="gramStart"/>
      <w:r w:rsidR="00C22FA9">
        <w:t>and also</w:t>
      </w:r>
      <w:proofErr w:type="gramEnd"/>
      <w:r w:rsidR="00C22FA9">
        <w:t xml:space="preserve"> cognitive development. </w:t>
      </w:r>
      <w:r w:rsidR="00714617" w:rsidRPr="00714617">
        <w:rPr>
          <w:rFonts w:ascii="Times New Roman" w:eastAsia="Times New Roman" w:hAnsi="Times New Roman" w:cs="Times New Roman"/>
          <w:color w:val="000000"/>
          <w:lang w:eastAsia="en-GB"/>
        </w:rPr>
        <w:t xml:space="preserve">(Black and </w:t>
      </w:r>
      <w:proofErr w:type="spellStart"/>
      <w:r w:rsidR="00714617" w:rsidRPr="00714617">
        <w:rPr>
          <w:rFonts w:ascii="Times New Roman" w:eastAsia="Times New Roman" w:hAnsi="Times New Roman" w:cs="Times New Roman"/>
          <w:color w:val="000000"/>
          <w:lang w:eastAsia="en-GB"/>
        </w:rPr>
        <w:t>Wiliam</w:t>
      </w:r>
      <w:proofErr w:type="spellEnd"/>
      <w:r w:rsidR="00714617" w:rsidRPr="00714617">
        <w:rPr>
          <w:rFonts w:ascii="Times New Roman" w:eastAsia="Times New Roman" w:hAnsi="Times New Roman" w:cs="Times New Roman"/>
          <w:color w:val="000000"/>
          <w:lang w:eastAsia="en-GB"/>
        </w:rPr>
        <w:t>, 1998)</w:t>
      </w:r>
      <w:r w:rsidR="00C22FA9">
        <w:t xml:space="preserve">. </w:t>
      </w:r>
      <w:r w:rsidR="00712CF4">
        <w:t xml:space="preserve">They also </w:t>
      </w:r>
      <w:r w:rsidR="005B0CE4">
        <w:t xml:space="preserve">discuss how the use of this strategy </w:t>
      </w:r>
      <w:r w:rsidR="000C196A">
        <w:t xml:space="preserve">assists students in developing the ability to identify their own goals and the gain a better understanding of the purpose and </w:t>
      </w:r>
      <w:r w:rsidR="00C1784C">
        <w:t xml:space="preserve">importance of their learning. </w:t>
      </w:r>
      <w:r w:rsidR="00714617" w:rsidRPr="00714617">
        <w:rPr>
          <w:rFonts w:ascii="Times New Roman" w:eastAsia="Times New Roman" w:hAnsi="Times New Roman" w:cs="Times New Roman"/>
          <w:color w:val="000000"/>
          <w:lang w:eastAsia="en-GB"/>
        </w:rPr>
        <w:t xml:space="preserve">(Black and </w:t>
      </w:r>
      <w:proofErr w:type="spellStart"/>
      <w:r w:rsidR="00714617" w:rsidRPr="00714617">
        <w:rPr>
          <w:rFonts w:ascii="Times New Roman" w:eastAsia="Times New Roman" w:hAnsi="Times New Roman" w:cs="Times New Roman"/>
          <w:color w:val="000000"/>
          <w:lang w:eastAsia="en-GB"/>
        </w:rPr>
        <w:t>Wiliam</w:t>
      </w:r>
      <w:proofErr w:type="spellEnd"/>
      <w:r w:rsidR="00714617" w:rsidRPr="00714617">
        <w:rPr>
          <w:rFonts w:ascii="Times New Roman" w:eastAsia="Times New Roman" w:hAnsi="Times New Roman" w:cs="Times New Roman"/>
          <w:color w:val="000000"/>
          <w:lang w:eastAsia="en-GB"/>
        </w:rPr>
        <w:t>, 1998)</w:t>
      </w:r>
      <w:r w:rsidR="00C1784C">
        <w:t xml:space="preserve">. </w:t>
      </w:r>
      <w:r w:rsidR="00424235">
        <w:t xml:space="preserve">Additionally, this argument is supported by </w:t>
      </w:r>
      <w:proofErr w:type="spellStart"/>
      <w:r w:rsidR="00424235">
        <w:t>Falchikov</w:t>
      </w:r>
      <w:proofErr w:type="spellEnd"/>
      <w:r w:rsidR="00424235">
        <w:t xml:space="preserve"> and Goldfinch (2000) </w:t>
      </w:r>
      <w:r w:rsidR="00760551">
        <w:t xml:space="preserve">who suggested that </w:t>
      </w:r>
      <w:r w:rsidR="00FF3E04">
        <w:t xml:space="preserve">peer assessment has aided and enhanced </w:t>
      </w:r>
      <w:r w:rsidR="008F366B">
        <w:t>students’</w:t>
      </w:r>
      <w:r w:rsidR="00FF3E04">
        <w:t xml:space="preserve"> abilities to self-regulate and be self-</w:t>
      </w:r>
      <w:r w:rsidR="002F4DE4">
        <w:t>efficient</w:t>
      </w:r>
      <w:r w:rsidR="00FF3E04">
        <w:t xml:space="preserve"> </w:t>
      </w:r>
      <w:r w:rsidR="002F4DE4">
        <w:t xml:space="preserve">due to this assessment for learning strategy providing students with opportunities to take ownership of their </w:t>
      </w:r>
      <w:r w:rsidR="006C632D">
        <w:t>learning and monitor their own progress.</w:t>
      </w:r>
      <w:r w:rsidR="005A7FAF">
        <w:t xml:space="preserve"> </w:t>
      </w:r>
      <w:r w:rsidR="001305CC" w:rsidRPr="001305CC">
        <w:rPr>
          <w:rFonts w:ascii="Times New Roman" w:eastAsia="Times New Roman" w:hAnsi="Times New Roman" w:cs="Times New Roman"/>
          <w:color w:val="000000"/>
          <w:lang w:eastAsia="en-GB"/>
        </w:rPr>
        <w:t>(</w:t>
      </w:r>
      <w:proofErr w:type="spellStart"/>
      <w:r w:rsidR="001305CC" w:rsidRPr="001305CC">
        <w:rPr>
          <w:rFonts w:ascii="Times New Roman" w:eastAsia="Times New Roman" w:hAnsi="Times New Roman" w:cs="Times New Roman"/>
          <w:color w:val="000000"/>
          <w:lang w:eastAsia="en-GB"/>
        </w:rPr>
        <w:t>Falchikov</w:t>
      </w:r>
      <w:proofErr w:type="spellEnd"/>
      <w:r w:rsidR="001305CC" w:rsidRPr="001305CC">
        <w:rPr>
          <w:rFonts w:ascii="Times New Roman" w:eastAsia="Times New Roman" w:hAnsi="Times New Roman" w:cs="Times New Roman"/>
          <w:color w:val="000000"/>
          <w:lang w:eastAsia="en-GB"/>
        </w:rPr>
        <w:t xml:space="preserve"> and Goldfinch, 2000)</w:t>
      </w:r>
      <w:r w:rsidR="001305CC">
        <w:rPr>
          <w:rFonts w:ascii="Times New Roman" w:eastAsia="Times New Roman" w:hAnsi="Times New Roman" w:cs="Times New Roman"/>
          <w:lang w:eastAsia="en-GB"/>
        </w:rPr>
        <w:t xml:space="preserve">. </w:t>
      </w:r>
      <w:r w:rsidR="00737870">
        <w:t xml:space="preserve">Topping (2009) </w:t>
      </w:r>
      <w:r w:rsidR="00D62E3D">
        <w:t xml:space="preserve">also claims that peer assessment provides a positive impact on </w:t>
      </w:r>
      <w:r w:rsidR="006C2DCF">
        <w:t>students cognitive and social behaviour development d</w:t>
      </w:r>
      <w:r w:rsidR="00524DE8">
        <w:t xml:space="preserve">ue to the fact this strategy helps students develop their critical thinking and </w:t>
      </w:r>
      <w:r w:rsidR="00A649DC">
        <w:t>problem-solving</w:t>
      </w:r>
      <w:r w:rsidR="00524DE8">
        <w:t xml:space="preserve"> skills, </w:t>
      </w:r>
      <w:r w:rsidR="00A649DC">
        <w:t xml:space="preserve">whilst also helping the improvement if students ability to provide and receive constructive feedback effectively. </w:t>
      </w:r>
      <w:r w:rsidR="00301519" w:rsidRPr="00301519">
        <w:rPr>
          <w:rFonts w:ascii="Times New Roman" w:eastAsia="Times New Roman" w:hAnsi="Times New Roman" w:cs="Times New Roman"/>
          <w:color w:val="000000"/>
          <w:lang w:eastAsia="en-GB"/>
        </w:rPr>
        <w:t>(Topping, 2009)</w:t>
      </w:r>
      <w:r w:rsidR="00A649DC">
        <w:t xml:space="preserve">. </w:t>
      </w:r>
      <w:r w:rsidR="005D390A">
        <w:t xml:space="preserve">Although in contrast to this, </w:t>
      </w:r>
      <w:proofErr w:type="gramStart"/>
      <w:r w:rsidR="005D390A">
        <w:t>Topping</w:t>
      </w:r>
      <w:proofErr w:type="gramEnd"/>
      <w:r w:rsidR="005D390A">
        <w:t xml:space="preserve"> (2009) also identified limitations and challenges to peer assessment</w:t>
      </w:r>
      <w:r w:rsidR="0015110C">
        <w:t xml:space="preserve">. One being </w:t>
      </w:r>
      <w:r w:rsidR="00FD42A1">
        <w:t xml:space="preserve">that there can often be issues regarding fairness, reliability and bias within the feedback provided by peers. </w:t>
      </w:r>
      <w:r w:rsidR="006101DE" w:rsidRPr="006101DE">
        <w:rPr>
          <w:rFonts w:ascii="Times New Roman" w:eastAsia="Times New Roman" w:hAnsi="Times New Roman" w:cs="Times New Roman"/>
          <w:color w:val="000000"/>
          <w:lang w:eastAsia="en-GB"/>
        </w:rPr>
        <w:t>(Topping, 2009)</w:t>
      </w:r>
      <w:r w:rsidR="00376AC4">
        <w:t xml:space="preserve">. </w:t>
      </w:r>
      <w:proofErr w:type="spellStart"/>
      <w:r w:rsidR="00376AC4">
        <w:t>Falchikov</w:t>
      </w:r>
      <w:proofErr w:type="spellEnd"/>
      <w:r w:rsidR="00376AC4">
        <w:t xml:space="preserve"> (1995) supports this idea </w:t>
      </w:r>
      <w:r w:rsidR="00F45CE2">
        <w:t>by identifying concerns regarding students’ ability to provide constructive feedback</w:t>
      </w:r>
      <w:r w:rsidR="00081A0E">
        <w:t xml:space="preserve"> for reasoning such as biased opinions towards friends, but also potentially due to </w:t>
      </w:r>
      <w:r w:rsidR="00C04878">
        <w:t xml:space="preserve">peer assessment having the potential to increase competitive behaviours and compassion between peers. </w:t>
      </w:r>
      <w:r w:rsidR="001305CC" w:rsidRPr="001305CC">
        <w:rPr>
          <w:rFonts w:ascii="Times New Roman" w:eastAsia="Times New Roman" w:hAnsi="Times New Roman" w:cs="Times New Roman"/>
          <w:color w:val="000000"/>
          <w:lang w:eastAsia="en-GB"/>
        </w:rPr>
        <w:t>(</w:t>
      </w:r>
      <w:proofErr w:type="spellStart"/>
      <w:r w:rsidR="001305CC" w:rsidRPr="001305CC">
        <w:rPr>
          <w:rFonts w:ascii="Times New Roman" w:eastAsia="Times New Roman" w:hAnsi="Times New Roman" w:cs="Times New Roman"/>
          <w:color w:val="000000"/>
          <w:lang w:eastAsia="en-GB"/>
        </w:rPr>
        <w:t>Falchikov</w:t>
      </w:r>
      <w:proofErr w:type="spellEnd"/>
      <w:r w:rsidR="001305CC" w:rsidRPr="001305CC">
        <w:rPr>
          <w:rFonts w:ascii="Times New Roman" w:eastAsia="Times New Roman" w:hAnsi="Times New Roman" w:cs="Times New Roman"/>
          <w:color w:val="000000"/>
          <w:lang w:eastAsia="en-GB"/>
        </w:rPr>
        <w:t>, 1995)</w:t>
      </w:r>
      <w:r w:rsidR="00C04878">
        <w:t xml:space="preserve">. </w:t>
      </w:r>
      <w:r w:rsidR="001B42E1">
        <w:t xml:space="preserve">Furthermore, </w:t>
      </w:r>
      <w:proofErr w:type="gramStart"/>
      <w:r w:rsidR="001B42E1">
        <w:t>Topping</w:t>
      </w:r>
      <w:proofErr w:type="gramEnd"/>
      <w:r w:rsidR="001B42E1">
        <w:t xml:space="preserve"> (2009) suggests that the vali</w:t>
      </w:r>
      <w:r w:rsidR="004B21F1">
        <w:t xml:space="preserve">dity and effectiveness of peer assessment can be influenced </w:t>
      </w:r>
      <w:r w:rsidR="00BB4086">
        <w:t xml:space="preserve">by multiple different factors at no fault of the students. </w:t>
      </w:r>
      <w:r w:rsidR="00714617" w:rsidRPr="00714617">
        <w:rPr>
          <w:rFonts w:ascii="Times New Roman" w:eastAsia="Times New Roman" w:hAnsi="Times New Roman" w:cs="Times New Roman"/>
          <w:color w:val="000000"/>
          <w:lang w:eastAsia="en-GB"/>
        </w:rPr>
        <w:t>(Topping, 2009)</w:t>
      </w:r>
      <w:r w:rsidR="00714617">
        <w:rPr>
          <w:rFonts w:ascii="Times New Roman" w:eastAsia="Times New Roman" w:hAnsi="Times New Roman" w:cs="Times New Roman"/>
          <w:lang w:eastAsia="en-GB"/>
        </w:rPr>
        <w:t xml:space="preserve">. </w:t>
      </w:r>
      <w:r w:rsidR="00BB4086">
        <w:t xml:space="preserve">For example, </w:t>
      </w:r>
      <w:proofErr w:type="gramStart"/>
      <w:r w:rsidR="00BB4086">
        <w:t>Topping</w:t>
      </w:r>
      <w:proofErr w:type="gramEnd"/>
      <w:r w:rsidR="00BB4086">
        <w:t xml:space="preserve"> (2009) suggests that </w:t>
      </w:r>
      <w:r w:rsidR="009220A7">
        <w:t xml:space="preserve">the quality of assessment guidance provided to students, the training level and experience of teachers implementing peer assessment and the task in which peer assessment is implemented in can all have </w:t>
      </w:r>
      <w:r w:rsidR="00A55C97">
        <w:t xml:space="preserve">both negative and positive influences on students ability to peer assess effectively, </w:t>
      </w:r>
      <w:r w:rsidR="008277E2">
        <w:t>which he then in return advices teachers to be mindful of</w:t>
      </w:r>
      <w:r w:rsidR="00DC7213">
        <w:t xml:space="preserve">. He suggests that </w:t>
      </w:r>
      <w:proofErr w:type="gramStart"/>
      <w:r w:rsidR="00DC7213">
        <w:t>in order for</w:t>
      </w:r>
      <w:proofErr w:type="gramEnd"/>
      <w:r w:rsidR="00DC7213">
        <w:t xml:space="preserve"> peer assessment to have a successful impact on learning, teachers must provide high quality support and guidance to students to ensure that the process of peer assessment is </w:t>
      </w:r>
      <w:r w:rsidR="004D6680">
        <w:t xml:space="preserve">completed not only effectively, but fairly. </w:t>
      </w:r>
      <w:r w:rsidR="006101DE" w:rsidRPr="006101DE">
        <w:rPr>
          <w:rFonts w:ascii="Times New Roman" w:eastAsia="Times New Roman" w:hAnsi="Times New Roman" w:cs="Times New Roman"/>
          <w:color w:val="000000"/>
          <w:lang w:eastAsia="en-GB"/>
        </w:rPr>
        <w:t>(Topping, 2009)</w:t>
      </w:r>
      <w:r w:rsidR="004D6680">
        <w:t>.</w:t>
      </w:r>
    </w:p>
    <w:p w14:paraId="66519FEF" w14:textId="77777777" w:rsidR="001C2ACA" w:rsidRDefault="001C2ACA" w:rsidP="001C2ACA"/>
    <w:p w14:paraId="735B92D5" w14:textId="2A5C922A" w:rsidR="001C2ACA" w:rsidRPr="001C2ACA" w:rsidRDefault="00B2619D" w:rsidP="001C2ACA">
      <w:r>
        <w:t xml:space="preserve">Despite the limitations and challenges regarding the use of peer assessment, it can still be seen and defined as a valuable approach to </w:t>
      </w:r>
      <w:r w:rsidR="00236FD0">
        <w:t xml:space="preserve">promoting student engagement, self-regulation, self-efficiency and learning outcomes within education. </w:t>
      </w:r>
      <w:r w:rsidR="009A6BAE">
        <w:t xml:space="preserve">It has been identified that providing students with opportunities to participate in providing and receiving peer feedback, </w:t>
      </w:r>
      <w:proofErr w:type="gramStart"/>
      <w:r w:rsidR="007B3AC8">
        <w:t>collaborating</w:t>
      </w:r>
      <w:proofErr w:type="gramEnd"/>
      <w:r w:rsidR="007B3AC8">
        <w:t xml:space="preserve"> and </w:t>
      </w:r>
      <w:r w:rsidR="00362397">
        <w:t>reflecting</w:t>
      </w:r>
      <w:r w:rsidR="007B3AC8">
        <w:t>, this assessment for learning strategy help</w:t>
      </w:r>
      <w:r w:rsidR="00362397">
        <w:t xml:space="preserve">s to promote a pupil centred learning environment </w:t>
      </w:r>
      <w:r w:rsidR="00D84ECE">
        <w:t xml:space="preserve">which encourages pupil engagement and participation, and also cognitive and social development. </w:t>
      </w:r>
    </w:p>
    <w:p w14:paraId="77010377" w14:textId="77777777" w:rsidR="001C2ACA" w:rsidRDefault="001C2ACA" w:rsidP="001C2ACA"/>
    <w:p w14:paraId="33429012" w14:textId="7697B2E7" w:rsidR="00FD13E9" w:rsidRPr="00091186" w:rsidRDefault="00881FF3" w:rsidP="00FE3E2C">
      <w:pPr>
        <w:rPr>
          <w:rFonts w:ascii="Times New Roman" w:eastAsia="Times New Roman" w:hAnsi="Times New Roman" w:cs="Times New Roman"/>
          <w:lang w:eastAsia="en-GB"/>
        </w:rPr>
      </w:pPr>
      <w:r>
        <w:t xml:space="preserve">         </w:t>
      </w:r>
      <w:r w:rsidR="00FE3E2C">
        <w:t xml:space="preserve">The methodology implemented within this research </w:t>
      </w:r>
      <w:proofErr w:type="gramStart"/>
      <w:r w:rsidR="00FE3E2C">
        <w:t>in order to</w:t>
      </w:r>
      <w:proofErr w:type="gramEnd"/>
      <w:r w:rsidR="00FE3E2C">
        <w:t xml:space="preserve"> collect relevant data</w:t>
      </w:r>
      <w:r w:rsidR="002A79BF">
        <w:t xml:space="preserve"> to support research ideas</w:t>
      </w:r>
      <w:r w:rsidR="00FE3E2C">
        <w:t xml:space="preserve"> is the ‘Mosaic Approach”. The Mosaic Approach is a way of collecting data </w:t>
      </w:r>
      <w:proofErr w:type="gramStart"/>
      <w:r w:rsidR="00FE3E2C">
        <w:t>through the use of</w:t>
      </w:r>
      <w:proofErr w:type="gramEnd"/>
      <w:r w:rsidR="00FE3E2C">
        <w:t xml:space="preserve"> the ‘voice of the child’ due to the fact it heavily relies on using a blended approach of research strategies in order to gain an insight into the way a child views life and the way they interpret how they think and feel personally and about their outdoor environment. </w:t>
      </w:r>
      <w:r w:rsidR="001176A2">
        <w:t xml:space="preserve">One of the key principles of the approach </w:t>
      </w:r>
      <w:r w:rsidR="00587C77">
        <w:t xml:space="preserve">is to recognise </w:t>
      </w:r>
      <w:r w:rsidR="006243F9">
        <w:t xml:space="preserve">children as </w:t>
      </w:r>
      <w:r w:rsidR="006243F9">
        <w:lastRenderedPageBreak/>
        <w:t>active participants in their own learning</w:t>
      </w:r>
      <w:r w:rsidR="00554DB8">
        <w:t xml:space="preserve">, which this approach ensures by treating students as collaborators within research by </w:t>
      </w:r>
      <w:r w:rsidR="00BF3695">
        <w:t xml:space="preserve">exploring their interests, </w:t>
      </w:r>
      <w:proofErr w:type="gramStart"/>
      <w:r w:rsidR="00BF3695">
        <w:t>perspectives</w:t>
      </w:r>
      <w:proofErr w:type="gramEnd"/>
      <w:r w:rsidR="00BF3695">
        <w:t xml:space="preserve"> and experiences within education through the use of </w:t>
      </w:r>
      <w:r w:rsidR="00566833">
        <w:t xml:space="preserve">semi-structured </w:t>
      </w:r>
      <w:r>
        <w:t>interviews</w:t>
      </w:r>
      <w:r w:rsidR="00566833">
        <w:t xml:space="preserve"> or focus groups to collect qua</w:t>
      </w:r>
      <w:r>
        <w:t>litative</w:t>
      </w:r>
      <w:r w:rsidR="00566833">
        <w:t xml:space="preserve"> data.</w:t>
      </w:r>
      <w:r w:rsidR="00FE3E2C">
        <w:t xml:space="preserve"> The main idea behind this approach is to collect data through a large variety of research strategies that are considered by Clark and Moss as ‘individual tiles” to then use together to create one big picture to support a research topic. This can be seen as a flexible and creative way of research as it gives researchers the opportunity to trial and implement as many research strategies as necessary to gain a richer insight and gather more credible evidence for support. </w:t>
      </w:r>
      <w:r w:rsidR="00C52DC5" w:rsidRPr="00C52DC5">
        <w:rPr>
          <w:rFonts w:ascii="Times New Roman" w:eastAsia="Times New Roman" w:hAnsi="Times New Roman" w:cs="Times New Roman"/>
          <w:color w:val="000000"/>
          <w:lang w:eastAsia="en-GB"/>
        </w:rPr>
        <w:t>(Clark, 2011)</w:t>
      </w:r>
      <w:r w:rsidR="003F076C">
        <w:t xml:space="preserve">. </w:t>
      </w:r>
      <w:proofErr w:type="gramStart"/>
      <w:r w:rsidR="003F076C">
        <w:t>In order to</w:t>
      </w:r>
      <w:proofErr w:type="gramEnd"/>
      <w:r w:rsidR="003F076C">
        <w:t xml:space="preserve"> obtain and collect data through this research, </w:t>
      </w:r>
      <w:r w:rsidR="008E6D82">
        <w:t xml:space="preserve">a questionnaire </w:t>
      </w:r>
      <w:r w:rsidR="00F41518">
        <w:t xml:space="preserve">in order to collect </w:t>
      </w:r>
      <w:r w:rsidR="001B6192">
        <w:t>quantitative data was provided to members of staff working within KS2 in School C</w:t>
      </w:r>
      <w:r w:rsidR="000D3B1A">
        <w:t xml:space="preserve">. However, due to some of the questions asked, it also </w:t>
      </w:r>
      <w:proofErr w:type="gramStart"/>
      <w:r w:rsidR="000D3B1A">
        <w:t>has the opportunity to</w:t>
      </w:r>
      <w:proofErr w:type="gramEnd"/>
      <w:r w:rsidR="000D3B1A">
        <w:t xml:space="preserve"> provide qualitative data</w:t>
      </w:r>
      <w:r w:rsidR="00691FAE">
        <w:t xml:space="preserve"> (see ap</w:t>
      </w:r>
      <w:r w:rsidR="00BE6217">
        <w:t>pendices for questionnaire template)</w:t>
      </w:r>
      <w:r w:rsidR="00484BB4">
        <w:t xml:space="preserve">. This was to gather their perceptions surrounding the implementations of peer assessment within </w:t>
      </w:r>
      <w:r w:rsidR="00851A26">
        <w:t xml:space="preserve">their </w:t>
      </w:r>
      <w:r w:rsidR="00484BB4">
        <w:t>teaching and learning</w:t>
      </w:r>
      <w:r w:rsidR="00851A26">
        <w:t xml:space="preserve">, how they specifically implement it in their practice, </w:t>
      </w:r>
      <w:r w:rsidR="004436D8">
        <w:t xml:space="preserve">both the challenges and benefits they face with peer assessment and </w:t>
      </w:r>
      <w:r w:rsidR="00185DE6">
        <w:t xml:space="preserve">if any, the other assessment for learning strategies they find most effective. </w:t>
      </w:r>
      <w:r w:rsidR="003E225F">
        <w:t xml:space="preserve">Questionnaires are a very common </w:t>
      </w:r>
      <w:r w:rsidR="00994553">
        <w:t xml:space="preserve">method of collecting quantitative data within </w:t>
      </w:r>
      <w:r w:rsidR="00230427">
        <w:t>research by providing a selection of questions to multiple individuals at a time</w:t>
      </w:r>
      <w:r w:rsidR="003234E7">
        <w:t xml:space="preserve">, however there are both many strengths and weaknesses to this method. For example, </w:t>
      </w:r>
      <w:r w:rsidR="00702C26">
        <w:t xml:space="preserve">one strength of the use of </w:t>
      </w:r>
      <w:r w:rsidR="00F11751">
        <w:t>questionnaires</w:t>
      </w:r>
      <w:r w:rsidR="00702C26">
        <w:t xml:space="preserve"> is that they can be seen as very efficient due to </w:t>
      </w:r>
      <w:r w:rsidR="00F11751">
        <w:t xml:space="preserve">the fact they can be administered to large groups at </w:t>
      </w:r>
      <w:r w:rsidR="00C87BB7">
        <w:t xml:space="preserve">a time which can be very effective in saving time when gathering data for research. </w:t>
      </w:r>
      <w:r w:rsidR="00091186" w:rsidRPr="00091186">
        <w:rPr>
          <w:rFonts w:ascii="Times New Roman" w:eastAsia="Times New Roman" w:hAnsi="Times New Roman" w:cs="Times New Roman"/>
          <w:color w:val="000000"/>
          <w:lang w:eastAsia="en-GB"/>
        </w:rPr>
        <w:t>(Fowler, 2013)</w:t>
      </w:r>
      <w:r w:rsidR="00C87BB7">
        <w:t>. However, in contrast of this</w:t>
      </w:r>
      <w:r w:rsidR="00EB574F">
        <w:t>, The Welsh Government (2015</w:t>
      </w:r>
      <w:r w:rsidR="003D65D4">
        <w:t xml:space="preserve">) suggests that the administration of </w:t>
      </w:r>
      <w:r w:rsidR="006D7337">
        <w:t>questionnaires</w:t>
      </w:r>
      <w:r w:rsidR="003D65D4">
        <w:t xml:space="preserve"> can provide a low response rate </w:t>
      </w:r>
      <w:r w:rsidR="006D7337">
        <w:t>from participants,</w:t>
      </w:r>
      <w:r w:rsidR="00F11751">
        <w:t xml:space="preserve"> </w:t>
      </w:r>
      <w:r w:rsidR="006D7337">
        <w:t xml:space="preserve">which can have a large effect of the data being collected </w:t>
      </w:r>
      <w:r w:rsidR="005C3747">
        <w:t xml:space="preserve">due to having such a low source of quantitative data to support arguments, which can make research appear unreliable. </w:t>
      </w:r>
      <w:r w:rsidR="00635384" w:rsidRPr="00635384">
        <w:rPr>
          <w:rFonts w:ascii="Times New Roman" w:eastAsia="Times New Roman" w:hAnsi="Times New Roman" w:cs="Times New Roman"/>
          <w:color w:val="000000"/>
          <w:lang w:eastAsia="en-GB"/>
        </w:rPr>
        <w:t>(Welsh Government, 2015)</w:t>
      </w:r>
      <w:r w:rsidR="005C3747">
        <w:t xml:space="preserve">. </w:t>
      </w:r>
      <w:r w:rsidR="00266B26">
        <w:t xml:space="preserve">Although, another strength of administering questionnaires is the opportunity for participants to provide honest and confidential responses due to </w:t>
      </w:r>
      <w:r w:rsidR="00886C55">
        <w:t>the lack of need to disclose their identify and provide personal information</w:t>
      </w:r>
      <w:r w:rsidR="00D66890">
        <w:t xml:space="preserve">. This can improve the quality of answers provided as it can allow participants to have more </w:t>
      </w:r>
      <w:r w:rsidR="00817F4B">
        <w:t>comfortability</w:t>
      </w:r>
      <w:r w:rsidR="00D66890">
        <w:t xml:space="preserve"> in answering candidly and honestly, without the need</w:t>
      </w:r>
      <w:r w:rsidR="00817F4B">
        <w:t xml:space="preserve"> to be bias out of </w:t>
      </w:r>
      <w:r w:rsidR="00746883">
        <w:t xml:space="preserve">fear within social situations. </w:t>
      </w:r>
      <w:r w:rsidR="00091186" w:rsidRPr="00091186">
        <w:rPr>
          <w:rFonts w:ascii="Times New Roman" w:eastAsia="Times New Roman" w:hAnsi="Times New Roman" w:cs="Times New Roman"/>
          <w:color w:val="000000"/>
          <w:lang w:eastAsia="en-GB"/>
        </w:rPr>
        <w:t>(</w:t>
      </w:r>
      <w:proofErr w:type="spellStart"/>
      <w:r w:rsidR="00091186" w:rsidRPr="00091186">
        <w:rPr>
          <w:rFonts w:ascii="Times New Roman" w:eastAsia="Times New Roman" w:hAnsi="Times New Roman" w:cs="Times New Roman"/>
          <w:color w:val="000000"/>
          <w:lang w:eastAsia="en-GB"/>
        </w:rPr>
        <w:t>Dillman</w:t>
      </w:r>
      <w:proofErr w:type="spellEnd"/>
      <w:r w:rsidR="00091186" w:rsidRPr="00091186">
        <w:rPr>
          <w:rFonts w:ascii="Times New Roman" w:eastAsia="Times New Roman" w:hAnsi="Times New Roman" w:cs="Times New Roman"/>
          <w:color w:val="000000"/>
          <w:lang w:eastAsia="en-GB"/>
        </w:rPr>
        <w:t>, Smyth and Christian, 2016)</w:t>
      </w:r>
      <w:r w:rsidR="00746883">
        <w:t xml:space="preserve">. However, </w:t>
      </w:r>
      <w:r w:rsidR="00727088">
        <w:t xml:space="preserve">this </w:t>
      </w:r>
      <w:r w:rsidR="00317215">
        <w:t xml:space="preserve">again </w:t>
      </w:r>
      <w:r w:rsidR="00727088">
        <w:t xml:space="preserve">can also be contrasted </w:t>
      </w:r>
      <w:r w:rsidR="00DA012F">
        <w:t>as dependant on the participant</w:t>
      </w:r>
      <w:r w:rsidR="00FD13E9">
        <w:t xml:space="preserve">, biased and inaccurate </w:t>
      </w:r>
      <w:r w:rsidR="00A005A4">
        <w:t xml:space="preserve">responses can still be provided due to providing answers they may believe to </w:t>
      </w:r>
      <w:r w:rsidR="00480D5C">
        <w:t xml:space="preserve">be </w:t>
      </w:r>
      <w:r w:rsidR="00ED1D0A">
        <w:t xml:space="preserve">more </w:t>
      </w:r>
      <w:r w:rsidR="005E7D9B">
        <w:t>socially</w:t>
      </w:r>
      <w:r w:rsidR="00ED1D0A">
        <w:t xml:space="preserve"> acceptable rather than providing their actual opinions </w:t>
      </w:r>
      <w:r w:rsidR="00FE07B4">
        <w:t xml:space="preserve">or by answering in a way they believe to be more desirable towards the researcher. It is also common for answers to be inaccurate </w:t>
      </w:r>
      <w:r w:rsidR="006322A6">
        <w:t>due to participants misinterpreting questions which can also be at fault of the researcher, or by</w:t>
      </w:r>
      <w:r w:rsidR="00B84FC4">
        <w:t xml:space="preserve"> answering questions without careful consideration and rushing through the questionnaire</w:t>
      </w:r>
      <w:r w:rsidR="00701609">
        <w:t xml:space="preserve"> which can </w:t>
      </w:r>
      <w:proofErr w:type="gramStart"/>
      <w:r w:rsidR="00701609">
        <w:t xml:space="preserve">have an </w:t>
      </w:r>
      <w:r w:rsidR="00EB1B3F">
        <w:t>effect</w:t>
      </w:r>
      <w:r w:rsidR="00701609">
        <w:t xml:space="preserve"> on</w:t>
      </w:r>
      <w:proofErr w:type="gramEnd"/>
      <w:r w:rsidR="00701609">
        <w:t xml:space="preserve"> the reliability of the findings</w:t>
      </w:r>
      <w:r w:rsidR="00B84FC4">
        <w:t xml:space="preserve">. </w:t>
      </w:r>
      <w:r w:rsidR="00091186" w:rsidRPr="00091186">
        <w:rPr>
          <w:rFonts w:ascii="Times New Roman" w:eastAsia="Times New Roman" w:hAnsi="Times New Roman" w:cs="Times New Roman"/>
          <w:color w:val="000000"/>
          <w:lang w:eastAsia="en-GB"/>
        </w:rPr>
        <w:t>(</w:t>
      </w:r>
      <w:proofErr w:type="spellStart"/>
      <w:r w:rsidR="00091186" w:rsidRPr="00091186">
        <w:rPr>
          <w:rFonts w:ascii="Times New Roman" w:eastAsia="Times New Roman" w:hAnsi="Times New Roman" w:cs="Times New Roman"/>
          <w:color w:val="000000"/>
          <w:lang w:eastAsia="en-GB"/>
        </w:rPr>
        <w:t>Dillman</w:t>
      </w:r>
      <w:proofErr w:type="spellEnd"/>
      <w:r w:rsidR="00091186" w:rsidRPr="00091186">
        <w:rPr>
          <w:rFonts w:ascii="Times New Roman" w:eastAsia="Times New Roman" w:hAnsi="Times New Roman" w:cs="Times New Roman"/>
          <w:color w:val="000000"/>
          <w:lang w:eastAsia="en-GB"/>
        </w:rPr>
        <w:t>, Smyth and Christian, 2016)</w:t>
      </w:r>
      <w:r w:rsidR="00B84FC4">
        <w:t xml:space="preserve">. </w:t>
      </w:r>
      <w:r w:rsidR="005E7D9B">
        <w:t>Despite these contrast</w:t>
      </w:r>
      <w:r w:rsidR="00701609">
        <w:t>s</w:t>
      </w:r>
      <w:r w:rsidR="005E7D9B">
        <w:t xml:space="preserve">, when implemented correctly and answered </w:t>
      </w:r>
      <w:r w:rsidR="00701609">
        <w:t xml:space="preserve">with careful consideration from participants, questionnaires can be extremely helpful in gathering a large </w:t>
      </w:r>
      <w:r w:rsidR="000C1647">
        <w:t>source of information at once and in a shorter time frame.</w:t>
      </w:r>
    </w:p>
    <w:p w14:paraId="41963960" w14:textId="77777777" w:rsidR="00D64E77" w:rsidRDefault="00D64E77" w:rsidP="00FE3E2C"/>
    <w:p w14:paraId="20CEE57F" w14:textId="06D33504" w:rsidR="00FE3E2C" w:rsidRPr="0047328B" w:rsidRDefault="00B84FC4" w:rsidP="00FE3E2C">
      <w:pPr>
        <w:rPr>
          <w:rFonts w:ascii="Times New Roman" w:eastAsia="Times New Roman" w:hAnsi="Times New Roman" w:cs="Times New Roman"/>
          <w:lang w:eastAsia="en-GB"/>
        </w:rPr>
      </w:pPr>
      <w:r>
        <w:t xml:space="preserve">       </w:t>
      </w:r>
      <w:r w:rsidR="00D237A9">
        <w:t xml:space="preserve">Whereas, </w:t>
      </w:r>
      <w:proofErr w:type="gramStart"/>
      <w:r w:rsidR="00D237A9">
        <w:t>in order to</w:t>
      </w:r>
      <w:proofErr w:type="gramEnd"/>
      <w:r w:rsidR="00D237A9">
        <w:t xml:space="preserve"> </w:t>
      </w:r>
      <w:r w:rsidR="00557FB2">
        <w:t xml:space="preserve">collect and gather qualitative data, an informal, semi-structured interview </w:t>
      </w:r>
      <w:r w:rsidR="00E41E6F">
        <w:t xml:space="preserve">took place with a group of 7 year 6 students </w:t>
      </w:r>
      <w:r w:rsidR="00791817">
        <w:t xml:space="preserve">within School C </w:t>
      </w:r>
      <w:r w:rsidR="00246091">
        <w:t>to gain an insight to their perceptions of peer assessment being implemented into their learning.</w:t>
      </w:r>
      <w:r w:rsidR="00577383">
        <w:t xml:space="preserve"> </w:t>
      </w:r>
      <w:r w:rsidR="006A7FB1">
        <w:t xml:space="preserve">Interviews are again a common method of research </w:t>
      </w:r>
      <w:proofErr w:type="gramStart"/>
      <w:r w:rsidR="006A7FB1">
        <w:t>in order to</w:t>
      </w:r>
      <w:proofErr w:type="gramEnd"/>
      <w:r w:rsidR="006A7FB1">
        <w:t xml:space="preserve"> obtain </w:t>
      </w:r>
      <w:r w:rsidR="00157757">
        <w:t>more rich and in-depth data. There are multiple strengths weaknesses to this research method</w:t>
      </w:r>
      <w:r w:rsidR="00D341D9">
        <w:t xml:space="preserve">, one being the quality and depth </w:t>
      </w:r>
      <w:r w:rsidR="00D341D9">
        <w:lastRenderedPageBreak/>
        <w:t xml:space="preserve">of the data it can provide. When </w:t>
      </w:r>
      <w:r w:rsidR="00B83B4F">
        <w:t xml:space="preserve">implementing interviews within research, it can provide rich and in-depth answers to support research ideas by directly engaging with participants. By asking open-ended questions </w:t>
      </w:r>
      <w:r w:rsidR="008F300D">
        <w:t>and encouragement to expand on answers, it allows researchers to be able to gain an in-depth insight to the perspective</w:t>
      </w:r>
      <w:r w:rsidR="00C97DB8">
        <w:t xml:space="preserve">s, experiences and emotions of the participants involved. </w:t>
      </w:r>
      <w:r w:rsidR="0047328B" w:rsidRPr="0047328B">
        <w:rPr>
          <w:rFonts w:ascii="Times New Roman" w:eastAsia="Times New Roman" w:hAnsi="Times New Roman" w:cs="Times New Roman"/>
          <w:color w:val="000000"/>
          <w:lang w:eastAsia="en-GB"/>
        </w:rPr>
        <w:t>(Rubin and Rubin, 2012)</w:t>
      </w:r>
      <w:r w:rsidR="00C97DB8">
        <w:t xml:space="preserve">. However, this strength can be </w:t>
      </w:r>
      <w:r w:rsidR="000C1647">
        <w:t>contrasted</w:t>
      </w:r>
      <w:r w:rsidR="00C97DB8">
        <w:t xml:space="preserve"> </w:t>
      </w:r>
      <w:r w:rsidR="000C1647">
        <w:t xml:space="preserve">as similarly to </w:t>
      </w:r>
      <w:r w:rsidR="004A053D">
        <w:t>questionnaires</w:t>
      </w:r>
      <w:r w:rsidR="000C1647">
        <w:t xml:space="preserve">, this provides participants with the opportunity to </w:t>
      </w:r>
      <w:r w:rsidR="0088712E">
        <w:t xml:space="preserve">provide answers they may deem to be more socially </w:t>
      </w:r>
      <w:r w:rsidR="00EA3277">
        <w:t>acceptable</w:t>
      </w:r>
      <w:r w:rsidR="0088712E">
        <w:t xml:space="preserve"> rather than providing their true perceptions out of fear and pressure </w:t>
      </w:r>
      <w:r w:rsidR="00EA3277">
        <w:t xml:space="preserve">to conform to </w:t>
      </w:r>
      <w:r w:rsidR="003B4239">
        <w:t>societal</w:t>
      </w:r>
      <w:r w:rsidR="00EA3277">
        <w:t xml:space="preserve"> norms in a group setting, which can result in the data provided being biased and unreliable. </w:t>
      </w:r>
      <w:r w:rsidR="000D25D3" w:rsidRPr="000D25D3">
        <w:rPr>
          <w:rFonts w:ascii="Times New Roman" w:eastAsia="Times New Roman" w:hAnsi="Times New Roman" w:cs="Times New Roman"/>
          <w:color w:val="000000"/>
          <w:lang w:eastAsia="en-GB"/>
        </w:rPr>
        <w:t>(Rubin and Rubin, 2012)</w:t>
      </w:r>
      <w:r w:rsidR="003B4239">
        <w:t>.</w:t>
      </w:r>
      <w:r w:rsidR="000C2D3A">
        <w:t xml:space="preserve"> </w:t>
      </w:r>
      <w:r w:rsidR="003C425B">
        <w:t xml:space="preserve">Another strength of the use of interviews </w:t>
      </w:r>
      <w:r w:rsidR="00A63B55">
        <w:t>is that it ca</w:t>
      </w:r>
      <w:r w:rsidR="008C0C75">
        <w:t>n</w:t>
      </w:r>
      <w:r w:rsidR="00A63B55">
        <w:t xml:space="preserve"> provide researchers with flexibility </w:t>
      </w:r>
      <w:r w:rsidR="008C0C75">
        <w:t xml:space="preserve">in collecting their data. This is </w:t>
      </w:r>
      <w:proofErr w:type="gramStart"/>
      <w:r w:rsidR="008C0C75">
        <w:t>due to the fact that</w:t>
      </w:r>
      <w:proofErr w:type="gramEnd"/>
      <w:r w:rsidR="008C0C75">
        <w:t xml:space="preserve"> having an </w:t>
      </w:r>
      <w:r w:rsidR="00300A0E">
        <w:t>in-person</w:t>
      </w:r>
      <w:r w:rsidR="008C0C75">
        <w:t xml:space="preserve"> conversation with participa</w:t>
      </w:r>
      <w:r w:rsidR="00346192">
        <w:t xml:space="preserve">nts regarding their research propositions, it allows researchers to adapt their questions and probe for more extensive answers which provides opportunities to delve deeper </w:t>
      </w:r>
      <w:r w:rsidR="00300A0E">
        <w:t xml:space="preserve">into specific areas of interest, or even gain an awareness of topics they may not have considered beforehand. </w:t>
      </w:r>
      <w:r w:rsidR="000D25D3" w:rsidRPr="000D25D3">
        <w:rPr>
          <w:rFonts w:ascii="Times New Roman" w:eastAsia="Times New Roman" w:hAnsi="Times New Roman" w:cs="Times New Roman"/>
          <w:color w:val="000000"/>
          <w:lang w:eastAsia="en-GB"/>
        </w:rPr>
        <w:t>(</w:t>
      </w:r>
      <w:proofErr w:type="spellStart"/>
      <w:r w:rsidR="000D25D3" w:rsidRPr="000D25D3">
        <w:rPr>
          <w:rFonts w:ascii="Times New Roman" w:eastAsia="Times New Roman" w:hAnsi="Times New Roman" w:cs="Times New Roman"/>
          <w:color w:val="000000"/>
          <w:lang w:eastAsia="en-GB"/>
        </w:rPr>
        <w:t>Kvale</w:t>
      </w:r>
      <w:proofErr w:type="spellEnd"/>
      <w:r w:rsidR="000D25D3" w:rsidRPr="000D25D3">
        <w:rPr>
          <w:rFonts w:ascii="Times New Roman" w:eastAsia="Times New Roman" w:hAnsi="Times New Roman" w:cs="Times New Roman"/>
          <w:color w:val="000000"/>
          <w:lang w:eastAsia="en-GB"/>
        </w:rPr>
        <w:t xml:space="preserve"> and Brinkmann, 2009)</w:t>
      </w:r>
      <w:r w:rsidR="000D25D3">
        <w:rPr>
          <w:rFonts w:ascii="Times New Roman" w:eastAsia="Times New Roman" w:hAnsi="Times New Roman" w:cs="Times New Roman"/>
          <w:lang w:eastAsia="en-GB"/>
        </w:rPr>
        <w:t xml:space="preserve">. </w:t>
      </w:r>
      <w:r w:rsidR="00346DED">
        <w:t>However, to contrast this point</w:t>
      </w:r>
      <w:r w:rsidR="001C46C5">
        <w:t xml:space="preserve">, due to interviews typically being conducted with a smaller sample size, it can reduce the </w:t>
      </w:r>
      <w:r w:rsidR="007D119F">
        <w:t xml:space="preserve">generalisability of their findings. Despite the fact the answers may be rich and in-depth, this does not allow for the diversity of perspectives and experiences to be considered. </w:t>
      </w:r>
      <w:r w:rsidR="000D25D3" w:rsidRPr="000D25D3">
        <w:rPr>
          <w:rFonts w:ascii="Times New Roman" w:eastAsia="Times New Roman" w:hAnsi="Times New Roman" w:cs="Times New Roman"/>
          <w:color w:val="000000"/>
          <w:lang w:eastAsia="en-GB"/>
        </w:rPr>
        <w:t>(</w:t>
      </w:r>
      <w:proofErr w:type="spellStart"/>
      <w:r w:rsidR="000D25D3" w:rsidRPr="000D25D3">
        <w:rPr>
          <w:rFonts w:ascii="Times New Roman" w:eastAsia="Times New Roman" w:hAnsi="Times New Roman" w:cs="Times New Roman"/>
          <w:color w:val="000000"/>
          <w:lang w:eastAsia="en-GB"/>
        </w:rPr>
        <w:t>Kvale</w:t>
      </w:r>
      <w:proofErr w:type="spellEnd"/>
      <w:r w:rsidR="000D25D3" w:rsidRPr="000D25D3">
        <w:rPr>
          <w:rFonts w:ascii="Times New Roman" w:eastAsia="Times New Roman" w:hAnsi="Times New Roman" w:cs="Times New Roman"/>
          <w:color w:val="000000"/>
          <w:lang w:eastAsia="en-GB"/>
        </w:rPr>
        <w:t xml:space="preserve"> and Brinkmann, 2009)</w:t>
      </w:r>
      <w:r w:rsidR="007D119F">
        <w:t>.</w:t>
      </w:r>
    </w:p>
    <w:p w14:paraId="63AA2B17" w14:textId="77777777" w:rsidR="00F8438F" w:rsidRDefault="00F8438F" w:rsidP="00FE3E2C"/>
    <w:p w14:paraId="6C1CE847" w14:textId="2F697B04" w:rsidR="003C3E80" w:rsidRPr="003C3E80" w:rsidRDefault="00FA10CE" w:rsidP="003C3E80">
      <w:pPr>
        <w:rPr>
          <w:rFonts w:ascii="Times New Roman" w:eastAsia="Times New Roman" w:hAnsi="Times New Roman" w:cs="Times New Roman"/>
          <w:lang w:eastAsia="en-GB"/>
        </w:rPr>
      </w:pPr>
      <w:r>
        <w:t xml:space="preserve">In guidance with the </w:t>
      </w:r>
      <w:r w:rsidR="00402E42">
        <w:t xml:space="preserve">Data Protection Act (2018), it was highlighted </w:t>
      </w:r>
      <w:r w:rsidR="006915E7">
        <w:t xml:space="preserve">to teaching facilitators taking part in the questionnaire </w:t>
      </w:r>
      <w:r w:rsidR="004F6BF6">
        <w:t xml:space="preserve">that it was anonymous and that all </w:t>
      </w:r>
      <w:r w:rsidR="004A60B9">
        <w:t xml:space="preserve">information and data gathered with be kept confidential. </w:t>
      </w:r>
      <w:r w:rsidR="00EB1B3F" w:rsidRPr="00EB1B3F">
        <w:rPr>
          <w:rFonts w:ascii="Times New Roman" w:eastAsia="Times New Roman" w:hAnsi="Times New Roman" w:cs="Times New Roman"/>
          <w:color w:val="000000"/>
          <w:lang w:eastAsia="en-GB"/>
        </w:rPr>
        <w:t>(UK Government</w:t>
      </w:r>
      <w:r w:rsidR="00EB1B3F">
        <w:rPr>
          <w:rFonts w:ascii="Times New Roman" w:eastAsia="Times New Roman" w:hAnsi="Times New Roman" w:cs="Times New Roman"/>
          <w:color w:val="000000"/>
          <w:lang w:eastAsia="en-GB"/>
        </w:rPr>
        <w:t>, 2018)</w:t>
      </w:r>
      <w:r w:rsidR="004A60B9">
        <w:t>. And in accordance with the BERA</w:t>
      </w:r>
      <w:r w:rsidR="001B6847">
        <w:t xml:space="preserve"> guidelines for conducting ethical research, the participation of the questionnaire is voluntary and participants and withdraw at any time they wish to. </w:t>
      </w:r>
      <w:r w:rsidR="003C3E80" w:rsidRPr="003C3E80">
        <w:rPr>
          <w:rFonts w:ascii="Times New Roman" w:eastAsia="Times New Roman" w:hAnsi="Times New Roman" w:cs="Times New Roman"/>
          <w:color w:val="000000"/>
          <w:lang w:eastAsia="en-GB"/>
        </w:rPr>
        <w:t>(British Educational Research Association (BERA</w:t>
      </w:r>
      <w:r w:rsidR="003C3E80">
        <w:rPr>
          <w:rFonts w:ascii="Times New Roman" w:eastAsia="Times New Roman" w:hAnsi="Times New Roman" w:cs="Times New Roman"/>
          <w:color w:val="000000"/>
          <w:lang w:eastAsia="en-GB"/>
        </w:rPr>
        <w:t>, 2018))</w:t>
      </w:r>
      <w:r w:rsidR="001B6847">
        <w:t xml:space="preserve">. </w:t>
      </w:r>
      <w:r w:rsidR="00483CF2">
        <w:t xml:space="preserve">In addition to this, prior to conducting research, it was decided by School C that consent forms would need to be completed by parents and guardians of the students participating in the research </w:t>
      </w:r>
      <w:r w:rsidR="00796083">
        <w:t xml:space="preserve">first see appendices for consent form template). In addition to this, a consent form was sent to the head teacher </w:t>
      </w:r>
      <w:proofErr w:type="gramStart"/>
      <w:r w:rsidR="00796083">
        <w:t>in order to</w:t>
      </w:r>
      <w:proofErr w:type="gramEnd"/>
      <w:r w:rsidR="00796083">
        <w:t xml:space="preserve"> obtain consent to conduct the research within their school (see appendices for consent form template). </w:t>
      </w:r>
      <w:r w:rsidR="00F256C5">
        <w:t xml:space="preserve">Furthermore, before conducting the research, students were told in guidance of the Data Protection Act (2018) that they will remain anonymous and that </w:t>
      </w:r>
      <w:r w:rsidR="00714F50">
        <w:t>pseudonyms would be used instead of their real names</w:t>
      </w:r>
      <w:r w:rsidR="004A4CB1">
        <w:t>.</w:t>
      </w:r>
      <w:r w:rsidR="00EB1B3F" w:rsidRPr="00EB1B3F">
        <w:rPr>
          <w:rFonts w:ascii="Times New Roman" w:eastAsia="Times New Roman" w:hAnsi="Times New Roman" w:cs="Times New Roman"/>
          <w:color w:val="000000"/>
          <w:lang w:eastAsia="en-GB"/>
        </w:rPr>
        <w:t xml:space="preserve"> </w:t>
      </w:r>
      <w:r w:rsidR="00EB1B3F" w:rsidRPr="00EB1B3F">
        <w:rPr>
          <w:rFonts w:ascii="Times New Roman" w:eastAsia="Times New Roman" w:hAnsi="Times New Roman" w:cs="Times New Roman"/>
          <w:color w:val="000000"/>
          <w:lang w:eastAsia="en-GB"/>
        </w:rPr>
        <w:t>(UK Government</w:t>
      </w:r>
      <w:r w:rsidR="00EB1B3F">
        <w:rPr>
          <w:rFonts w:ascii="Times New Roman" w:eastAsia="Times New Roman" w:hAnsi="Times New Roman" w:cs="Times New Roman"/>
          <w:color w:val="000000"/>
          <w:lang w:eastAsia="en-GB"/>
        </w:rPr>
        <w:t>, 2018)</w:t>
      </w:r>
      <w:r w:rsidR="00EB1B3F">
        <w:t xml:space="preserve">. </w:t>
      </w:r>
      <w:r w:rsidR="004A4CB1">
        <w:t xml:space="preserve"> In addition to this, in guidance of the BERA guidelines for conducting </w:t>
      </w:r>
      <w:r w:rsidR="00107A55">
        <w:t xml:space="preserve">research, all participants were made aware that they had the right to withdraw </w:t>
      </w:r>
      <w:r w:rsidR="00DB3672">
        <w:t>from the research at any time and that all data shared would remain confidential</w:t>
      </w:r>
      <w:r w:rsidR="005920F5">
        <w:t xml:space="preserve"> and only used towards a research study. </w:t>
      </w:r>
      <w:r w:rsidR="003C3E80" w:rsidRPr="003C3E80">
        <w:rPr>
          <w:rFonts w:ascii="Times New Roman" w:eastAsia="Times New Roman" w:hAnsi="Times New Roman" w:cs="Times New Roman"/>
          <w:color w:val="000000"/>
          <w:lang w:eastAsia="en-GB"/>
        </w:rPr>
        <w:t>(British Educational Research Association (BERA</w:t>
      </w:r>
      <w:r w:rsidR="003C3E80">
        <w:rPr>
          <w:rFonts w:ascii="Times New Roman" w:eastAsia="Times New Roman" w:hAnsi="Times New Roman" w:cs="Times New Roman"/>
          <w:color w:val="000000"/>
          <w:lang w:eastAsia="en-GB"/>
        </w:rPr>
        <w:t>, 2018)).</w:t>
      </w:r>
    </w:p>
    <w:p w14:paraId="37AC1742" w14:textId="396354DB" w:rsidR="00402E42" w:rsidRDefault="00402E42" w:rsidP="00FE3E2C"/>
    <w:p w14:paraId="3D53EA15" w14:textId="6BAAA4B6" w:rsidR="00402E42" w:rsidRDefault="00AD1FF9" w:rsidP="00FE3E2C">
      <w:r>
        <w:t xml:space="preserve">        </w:t>
      </w:r>
      <w:r w:rsidR="00651185">
        <w:t>The</w:t>
      </w:r>
      <w:r w:rsidR="008317FC">
        <w:t xml:space="preserve"> research study was undertaken </w:t>
      </w:r>
      <w:proofErr w:type="gramStart"/>
      <w:r w:rsidR="008317FC">
        <w:t>in order to</w:t>
      </w:r>
      <w:proofErr w:type="gramEnd"/>
      <w:r w:rsidR="008317FC">
        <w:t xml:space="preserve"> gather data </w:t>
      </w:r>
      <w:r w:rsidR="006C10BA">
        <w:t>regarding the research question of “what are staff and year 6 students’ perceptions of peer assessment?”</w:t>
      </w:r>
      <w:r w:rsidR="0033196F">
        <w:t>. There was no prior knowledge regarding the perceptions of staff and students within School C</w:t>
      </w:r>
      <w:r w:rsidR="00F70194">
        <w:t>, or whether it was implemented due to not having worked the</w:t>
      </w:r>
      <w:r w:rsidR="00331C94">
        <w:t>re</w:t>
      </w:r>
      <w:r w:rsidR="00F70194">
        <w:t xml:space="preserve"> previously in PTE. </w:t>
      </w:r>
      <w:r w:rsidR="00331C94">
        <w:t xml:space="preserve">However, upon arrival </w:t>
      </w:r>
      <w:r w:rsidR="00823008">
        <w:t>of the research day, it was apparent that there was more of an emphasis on live marking rather than peer assessment due to it being implemented within the lessons</w:t>
      </w:r>
      <w:r w:rsidR="0047655D">
        <w:t xml:space="preserve"> in both the morning and afternoon. However, pupil discussions we encouraged in the middle of lessons, but not so much assessment.</w:t>
      </w:r>
      <w:r w:rsidR="00487FB3">
        <w:t xml:space="preserve"> This did have an effect on multiple of the questions directed towards students during the semi-structured interview as it restricted the amount </w:t>
      </w:r>
      <w:r w:rsidR="00487FB3">
        <w:lastRenderedPageBreak/>
        <w:t xml:space="preserve">of </w:t>
      </w:r>
      <w:proofErr w:type="gramStart"/>
      <w:r w:rsidR="00487FB3">
        <w:t>depth</w:t>
      </w:r>
      <w:proofErr w:type="gramEnd"/>
      <w:r w:rsidR="00487FB3">
        <w:t xml:space="preserve"> they could go into with their answers due to not having this assessment for learning strategy implemented as often as others had been. However, all students were aware of what peer assessment was and how it could be used (see appendices for pupil responses). </w:t>
      </w:r>
      <w:r w:rsidR="00BE12D5">
        <w:t>Although, this was slightly contrasted as when ask</w:t>
      </w:r>
      <w:r w:rsidR="003303CE">
        <w:t xml:space="preserve"> asked if students use peer assessment in class, it was a common reply amongst students that the often have discussions as a table regarding work</w:t>
      </w:r>
      <w:r w:rsidR="00395628">
        <w:t xml:space="preserve"> as some students thought that</w:t>
      </w:r>
      <w:r w:rsidR="00DB0E75">
        <w:t xml:space="preserve"> ‘turning to your partner’ to discuss topics was peer assessment being implemented.</w:t>
      </w:r>
      <w:r w:rsidR="00CD2EFA">
        <w:t xml:space="preserve"> However, after clarification, one student mentioned how they sometimes use peer assessment during maths when going over the answers as a class, but marking their </w:t>
      </w:r>
      <w:r w:rsidR="00721357">
        <w:t>peers’</w:t>
      </w:r>
      <w:r w:rsidR="00CD2EFA">
        <w:t xml:space="preserve"> books </w:t>
      </w:r>
      <w:r w:rsidR="001D6575">
        <w:t>and on occasions, they use peer assessment during literacy lessons to correct SPAG.</w:t>
      </w:r>
      <w:r w:rsidR="005C1634">
        <w:t xml:space="preserve"> It was highlighted by all students that when they do use peer assessment in class, it something they </w:t>
      </w:r>
      <w:r w:rsidR="00721357">
        <w:t xml:space="preserve">enjoy </w:t>
      </w:r>
      <w:proofErr w:type="gramStart"/>
      <w:r w:rsidR="00721357">
        <w:t>to use</w:t>
      </w:r>
      <w:proofErr w:type="gramEnd"/>
      <w:r w:rsidR="00721357">
        <w:t xml:space="preserve"> and often prefer it over feedback from their teachers due to the pressures of getting answers right. However, some students discussed how they feel less pressure when it is marked by friends as they feel they describe how to get the right answer in a way that is easier for them to understand and the fear of getting answers wrong is reduced. They also suggested it is a more engaging and fun way to learn</w:t>
      </w:r>
      <w:r w:rsidR="00D65FF5">
        <w:t xml:space="preserve"> which they find benefits their learning. However, this could be suggested as biased due to one student stating ‘it is a way to spend more time with friends’ – which can contradict the answer</w:t>
      </w:r>
      <w:r w:rsidR="001A5BC5">
        <w:t xml:space="preserve"> of peer assessment being beneficial. Despite knowing what peer assessment is, the group of students suggest that they were not fully confident on how to mark their </w:t>
      </w:r>
      <w:proofErr w:type="gramStart"/>
      <w:r w:rsidR="001A5BC5">
        <w:t>peers</w:t>
      </w:r>
      <w:proofErr w:type="gramEnd"/>
      <w:r w:rsidR="001A5BC5">
        <w:t xml:space="preserve"> books </w:t>
      </w:r>
      <w:r w:rsidR="009157DE">
        <w:t xml:space="preserve">and feel as though they need more guidance in how to do mark correctly and by having more time to do so. Finally, students suggested that they found peer assessment </w:t>
      </w:r>
      <w:r w:rsidR="00F300A9">
        <w:t xml:space="preserve">helps them learn better during core subjects such as Maths and Literacy. Their reasonings for this was because they are not fully confident in their capabilities within these subjects and found that the support of their </w:t>
      </w:r>
      <w:r w:rsidR="00363BBA">
        <w:t>peers</w:t>
      </w:r>
      <w:r w:rsidR="00F300A9">
        <w:t xml:space="preserve"> has helped them progress better </w:t>
      </w:r>
      <w:r w:rsidR="00363BBA">
        <w:t xml:space="preserve">by explaining in a similar way for them to gain a better understanding. </w:t>
      </w:r>
      <w:r w:rsidR="00F53751">
        <w:t xml:space="preserve">It was expected to have more in depth answers </w:t>
      </w:r>
      <w:r w:rsidR="00294956">
        <w:t xml:space="preserve">from collecting qualitative answers </w:t>
      </w:r>
      <w:proofErr w:type="gramStart"/>
      <w:r w:rsidR="00294956">
        <w:t>through the use of</w:t>
      </w:r>
      <w:proofErr w:type="gramEnd"/>
      <w:r w:rsidR="00294956">
        <w:t xml:space="preserve"> interviews.</w:t>
      </w:r>
      <w:r w:rsidR="00F53751">
        <w:t xml:space="preserve"> </w:t>
      </w:r>
      <w:r w:rsidR="00294956">
        <w:t>However, this has seemed to be a limitation as not all students were actively engaged within the interview process, despite being told it was voluntary</w:t>
      </w:r>
      <w:r w:rsidR="00AA051F">
        <w:t xml:space="preserve">. Despite giving prompting during the interview to gain more of an insight into why they had the perceptions they did on peer </w:t>
      </w:r>
      <w:r w:rsidR="00166F9C">
        <w:t>assessment;</w:t>
      </w:r>
      <w:r w:rsidR="00AA051F">
        <w:t xml:space="preserve"> it was proven not to be </w:t>
      </w:r>
      <w:r w:rsidR="005B5717">
        <w:t>successful as the answers given were not as detailed as it was hoped or expected to be.</w:t>
      </w:r>
      <w:r w:rsidR="00166F9C">
        <w:t xml:space="preserve"> Despite this, the data collected has shown that students feel more at ease with peer assessment than they do live feedback from teachers due to the anxiety and pressure of getting answers wrong, which they feel is reduced when working with peers. </w:t>
      </w:r>
    </w:p>
    <w:p w14:paraId="1377582D" w14:textId="77777777" w:rsidR="00624AF9" w:rsidRDefault="00624AF9" w:rsidP="00FE3E2C"/>
    <w:p w14:paraId="040DD627" w14:textId="3C9A2370" w:rsidR="00EC1BDA" w:rsidRDefault="00624AF9" w:rsidP="001C2ACA">
      <w:r>
        <w:t xml:space="preserve">Alongside </w:t>
      </w:r>
      <w:r w:rsidR="006952F8">
        <w:t xml:space="preserve">completing interviews with students to gather qualitative data, a questionnaire </w:t>
      </w:r>
      <w:proofErr w:type="gramStart"/>
      <w:r w:rsidR="00833CE2">
        <w:t>in order to</w:t>
      </w:r>
      <w:proofErr w:type="gramEnd"/>
      <w:r w:rsidR="00833CE2">
        <w:t xml:space="preserve"> gather more </w:t>
      </w:r>
      <w:r w:rsidR="001B10B8">
        <w:t>quantitative</w:t>
      </w:r>
      <w:r w:rsidR="00833CE2">
        <w:t xml:space="preserve"> data was </w:t>
      </w:r>
      <w:r w:rsidR="001B10B8">
        <w:t xml:space="preserve">provided to teaching practitioners within KS2 to complete. </w:t>
      </w:r>
      <w:r w:rsidR="00CC4740">
        <w:t xml:space="preserve">There were two </w:t>
      </w:r>
      <w:r w:rsidR="002E2120">
        <w:t>limitations found</w:t>
      </w:r>
      <w:r w:rsidR="00CC4740">
        <w:t xml:space="preserve"> relating to the implementation of questionnaires. One </w:t>
      </w:r>
      <w:r w:rsidR="00417888">
        <w:t xml:space="preserve">limitation is that preferably, more responses would have been gathered. </w:t>
      </w:r>
      <w:r w:rsidR="00952A54">
        <w:t xml:space="preserve">Despite this, enough data was still collected </w:t>
      </w:r>
      <w:proofErr w:type="gramStart"/>
      <w:r w:rsidR="00952A54">
        <w:t>in order to</w:t>
      </w:r>
      <w:proofErr w:type="gramEnd"/>
      <w:r w:rsidR="00952A54">
        <w:t xml:space="preserve"> </w:t>
      </w:r>
      <w:r w:rsidR="002E2120">
        <w:t>have differing perceptions to support my research questions</w:t>
      </w:r>
      <w:r w:rsidR="00B23CAF">
        <w:t xml:space="preserve"> (see appendices)</w:t>
      </w:r>
      <w:r w:rsidR="002E2120">
        <w:t xml:space="preserve">. The second limitation was </w:t>
      </w:r>
      <w:r w:rsidR="004C147F">
        <w:t xml:space="preserve">the response time. Many questionnaires were completed after the research day, which </w:t>
      </w:r>
      <w:r w:rsidR="008914F1">
        <w:t xml:space="preserve">did put a delay on collecting responses from the questionnaires. However, this is something can could potentially have been combatted by </w:t>
      </w:r>
      <w:r w:rsidR="006B6858">
        <w:t>sending the questionnaires out</w:t>
      </w:r>
      <w:r w:rsidR="008914F1">
        <w:t xml:space="preserve"> </w:t>
      </w:r>
      <w:r w:rsidR="006B6858">
        <w:t xml:space="preserve">even sooner. </w:t>
      </w:r>
      <w:r w:rsidR="00B23CAF">
        <w:t xml:space="preserve">Despite this, </w:t>
      </w:r>
      <w:r w:rsidR="006C1C7D">
        <w:t xml:space="preserve">enough data was provided to display </w:t>
      </w:r>
      <w:r w:rsidR="00AC111E">
        <w:t xml:space="preserve">a differing opinion than expected. </w:t>
      </w:r>
      <w:r w:rsidR="003A279C">
        <w:t xml:space="preserve">All participants stated that </w:t>
      </w:r>
      <w:r w:rsidR="00C96F31">
        <w:t>they implemented assessment for learning in their classroom daily</w:t>
      </w:r>
      <w:r w:rsidR="00B80A90">
        <w:t xml:space="preserve"> and that they implemented peer assessment. However, </w:t>
      </w:r>
      <w:r w:rsidR="000A30CD">
        <w:t xml:space="preserve">80% of responses stated that peer assessment is a </w:t>
      </w:r>
      <w:r w:rsidR="000A30CD">
        <w:lastRenderedPageBreak/>
        <w:t xml:space="preserve">strategy in which they implemented monthly, compared to 20% stated it was implemented daily. </w:t>
      </w:r>
      <w:r w:rsidR="007D0004">
        <w:t xml:space="preserve">In addition to this, participants were asked to rate the effectiveness of peer assessment in aiding pupil progression from 1-5, with 1 being not effective and 5 being very effective. This </w:t>
      </w:r>
      <w:r w:rsidR="00DC5600">
        <w:t xml:space="preserve">collected an average rating of 3.80, with only 20% stating they felt peer assessment was </w:t>
      </w:r>
      <w:r w:rsidR="00133FAB">
        <w:t>very effective. In response to this, participants were asked to briefly expand on why they had chosen that rating. This generated responses such as the effectiveness depending on the age of the chi</w:t>
      </w:r>
      <w:r w:rsidR="00A65B44">
        <w:t xml:space="preserve">ldren, the ability of the children and that they found there is more progression within their students when they </w:t>
      </w:r>
      <w:r w:rsidR="006D760B">
        <w:t>self-assess</w:t>
      </w:r>
      <w:r w:rsidR="00A65B44">
        <w:t xml:space="preserve">. </w:t>
      </w:r>
      <w:r w:rsidR="006D760B">
        <w:t xml:space="preserve">Practitioners were also asked to rank the effectiveness of all assessment for learning </w:t>
      </w:r>
      <w:r w:rsidR="00C4346B">
        <w:t xml:space="preserve">strategies. </w:t>
      </w:r>
      <w:r w:rsidR="00AE492E">
        <w:t>This generated a ranking of live feedback being the most effective assessment for learning strategy</w:t>
      </w:r>
      <w:r w:rsidR="00616F8C">
        <w:t xml:space="preserve"> and peer assessment being the least effective strategy. </w:t>
      </w:r>
      <w:r w:rsidR="00194B80">
        <w:t>Although despite this result, when asked how likely participants would be to recommend the continued use of peer assessment to student teachers/NQTS</w:t>
      </w:r>
      <w:r w:rsidR="006553DA">
        <w:t xml:space="preserve"> (1 being not at all and 5 being a definite continuation), it generated an average rating of 4, </w:t>
      </w:r>
      <w:r w:rsidR="007B4952">
        <w:t xml:space="preserve">showing practitioners still see the benefits of peer assessment despite finding it the least effective. Furthermore, practitioners were asked what challenges they face when implementing peer assessment, if any. </w:t>
      </w:r>
      <w:r w:rsidR="005A1FE2">
        <w:t>This generated responses such as potential bias rather than referring to success criteria’s, a lack of confident in sharing work with their peers and ensuring peer assessment is used correctly and effectively.</w:t>
      </w:r>
    </w:p>
    <w:p w14:paraId="441C710F" w14:textId="77777777" w:rsidR="00EC1BDA" w:rsidRPr="001C2ACA" w:rsidRDefault="00EC1BDA" w:rsidP="001C2ACA"/>
    <w:p w14:paraId="3EF26FC9" w14:textId="221FB65C" w:rsidR="001C2ACA" w:rsidRDefault="005920F5" w:rsidP="001C2ACA">
      <w:r>
        <w:t xml:space="preserve">         </w:t>
      </w:r>
      <w:r w:rsidR="00885734">
        <w:t>In conclusion, the data collected through</w:t>
      </w:r>
      <w:r w:rsidR="00AA42BF">
        <w:t xml:space="preserve"> this research study regarding the implementation of peer assessment </w:t>
      </w:r>
      <w:r w:rsidR="00932A46">
        <w:t xml:space="preserve">within learning has displayed mixed opinions </w:t>
      </w:r>
      <w:r w:rsidR="00D70705">
        <w:t xml:space="preserve">between year 6 students and KS2 teachers, </w:t>
      </w:r>
      <w:r w:rsidR="0084324A">
        <w:t xml:space="preserve">showing both the positives and the negatives of this assessment for learning strategy. </w:t>
      </w:r>
      <w:r w:rsidR="00522C55">
        <w:t xml:space="preserve">The research data has suggested that year 6 students </w:t>
      </w:r>
      <w:r w:rsidR="004A0A7F">
        <w:t xml:space="preserve">do enjoy the implementation of peer assessment </w:t>
      </w:r>
      <w:r w:rsidR="004D7F5A">
        <w:t xml:space="preserve">due to suggesting they experience more anxiety surrounding </w:t>
      </w:r>
      <w:r w:rsidR="00C309F3">
        <w:t xml:space="preserve">getting feedback from teachers </w:t>
      </w:r>
      <w:r w:rsidR="00D25869">
        <w:t xml:space="preserve">for </w:t>
      </w:r>
      <w:r w:rsidR="00E56FA6">
        <w:t xml:space="preserve">different reasonings such as they feel less pressure to get answers wrong </w:t>
      </w:r>
      <w:r w:rsidR="000D0F61">
        <w:t xml:space="preserve">with peers </w:t>
      </w:r>
      <w:proofErr w:type="gramStart"/>
      <w:r w:rsidR="000D0F61">
        <w:t>and also</w:t>
      </w:r>
      <w:proofErr w:type="gramEnd"/>
      <w:r w:rsidR="000D0F61">
        <w:t xml:space="preserve"> because students find it easier to understand </w:t>
      </w:r>
      <w:r w:rsidR="00534954">
        <w:t xml:space="preserve">logical reasoning worded by peers rather than teachers due to it being described in a way more catered to them. </w:t>
      </w:r>
      <w:r w:rsidR="00254966">
        <w:t xml:space="preserve">Despite this, students felt more confident in their ability to self-assess rather than peer assessing </w:t>
      </w:r>
      <w:r w:rsidR="00902205">
        <w:t xml:space="preserve">due to it being a more regular form of assessment for learning implemented in their learning. </w:t>
      </w:r>
      <w:r w:rsidR="00C6072D">
        <w:t xml:space="preserve">However, from a teaching practitioner point of view, it was found that peer </w:t>
      </w:r>
      <w:r w:rsidR="00037884">
        <w:t>assessment</w:t>
      </w:r>
      <w:r w:rsidR="00C6072D">
        <w:t xml:space="preserve"> </w:t>
      </w:r>
      <w:r w:rsidR="00037884">
        <w:t xml:space="preserve">was the least valued form of assessment </w:t>
      </w:r>
      <w:r w:rsidR="00867FCA">
        <w:t>often due to the ability of the students they work with</w:t>
      </w:r>
      <w:r w:rsidR="003B7F6D">
        <w:t xml:space="preserve"> and lack of understanding</w:t>
      </w:r>
      <w:r w:rsidR="005A3216">
        <w:t>, which was an unexpected finding</w:t>
      </w:r>
      <w:r w:rsidR="003B7F6D">
        <w:t xml:space="preserve">. </w:t>
      </w:r>
      <w:r w:rsidR="005A3216">
        <w:t xml:space="preserve">The use of the Mosaic Approach has been proven to be effective within this research as it provided </w:t>
      </w:r>
      <w:r w:rsidR="00E00D49">
        <w:t xml:space="preserve">both the positive and negative aspects of peer assessment </w:t>
      </w:r>
      <w:r w:rsidR="0083544A">
        <w:t xml:space="preserve">which can be considered for future practice and implementation of the strategy within learning. Although, a limitation </w:t>
      </w:r>
      <w:r w:rsidR="00803B23">
        <w:t xml:space="preserve">that is not so apparent </w:t>
      </w:r>
      <w:r w:rsidR="0083544A">
        <w:t xml:space="preserve">within the study </w:t>
      </w:r>
      <w:r w:rsidR="00803B23">
        <w:t>was the use of questionnaires due to the fact it was a struggle to gather responses</w:t>
      </w:r>
      <w:r w:rsidR="00FF6436">
        <w:t xml:space="preserve"> within a short</w:t>
      </w:r>
      <w:r w:rsidR="009B4180">
        <w:t>er</w:t>
      </w:r>
      <w:r w:rsidR="00FF6436">
        <w:t xml:space="preserve"> time frame </w:t>
      </w:r>
      <w:r w:rsidR="00AB092D">
        <w:t xml:space="preserve">which can be </w:t>
      </w:r>
      <w:r w:rsidR="000146C2">
        <w:t xml:space="preserve">potentially put down to the reasoning of </w:t>
      </w:r>
      <w:r w:rsidR="00F90EE8">
        <w:t xml:space="preserve">the busy schedules of teachers. </w:t>
      </w:r>
    </w:p>
    <w:p w14:paraId="63ADE107" w14:textId="77777777" w:rsidR="007C6AC0" w:rsidRDefault="007C6AC0" w:rsidP="001C2ACA"/>
    <w:p w14:paraId="04C00C4E" w14:textId="2283792F" w:rsidR="007C6AC0" w:rsidRPr="001C2ACA" w:rsidRDefault="003531CA" w:rsidP="001C2ACA">
      <w:r>
        <w:t xml:space="preserve">The conduction of this study has developed personal professional study </w:t>
      </w:r>
      <w:r w:rsidR="00A35156">
        <w:t xml:space="preserve">and has shown that despite the benefits of peer assessment, </w:t>
      </w:r>
      <w:r w:rsidR="001032EC">
        <w:t xml:space="preserve">other assessment for learning strategies </w:t>
      </w:r>
      <w:r w:rsidR="006838A0">
        <w:t>holds</w:t>
      </w:r>
      <w:r w:rsidR="001032EC">
        <w:t xml:space="preserve"> more importance in teaching an</w:t>
      </w:r>
      <w:r w:rsidR="006838A0">
        <w:t>d</w:t>
      </w:r>
      <w:r w:rsidR="001032EC">
        <w:t xml:space="preserve"> learning such as live feedback.</w:t>
      </w:r>
      <w:r w:rsidR="006838A0">
        <w:t xml:space="preserve"> This research has assisted in the development </w:t>
      </w:r>
      <w:r w:rsidR="00983811">
        <w:t>of the three ped</w:t>
      </w:r>
      <w:r w:rsidR="00127E01">
        <w:t xml:space="preserve">agogical strands within the QTS standards </w:t>
      </w:r>
      <w:r w:rsidR="00DD493C">
        <w:t xml:space="preserve">as each of these contain areas which can be developed through </w:t>
      </w:r>
      <w:r w:rsidR="0012552A">
        <w:t xml:space="preserve">the findings and conduction of this study. Finally, it has also allowed for the strand of leadership and innovation to be </w:t>
      </w:r>
      <w:r w:rsidR="0012552A">
        <w:lastRenderedPageBreak/>
        <w:t xml:space="preserve">developed due to the requirement of </w:t>
      </w:r>
      <w:r w:rsidR="00A7365F">
        <w:t xml:space="preserve">conducting and organising a research study collecting data </w:t>
      </w:r>
      <w:proofErr w:type="gramStart"/>
      <w:r w:rsidR="00A7365F">
        <w:t>through the use of</w:t>
      </w:r>
      <w:proofErr w:type="gramEnd"/>
      <w:r w:rsidR="00A7365F">
        <w:t xml:space="preserve"> mixed methods. </w:t>
      </w:r>
    </w:p>
    <w:p w14:paraId="12F77355" w14:textId="77777777" w:rsidR="001C2ACA" w:rsidRPr="001C2ACA" w:rsidRDefault="001C2ACA" w:rsidP="001C2ACA"/>
    <w:p w14:paraId="1A9E75F1" w14:textId="77777777" w:rsidR="001C2ACA" w:rsidRDefault="001C2ACA" w:rsidP="001C2ACA"/>
    <w:p w14:paraId="43C1D2B1" w14:textId="0F8CF31A" w:rsidR="00A61D3B" w:rsidRDefault="00D30CA3" w:rsidP="001C2ACA">
      <w:r>
        <w:t>Word count:</w:t>
      </w:r>
      <w:r w:rsidR="00635384">
        <w:t xml:space="preserve"> 3636</w:t>
      </w:r>
    </w:p>
    <w:p w14:paraId="35A17EDF" w14:textId="77777777" w:rsidR="00635384" w:rsidRPr="001C2ACA" w:rsidRDefault="00635384" w:rsidP="001C2ACA"/>
    <w:p w14:paraId="0C6B491F" w14:textId="77777777" w:rsidR="00635384" w:rsidRDefault="00635384" w:rsidP="00635384">
      <w:pPr>
        <w:pStyle w:val="Heading1"/>
        <w:spacing w:before="0" w:beforeAutospacing="0" w:after="240" w:afterAutospacing="0" w:line="540" w:lineRule="atLeast"/>
        <w:rPr>
          <w:color w:val="000000"/>
          <w:sz w:val="36"/>
          <w:szCs w:val="36"/>
        </w:rPr>
      </w:pPr>
      <w:r>
        <w:rPr>
          <w:color w:val="000000"/>
          <w:sz w:val="36"/>
          <w:szCs w:val="36"/>
        </w:rPr>
        <w:t>Reference list</w:t>
      </w:r>
    </w:p>
    <w:p w14:paraId="0AE0D87F" w14:textId="77777777" w:rsidR="00635384" w:rsidRDefault="00635384" w:rsidP="00635384">
      <w:pPr>
        <w:pStyle w:val="NormalWeb"/>
        <w:spacing w:before="0" w:beforeAutospacing="0" w:after="240" w:afterAutospacing="0" w:line="360" w:lineRule="atLeast"/>
        <w:rPr>
          <w:color w:val="000000"/>
        </w:rPr>
      </w:pPr>
      <w:r>
        <w:rPr>
          <w:color w:val="000000"/>
        </w:rPr>
        <w:t xml:space="preserve">Black, P. and </w:t>
      </w:r>
      <w:proofErr w:type="spellStart"/>
      <w:r>
        <w:rPr>
          <w:color w:val="000000"/>
        </w:rPr>
        <w:t>Wiliam</w:t>
      </w:r>
      <w:proofErr w:type="spellEnd"/>
      <w:r>
        <w:rPr>
          <w:color w:val="000000"/>
        </w:rPr>
        <w:t>, D. (1998).</w:t>
      </w:r>
      <w:r>
        <w:rPr>
          <w:rStyle w:val="apple-converted-space"/>
          <w:color w:val="000000"/>
        </w:rPr>
        <w:t> </w:t>
      </w:r>
      <w:r>
        <w:rPr>
          <w:i/>
          <w:iCs/>
          <w:color w:val="000000"/>
        </w:rPr>
        <w:t xml:space="preserve">Inside the black </w:t>
      </w:r>
      <w:proofErr w:type="gramStart"/>
      <w:r>
        <w:rPr>
          <w:i/>
          <w:iCs/>
          <w:color w:val="000000"/>
        </w:rPr>
        <w:t>box :</w:t>
      </w:r>
      <w:proofErr w:type="gramEnd"/>
      <w:r>
        <w:rPr>
          <w:i/>
          <w:iCs/>
          <w:color w:val="000000"/>
        </w:rPr>
        <w:t xml:space="preserve"> Raising standards through classroom assessment</w:t>
      </w:r>
      <w:r>
        <w:rPr>
          <w:color w:val="000000"/>
        </w:rPr>
        <w:t>. London: GL Assessment.</w:t>
      </w:r>
    </w:p>
    <w:p w14:paraId="6EDE3662" w14:textId="77777777" w:rsidR="00635384" w:rsidRDefault="00635384" w:rsidP="00635384">
      <w:pPr>
        <w:pStyle w:val="NormalWeb"/>
        <w:spacing w:before="0" w:beforeAutospacing="0" w:after="240" w:afterAutospacing="0" w:line="360" w:lineRule="atLeast"/>
        <w:rPr>
          <w:color w:val="000000"/>
        </w:rPr>
      </w:pPr>
      <w:r>
        <w:rPr>
          <w:color w:val="000000"/>
        </w:rPr>
        <w:t>British Educational Research Association (BERA) (2018).</w:t>
      </w:r>
      <w:r>
        <w:rPr>
          <w:rStyle w:val="apple-converted-space"/>
          <w:color w:val="000000"/>
        </w:rPr>
        <w:t> </w:t>
      </w:r>
      <w:r>
        <w:rPr>
          <w:i/>
          <w:iCs/>
          <w:color w:val="000000"/>
        </w:rPr>
        <w:t>Ethical Guidelines for Educational Research</w:t>
      </w:r>
      <w:r>
        <w:rPr>
          <w:color w:val="000000"/>
        </w:rPr>
        <w:t>. [online] Available at: https://www.bera.ac.uk/wp-content/uploads/2018/06/BERA-Ethical-Guidelines-for-Educational-Research_4thEdn_2018.pdf.</w:t>
      </w:r>
    </w:p>
    <w:p w14:paraId="5DD93AEC" w14:textId="77777777" w:rsidR="00635384" w:rsidRDefault="00635384" w:rsidP="00635384">
      <w:pPr>
        <w:pStyle w:val="NormalWeb"/>
        <w:spacing w:before="0" w:beforeAutospacing="0" w:after="240" w:afterAutospacing="0" w:line="360" w:lineRule="atLeast"/>
        <w:rPr>
          <w:color w:val="000000"/>
        </w:rPr>
      </w:pPr>
      <w:r>
        <w:rPr>
          <w:color w:val="000000"/>
        </w:rPr>
        <w:t>Clark, A. (2011).</w:t>
      </w:r>
      <w:r>
        <w:rPr>
          <w:rStyle w:val="apple-converted-space"/>
          <w:color w:val="000000"/>
        </w:rPr>
        <w:t> </w:t>
      </w:r>
      <w:r>
        <w:rPr>
          <w:i/>
          <w:iCs/>
          <w:color w:val="000000"/>
        </w:rPr>
        <w:t>Ways of seeing: Using the Mosaic Approach to Listen to Young Children’s Perspectives</w:t>
      </w:r>
      <w:r>
        <w:rPr>
          <w:color w:val="000000"/>
        </w:rPr>
        <w:t>. [online] Available at: https://learningaway.org.uk/wp-content/uploads/RL56-Extract-the-Mosaic-Approach-EARLY-YEARS.pdf.</w:t>
      </w:r>
    </w:p>
    <w:p w14:paraId="71B64A2C" w14:textId="77777777" w:rsidR="00635384" w:rsidRDefault="00635384" w:rsidP="00635384">
      <w:pPr>
        <w:pStyle w:val="NormalWeb"/>
        <w:spacing w:before="0" w:beforeAutospacing="0" w:after="240" w:afterAutospacing="0" w:line="360" w:lineRule="atLeast"/>
        <w:rPr>
          <w:color w:val="000000"/>
        </w:rPr>
      </w:pPr>
      <w:proofErr w:type="spellStart"/>
      <w:r>
        <w:rPr>
          <w:color w:val="000000"/>
        </w:rPr>
        <w:t>Dillman</w:t>
      </w:r>
      <w:proofErr w:type="spellEnd"/>
      <w:r>
        <w:rPr>
          <w:color w:val="000000"/>
        </w:rPr>
        <w:t xml:space="preserve">, D.A., Smyth, J.D. and Christian, L.M. (2016). Internet, Phone, Mail and Mixed-Mode Surveys: The Tailored Design Method. (New Jersey, John </w:t>
      </w:r>
      <w:proofErr w:type="gramStart"/>
      <w:r>
        <w:rPr>
          <w:color w:val="000000"/>
        </w:rPr>
        <w:t>Wiley</w:t>
      </w:r>
      <w:proofErr w:type="gramEnd"/>
      <w:r>
        <w:rPr>
          <w:color w:val="000000"/>
        </w:rPr>
        <w:t xml:space="preserve"> and Sons, 2014). (154), pp.161–165.</w:t>
      </w:r>
    </w:p>
    <w:p w14:paraId="79485D09" w14:textId="77777777" w:rsidR="00635384" w:rsidRDefault="00635384" w:rsidP="00635384">
      <w:pPr>
        <w:pStyle w:val="NormalWeb"/>
        <w:spacing w:before="0" w:beforeAutospacing="0" w:after="240" w:afterAutospacing="0" w:line="360" w:lineRule="atLeast"/>
        <w:rPr>
          <w:color w:val="000000"/>
        </w:rPr>
      </w:pPr>
      <w:r>
        <w:rPr>
          <w:color w:val="000000"/>
        </w:rPr>
        <w:t>Estyn (2018).</w:t>
      </w:r>
      <w:r>
        <w:rPr>
          <w:rStyle w:val="apple-converted-space"/>
          <w:color w:val="000000"/>
        </w:rPr>
        <w:t> </w:t>
      </w:r>
      <w:r>
        <w:rPr>
          <w:i/>
          <w:iCs/>
          <w:color w:val="000000"/>
        </w:rPr>
        <w:t>A report on (School C). Date of inspection: February 2018 by Estyn, Her Majesty’s Inspectorate for Education and Training in Wales</w:t>
      </w:r>
      <w:r>
        <w:rPr>
          <w:color w:val="000000"/>
        </w:rPr>
        <w:t>. [online] Available at: https://www.estyn.gov.wales/system/files/2020-08/</w:t>
      </w:r>
      <w:r w:rsidRPr="00635384">
        <w:rPr>
          <w:color w:val="000000"/>
          <w:highlight w:val="black"/>
        </w:rPr>
        <w:t>Cwmglas</w:t>
      </w:r>
      <w:r>
        <w:rPr>
          <w:color w:val="000000"/>
        </w:rPr>
        <w:t>%2520Primary.pdf [Accessed 25 Feb. 2024].</w:t>
      </w:r>
    </w:p>
    <w:p w14:paraId="68262791" w14:textId="77777777" w:rsidR="00635384" w:rsidRDefault="00635384" w:rsidP="00635384">
      <w:pPr>
        <w:pStyle w:val="NormalWeb"/>
        <w:spacing w:before="0" w:beforeAutospacing="0" w:after="240" w:afterAutospacing="0" w:line="360" w:lineRule="atLeast"/>
        <w:rPr>
          <w:color w:val="000000"/>
        </w:rPr>
      </w:pPr>
      <w:proofErr w:type="spellStart"/>
      <w:r>
        <w:rPr>
          <w:color w:val="000000"/>
        </w:rPr>
        <w:t>Falchikov</w:t>
      </w:r>
      <w:proofErr w:type="spellEnd"/>
      <w:r>
        <w:rPr>
          <w:color w:val="000000"/>
        </w:rPr>
        <w:t>, N. (1995). Peer feedback marking: Developing peer assessment.</w:t>
      </w:r>
      <w:r>
        <w:rPr>
          <w:rStyle w:val="apple-converted-space"/>
          <w:color w:val="000000"/>
        </w:rPr>
        <w:t> </w:t>
      </w:r>
      <w:r>
        <w:rPr>
          <w:i/>
          <w:iCs/>
          <w:color w:val="000000"/>
        </w:rPr>
        <w:t>Innovations in Education and Training International</w:t>
      </w:r>
      <w:r>
        <w:rPr>
          <w:color w:val="000000"/>
        </w:rPr>
        <w:t>, [online] 32(2), pp.175–187. Available at: https://www.tandfonline.com/doi/abs/10.1080/1355800950320212 [Accessed 25 Feb. 2024].</w:t>
      </w:r>
    </w:p>
    <w:p w14:paraId="1AC8C4EA" w14:textId="77777777" w:rsidR="00635384" w:rsidRDefault="00635384" w:rsidP="00635384">
      <w:pPr>
        <w:pStyle w:val="NormalWeb"/>
        <w:spacing w:before="0" w:beforeAutospacing="0" w:after="240" w:afterAutospacing="0" w:line="360" w:lineRule="atLeast"/>
        <w:rPr>
          <w:color w:val="000000"/>
        </w:rPr>
      </w:pPr>
      <w:proofErr w:type="spellStart"/>
      <w:r>
        <w:rPr>
          <w:color w:val="000000"/>
        </w:rPr>
        <w:t>Falchikov</w:t>
      </w:r>
      <w:proofErr w:type="spellEnd"/>
      <w:r>
        <w:rPr>
          <w:color w:val="000000"/>
        </w:rPr>
        <w:t>, N. and Goldfinch, J. (2000). Student Peer Assessment in Higher Education: A Meta-Analysis Comparing Peer and Teacher Marks.</w:t>
      </w:r>
      <w:r>
        <w:rPr>
          <w:rStyle w:val="apple-converted-space"/>
          <w:color w:val="000000"/>
        </w:rPr>
        <w:t> </w:t>
      </w:r>
      <w:r>
        <w:rPr>
          <w:i/>
          <w:iCs/>
          <w:color w:val="000000"/>
        </w:rPr>
        <w:t>Review of Educational Research</w:t>
      </w:r>
      <w:r>
        <w:rPr>
          <w:color w:val="000000"/>
        </w:rPr>
        <w:t xml:space="preserve">, 70(3), pp.287–322. </w:t>
      </w:r>
      <w:proofErr w:type="spellStart"/>
      <w:proofErr w:type="gramStart"/>
      <w:r>
        <w:rPr>
          <w:color w:val="000000"/>
        </w:rPr>
        <w:t>doi:https</w:t>
      </w:r>
      <w:proofErr w:type="spellEnd"/>
      <w:r>
        <w:rPr>
          <w:color w:val="000000"/>
        </w:rPr>
        <w:t>://doi.org/10.3102/00346543070003287</w:t>
      </w:r>
      <w:proofErr w:type="gramEnd"/>
      <w:r>
        <w:rPr>
          <w:color w:val="000000"/>
        </w:rPr>
        <w:t>.</w:t>
      </w:r>
    </w:p>
    <w:p w14:paraId="2336F351" w14:textId="77777777" w:rsidR="00635384" w:rsidRDefault="00635384" w:rsidP="00635384">
      <w:pPr>
        <w:pStyle w:val="NormalWeb"/>
        <w:spacing w:before="0" w:beforeAutospacing="0" w:after="240" w:afterAutospacing="0" w:line="360" w:lineRule="atLeast"/>
        <w:rPr>
          <w:color w:val="000000"/>
        </w:rPr>
      </w:pPr>
      <w:r>
        <w:rPr>
          <w:color w:val="000000"/>
        </w:rPr>
        <w:t>Fowler, J., F.J. (2013).</w:t>
      </w:r>
      <w:r>
        <w:rPr>
          <w:rStyle w:val="apple-converted-space"/>
          <w:color w:val="000000"/>
        </w:rPr>
        <w:t> </w:t>
      </w:r>
      <w:r>
        <w:rPr>
          <w:i/>
          <w:iCs/>
          <w:color w:val="000000"/>
        </w:rPr>
        <w:t>Survey research methods.</w:t>
      </w:r>
      <w:r>
        <w:rPr>
          <w:rStyle w:val="apple-converted-space"/>
          <w:color w:val="000000"/>
        </w:rPr>
        <w:t> </w:t>
      </w:r>
      <w:r>
        <w:rPr>
          <w:color w:val="000000"/>
        </w:rPr>
        <w:t>Sage publications.</w:t>
      </w:r>
    </w:p>
    <w:p w14:paraId="0E2127A5" w14:textId="77777777" w:rsidR="00635384" w:rsidRDefault="00635384" w:rsidP="00635384">
      <w:pPr>
        <w:pStyle w:val="NormalWeb"/>
        <w:spacing w:before="0" w:beforeAutospacing="0" w:after="240" w:afterAutospacing="0" w:line="360" w:lineRule="atLeast"/>
        <w:rPr>
          <w:color w:val="000000"/>
        </w:rPr>
      </w:pPr>
      <w:proofErr w:type="spellStart"/>
      <w:r>
        <w:rPr>
          <w:color w:val="000000"/>
        </w:rPr>
        <w:t>Kvale</w:t>
      </w:r>
      <w:proofErr w:type="spellEnd"/>
      <w:r>
        <w:rPr>
          <w:color w:val="000000"/>
        </w:rPr>
        <w:t>, S. and Brinkmann, S. (2009).</w:t>
      </w:r>
      <w:r>
        <w:rPr>
          <w:rStyle w:val="apple-converted-space"/>
          <w:color w:val="000000"/>
        </w:rPr>
        <w:t> </w:t>
      </w:r>
      <w:r>
        <w:rPr>
          <w:i/>
          <w:iCs/>
          <w:color w:val="000000"/>
        </w:rPr>
        <w:t>Interviews: Learning the craft of qualitative research interviewing.</w:t>
      </w:r>
      <w:r>
        <w:rPr>
          <w:rStyle w:val="apple-converted-space"/>
          <w:color w:val="000000"/>
        </w:rPr>
        <w:t> </w:t>
      </w:r>
      <w:r>
        <w:rPr>
          <w:color w:val="000000"/>
        </w:rPr>
        <w:t>Sage Publications.</w:t>
      </w:r>
    </w:p>
    <w:p w14:paraId="28FAA7C7" w14:textId="77777777" w:rsidR="00635384" w:rsidRDefault="00635384" w:rsidP="00635384">
      <w:pPr>
        <w:pStyle w:val="NormalWeb"/>
        <w:spacing w:before="0" w:beforeAutospacing="0" w:after="240" w:afterAutospacing="0" w:line="360" w:lineRule="atLeast"/>
        <w:rPr>
          <w:color w:val="000000"/>
        </w:rPr>
      </w:pPr>
      <w:proofErr w:type="spellStart"/>
      <w:r>
        <w:rPr>
          <w:color w:val="000000"/>
        </w:rPr>
        <w:lastRenderedPageBreak/>
        <w:t>Mcleod</w:t>
      </w:r>
      <w:proofErr w:type="spellEnd"/>
      <w:r>
        <w:rPr>
          <w:color w:val="000000"/>
        </w:rPr>
        <w:t>, S. (2022).</w:t>
      </w:r>
      <w:r>
        <w:rPr>
          <w:rStyle w:val="apple-converted-space"/>
          <w:color w:val="000000"/>
        </w:rPr>
        <w:t> </w:t>
      </w:r>
      <w:r>
        <w:rPr>
          <w:i/>
          <w:iCs/>
          <w:color w:val="000000"/>
        </w:rPr>
        <w:t>Vygotsky’s Sociocultural Theory of Cognitive Development</w:t>
      </w:r>
      <w:r>
        <w:rPr>
          <w:color w:val="000000"/>
        </w:rPr>
        <w:t xml:space="preserve">. [online] </w:t>
      </w:r>
      <w:proofErr w:type="spellStart"/>
      <w:r>
        <w:rPr>
          <w:color w:val="000000"/>
        </w:rPr>
        <w:t>SimplyPsychology</w:t>
      </w:r>
      <w:proofErr w:type="spellEnd"/>
      <w:r>
        <w:rPr>
          <w:color w:val="000000"/>
        </w:rPr>
        <w:t>. Available at: https://www.simplypsychology.org/vygotsky.html#More-Knowledgeable-Other.</w:t>
      </w:r>
    </w:p>
    <w:p w14:paraId="33035808" w14:textId="77777777" w:rsidR="00635384" w:rsidRDefault="00635384" w:rsidP="00635384">
      <w:pPr>
        <w:pStyle w:val="NormalWeb"/>
        <w:spacing w:before="0" w:beforeAutospacing="0" w:after="240" w:afterAutospacing="0" w:line="360" w:lineRule="atLeast"/>
        <w:rPr>
          <w:color w:val="000000"/>
        </w:rPr>
      </w:pPr>
      <w:r>
        <w:rPr>
          <w:color w:val="000000"/>
        </w:rPr>
        <w:t>Piaget, J. (1976). Piaget’s Theory.</w:t>
      </w:r>
      <w:r>
        <w:rPr>
          <w:rStyle w:val="apple-converted-space"/>
          <w:color w:val="000000"/>
        </w:rPr>
        <w:t> </w:t>
      </w:r>
      <w:r>
        <w:rPr>
          <w:i/>
          <w:iCs/>
          <w:color w:val="000000"/>
        </w:rPr>
        <w:t>Handbook of child psychology</w:t>
      </w:r>
      <w:r>
        <w:rPr>
          <w:color w:val="000000"/>
        </w:rPr>
        <w:t>, 1, pp.109–128.</w:t>
      </w:r>
    </w:p>
    <w:p w14:paraId="22550379" w14:textId="77777777" w:rsidR="00635384" w:rsidRDefault="00635384" w:rsidP="00635384">
      <w:pPr>
        <w:pStyle w:val="NormalWeb"/>
        <w:spacing w:before="0" w:beforeAutospacing="0" w:after="240" w:afterAutospacing="0" w:line="360" w:lineRule="atLeast"/>
        <w:rPr>
          <w:color w:val="000000"/>
        </w:rPr>
      </w:pPr>
      <w:r>
        <w:rPr>
          <w:color w:val="000000"/>
        </w:rPr>
        <w:t xml:space="preserve">Rubin, </w:t>
      </w:r>
      <w:proofErr w:type="gramStart"/>
      <w:r>
        <w:rPr>
          <w:color w:val="000000"/>
        </w:rPr>
        <w:t>H.J.</w:t>
      </w:r>
      <w:proofErr w:type="gramEnd"/>
      <w:r>
        <w:rPr>
          <w:color w:val="000000"/>
        </w:rPr>
        <w:t xml:space="preserve"> and Rubin, I.S. (2012).</w:t>
      </w:r>
      <w:r>
        <w:rPr>
          <w:rStyle w:val="apple-converted-space"/>
          <w:color w:val="000000"/>
        </w:rPr>
        <w:t> </w:t>
      </w:r>
      <w:r>
        <w:rPr>
          <w:i/>
          <w:iCs/>
          <w:color w:val="000000"/>
        </w:rPr>
        <w:t>Qualitative interviewing: The art of hearing data.</w:t>
      </w:r>
      <w:r>
        <w:rPr>
          <w:rStyle w:val="apple-converted-space"/>
          <w:color w:val="000000"/>
        </w:rPr>
        <w:t> </w:t>
      </w:r>
      <w:r>
        <w:rPr>
          <w:color w:val="000000"/>
        </w:rPr>
        <w:t>Sage Publications.</w:t>
      </w:r>
    </w:p>
    <w:p w14:paraId="32730742" w14:textId="77777777" w:rsidR="00635384" w:rsidRDefault="00635384" w:rsidP="00635384">
      <w:pPr>
        <w:pStyle w:val="NormalWeb"/>
        <w:spacing w:before="0" w:beforeAutospacing="0" w:after="240" w:afterAutospacing="0" w:line="360" w:lineRule="atLeast"/>
        <w:rPr>
          <w:color w:val="000000"/>
        </w:rPr>
      </w:pPr>
      <w:r>
        <w:rPr>
          <w:color w:val="000000"/>
        </w:rPr>
        <w:t>Sadler, D.R. (1989). Formative assessment and the design of instructional systems.</w:t>
      </w:r>
      <w:r>
        <w:rPr>
          <w:rStyle w:val="apple-converted-space"/>
          <w:color w:val="000000"/>
        </w:rPr>
        <w:t> </w:t>
      </w:r>
      <w:r>
        <w:rPr>
          <w:i/>
          <w:iCs/>
          <w:color w:val="000000"/>
        </w:rPr>
        <w:t>Instructional Science</w:t>
      </w:r>
      <w:r>
        <w:rPr>
          <w:color w:val="000000"/>
        </w:rPr>
        <w:t>, 18(2), pp.119–144.</w:t>
      </w:r>
    </w:p>
    <w:p w14:paraId="01EA41B4" w14:textId="77777777" w:rsidR="00635384" w:rsidRDefault="00635384" w:rsidP="00635384">
      <w:pPr>
        <w:pStyle w:val="NormalWeb"/>
        <w:spacing w:before="0" w:beforeAutospacing="0" w:after="240" w:afterAutospacing="0" w:line="360" w:lineRule="atLeast"/>
        <w:rPr>
          <w:color w:val="000000"/>
        </w:rPr>
      </w:pPr>
      <w:r>
        <w:rPr>
          <w:color w:val="000000"/>
        </w:rPr>
        <w:t>Topping, K. (2009). Peer Assessment.</w:t>
      </w:r>
      <w:r>
        <w:rPr>
          <w:rStyle w:val="apple-converted-space"/>
          <w:color w:val="000000"/>
        </w:rPr>
        <w:t> </w:t>
      </w:r>
      <w:r>
        <w:rPr>
          <w:i/>
          <w:iCs/>
          <w:color w:val="000000"/>
        </w:rPr>
        <w:t>Theory into Practice</w:t>
      </w:r>
      <w:r>
        <w:rPr>
          <w:color w:val="000000"/>
        </w:rPr>
        <w:t>, 48(1), pp.20–27.</w:t>
      </w:r>
    </w:p>
    <w:p w14:paraId="12E737E3" w14:textId="77777777" w:rsidR="00635384" w:rsidRDefault="00635384" w:rsidP="00635384">
      <w:pPr>
        <w:pStyle w:val="NormalWeb"/>
        <w:spacing w:before="0" w:beforeAutospacing="0" w:after="240" w:afterAutospacing="0" w:line="360" w:lineRule="atLeast"/>
        <w:rPr>
          <w:color w:val="000000"/>
        </w:rPr>
      </w:pPr>
      <w:r>
        <w:rPr>
          <w:color w:val="000000"/>
        </w:rPr>
        <w:t>UK Government (2018).</w:t>
      </w:r>
      <w:r>
        <w:rPr>
          <w:rStyle w:val="apple-converted-space"/>
          <w:color w:val="000000"/>
        </w:rPr>
        <w:t> </w:t>
      </w:r>
      <w:r>
        <w:rPr>
          <w:i/>
          <w:iCs/>
          <w:color w:val="000000"/>
        </w:rPr>
        <w:t>Data Protection Act</w:t>
      </w:r>
      <w:r>
        <w:rPr>
          <w:color w:val="000000"/>
        </w:rPr>
        <w:t>. [online] Gov.uk. Available at: https://www.gov.uk/data-protection.</w:t>
      </w:r>
    </w:p>
    <w:p w14:paraId="4B57BA5C" w14:textId="77777777" w:rsidR="00635384" w:rsidRDefault="00635384" w:rsidP="00635384">
      <w:pPr>
        <w:pStyle w:val="NormalWeb"/>
        <w:spacing w:before="0" w:beforeAutospacing="0" w:after="240" w:afterAutospacing="0" w:line="360" w:lineRule="atLeast"/>
        <w:rPr>
          <w:color w:val="000000"/>
        </w:rPr>
      </w:pPr>
      <w:r>
        <w:rPr>
          <w:color w:val="000000"/>
        </w:rPr>
        <w:t>Vygotsky, L.S. (1978). Mind in Society: The Development of Higher Psychological Processes.</w:t>
      </w:r>
      <w:r>
        <w:rPr>
          <w:rStyle w:val="apple-converted-space"/>
          <w:color w:val="000000"/>
        </w:rPr>
        <w:t> </w:t>
      </w:r>
      <w:r>
        <w:rPr>
          <w:i/>
          <w:iCs/>
          <w:color w:val="000000"/>
        </w:rPr>
        <w:t>The American Journal of Psychology</w:t>
      </w:r>
      <w:r>
        <w:rPr>
          <w:color w:val="000000"/>
        </w:rPr>
        <w:t xml:space="preserve">, 1(1). </w:t>
      </w:r>
      <w:proofErr w:type="spellStart"/>
      <w:proofErr w:type="gramStart"/>
      <w:r>
        <w:rPr>
          <w:color w:val="000000"/>
        </w:rPr>
        <w:t>doi:https</w:t>
      </w:r>
      <w:proofErr w:type="spellEnd"/>
      <w:r>
        <w:rPr>
          <w:color w:val="000000"/>
        </w:rPr>
        <w:t>://doi.org/10.2307/1421493</w:t>
      </w:r>
      <w:proofErr w:type="gramEnd"/>
      <w:r>
        <w:rPr>
          <w:color w:val="000000"/>
        </w:rPr>
        <w:t>.</w:t>
      </w:r>
    </w:p>
    <w:p w14:paraId="7F95436B" w14:textId="77777777" w:rsidR="00635384" w:rsidRDefault="00635384" w:rsidP="00635384">
      <w:pPr>
        <w:pStyle w:val="NormalWeb"/>
        <w:spacing w:before="0" w:beforeAutospacing="0" w:after="240" w:afterAutospacing="0" w:line="360" w:lineRule="atLeast"/>
        <w:rPr>
          <w:color w:val="000000"/>
        </w:rPr>
      </w:pPr>
      <w:r>
        <w:rPr>
          <w:color w:val="000000"/>
        </w:rPr>
        <w:t>Welsh Government (2015).</w:t>
      </w:r>
      <w:r>
        <w:rPr>
          <w:rStyle w:val="apple-converted-space"/>
          <w:color w:val="000000"/>
        </w:rPr>
        <w:t> </w:t>
      </w:r>
      <w:r>
        <w:rPr>
          <w:i/>
          <w:iCs/>
          <w:color w:val="000000"/>
        </w:rPr>
        <w:t>Effective Use of Data and Research Evidence</w:t>
      </w:r>
      <w:r>
        <w:rPr>
          <w:color w:val="000000"/>
        </w:rPr>
        <w:t>. Cardiff, Wales: Welsh Government, pp.26–27.</w:t>
      </w:r>
    </w:p>
    <w:p w14:paraId="44A66272" w14:textId="77777777" w:rsidR="001C2ACA" w:rsidRPr="001C2ACA" w:rsidRDefault="001C2ACA" w:rsidP="00635384">
      <w:pPr>
        <w:spacing w:after="240" w:line="540" w:lineRule="atLeast"/>
        <w:outlineLvl w:val="0"/>
      </w:pPr>
    </w:p>
    <w:sectPr w:rsidR="001C2ACA" w:rsidRPr="001C2AC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27D20" w14:textId="77777777" w:rsidR="00E732A2" w:rsidRDefault="00E732A2" w:rsidP="00E732A2">
      <w:r>
        <w:separator/>
      </w:r>
    </w:p>
  </w:endnote>
  <w:endnote w:type="continuationSeparator" w:id="0">
    <w:p w14:paraId="3AFEDEC4" w14:textId="77777777" w:rsidR="00E732A2" w:rsidRDefault="00E732A2" w:rsidP="00E73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B259F" w14:textId="77777777" w:rsidR="00E732A2" w:rsidRDefault="00E732A2" w:rsidP="00E732A2">
      <w:r>
        <w:separator/>
      </w:r>
    </w:p>
  </w:footnote>
  <w:footnote w:type="continuationSeparator" w:id="0">
    <w:p w14:paraId="7B52A842" w14:textId="77777777" w:rsidR="00E732A2" w:rsidRDefault="00E732A2" w:rsidP="00E732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68B18" w14:textId="143D49DC" w:rsidR="00E732A2" w:rsidRDefault="00E732A2">
    <w:pPr>
      <w:pStyle w:val="Header"/>
    </w:pPr>
    <w:r>
      <w:t>Nia Colclough – 2100479.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712"/>
    <w:rsid w:val="000126AD"/>
    <w:rsid w:val="000146C2"/>
    <w:rsid w:val="00023D05"/>
    <w:rsid w:val="00037884"/>
    <w:rsid w:val="00081A0E"/>
    <w:rsid w:val="00086DC4"/>
    <w:rsid w:val="00091186"/>
    <w:rsid w:val="000A30CD"/>
    <w:rsid w:val="000A7CB1"/>
    <w:rsid w:val="000C1647"/>
    <w:rsid w:val="000C196A"/>
    <w:rsid w:val="000C2D3A"/>
    <w:rsid w:val="000D0F61"/>
    <w:rsid w:val="000D25D3"/>
    <w:rsid w:val="000D3B1A"/>
    <w:rsid w:val="000E17C4"/>
    <w:rsid w:val="000E20FB"/>
    <w:rsid w:val="000F070D"/>
    <w:rsid w:val="001032EC"/>
    <w:rsid w:val="00107A55"/>
    <w:rsid w:val="001176A2"/>
    <w:rsid w:val="0012552A"/>
    <w:rsid w:val="00127E01"/>
    <w:rsid w:val="001305CC"/>
    <w:rsid w:val="00133FAB"/>
    <w:rsid w:val="0014051D"/>
    <w:rsid w:val="001466D4"/>
    <w:rsid w:val="0015110C"/>
    <w:rsid w:val="00157757"/>
    <w:rsid w:val="00166C52"/>
    <w:rsid w:val="00166F9C"/>
    <w:rsid w:val="00173662"/>
    <w:rsid w:val="00185DE6"/>
    <w:rsid w:val="001870D5"/>
    <w:rsid w:val="00194B80"/>
    <w:rsid w:val="001A5BC5"/>
    <w:rsid w:val="001B10B8"/>
    <w:rsid w:val="001B42E1"/>
    <w:rsid w:val="001B6192"/>
    <w:rsid w:val="001B6847"/>
    <w:rsid w:val="001C2ACA"/>
    <w:rsid w:val="001C46C5"/>
    <w:rsid w:val="001D3008"/>
    <w:rsid w:val="001D6575"/>
    <w:rsid w:val="001E5ACA"/>
    <w:rsid w:val="001F4EB5"/>
    <w:rsid w:val="002064FB"/>
    <w:rsid w:val="00230427"/>
    <w:rsid w:val="00231855"/>
    <w:rsid w:val="00236FD0"/>
    <w:rsid w:val="00244242"/>
    <w:rsid w:val="00246091"/>
    <w:rsid w:val="00254966"/>
    <w:rsid w:val="00266B26"/>
    <w:rsid w:val="00284890"/>
    <w:rsid w:val="00294956"/>
    <w:rsid w:val="002A79BF"/>
    <w:rsid w:val="002E2120"/>
    <w:rsid w:val="002F4DE4"/>
    <w:rsid w:val="00300A0E"/>
    <w:rsid w:val="00301519"/>
    <w:rsid w:val="00317215"/>
    <w:rsid w:val="00317815"/>
    <w:rsid w:val="003204DB"/>
    <w:rsid w:val="003234E7"/>
    <w:rsid w:val="003303CE"/>
    <w:rsid w:val="0033196F"/>
    <w:rsid w:val="00331C94"/>
    <w:rsid w:val="00346192"/>
    <w:rsid w:val="00346DED"/>
    <w:rsid w:val="003531CA"/>
    <w:rsid w:val="00362397"/>
    <w:rsid w:val="00362536"/>
    <w:rsid w:val="00363BBA"/>
    <w:rsid w:val="0037026A"/>
    <w:rsid w:val="0037382D"/>
    <w:rsid w:val="00376AC4"/>
    <w:rsid w:val="00386377"/>
    <w:rsid w:val="00395628"/>
    <w:rsid w:val="003A279C"/>
    <w:rsid w:val="003A6700"/>
    <w:rsid w:val="003A697C"/>
    <w:rsid w:val="003B3E84"/>
    <w:rsid w:val="003B4239"/>
    <w:rsid w:val="003B7F6D"/>
    <w:rsid w:val="003C3E80"/>
    <w:rsid w:val="003C425B"/>
    <w:rsid w:val="003D65D4"/>
    <w:rsid w:val="003E225F"/>
    <w:rsid w:val="003F076C"/>
    <w:rsid w:val="00402E42"/>
    <w:rsid w:val="0041080D"/>
    <w:rsid w:val="00417888"/>
    <w:rsid w:val="00424235"/>
    <w:rsid w:val="004436D8"/>
    <w:rsid w:val="00460CEF"/>
    <w:rsid w:val="0046142E"/>
    <w:rsid w:val="0047328B"/>
    <w:rsid w:val="0047655D"/>
    <w:rsid w:val="00480D5C"/>
    <w:rsid w:val="00483CF2"/>
    <w:rsid w:val="00484BB4"/>
    <w:rsid w:val="00487FB3"/>
    <w:rsid w:val="004A053D"/>
    <w:rsid w:val="004A0A7F"/>
    <w:rsid w:val="004A4CB1"/>
    <w:rsid w:val="004A60B9"/>
    <w:rsid w:val="004B21F1"/>
    <w:rsid w:val="004B6C4E"/>
    <w:rsid w:val="004C147F"/>
    <w:rsid w:val="004D6680"/>
    <w:rsid w:val="004D7F5A"/>
    <w:rsid w:val="004F6BF6"/>
    <w:rsid w:val="00504712"/>
    <w:rsid w:val="00522C55"/>
    <w:rsid w:val="00524DE8"/>
    <w:rsid w:val="00533E09"/>
    <w:rsid w:val="00534954"/>
    <w:rsid w:val="00546CD9"/>
    <w:rsid w:val="00547C53"/>
    <w:rsid w:val="00554DB8"/>
    <w:rsid w:val="00557FB2"/>
    <w:rsid w:val="00566833"/>
    <w:rsid w:val="00577383"/>
    <w:rsid w:val="00587C77"/>
    <w:rsid w:val="005920F5"/>
    <w:rsid w:val="005A1FE2"/>
    <w:rsid w:val="005A3216"/>
    <w:rsid w:val="005A4522"/>
    <w:rsid w:val="005A7FAF"/>
    <w:rsid w:val="005B0CE4"/>
    <w:rsid w:val="005B5717"/>
    <w:rsid w:val="005C1634"/>
    <w:rsid w:val="005C3747"/>
    <w:rsid w:val="005D390A"/>
    <w:rsid w:val="005E7D9B"/>
    <w:rsid w:val="006101DE"/>
    <w:rsid w:val="00616F8C"/>
    <w:rsid w:val="006243F9"/>
    <w:rsid w:val="00624AF9"/>
    <w:rsid w:val="006322A6"/>
    <w:rsid w:val="00635384"/>
    <w:rsid w:val="00651185"/>
    <w:rsid w:val="00651648"/>
    <w:rsid w:val="006553DA"/>
    <w:rsid w:val="00661598"/>
    <w:rsid w:val="00663B87"/>
    <w:rsid w:val="006838A0"/>
    <w:rsid w:val="006915E7"/>
    <w:rsid w:val="00691FAE"/>
    <w:rsid w:val="006952F8"/>
    <w:rsid w:val="006A7FB1"/>
    <w:rsid w:val="006B6858"/>
    <w:rsid w:val="006C10BA"/>
    <w:rsid w:val="006C1C7D"/>
    <w:rsid w:val="006C2DCF"/>
    <w:rsid w:val="006C632D"/>
    <w:rsid w:val="006D7337"/>
    <w:rsid w:val="006D760B"/>
    <w:rsid w:val="006E3C10"/>
    <w:rsid w:val="006F430A"/>
    <w:rsid w:val="00701609"/>
    <w:rsid w:val="00702C26"/>
    <w:rsid w:val="00712CF4"/>
    <w:rsid w:val="00714617"/>
    <w:rsid w:val="00714F50"/>
    <w:rsid w:val="00721357"/>
    <w:rsid w:val="00727088"/>
    <w:rsid w:val="00734C20"/>
    <w:rsid w:val="007377B5"/>
    <w:rsid w:val="00737870"/>
    <w:rsid w:val="00746883"/>
    <w:rsid w:val="007502ED"/>
    <w:rsid w:val="007512BB"/>
    <w:rsid w:val="00760551"/>
    <w:rsid w:val="007649C1"/>
    <w:rsid w:val="00791817"/>
    <w:rsid w:val="00796083"/>
    <w:rsid w:val="007B025D"/>
    <w:rsid w:val="007B3AC8"/>
    <w:rsid w:val="007B4952"/>
    <w:rsid w:val="007C6AC0"/>
    <w:rsid w:val="007D0004"/>
    <w:rsid w:val="007D02F1"/>
    <w:rsid w:val="007D119F"/>
    <w:rsid w:val="00803B23"/>
    <w:rsid w:val="00817F4B"/>
    <w:rsid w:val="00823008"/>
    <w:rsid w:val="008277E2"/>
    <w:rsid w:val="008317FC"/>
    <w:rsid w:val="00833CE2"/>
    <w:rsid w:val="00833F79"/>
    <w:rsid w:val="0083544A"/>
    <w:rsid w:val="0084324A"/>
    <w:rsid w:val="00851A26"/>
    <w:rsid w:val="00867FCA"/>
    <w:rsid w:val="00881FF3"/>
    <w:rsid w:val="00885734"/>
    <w:rsid w:val="00886C55"/>
    <w:rsid w:val="0088712E"/>
    <w:rsid w:val="008914F1"/>
    <w:rsid w:val="008B49D4"/>
    <w:rsid w:val="008C0C75"/>
    <w:rsid w:val="008E6D82"/>
    <w:rsid w:val="008F300D"/>
    <w:rsid w:val="008F366B"/>
    <w:rsid w:val="008F5A6C"/>
    <w:rsid w:val="00902205"/>
    <w:rsid w:val="009157DE"/>
    <w:rsid w:val="009204F5"/>
    <w:rsid w:val="009220A7"/>
    <w:rsid w:val="0092620E"/>
    <w:rsid w:val="00930835"/>
    <w:rsid w:val="00930F63"/>
    <w:rsid w:val="00932A46"/>
    <w:rsid w:val="009511CD"/>
    <w:rsid w:val="00952A54"/>
    <w:rsid w:val="009837EF"/>
    <w:rsid w:val="00983811"/>
    <w:rsid w:val="00986A4A"/>
    <w:rsid w:val="00994553"/>
    <w:rsid w:val="009A6BAE"/>
    <w:rsid w:val="009B4180"/>
    <w:rsid w:val="009C27A4"/>
    <w:rsid w:val="00A005A4"/>
    <w:rsid w:val="00A03F4B"/>
    <w:rsid w:val="00A16DF6"/>
    <w:rsid w:val="00A35156"/>
    <w:rsid w:val="00A55C97"/>
    <w:rsid w:val="00A570EA"/>
    <w:rsid w:val="00A61D3B"/>
    <w:rsid w:val="00A63B55"/>
    <w:rsid w:val="00A649DC"/>
    <w:rsid w:val="00A65B44"/>
    <w:rsid w:val="00A7365F"/>
    <w:rsid w:val="00AA051F"/>
    <w:rsid w:val="00AA42BF"/>
    <w:rsid w:val="00AB092D"/>
    <w:rsid w:val="00AB330A"/>
    <w:rsid w:val="00AC111E"/>
    <w:rsid w:val="00AC3220"/>
    <w:rsid w:val="00AC7D4F"/>
    <w:rsid w:val="00AD1FF9"/>
    <w:rsid w:val="00AE492E"/>
    <w:rsid w:val="00AF4232"/>
    <w:rsid w:val="00B23CAF"/>
    <w:rsid w:val="00B2619D"/>
    <w:rsid w:val="00B40484"/>
    <w:rsid w:val="00B414FF"/>
    <w:rsid w:val="00B5761D"/>
    <w:rsid w:val="00B72DE3"/>
    <w:rsid w:val="00B80A90"/>
    <w:rsid w:val="00B83B4F"/>
    <w:rsid w:val="00B84FC4"/>
    <w:rsid w:val="00B857C9"/>
    <w:rsid w:val="00BA7994"/>
    <w:rsid w:val="00BB194F"/>
    <w:rsid w:val="00BB4086"/>
    <w:rsid w:val="00BC3907"/>
    <w:rsid w:val="00BE12D5"/>
    <w:rsid w:val="00BE6217"/>
    <w:rsid w:val="00BF3695"/>
    <w:rsid w:val="00C04878"/>
    <w:rsid w:val="00C10068"/>
    <w:rsid w:val="00C1784C"/>
    <w:rsid w:val="00C21FB1"/>
    <w:rsid w:val="00C22FA9"/>
    <w:rsid w:val="00C309F3"/>
    <w:rsid w:val="00C41E22"/>
    <w:rsid w:val="00C4346B"/>
    <w:rsid w:val="00C52DC5"/>
    <w:rsid w:val="00C6072D"/>
    <w:rsid w:val="00C87BB7"/>
    <w:rsid w:val="00C96F31"/>
    <w:rsid w:val="00C97DB8"/>
    <w:rsid w:val="00CC2207"/>
    <w:rsid w:val="00CC4740"/>
    <w:rsid w:val="00CD2EFA"/>
    <w:rsid w:val="00D14FDF"/>
    <w:rsid w:val="00D237A9"/>
    <w:rsid w:val="00D24A0F"/>
    <w:rsid w:val="00D25869"/>
    <w:rsid w:val="00D30CA3"/>
    <w:rsid w:val="00D341D9"/>
    <w:rsid w:val="00D62E3D"/>
    <w:rsid w:val="00D64E77"/>
    <w:rsid w:val="00D64F25"/>
    <w:rsid w:val="00D65FF5"/>
    <w:rsid w:val="00D66890"/>
    <w:rsid w:val="00D7036E"/>
    <w:rsid w:val="00D70705"/>
    <w:rsid w:val="00D81AC6"/>
    <w:rsid w:val="00D84ECE"/>
    <w:rsid w:val="00DA012F"/>
    <w:rsid w:val="00DA1B6C"/>
    <w:rsid w:val="00DB0E75"/>
    <w:rsid w:val="00DB3672"/>
    <w:rsid w:val="00DC1241"/>
    <w:rsid w:val="00DC5600"/>
    <w:rsid w:val="00DC7213"/>
    <w:rsid w:val="00DD493C"/>
    <w:rsid w:val="00DD716B"/>
    <w:rsid w:val="00DE394D"/>
    <w:rsid w:val="00DF17A2"/>
    <w:rsid w:val="00E00D49"/>
    <w:rsid w:val="00E01D16"/>
    <w:rsid w:val="00E17A14"/>
    <w:rsid w:val="00E2482F"/>
    <w:rsid w:val="00E41E6F"/>
    <w:rsid w:val="00E46DE3"/>
    <w:rsid w:val="00E56FA6"/>
    <w:rsid w:val="00E62E5F"/>
    <w:rsid w:val="00E732A2"/>
    <w:rsid w:val="00EA205E"/>
    <w:rsid w:val="00EA3277"/>
    <w:rsid w:val="00EA41B2"/>
    <w:rsid w:val="00EB1B3F"/>
    <w:rsid w:val="00EB574F"/>
    <w:rsid w:val="00EB7DA9"/>
    <w:rsid w:val="00EC1BDA"/>
    <w:rsid w:val="00ED1D0A"/>
    <w:rsid w:val="00EE2619"/>
    <w:rsid w:val="00EE5E7F"/>
    <w:rsid w:val="00F0311A"/>
    <w:rsid w:val="00F0371F"/>
    <w:rsid w:val="00F11751"/>
    <w:rsid w:val="00F17B38"/>
    <w:rsid w:val="00F256C5"/>
    <w:rsid w:val="00F25F69"/>
    <w:rsid w:val="00F300A9"/>
    <w:rsid w:val="00F338EE"/>
    <w:rsid w:val="00F41518"/>
    <w:rsid w:val="00F45CE2"/>
    <w:rsid w:val="00F53751"/>
    <w:rsid w:val="00F61E26"/>
    <w:rsid w:val="00F65879"/>
    <w:rsid w:val="00F70194"/>
    <w:rsid w:val="00F8438F"/>
    <w:rsid w:val="00F90EE8"/>
    <w:rsid w:val="00FA10CE"/>
    <w:rsid w:val="00FD13E9"/>
    <w:rsid w:val="00FD42A1"/>
    <w:rsid w:val="00FE07B4"/>
    <w:rsid w:val="00FE3E2C"/>
    <w:rsid w:val="00FF3E04"/>
    <w:rsid w:val="00FF6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E2A9AC"/>
  <w15:chartTrackingRefBased/>
  <w15:docId w15:val="{477428A4-EDAF-6F4A-84A7-CF29A8F0A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570E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2A2"/>
    <w:pPr>
      <w:tabs>
        <w:tab w:val="center" w:pos="4513"/>
        <w:tab w:val="right" w:pos="9026"/>
      </w:tabs>
    </w:pPr>
  </w:style>
  <w:style w:type="character" w:customStyle="1" w:styleId="HeaderChar">
    <w:name w:val="Header Char"/>
    <w:basedOn w:val="DefaultParagraphFont"/>
    <w:link w:val="Header"/>
    <w:uiPriority w:val="99"/>
    <w:rsid w:val="00E732A2"/>
  </w:style>
  <w:style w:type="paragraph" w:styleId="Footer">
    <w:name w:val="footer"/>
    <w:basedOn w:val="Normal"/>
    <w:link w:val="FooterChar"/>
    <w:uiPriority w:val="99"/>
    <w:unhideWhenUsed/>
    <w:rsid w:val="00E732A2"/>
    <w:pPr>
      <w:tabs>
        <w:tab w:val="center" w:pos="4513"/>
        <w:tab w:val="right" w:pos="9026"/>
      </w:tabs>
    </w:pPr>
  </w:style>
  <w:style w:type="character" w:customStyle="1" w:styleId="FooterChar">
    <w:name w:val="Footer Char"/>
    <w:basedOn w:val="DefaultParagraphFont"/>
    <w:link w:val="Footer"/>
    <w:uiPriority w:val="99"/>
    <w:rsid w:val="00E732A2"/>
  </w:style>
  <w:style w:type="character" w:customStyle="1" w:styleId="Heading1Char">
    <w:name w:val="Heading 1 Char"/>
    <w:basedOn w:val="DefaultParagraphFont"/>
    <w:link w:val="Heading1"/>
    <w:uiPriority w:val="9"/>
    <w:rsid w:val="00A570E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A570E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57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92404">
      <w:bodyDiv w:val="1"/>
      <w:marLeft w:val="0"/>
      <w:marRight w:val="0"/>
      <w:marTop w:val="0"/>
      <w:marBottom w:val="0"/>
      <w:divBdr>
        <w:top w:val="none" w:sz="0" w:space="0" w:color="auto"/>
        <w:left w:val="none" w:sz="0" w:space="0" w:color="auto"/>
        <w:bottom w:val="none" w:sz="0" w:space="0" w:color="auto"/>
        <w:right w:val="none" w:sz="0" w:space="0" w:color="auto"/>
      </w:divBdr>
    </w:div>
    <w:div w:id="145823908">
      <w:bodyDiv w:val="1"/>
      <w:marLeft w:val="0"/>
      <w:marRight w:val="0"/>
      <w:marTop w:val="0"/>
      <w:marBottom w:val="0"/>
      <w:divBdr>
        <w:top w:val="none" w:sz="0" w:space="0" w:color="auto"/>
        <w:left w:val="none" w:sz="0" w:space="0" w:color="auto"/>
        <w:bottom w:val="none" w:sz="0" w:space="0" w:color="auto"/>
        <w:right w:val="none" w:sz="0" w:space="0" w:color="auto"/>
      </w:divBdr>
    </w:div>
    <w:div w:id="162089782">
      <w:bodyDiv w:val="1"/>
      <w:marLeft w:val="0"/>
      <w:marRight w:val="0"/>
      <w:marTop w:val="0"/>
      <w:marBottom w:val="0"/>
      <w:divBdr>
        <w:top w:val="none" w:sz="0" w:space="0" w:color="auto"/>
        <w:left w:val="none" w:sz="0" w:space="0" w:color="auto"/>
        <w:bottom w:val="none" w:sz="0" w:space="0" w:color="auto"/>
        <w:right w:val="none" w:sz="0" w:space="0" w:color="auto"/>
      </w:divBdr>
    </w:div>
    <w:div w:id="182060029">
      <w:bodyDiv w:val="1"/>
      <w:marLeft w:val="0"/>
      <w:marRight w:val="0"/>
      <w:marTop w:val="0"/>
      <w:marBottom w:val="0"/>
      <w:divBdr>
        <w:top w:val="none" w:sz="0" w:space="0" w:color="auto"/>
        <w:left w:val="none" w:sz="0" w:space="0" w:color="auto"/>
        <w:bottom w:val="none" w:sz="0" w:space="0" w:color="auto"/>
        <w:right w:val="none" w:sz="0" w:space="0" w:color="auto"/>
      </w:divBdr>
    </w:div>
    <w:div w:id="196086789">
      <w:bodyDiv w:val="1"/>
      <w:marLeft w:val="0"/>
      <w:marRight w:val="0"/>
      <w:marTop w:val="0"/>
      <w:marBottom w:val="0"/>
      <w:divBdr>
        <w:top w:val="none" w:sz="0" w:space="0" w:color="auto"/>
        <w:left w:val="none" w:sz="0" w:space="0" w:color="auto"/>
        <w:bottom w:val="none" w:sz="0" w:space="0" w:color="auto"/>
        <w:right w:val="none" w:sz="0" w:space="0" w:color="auto"/>
      </w:divBdr>
    </w:div>
    <w:div w:id="198469645">
      <w:bodyDiv w:val="1"/>
      <w:marLeft w:val="0"/>
      <w:marRight w:val="0"/>
      <w:marTop w:val="0"/>
      <w:marBottom w:val="0"/>
      <w:divBdr>
        <w:top w:val="none" w:sz="0" w:space="0" w:color="auto"/>
        <w:left w:val="none" w:sz="0" w:space="0" w:color="auto"/>
        <w:bottom w:val="none" w:sz="0" w:space="0" w:color="auto"/>
        <w:right w:val="none" w:sz="0" w:space="0" w:color="auto"/>
      </w:divBdr>
    </w:div>
    <w:div w:id="256524553">
      <w:bodyDiv w:val="1"/>
      <w:marLeft w:val="0"/>
      <w:marRight w:val="0"/>
      <w:marTop w:val="0"/>
      <w:marBottom w:val="0"/>
      <w:divBdr>
        <w:top w:val="none" w:sz="0" w:space="0" w:color="auto"/>
        <w:left w:val="none" w:sz="0" w:space="0" w:color="auto"/>
        <w:bottom w:val="none" w:sz="0" w:space="0" w:color="auto"/>
        <w:right w:val="none" w:sz="0" w:space="0" w:color="auto"/>
      </w:divBdr>
    </w:div>
    <w:div w:id="313679658">
      <w:bodyDiv w:val="1"/>
      <w:marLeft w:val="0"/>
      <w:marRight w:val="0"/>
      <w:marTop w:val="0"/>
      <w:marBottom w:val="0"/>
      <w:divBdr>
        <w:top w:val="none" w:sz="0" w:space="0" w:color="auto"/>
        <w:left w:val="none" w:sz="0" w:space="0" w:color="auto"/>
        <w:bottom w:val="none" w:sz="0" w:space="0" w:color="auto"/>
        <w:right w:val="none" w:sz="0" w:space="0" w:color="auto"/>
      </w:divBdr>
    </w:div>
    <w:div w:id="336540219">
      <w:bodyDiv w:val="1"/>
      <w:marLeft w:val="0"/>
      <w:marRight w:val="0"/>
      <w:marTop w:val="0"/>
      <w:marBottom w:val="0"/>
      <w:divBdr>
        <w:top w:val="none" w:sz="0" w:space="0" w:color="auto"/>
        <w:left w:val="none" w:sz="0" w:space="0" w:color="auto"/>
        <w:bottom w:val="none" w:sz="0" w:space="0" w:color="auto"/>
        <w:right w:val="none" w:sz="0" w:space="0" w:color="auto"/>
      </w:divBdr>
      <w:divsChild>
        <w:div w:id="1699116815">
          <w:marLeft w:val="0"/>
          <w:marRight w:val="0"/>
          <w:marTop w:val="0"/>
          <w:marBottom w:val="0"/>
          <w:divBdr>
            <w:top w:val="none" w:sz="0" w:space="0" w:color="auto"/>
            <w:left w:val="none" w:sz="0" w:space="0" w:color="auto"/>
            <w:bottom w:val="none" w:sz="0" w:space="0" w:color="auto"/>
            <w:right w:val="none" w:sz="0" w:space="0" w:color="auto"/>
          </w:divBdr>
        </w:div>
      </w:divsChild>
    </w:div>
    <w:div w:id="444813952">
      <w:bodyDiv w:val="1"/>
      <w:marLeft w:val="0"/>
      <w:marRight w:val="0"/>
      <w:marTop w:val="0"/>
      <w:marBottom w:val="0"/>
      <w:divBdr>
        <w:top w:val="none" w:sz="0" w:space="0" w:color="auto"/>
        <w:left w:val="none" w:sz="0" w:space="0" w:color="auto"/>
        <w:bottom w:val="none" w:sz="0" w:space="0" w:color="auto"/>
        <w:right w:val="none" w:sz="0" w:space="0" w:color="auto"/>
      </w:divBdr>
    </w:div>
    <w:div w:id="527565026">
      <w:bodyDiv w:val="1"/>
      <w:marLeft w:val="0"/>
      <w:marRight w:val="0"/>
      <w:marTop w:val="0"/>
      <w:marBottom w:val="0"/>
      <w:divBdr>
        <w:top w:val="none" w:sz="0" w:space="0" w:color="auto"/>
        <w:left w:val="none" w:sz="0" w:space="0" w:color="auto"/>
        <w:bottom w:val="none" w:sz="0" w:space="0" w:color="auto"/>
        <w:right w:val="none" w:sz="0" w:space="0" w:color="auto"/>
      </w:divBdr>
    </w:div>
    <w:div w:id="579410368">
      <w:bodyDiv w:val="1"/>
      <w:marLeft w:val="0"/>
      <w:marRight w:val="0"/>
      <w:marTop w:val="0"/>
      <w:marBottom w:val="0"/>
      <w:divBdr>
        <w:top w:val="none" w:sz="0" w:space="0" w:color="auto"/>
        <w:left w:val="none" w:sz="0" w:space="0" w:color="auto"/>
        <w:bottom w:val="none" w:sz="0" w:space="0" w:color="auto"/>
        <w:right w:val="none" w:sz="0" w:space="0" w:color="auto"/>
      </w:divBdr>
    </w:div>
    <w:div w:id="742409219">
      <w:bodyDiv w:val="1"/>
      <w:marLeft w:val="0"/>
      <w:marRight w:val="0"/>
      <w:marTop w:val="0"/>
      <w:marBottom w:val="0"/>
      <w:divBdr>
        <w:top w:val="none" w:sz="0" w:space="0" w:color="auto"/>
        <w:left w:val="none" w:sz="0" w:space="0" w:color="auto"/>
        <w:bottom w:val="none" w:sz="0" w:space="0" w:color="auto"/>
        <w:right w:val="none" w:sz="0" w:space="0" w:color="auto"/>
      </w:divBdr>
    </w:div>
    <w:div w:id="828445621">
      <w:bodyDiv w:val="1"/>
      <w:marLeft w:val="0"/>
      <w:marRight w:val="0"/>
      <w:marTop w:val="0"/>
      <w:marBottom w:val="0"/>
      <w:divBdr>
        <w:top w:val="none" w:sz="0" w:space="0" w:color="auto"/>
        <w:left w:val="none" w:sz="0" w:space="0" w:color="auto"/>
        <w:bottom w:val="none" w:sz="0" w:space="0" w:color="auto"/>
        <w:right w:val="none" w:sz="0" w:space="0" w:color="auto"/>
      </w:divBdr>
    </w:div>
    <w:div w:id="994723484">
      <w:bodyDiv w:val="1"/>
      <w:marLeft w:val="0"/>
      <w:marRight w:val="0"/>
      <w:marTop w:val="0"/>
      <w:marBottom w:val="0"/>
      <w:divBdr>
        <w:top w:val="none" w:sz="0" w:space="0" w:color="auto"/>
        <w:left w:val="none" w:sz="0" w:space="0" w:color="auto"/>
        <w:bottom w:val="none" w:sz="0" w:space="0" w:color="auto"/>
        <w:right w:val="none" w:sz="0" w:space="0" w:color="auto"/>
      </w:divBdr>
    </w:div>
    <w:div w:id="1053307996">
      <w:bodyDiv w:val="1"/>
      <w:marLeft w:val="0"/>
      <w:marRight w:val="0"/>
      <w:marTop w:val="0"/>
      <w:marBottom w:val="0"/>
      <w:divBdr>
        <w:top w:val="none" w:sz="0" w:space="0" w:color="auto"/>
        <w:left w:val="none" w:sz="0" w:space="0" w:color="auto"/>
        <w:bottom w:val="none" w:sz="0" w:space="0" w:color="auto"/>
        <w:right w:val="none" w:sz="0" w:space="0" w:color="auto"/>
      </w:divBdr>
    </w:div>
    <w:div w:id="1182932582">
      <w:bodyDiv w:val="1"/>
      <w:marLeft w:val="0"/>
      <w:marRight w:val="0"/>
      <w:marTop w:val="0"/>
      <w:marBottom w:val="0"/>
      <w:divBdr>
        <w:top w:val="none" w:sz="0" w:space="0" w:color="auto"/>
        <w:left w:val="none" w:sz="0" w:space="0" w:color="auto"/>
        <w:bottom w:val="none" w:sz="0" w:space="0" w:color="auto"/>
        <w:right w:val="none" w:sz="0" w:space="0" w:color="auto"/>
      </w:divBdr>
    </w:div>
    <w:div w:id="1268344247">
      <w:bodyDiv w:val="1"/>
      <w:marLeft w:val="0"/>
      <w:marRight w:val="0"/>
      <w:marTop w:val="0"/>
      <w:marBottom w:val="0"/>
      <w:divBdr>
        <w:top w:val="none" w:sz="0" w:space="0" w:color="auto"/>
        <w:left w:val="none" w:sz="0" w:space="0" w:color="auto"/>
        <w:bottom w:val="none" w:sz="0" w:space="0" w:color="auto"/>
        <w:right w:val="none" w:sz="0" w:space="0" w:color="auto"/>
      </w:divBdr>
    </w:div>
    <w:div w:id="1292325930">
      <w:bodyDiv w:val="1"/>
      <w:marLeft w:val="0"/>
      <w:marRight w:val="0"/>
      <w:marTop w:val="0"/>
      <w:marBottom w:val="0"/>
      <w:divBdr>
        <w:top w:val="none" w:sz="0" w:space="0" w:color="auto"/>
        <w:left w:val="none" w:sz="0" w:space="0" w:color="auto"/>
        <w:bottom w:val="none" w:sz="0" w:space="0" w:color="auto"/>
        <w:right w:val="none" w:sz="0" w:space="0" w:color="auto"/>
      </w:divBdr>
    </w:div>
    <w:div w:id="1451513597">
      <w:bodyDiv w:val="1"/>
      <w:marLeft w:val="0"/>
      <w:marRight w:val="0"/>
      <w:marTop w:val="0"/>
      <w:marBottom w:val="0"/>
      <w:divBdr>
        <w:top w:val="none" w:sz="0" w:space="0" w:color="auto"/>
        <w:left w:val="none" w:sz="0" w:space="0" w:color="auto"/>
        <w:bottom w:val="none" w:sz="0" w:space="0" w:color="auto"/>
        <w:right w:val="none" w:sz="0" w:space="0" w:color="auto"/>
      </w:divBdr>
    </w:div>
    <w:div w:id="1707833137">
      <w:bodyDiv w:val="1"/>
      <w:marLeft w:val="0"/>
      <w:marRight w:val="0"/>
      <w:marTop w:val="0"/>
      <w:marBottom w:val="0"/>
      <w:divBdr>
        <w:top w:val="none" w:sz="0" w:space="0" w:color="auto"/>
        <w:left w:val="none" w:sz="0" w:space="0" w:color="auto"/>
        <w:bottom w:val="none" w:sz="0" w:space="0" w:color="auto"/>
        <w:right w:val="none" w:sz="0" w:space="0" w:color="auto"/>
      </w:divBdr>
    </w:div>
    <w:div w:id="1765222131">
      <w:bodyDiv w:val="1"/>
      <w:marLeft w:val="0"/>
      <w:marRight w:val="0"/>
      <w:marTop w:val="0"/>
      <w:marBottom w:val="0"/>
      <w:divBdr>
        <w:top w:val="none" w:sz="0" w:space="0" w:color="auto"/>
        <w:left w:val="none" w:sz="0" w:space="0" w:color="auto"/>
        <w:bottom w:val="none" w:sz="0" w:space="0" w:color="auto"/>
        <w:right w:val="none" w:sz="0" w:space="0" w:color="auto"/>
      </w:divBdr>
      <w:divsChild>
        <w:div w:id="329918212">
          <w:marLeft w:val="0"/>
          <w:marRight w:val="0"/>
          <w:marTop w:val="0"/>
          <w:marBottom w:val="0"/>
          <w:divBdr>
            <w:top w:val="none" w:sz="0" w:space="0" w:color="auto"/>
            <w:left w:val="none" w:sz="0" w:space="0" w:color="auto"/>
            <w:bottom w:val="none" w:sz="0" w:space="0" w:color="auto"/>
            <w:right w:val="none" w:sz="0" w:space="0" w:color="auto"/>
          </w:divBdr>
        </w:div>
      </w:divsChild>
    </w:div>
    <w:div w:id="1802722606">
      <w:bodyDiv w:val="1"/>
      <w:marLeft w:val="0"/>
      <w:marRight w:val="0"/>
      <w:marTop w:val="0"/>
      <w:marBottom w:val="0"/>
      <w:divBdr>
        <w:top w:val="none" w:sz="0" w:space="0" w:color="auto"/>
        <w:left w:val="none" w:sz="0" w:space="0" w:color="auto"/>
        <w:bottom w:val="none" w:sz="0" w:space="0" w:color="auto"/>
        <w:right w:val="none" w:sz="0" w:space="0" w:color="auto"/>
      </w:divBdr>
    </w:div>
    <w:div w:id="1889956381">
      <w:bodyDiv w:val="1"/>
      <w:marLeft w:val="0"/>
      <w:marRight w:val="0"/>
      <w:marTop w:val="0"/>
      <w:marBottom w:val="0"/>
      <w:divBdr>
        <w:top w:val="none" w:sz="0" w:space="0" w:color="auto"/>
        <w:left w:val="none" w:sz="0" w:space="0" w:color="auto"/>
        <w:bottom w:val="none" w:sz="0" w:space="0" w:color="auto"/>
        <w:right w:val="none" w:sz="0" w:space="0" w:color="auto"/>
      </w:divBdr>
    </w:div>
    <w:div w:id="1894074299">
      <w:bodyDiv w:val="1"/>
      <w:marLeft w:val="0"/>
      <w:marRight w:val="0"/>
      <w:marTop w:val="0"/>
      <w:marBottom w:val="0"/>
      <w:divBdr>
        <w:top w:val="none" w:sz="0" w:space="0" w:color="auto"/>
        <w:left w:val="none" w:sz="0" w:space="0" w:color="auto"/>
        <w:bottom w:val="none" w:sz="0" w:space="0" w:color="auto"/>
        <w:right w:val="none" w:sz="0" w:space="0" w:color="auto"/>
      </w:divBdr>
    </w:div>
    <w:div w:id="1976174599">
      <w:bodyDiv w:val="1"/>
      <w:marLeft w:val="0"/>
      <w:marRight w:val="0"/>
      <w:marTop w:val="0"/>
      <w:marBottom w:val="0"/>
      <w:divBdr>
        <w:top w:val="none" w:sz="0" w:space="0" w:color="auto"/>
        <w:left w:val="none" w:sz="0" w:space="0" w:color="auto"/>
        <w:bottom w:val="none" w:sz="0" w:space="0" w:color="auto"/>
        <w:right w:val="none" w:sz="0" w:space="0" w:color="auto"/>
      </w:divBdr>
    </w:div>
    <w:div w:id="1988779407">
      <w:bodyDiv w:val="1"/>
      <w:marLeft w:val="0"/>
      <w:marRight w:val="0"/>
      <w:marTop w:val="0"/>
      <w:marBottom w:val="0"/>
      <w:divBdr>
        <w:top w:val="none" w:sz="0" w:space="0" w:color="auto"/>
        <w:left w:val="none" w:sz="0" w:space="0" w:color="auto"/>
        <w:bottom w:val="none" w:sz="0" w:space="0" w:color="auto"/>
        <w:right w:val="none" w:sz="0" w:space="0" w:color="auto"/>
      </w:divBdr>
    </w:div>
    <w:div w:id="208236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3806</Words>
  <Characters>22498</Characters>
  <Application>Microsoft Office Word</Application>
  <DocSecurity>0</DocSecurity>
  <Lines>401</Lines>
  <Paragraphs>53</Paragraphs>
  <ScaleCrop>false</ScaleCrop>
  <Company/>
  <LinksUpToDate>false</LinksUpToDate>
  <CharactersWithSpaces>26251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Colclough (2100479)</dc:creator>
  <cp:keywords/>
  <dc:description/>
  <cp:lastModifiedBy>Nia Colclough (2100479)</cp:lastModifiedBy>
  <cp:revision>2</cp:revision>
  <dcterms:created xsi:type="dcterms:W3CDTF">2024-02-25T22:00:00Z</dcterms:created>
  <dcterms:modified xsi:type="dcterms:W3CDTF">2024-02-25T22:00:00Z</dcterms:modified>
</cp:coreProperties>
</file>