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469AB" w14:textId="57426AB5" w:rsidR="00616235" w:rsidRDefault="00616235" w:rsidP="00616235">
      <w:pPr>
        <w:jc w:val="center"/>
      </w:pPr>
      <w:r>
        <w:rPr>
          <w:noProof/>
        </w:rPr>
        <w:drawing>
          <wp:inline distT="0" distB="0" distL="0" distR="0" wp14:anchorId="14B32D20" wp14:editId="38D6D8B3">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48668C14" w14:textId="77777777" w:rsidR="00616235" w:rsidRDefault="00616235" w:rsidP="00616235">
      <w:pPr>
        <w:jc w:val="center"/>
      </w:pPr>
    </w:p>
    <w:p w14:paraId="474A1DD7" w14:textId="77777777" w:rsidR="00FE4941" w:rsidRDefault="00FE4941" w:rsidP="00616235">
      <w:pPr>
        <w:jc w:val="center"/>
      </w:pPr>
    </w:p>
    <w:p w14:paraId="4BFCBD93" w14:textId="2A048017" w:rsidR="00616235" w:rsidRPr="00646406" w:rsidRDefault="00616235" w:rsidP="00616235">
      <w:pPr>
        <w:jc w:val="center"/>
        <w:rPr>
          <w:rFonts w:ascii="Arial" w:hAnsi="Arial" w:cs="Arial"/>
          <w:b/>
          <w:bCs/>
        </w:rPr>
      </w:pPr>
      <w:r w:rsidRPr="00646406">
        <w:rPr>
          <w:rFonts w:ascii="Arial" w:hAnsi="Arial" w:cs="Arial"/>
          <w:b/>
          <w:bCs/>
        </w:rPr>
        <w:t>Student Name:</w:t>
      </w:r>
      <w:r>
        <w:rPr>
          <w:rFonts w:ascii="Arial" w:hAnsi="Arial" w:cs="Arial"/>
          <w:b/>
          <w:bCs/>
        </w:rPr>
        <w:t xml:space="preserve"> </w:t>
      </w:r>
      <w:r>
        <w:rPr>
          <w:rFonts w:ascii="Arial" w:hAnsi="Arial" w:cs="Arial"/>
        </w:rPr>
        <w:t>Darshil Rana</w:t>
      </w:r>
    </w:p>
    <w:p w14:paraId="3A01934F" w14:textId="77777777" w:rsidR="00616235" w:rsidRPr="00646406" w:rsidRDefault="00616235" w:rsidP="00616235">
      <w:pPr>
        <w:jc w:val="center"/>
        <w:rPr>
          <w:rFonts w:ascii="Arial" w:hAnsi="Arial" w:cs="Arial"/>
          <w:b/>
          <w:bCs/>
        </w:rPr>
      </w:pPr>
      <w:r w:rsidRPr="00646406">
        <w:rPr>
          <w:rFonts w:ascii="Arial" w:hAnsi="Arial" w:cs="Arial"/>
          <w:b/>
          <w:bCs/>
        </w:rPr>
        <w:t>Student ID:</w:t>
      </w:r>
      <w:r>
        <w:rPr>
          <w:rFonts w:ascii="Arial" w:hAnsi="Arial" w:cs="Arial"/>
          <w:b/>
          <w:bCs/>
        </w:rPr>
        <w:t xml:space="preserve"> </w:t>
      </w:r>
      <w:r>
        <w:rPr>
          <w:rFonts w:ascii="Arial" w:hAnsi="Arial" w:cs="Arial"/>
        </w:rPr>
        <w:t>2529562</w:t>
      </w:r>
    </w:p>
    <w:p w14:paraId="7DA3EA52" w14:textId="77777777" w:rsidR="00616235" w:rsidRDefault="00616235" w:rsidP="00616235">
      <w:pPr>
        <w:jc w:val="center"/>
        <w:rPr>
          <w:rFonts w:ascii="Arial" w:hAnsi="Arial" w:cs="Arial"/>
        </w:rPr>
      </w:pPr>
    </w:p>
    <w:p w14:paraId="7F1D42AB" w14:textId="77777777" w:rsidR="00FE4941" w:rsidRPr="00646406" w:rsidRDefault="00FE4941" w:rsidP="00616235">
      <w:pPr>
        <w:jc w:val="center"/>
        <w:rPr>
          <w:rFonts w:ascii="Arial" w:hAnsi="Arial" w:cs="Arial"/>
        </w:rPr>
      </w:pPr>
    </w:p>
    <w:p w14:paraId="72FAE909" w14:textId="7B39833F" w:rsidR="00616235" w:rsidRPr="00646406" w:rsidRDefault="00616235" w:rsidP="00616235">
      <w:pPr>
        <w:jc w:val="center"/>
        <w:rPr>
          <w:rFonts w:ascii="Arial" w:hAnsi="Arial" w:cs="Arial"/>
          <w:b/>
          <w:bCs/>
        </w:rPr>
      </w:pPr>
      <w:r w:rsidRPr="00646406">
        <w:rPr>
          <w:rFonts w:ascii="Arial" w:hAnsi="Arial" w:cs="Arial"/>
          <w:b/>
          <w:bCs/>
        </w:rPr>
        <w:t xml:space="preserve">Module Name: </w:t>
      </w:r>
      <w:r w:rsidRPr="002B6842">
        <w:rPr>
          <w:rFonts w:ascii="Arial" w:hAnsi="Arial" w:cs="Arial"/>
        </w:rPr>
        <w:t>Financial Management</w:t>
      </w:r>
    </w:p>
    <w:p w14:paraId="1ECAF7F5" w14:textId="461A998F" w:rsidR="00616235" w:rsidRPr="00646406" w:rsidRDefault="00616235" w:rsidP="00616235">
      <w:pPr>
        <w:jc w:val="center"/>
        <w:rPr>
          <w:rFonts w:ascii="Arial" w:hAnsi="Arial" w:cs="Arial"/>
          <w:b/>
          <w:bCs/>
        </w:rPr>
      </w:pPr>
      <w:r w:rsidRPr="00646406">
        <w:rPr>
          <w:rFonts w:ascii="Arial" w:hAnsi="Arial" w:cs="Arial"/>
          <w:b/>
          <w:bCs/>
        </w:rPr>
        <w:t xml:space="preserve">Module Code: </w:t>
      </w:r>
      <w:r w:rsidRPr="002B6842">
        <w:rPr>
          <w:rFonts w:ascii="Arial" w:hAnsi="Arial" w:cs="Arial"/>
        </w:rPr>
        <w:t>LCMB7002</w:t>
      </w:r>
    </w:p>
    <w:p w14:paraId="136D4D20" w14:textId="77777777" w:rsidR="00616235" w:rsidRDefault="00616235" w:rsidP="00616235">
      <w:pPr>
        <w:jc w:val="center"/>
        <w:rPr>
          <w:rFonts w:ascii="Arial" w:hAnsi="Arial" w:cs="Arial"/>
          <w:b/>
          <w:bCs/>
        </w:rPr>
      </w:pPr>
    </w:p>
    <w:p w14:paraId="590A45A5" w14:textId="77777777" w:rsidR="00FE4941" w:rsidRPr="00646406" w:rsidRDefault="00FE4941" w:rsidP="00616235">
      <w:pPr>
        <w:jc w:val="center"/>
        <w:rPr>
          <w:rFonts w:ascii="Arial" w:hAnsi="Arial" w:cs="Arial"/>
          <w:b/>
          <w:bCs/>
        </w:rPr>
      </w:pPr>
    </w:p>
    <w:p w14:paraId="7AB653FF" w14:textId="02AC8CA5" w:rsidR="00616235" w:rsidRDefault="00616235" w:rsidP="00616235">
      <w:pPr>
        <w:jc w:val="center"/>
        <w:rPr>
          <w:rFonts w:ascii="Arial" w:hAnsi="Arial" w:cs="Arial"/>
          <w:b/>
          <w:bCs/>
        </w:rPr>
      </w:pPr>
      <w:r w:rsidRPr="00646406">
        <w:rPr>
          <w:rFonts w:ascii="Arial" w:hAnsi="Arial" w:cs="Arial"/>
          <w:b/>
          <w:bCs/>
        </w:rPr>
        <w:t>Lecturer’s Name:</w:t>
      </w:r>
      <w:r>
        <w:rPr>
          <w:rFonts w:ascii="Arial" w:hAnsi="Arial" w:cs="Arial"/>
          <w:b/>
          <w:bCs/>
        </w:rPr>
        <w:t xml:space="preserve"> </w:t>
      </w:r>
      <w:r w:rsidRPr="00616235">
        <w:rPr>
          <w:rFonts w:ascii="Arial" w:hAnsi="Arial" w:cs="Arial"/>
        </w:rPr>
        <w:t>Isaiah Oino</w:t>
      </w:r>
    </w:p>
    <w:p w14:paraId="4869D7EE" w14:textId="77777777" w:rsidR="00616235" w:rsidRDefault="00616235" w:rsidP="00616235">
      <w:pPr>
        <w:jc w:val="center"/>
        <w:rPr>
          <w:rFonts w:ascii="Arial" w:hAnsi="Arial" w:cs="Arial"/>
          <w:b/>
          <w:bCs/>
        </w:rPr>
      </w:pPr>
    </w:p>
    <w:p w14:paraId="5B36D5E2" w14:textId="77777777" w:rsidR="00FE4941" w:rsidRPr="00646406" w:rsidRDefault="00FE4941" w:rsidP="00616235">
      <w:pPr>
        <w:jc w:val="center"/>
        <w:rPr>
          <w:rFonts w:ascii="Arial" w:hAnsi="Arial" w:cs="Arial"/>
          <w:b/>
          <w:bCs/>
        </w:rPr>
      </w:pPr>
    </w:p>
    <w:p w14:paraId="48F953EC" w14:textId="2FD82147" w:rsidR="00616235" w:rsidRPr="00616235" w:rsidRDefault="00616235" w:rsidP="00616235">
      <w:pPr>
        <w:jc w:val="center"/>
        <w:rPr>
          <w:rFonts w:ascii="Arial" w:hAnsi="Arial" w:cs="Arial"/>
          <w:b/>
          <w:bCs/>
        </w:rPr>
      </w:pPr>
      <w:r w:rsidRPr="00616235">
        <w:rPr>
          <w:rFonts w:ascii="Arial" w:hAnsi="Arial" w:cs="Arial"/>
          <w:b/>
          <w:bCs/>
        </w:rPr>
        <w:t>Assignment Title:</w:t>
      </w:r>
    </w:p>
    <w:p w14:paraId="39BCE40F" w14:textId="118173E4" w:rsidR="00616235" w:rsidRPr="002B6842" w:rsidRDefault="00616235" w:rsidP="00616235">
      <w:pPr>
        <w:jc w:val="center"/>
        <w:rPr>
          <w:rFonts w:ascii="Arial" w:hAnsi="Arial" w:cs="Arial"/>
        </w:rPr>
      </w:pPr>
      <w:r w:rsidRPr="002B6842">
        <w:rPr>
          <w:rFonts w:ascii="Arial" w:hAnsi="Arial" w:cs="Arial"/>
        </w:rPr>
        <w:t>Strategic CFO Challenge</w:t>
      </w:r>
    </w:p>
    <w:p w14:paraId="7BA37F91" w14:textId="77777777" w:rsidR="00616235" w:rsidRDefault="00616235" w:rsidP="00616235">
      <w:pPr>
        <w:jc w:val="center"/>
        <w:rPr>
          <w:rFonts w:ascii="Arial" w:hAnsi="Arial" w:cs="Arial"/>
          <w:b/>
          <w:bCs/>
        </w:rPr>
      </w:pPr>
    </w:p>
    <w:p w14:paraId="64120607" w14:textId="77777777" w:rsidR="00FE4941" w:rsidRDefault="00FE4941" w:rsidP="00616235">
      <w:pPr>
        <w:jc w:val="center"/>
        <w:rPr>
          <w:rFonts w:ascii="Arial" w:hAnsi="Arial" w:cs="Arial"/>
          <w:b/>
          <w:bCs/>
        </w:rPr>
      </w:pPr>
    </w:p>
    <w:p w14:paraId="7599FEFD" w14:textId="59EF47C4" w:rsidR="00616235" w:rsidRPr="00AD2D8C" w:rsidRDefault="00616235" w:rsidP="00616235">
      <w:pPr>
        <w:jc w:val="center"/>
        <w:rPr>
          <w:rFonts w:ascii="Arial" w:hAnsi="Arial" w:cs="Arial"/>
          <w:b/>
          <w:bCs/>
          <w:szCs w:val="24"/>
        </w:rPr>
      </w:pPr>
      <w:r w:rsidRPr="00AD2D8C">
        <w:rPr>
          <w:rFonts w:ascii="Arial" w:hAnsi="Arial" w:cs="Arial"/>
          <w:b/>
          <w:bCs/>
          <w:szCs w:val="24"/>
        </w:rPr>
        <w:t xml:space="preserve">Word count: </w:t>
      </w:r>
      <w:r w:rsidRPr="002B6842">
        <w:rPr>
          <w:rFonts w:ascii="Arial" w:hAnsi="Arial" w:cs="Arial"/>
          <w:szCs w:val="24"/>
        </w:rPr>
        <w:t>50</w:t>
      </w:r>
      <w:r w:rsidRPr="002B6842">
        <w:rPr>
          <w:rFonts w:ascii="Arial" w:hAnsi="Arial" w:cs="Arial"/>
          <w:szCs w:val="24"/>
        </w:rPr>
        <w:t>53</w:t>
      </w:r>
    </w:p>
    <w:p w14:paraId="1DFA142B" w14:textId="77777777" w:rsidR="00616235" w:rsidRDefault="00616235" w:rsidP="00616235">
      <w:pPr>
        <w:ind w:left="3600" w:firstLine="720"/>
        <w:rPr>
          <w:rFonts w:ascii="Arial" w:hAnsi="Arial" w:cs="Arial"/>
          <w:b/>
          <w:bCs/>
        </w:rPr>
      </w:pPr>
    </w:p>
    <w:p w14:paraId="5F9ACA80" w14:textId="77777777" w:rsidR="00616235" w:rsidRDefault="00616235" w:rsidP="00616235">
      <w:pPr>
        <w:ind w:left="3600" w:firstLine="720"/>
        <w:rPr>
          <w:rFonts w:ascii="Arial" w:hAnsi="Arial" w:cs="Arial"/>
          <w:b/>
          <w:bCs/>
        </w:rPr>
      </w:pPr>
    </w:p>
    <w:p w14:paraId="484912BB" w14:textId="77777777" w:rsidR="00616235" w:rsidRDefault="00616235" w:rsidP="00616235">
      <w:pPr>
        <w:ind w:left="3600" w:firstLine="720"/>
        <w:rPr>
          <w:rFonts w:ascii="Arial" w:hAnsi="Arial" w:cs="Arial"/>
          <w:b/>
          <w:bCs/>
        </w:rPr>
      </w:pPr>
    </w:p>
    <w:p w14:paraId="4AD38B06" w14:textId="505782FD" w:rsidR="00E64E05" w:rsidRPr="00AD2D8C" w:rsidRDefault="00616235" w:rsidP="00616235">
      <w:pPr>
        <w:ind w:left="3600" w:firstLine="720"/>
        <w:rPr>
          <w:rFonts w:ascii="Arial" w:hAnsi="Arial" w:cs="Arial"/>
          <w:b/>
          <w:bCs/>
          <w:sz w:val="36"/>
          <w:szCs w:val="36"/>
        </w:rPr>
      </w:pPr>
      <w:r w:rsidRPr="00646406">
        <w:rPr>
          <w:rFonts w:ascii="Arial" w:hAnsi="Arial" w:cs="Arial"/>
          <w:b/>
          <w:bCs/>
        </w:rPr>
        <w:t>Term 1</w:t>
      </w:r>
    </w:p>
    <w:p w14:paraId="77760236" w14:textId="77777777" w:rsidR="00616235" w:rsidRDefault="00616235" w:rsidP="00616235">
      <w:pPr>
        <w:jc w:val="center"/>
        <w:rPr>
          <w:rFonts w:ascii="Arial" w:hAnsi="Arial" w:cs="Arial"/>
          <w:sz w:val="32"/>
        </w:rPr>
      </w:pPr>
    </w:p>
    <w:p w14:paraId="1B173179" w14:textId="77777777" w:rsidR="002408A6" w:rsidRPr="00AD2D8C" w:rsidRDefault="002408A6" w:rsidP="00616235">
      <w:pPr>
        <w:jc w:val="center"/>
        <w:rPr>
          <w:rFonts w:ascii="Arial" w:eastAsiaTheme="majorEastAsia" w:hAnsi="Arial" w:cs="Arial"/>
          <w:b/>
          <w:bCs/>
          <w:color w:val="000000" w:themeColor="text1"/>
          <w:sz w:val="36"/>
          <w:szCs w:val="36"/>
        </w:rPr>
      </w:pPr>
      <w:r w:rsidRPr="00AD2D8C">
        <w:rPr>
          <w:rFonts w:ascii="Arial" w:hAnsi="Arial" w:cs="Arial"/>
          <w:b/>
          <w:bCs/>
          <w:sz w:val="36"/>
          <w:szCs w:val="36"/>
        </w:rPr>
        <w:br w:type="page"/>
      </w:r>
    </w:p>
    <w:sdt>
      <w:sdtPr>
        <w:rPr>
          <w:rFonts w:ascii="Arial" w:eastAsiaTheme="minorHAnsi" w:hAnsi="Arial" w:cs="Arial"/>
          <w:color w:val="auto"/>
          <w:sz w:val="24"/>
          <w:szCs w:val="22"/>
          <w:shd w:val="clear" w:color="auto" w:fill="FFFFFF"/>
          <w:lang w:val="en-GB"/>
        </w:rPr>
        <w:id w:val="2007859998"/>
        <w:docPartObj>
          <w:docPartGallery w:val="Table of Contents"/>
          <w:docPartUnique/>
        </w:docPartObj>
      </w:sdtPr>
      <w:sdtEndPr>
        <w:rPr>
          <w:b/>
          <w:bCs/>
          <w:noProof/>
        </w:rPr>
      </w:sdtEndPr>
      <w:sdtContent>
        <w:p w14:paraId="63D1B6E3" w14:textId="77777777" w:rsidR="00420887" w:rsidRPr="00AD2D8C" w:rsidRDefault="00420887" w:rsidP="007E0E80">
          <w:pPr>
            <w:pStyle w:val="TOCHeading"/>
            <w:spacing w:line="240" w:lineRule="auto"/>
            <w:jc w:val="center"/>
            <w:rPr>
              <w:rFonts w:ascii="Arial" w:hAnsi="Arial" w:cs="Arial"/>
              <w:color w:val="auto"/>
              <w:sz w:val="28"/>
              <w:szCs w:val="28"/>
            </w:rPr>
          </w:pPr>
          <w:r w:rsidRPr="00AD2D8C">
            <w:rPr>
              <w:rFonts w:ascii="Arial" w:hAnsi="Arial" w:cs="Arial"/>
              <w:color w:val="auto"/>
              <w:sz w:val="28"/>
              <w:szCs w:val="28"/>
            </w:rPr>
            <w:t>TABLE OF CONTENTS</w:t>
          </w:r>
        </w:p>
        <w:p w14:paraId="1A2B9A50" w14:textId="6DA79BA0" w:rsidR="00FE4941" w:rsidRDefault="005D13EF">
          <w:pPr>
            <w:pStyle w:val="TOC1"/>
            <w:tabs>
              <w:tab w:val="right" w:leader="dot" w:pos="9350"/>
            </w:tabs>
            <w:rPr>
              <w:rFonts w:asciiTheme="minorHAnsi" w:eastAsiaTheme="minorEastAsia" w:hAnsiTheme="minorHAnsi"/>
              <w:noProof/>
              <w:kern w:val="2"/>
              <w:szCs w:val="24"/>
              <w:shd w:val="clear" w:color="auto" w:fill="auto"/>
              <w:lang w:val="en-US"/>
              <w14:ligatures w14:val="standardContextual"/>
            </w:rPr>
          </w:pPr>
          <w:r w:rsidRPr="00AD2D8C">
            <w:rPr>
              <w:rFonts w:ascii="Arial" w:hAnsi="Arial" w:cs="Arial"/>
            </w:rPr>
            <w:fldChar w:fldCharType="begin"/>
          </w:r>
          <w:r w:rsidR="00420887" w:rsidRPr="00AD2D8C">
            <w:rPr>
              <w:rFonts w:ascii="Arial" w:hAnsi="Arial" w:cs="Arial"/>
            </w:rPr>
            <w:instrText xml:space="preserve"> TOC \o "1-3" \h \z \u </w:instrText>
          </w:r>
          <w:r w:rsidRPr="00AD2D8C">
            <w:rPr>
              <w:rFonts w:ascii="Arial" w:hAnsi="Arial" w:cs="Arial"/>
            </w:rPr>
            <w:fldChar w:fldCharType="separate"/>
          </w:r>
          <w:hyperlink w:anchor="_Toc227925091" w:history="1">
            <w:r w:rsidR="00FE4941" w:rsidRPr="006115EC">
              <w:rPr>
                <w:rStyle w:val="Hyperlink"/>
                <w:rFonts w:ascii="Arial" w:hAnsi="Arial" w:cs="Arial"/>
                <w:noProof/>
              </w:rPr>
              <w:t>1. Introduction</w:t>
            </w:r>
            <w:r w:rsidR="00FE4941">
              <w:rPr>
                <w:noProof/>
                <w:webHidden/>
              </w:rPr>
              <w:tab/>
            </w:r>
            <w:r w:rsidR="00FE4941">
              <w:rPr>
                <w:noProof/>
                <w:webHidden/>
              </w:rPr>
              <w:fldChar w:fldCharType="begin"/>
            </w:r>
            <w:r w:rsidR="00FE4941">
              <w:rPr>
                <w:noProof/>
                <w:webHidden/>
              </w:rPr>
              <w:instrText xml:space="preserve"> PAGEREF _Toc227925091 \h </w:instrText>
            </w:r>
            <w:r w:rsidR="00FE4941">
              <w:rPr>
                <w:noProof/>
                <w:webHidden/>
              </w:rPr>
            </w:r>
            <w:r w:rsidR="00FE4941">
              <w:rPr>
                <w:noProof/>
                <w:webHidden/>
              </w:rPr>
              <w:fldChar w:fldCharType="separate"/>
            </w:r>
            <w:r w:rsidR="00FE4941">
              <w:rPr>
                <w:noProof/>
                <w:webHidden/>
              </w:rPr>
              <w:t>4</w:t>
            </w:r>
            <w:r w:rsidR="00FE4941">
              <w:rPr>
                <w:noProof/>
                <w:webHidden/>
              </w:rPr>
              <w:fldChar w:fldCharType="end"/>
            </w:r>
          </w:hyperlink>
        </w:p>
        <w:p w14:paraId="15CBB7F8" w14:textId="6C72F24D"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092" w:history="1">
            <w:r w:rsidRPr="006115EC">
              <w:rPr>
                <w:rStyle w:val="Hyperlink"/>
                <w:rFonts w:ascii="Arial" w:hAnsi="Arial" w:cs="Arial"/>
                <w:noProof/>
              </w:rPr>
              <w:t>1.1 Overview of Company</w:t>
            </w:r>
            <w:r>
              <w:rPr>
                <w:noProof/>
                <w:webHidden/>
              </w:rPr>
              <w:tab/>
            </w:r>
            <w:r>
              <w:rPr>
                <w:noProof/>
                <w:webHidden/>
              </w:rPr>
              <w:fldChar w:fldCharType="begin"/>
            </w:r>
            <w:r>
              <w:rPr>
                <w:noProof/>
                <w:webHidden/>
              </w:rPr>
              <w:instrText xml:space="preserve"> PAGEREF _Toc227925092 \h </w:instrText>
            </w:r>
            <w:r>
              <w:rPr>
                <w:noProof/>
                <w:webHidden/>
              </w:rPr>
            </w:r>
            <w:r>
              <w:rPr>
                <w:noProof/>
                <w:webHidden/>
              </w:rPr>
              <w:fldChar w:fldCharType="separate"/>
            </w:r>
            <w:r>
              <w:rPr>
                <w:noProof/>
                <w:webHidden/>
              </w:rPr>
              <w:t>4</w:t>
            </w:r>
            <w:r>
              <w:rPr>
                <w:noProof/>
                <w:webHidden/>
              </w:rPr>
              <w:fldChar w:fldCharType="end"/>
            </w:r>
          </w:hyperlink>
        </w:p>
        <w:p w14:paraId="435D74D1" w14:textId="27586033"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093" w:history="1">
            <w:r w:rsidRPr="006115EC">
              <w:rPr>
                <w:rStyle w:val="Hyperlink"/>
                <w:rFonts w:ascii="Arial" w:hAnsi="Arial" w:cs="Arial"/>
                <w:noProof/>
                <w:lang w:val="en-IN"/>
              </w:rPr>
              <w:t>1.2 Market position &amp; products</w:t>
            </w:r>
            <w:r>
              <w:rPr>
                <w:noProof/>
                <w:webHidden/>
              </w:rPr>
              <w:tab/>
            </w:r>
            <w:r>
              <w:rPr>
                <w:noProof/>
                <w:webHidden/>
              </w:rPr>
              <w:fldChar w:fldCharType="begin"/>
            </w:r>
            <w:r>
              <w:rPr>
                <w:noProof/>
                <w:webHidden/>
              </w:rPr>
              <w:instrText xml:space="preserve"> PAGEREF _Toc227925093 \h </w:instrText>
            </w:r>
            <w:r>
              <w:rPr>
                <w:noProof/>
                <w:webHidden/>
              </w:rPr>
            </w:r>
            <w:r>
              <w:rPr>
                <w:noProof/>
                <w:webHidden/>
              </w:rPr>
              <w:fldChar w:fldCharType="separate"/>
            </w:r>
            <w:r>
              <w:rPr>
                <w:noProof/>
                <w:webHidden/>
              </w:rPr>
              <w:t>4</w:t>
            </w:r>
            <w:r>
              <w:rPr>
                <w:noProof/>
                <w:webHidden/>
              </w:rPr>
              <w:fldChar w:fldCharType="end"/>
            </w:r>
          </w:hyperlink>
        </w:p>
        <w:p w14:paraId="735759F4" w14:textId="3BBB5967" w:rsidR="00FE4941" w:rsidRDefault="00FE4941">
          <w:pPr>
            <w:pStyle w:val="TOC1"/>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094" w:history="1">
            <w:r w:rsidRPr="006115EC">
              <w:rPr>
                <w:rStyle w:val="Hyperlink"/>
                <w:rFonts w:ascii="Arial" w:hAnsi="Arial" w:cs="Arial"/>
                <w:noProof/>
              </w:rPr>
              <w:t>2. Financial Health Check</w:t>
            </w:r>
            <w:r>
              <w:rPr>
                <w:noProof/>
                <w:webHidden/>
              </w:rPr>
              <w:tab/>
            </w:r>
            <w:r>
              <w:rPr>
                <w:noProof/>
                <w:webHidden/>
              </w:rPr>
              <w:fldChar w:fldCharType="begin"/>
            </w:r>
            <w:r>
              <w:rPr>
                <w:noProof/>
                <w:webHidden/>
              </w:rPr>
              <w:instrText xml:space="preserve"> PAGEREF _Toc227925094 \h </w:instrText>
            </w:r>
            <w:r>
              <w:rPr>
                <w:noProof/>
                <w:webHidden/>
              </w:rPr>
            </w:r>
            <w:r>
              <w:rPr>
                <w:noProof/>
                <w:webHidden/>
              </w:rPr>
              <w:fldChar w:fldCharType="separate"/>
            </w:r>
            <w:r>
              <w:rPr>
                <w:noProof/>
                <w:webHidden/>
              </w:rPr>
              <w:t>4</w:t>
            </w:r>
            <w:r>
              <w:rPr>
                <w:noProof/>
                <w:webHidden/>
              </w:rPr>
              <w:fldChar w:fldCharType="end"/>
            </w:r>
          </w:hyperlink>
        </w:p>
        <w:p w14:paraId="7922D249" w14:textId="4617EF1B"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095" w:history="1">
            <w:r w:rsidRPr="006115EC">
              <w:rPr>
                <w:rStyle w:val="Hyperlink"/>
                <w:rFonts w:ascii="Arial" w:hAnsi="Arial" w:cs="Arial"/>
                <w:noProof/>
              </w:rPr>
              <w:t>2.1 Five-Year Financial Statement Analysis</w:t>
            </w:r>
            <w:r>
              <w:rPr>
                <w:noProof/>
                <w:webHidden/>
              </w:rPr>
              <w:tab/>
            </w:r>
            <w:r>
              <w:rPr>
                <w:noProof/>
                <w:webHidden/>
              </w:rPr>
              <w:fldChar w:fldCharType="begin"/>
            </w:r>
            <w:r>
              <w:rPr>
                <w:noProof/>
                <w:webHidden/>
              </w:rPr>
              <w:instrText xml:space="preserve"> PAGEREF _Toc227925095 \h </w:instrText>
            </w:r>
            <w:r>
              <w:rPr>
                <w:noProof/>
                <w:webHidden/>
              </w:rPr>
            </w:r>
            <w:r>
              <w:rPr>
                <w:noProof/>
                <w:webHidden/>
              </w:rPr>
              <w:fldChar w:fldCharType="separate"/>
            </w:r>
            <w:r>
              <w:rPr>
                <w:noProof/>
                <w:webHidden/>
              </w:rPr>
              <w:t>4</w:t>
            </w:r>
            <w:r>
              <w:rPr>
                <w:noProof/>
                <w:webHidden/>
              </w:rPr>
              <w:fldChar w:fldCharType="end"/>
            </w:r>
          </w:hyperlink>
        </w:p>
        <w:p w14:paraId="47EA230B" w14:textId="7509468E"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096" w:history="1">
            <w:r w:rsidRPr="006115EC">
              <w:rPr>
                <w:rStyle w:val="Hyperlink"/>
                <w:rFonts w:ascii="Arial" w:hAnsi="Arial" w:cs="Arial"/>
                <w:noProof/>
              </w:rPr>
              <w:t>2.2 Ratio Analysis</w:t>
            </w:r>
            <w:r>
              <w:rPr>
                <w:noProof/>
                <w:webHidden/>
              </w:rPr>
              <w:tab/>
            </w:r>
            <w:r>
              <w:rPr>
                <w:noProof/>
                <w:webHidden/>
              </w:rPr>
              <w:fldChar w:fldCharType="begin"/>
            </w:r>
            <w:r>
              <w:rPr>
                <w:noProof/>
                <w:webHidden/>
              </w:rPr>
              <w:instrText xml:space="preserve"> PAGEREF _Toc227925096 \h </w:instrText>
            </w:r>
            <w:r>
              <w:rPr>
                <w:noProof/>
                <w:webHidden/>
              </w:rPr>
            </w:r>
            <w:r>
              <w:rPr>
                <w:noProof/>
                <w:webHidden/>
              </w:rPr>
              <w:fldChar w:fldCharType="separate"/>
            </w:r>
            <w:r>
              <w:rPr>
                <w:noProof/>
                <w:webHidden/>
              </w:rPr>
              <w:t>5</w:t>
            </w:r>
            <w:r>
              <w:rPr>
                <w:noProof/>
                <w:webHidden/>
              </w:rPr>
              <w:fldChar w:fldCharType="end"/>
            </w:r>
          </w:hyperlink>
        </w:p>
        <w:p w14:paraId="7C4F45D1" w14:textId="028F4A09"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097" w:history="1">
            <w:r w:rsidRPr="006115EC">
              <w:rPr>
                <w:rStyle w:val="Hyperlink"/>
                <w:rFonts w:ascii="Arial" w:hAnsi="Arial" w:cs="Arial"/>
                <w:noProof/>
              </w:rPr>
              <w:t>2.3 Trend Identification</w:t>
            </w:r>
            <w:r>
              <w:rPr>
                <w:noProof/>
                <w:webHidden/>
              </w:rPr>
              <w:tab/>
            </w:r>
            <w:r>
              <w:rPr>
                <w:noProof/>
                <w:webHidden/>
              </w:rPr>
              <w:fldChar w:fldCharType="begin"/>
            </w:r>
            <w:r>
              <w:rPr>
                <w:noProof/>
                <w:webHidden/>
              </w:rPr>
              <w:instrText xml:space="preserve"> PAGEREF _Toc227925097 \h </w:instrText>
            </w:r>
            <w:r>
              <w:rPr>
                <w:noProof/>
                <w:webHidden/>
              </w:rPr>
            </w:r>
            <w:r>
              <w:rPr>
                <w:noProof/>
                <w:webHidden/>
              </w:rPr>
              <w:fldChar w:fldCharType="separate"/>
            </w:r>
            <w:r>
              <w:rPr>
                <w:noProof/>
                <w:webHidden/>
              </w:rPr>
              <w:t>7</w:t>
            </w:r>
            <w:r>
              <w:rPr>
                <w:noProof/>
                <w:webHidden/>
              </w:rPr>
              <w:fldChar w:fldCharType="end"/>
            </w:r>
          </w:hyperlink>
        </w:p>
        <w:p w14:paraId="0836678D" w14:textId="06BBEC3D" w:rsidR="00FE4941" w:rsidRDefault="00FE4941">
          <w:pPr>
            <w:pStyle w:val="TOC1"/>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098" w:history="1">
            <w:r w:rsidRPr="006115EC">
              <w:rPr>
                <w:rStyle w:val="Hyperlink"/>
                <w:rFonts w:ascii="Arial" w:hAnsi="Arial" w:cs="Arial"/>
                <w:noProof/>
              </w:rPr>
              <w:t>3. Working Capital Management Analysis</w:t>
            </w:r>
            <w:r>
              <w:rPr>
                <w:noProof/>
                <w:webHidden/>
              </w:rPr>
              <w:tab/>
            </w:r>
            <w:r>
              <w:rPr>
                <w:noProof/>
                <w:webHidden/>
              </w:rPr>
              <w:fldChar w:fldCharType="begin"/>
            </w:r>
            <w:r>
              <w:rPr>
                <w:noProof/>
                <w:webHidden/>
              </w:rPr>
              <w:instrText xml:space="preserve"> PAGEREF _Toc227925098 \h </w:instrText>
            </w:r>
            <w:r>
              <w:rPr>
                <w:noProof/>
                <w:webHidden/>
              </w:rPr>
            </w:r>
            <w:r>
              <w:rPr>
                <w:noProof/>
                <w:webHidden/>
              </w:rPr>
              <w:fldChar w:fldCharType="separate"/>
            </w:r>
            <w:r>
              <w:rPr>
                <w:noProof/>
                <w:webHidden/>
              </w:rPr>
              <w:t>8</w:t>
            </w:r>
            <w:r>
              <w:rPr>
                <w:noProof/>
                <w:webHidden/>
              </w:rPr>
              <w:fldChar w:fldCharType="end"/>
            </w:r>
          </w:hyperlink>
        </w:p>
        <w:p w14:paraId="2A2F532E" w14:textId="4A1D0D84"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099" w:history="1">
            <w:r w:rsidRPr="006115EC">
              <w:rPr>
                <w:rStyle w:val="Hyperlink"/>
                <w:rFonts w:ascii="Arial" w:hAnsi="Arial" w:cs="Arial"/>
                <w:noProof/>
              </w:rPr>
              <w:t>3.1 Cash Operating Cycle (CCC)</w:t>
            </w:r>
            <w:r>
              <w:rPr>
                <w:noProof/>
                <w:webHidden/>
              </w:rPr>
              <w:tab/>
            </w:r>
            <w:r>
              <w:rPr>
                <w:noProof/>
                <w:webHidden/>
              </w:rPr>
              <w:fldChar w:fldCharType="begin"/>
            </w:r>
            <w:r>
              <w:rPr>
                <w:noProof/>
                <w:webHidden/>
              </w:rPr>
              <w:instrText xml:space="preserve"> PAGEREF _Toc227925099 \h </w:instrText>
            </w:r>
            <w:r>
              <w:rPr>
                <w:noProof/>
                <w:webHidden/>
              </w:rPr>
            </w:r>
            <w:r>
              <w:rPr>
                <w:noProof/>
                <w:webHidden/>
              </w:rPr>
              <w:fldChar w:fldCharType="separate"/>
            </w:r>
            <w:r>
              <w:rPr>
                <w:noProof/>
                <w:webHidden/>
              </w:rPr>
              <w:t>8</w:t>
            </w:r>
            <w:r>
              <w:rPr>
                <w:noProof/>
                <w:webHidden/>
              </w:rPr>
              <w:fldChar w:fldCharType="end"/>
            </w:r>
          </w:hyperlink>
        </w:p>
        <w:p w14:paraId="7496E612" w14:textId="2636D9B1"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00" w:history="1">
            <w:r w:rsidRPr="006115EC">
              <w:rPr>
                <w:rStyle w:val="Hyperlink"/>
                <w:rFonts w:ascii="Arial" w:hAnsi="Arial" w:cs="Arial"/>
                <w:noProof/>
              </w:rPr>
              <w:t>3.2 Liquidity Improvement Strategies</w:t>
            </w:r>
            <w:r>
              <w:rPr>
                <w:noProof/>
                <w:webHidden/>
              </w:rPr>
              <w:tab/>
            </w:r>
            <w:r>
              <w:rPr>
                <w:noProof/>
                <w:webHidden/>
              </w:rPr>
              <w:fldChar w:fldCharType="begin"/>
            </w:r>
            <w:r>
              <w:rPr>
                <w:noProof/>
                <w:webHidden/>
              </w:rPr>
              <w:instrText xml:space="preserve"> PAGEREF _Toc227925100 \h </w:instrText>
            </w:r>
            <w:r>
              <w:rPr>
                <w:noProof/>
                <w:webHidden/>
              </w:rPr>
            </w:r>
            <w:r>
              <w:rPr>
                <w:noProof/>
                <w:webHidden/>
              </w:rPr>
              <w:fldChar w:fldCharType="separate"/>
            </w:r>
            <w:r>
              <w:rPr>
                <w:noProof/>
                <w:webHidden/>
              </w:rPr>
              <w:t>9</w:t>
            </w:r>
            <w:r>
              <w:rPr>
                <w:noProof/>
                <w:webHidden/>
              </w:rPr>
              <w:fldChar w:fldCharType="end"/>
            </w:r>
          </w:hyperlink>
        </w:p>
        <w:p w14:paraId="5C0542FD" w14:textId="368F3BA1"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01" w:history="1">
            <w:r w:rsidRPr="006115EC">
              <w:rPr>
                <w:rStyle w:val="Hyperlink"/>
                <w:rFonts w:ascii="Arial" w:hAnsi="Arial" w:cs="Arial"/>
                <w:noProof/>
              </w:rPr>
              <w:t>3.3 Financing Options</w:t>
            </w:r>
            <w:r>
              <w:rPr>
                <w:noProof/>
                <w:webHidden/>
              </w:rPr>
              <w:tab/>
            </w:r>
            <w:r>
              <w:rPr>
                <w:noProof/>
                <w:webHidden/>
              </w:rPr>
              <w:fldChar w:fldCharType="begin"/>
            </w:r>
            <w:r>
              <w:rPr>
                <w:noProof/>
                <w:webHidden/>
              </w:rPr>
              <w:instrText xml:space="preserve"> PAGEREF _Toc227925101 \h </w:instrText>
            </w:r>
            <w:r>
              <w:rPr>
                <w:noProof/>
                <w:webHidden/>
              </w:rPr>
            </w:r>
            <w:r>
              <w:rPr>
                <w:noProof/>
                <w:webHidden/>
              </w:rPr>
              <w:fldChar w:fldCharType="separate"/>
            </w:r>
            <w:r>
              <w:rPr>
                <w:noProof/>
                <w:webHidden/>
              </w:rPr>
              <w:t>10</w:t>
            </w:r>
            <w:r>
              <w:rPr>
                <w:noProof/>
                <w:webHidden/>
              </w:rPr>
              <w:fldChar w:fldCharType="end"/>
            </w:r>
          </w:hyperlink>
        </w:p>
        <w:p w14:paraId="50E7C6E4" w14:textId="0FDEFF39" w:rsidR="00FE4941" w:rsidRDefault="00FE4941">
          <w:pPr>
            <w:pStyle w:val="TOC1"/>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02" w:history="1">
            <w:r w:rsidRPr="006115EC">
              <w:rPr>
                <w:rStyle w:val="Hyperlink"/>
                <w:rFonts w:ascii="Arial" w:hAnsi="Arial" w:cs="Arial"/>
                <w:noProof/>
              </w:rPr>
              <w:t>4. Strategic Financial Restructuring Plan</w:t>
            </w:r>
            <w:r>
              <w:rPr>
                <w:noProof/>
                <w:webHidden/>
              </w:rPr>
              <w:tab/>
            </w:r>
            <w:r>
              <w:rPr>
                <w:noProof/>
                <w:webHidden/>
              </w:rPr>
              <w:fldChar w:fldCharType="begin"/>
            </w:r>
            <w:r>
              <w:rPr>
                <w:noProof/>
                <w:webHidden/>
              </w:rPr>
              <w:instrText xml:space="preserve"> PAGEREF _Toc227925102 \h </w:instrText>
            </w:r>
            <w:r>
              <w:rPr>
                <w:noProof/>
                <w:webHidden/>
              </w:rPr>
            </w:r>
            <w:r>
              <w:rPr>
                <w:noProof/>
                <w:webHidden/>
              </w:rPr>
              <w:fldChar w:fldCharType="separate"/>
            </w:r>
            <w:r>
              <w:rPr>
                <w:noProof/>
                <w:webHidden/>
              </w:rPr>
              <w:t>11</w:t>
            </w:r>
            <w:r>
              <w:rPr>
                <w:noProof/>
                <w:webHidden/>
              </w:rPr>
              <w:fldChar w:fldCharType="end"/>
            </w:r>
          </w:hyperlink>
        </w:p>
        <w:p w14:paraId="66C5F0A4" w14:textId="7491C023"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03" w:history="1">
            <w:r w:rsidRPr="006115EC">
              <w:rPr>
                <w:rStyle w:val="Hyperlink"/>
                <w:rFonts w:ascii="Arial" w:hAnsi="Arial" w:cs="Arial"/>
                <w:noProof/>
              </w:rPr>
              <w:t>4.1 Restructuring Recommendations</w:t>
            </w:r>
            <w:r>
              <w:rPr>
                <w:noProof/>
                <w:webHidden/>
              </w:rPr>
              <w:tab/>
            </w:r>
            <w:r>
              <w:rPr>
                <w:noProof/>
                <w:webHidden/>
              </w:rPr>
              <w:fldChar w:fldCharType="begin"/>
            </w:r>
            <w:r>
              <w:rPr>
                <w:noProof/>
                <w:webHidden/>
              </w:rPr>
              <w:instrText xml:space="preserve"> PAGEREF _Toc227925103 \h </w:instrText>
            </w:r>
            <w:r>
              <w:rPr>
                <w:noProof/>
                <w:webHidden/>
              </w:rPr>
            </w:r>
            <w:r>
              <w:rPr>
                <w:noProof/>
                <w:webHidden/>
              </w:rPr>
              <w:fldChar w:fldCharType="separate"/>
            </w:r>
            <w:r>
              <w:rPr>
                <w:noProof/>
                <w:webHidden/>
              </w:rPr>
              <w:t>11</w:t>
            </w:r>
            <w:r>
              <w:rPr>
                <w:noProof/>
                <w:webHidden/>
              </w:rPr>
              <w:fldChar w:fldCharType="end"/>
            </w:r>
          </w:hyperlink>
        </w:p>
        <w:p w14:paraId="52ADBF49" w14:textId="059661BF"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04" w:history="1">
            <w:r w:rsidRPr="006115EC">
              <w:rPr>
                <w:rStyle w:val="Hyperlink"/>
                <w:rFonts w:ascii="Arial" w:hAnsi="Arial" w:cs="Arial"/>
                <w:noProof/>
              </w:rPr>
              <w:t>4.2 Impact Evaluation</w:t>
            </w:r>
            <w:r w:rsidRPr="006115EC">
              <w:rPr>
                <w:rStyle w:val="Hyperlink"/>
                <w:rFonts w:ascii="Arial" w:hAnsi="Arial" w:cs="Arial"/>
                <w:noProof/>
                <w:lang w:val="en-IN"/>
              </w:rPr>
              <w:t>.</w:t>
            </w:r>
            <w:r>
              <w:rPr>
                <w:noProof/>
                <w:webHidden/>
              </w:rPr>
              <w:tab/>
            </w:r>
            <w:r>
              <w:rPr>
                <w:noProof/>
                <w:webHidden/>
              </w:rPr>
              <w:fldChar w:fldCharType="begin"/>
            </w:r>
            <w:r>
              <w:rPr>
                <w:noProof/>
                <w:webHidden/>
              </w:rPr>
              <w:instrText xml:space="preserve"> PAGEREF _Toc227925104 \h </w:instrText>
            </w:r>
            <w:r>
              <w:rPr>
                <w:noProof/>
                <w:webHidden/>
              </w:rPr>
            </w:r>
            <w:r>
              <w:rPr>
                <w:noProof/>
                <w:webHidden/>
              </w:rPr>
              <w:fldChar w:fldCharType="separate"/>
            </w:r>
            <w:r>
              <w:rPr>
                <w:noProof/>
                <w:webHidden/>
              </w:rPr>
              <w:t>12</w:t>
            </w:r>
            <w:r>
              <w:rPr>
                <w:noProof/>
                <w:webHidden/>
              </w:rPr>
              <w:fldChar w:fldCharType="end"/>
            </w:r>
          </w:hyperlink>
        </w:p>
        <w:p w14:paraId="6E902916" w14:textId="60F81AE1"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05" w:history="1">
            <w:r w:rsidRPr="006115EC">
              <w:rPr>
                <w:rStyle w:val="Hyperlink"/>
                <w:rFonts w:ascii="Arial" w:hAnsi="Arial" w:cs="Arial"/>
                <w:noProof/>
              </w:rPr>
              <w:t>4.3 Global &amp; Ethical Considerations</w:t>
            </w:r>
            <w:r>
              <w:rPr>
                <w:noProof/>
                <w:webHidden/>
              </w:rPr>
              <w:tab/>
            </w:r>
            <w:r>
              <w:rPr>
                <w:noProof/>
                <w:webHidden/>
              </w:rPr>
              <w:fldChar w:fldCharType="begin"/>
            </w:r>
            <w:r>
              <w:rPr>
                <w:noProof/>
                <w:webHidden/>
              </w:rPr>
              <w:instrText xml:space="preserve"> PAGEREF _Toc227925105 \h </w:instrText>
            </w:r>
            <w:r>
              <w:rPr>
                <w:noProof/>
                <w:webHidden/>
              </w:rPr>
            </w:r>
            <w:r>
              <w:rPr>
                <w:noProof/>
                <w:webHidden/>
              </w:rPr>
              <w:fldChar w:fldCharType="separate"/>
            </w:r>
            <w:r>
              <w:rPr>
                <w:noProof/>
                <w:webHidden/>
              </w:rPr>
              <w:t>13</w:t>
            </w:r>
            <w:r>
              <w:rPr>
                <w:noProof/>
                <w:webHidden/>
              </w:rPr>
              <w:fldChar w:fldCharType="end"/>
            </w:r>
          </w:hyperlink>
        </w:p>
        <w:p w14:paraId="2B851B78" w14:textId="1D889D47" w:rsidR="00FE4941" w:rsidRDefault="00FE4941">
          <w:pPr>
            <w:pStyle w:val="TOC1"/>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06" w:history="1">
            <w:r w:rsidRPr="006115EC">
              <w:rPr>
                <w:rStyle w:val="Hyperlink"/>
                <w:rFonts w:ascii="Arial" w:hAnsi="Arial" w:cs="Arial"/>
                <w:noProof/>
              </w:rPr>
              <w:t>5. Investment Appraisal &amp; Capital Budgeting</w:t>
            </w:r>
            <w:r>
              <w:rPr>
                <w:noProof/>
                <w:webHidden/>
              </w:rPr>
              <w:tab/>
            </w:r>
            <w:r>
              <w:rPr>
                <w:noProof/>
                <w:webHidden/>
              </w:rPr>
              <w:fldChar w:fldCharType="begin"/>
            </w:r>
            <w:r>
              <w:rPr>
                <w:noProof/>
                <w:webHidden/>
              </w:rPr>
              <w:instrText xml:space="preserve"> PAGEREF _Toc227925106 \h </w:instrText>
            </w:r>
            <w:r>
              <w:rPr>
                <w:noProof/>
                <w:webHidden/>
              </w:rPr>
            </w:r>
            <w:r>
              <w:rPr>
                <w:noProof/>
                <w:webHidden/>
              </w:rPr>
              <w:fldChar w:fldCharType="separate"/>
            </w:r>
            <w:r>
              <w:rPr>
                <w:noProof/>
                <w:webHidden/>
              </w:rPr>
              <w:t>14</w:t>
            </w:r>
            <w:r>
              <w:rPr>
                <w:noProof/>
                <w:webHidden/>
              </w:rPr>
              <w:fldChar w:fldCharType="end"/>
            </w:r>
          </w:hyperlink>
        </w:p>
        <w:p w14:paraId="2C7B826B" w14:textId="1B93671E"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07" w:history="1">
            <w:r w:rsidRPr="006115EC">
              <w:rPr>
                <w:rStyle w:val="Hyperlink"/>
                <w:rFonts w:ascii="Arial" w:hAnsi="Arial" w:cs="Arial"/>
                <w:noProof/>
              </w:rPr>
              <w:t>5.1 Project Evaluation (A, B, C)</w:t>
            </w:r>
            <w:r>
              <w:rPr>
                <w:noProof/>
                <w:webHidden/>
              </w:rPr>
              <w:tab/>
            </w:r>
            <w:r>
              <w:rPr>
                <w:noProof/>
                <w:webHidden/>
              </w:rPr>
              <w:fldChar w:fldCharType="begin"/>
            </w:r>
            <w:r>
              <w:rPr>
                <w:noProof/>
                <w:webHidden/>
              </w:rPr>
              <w:instrText xml:space="preserve"> PAGEREF _Toc227925107 \h </w:instrText>
            </w:r>
            <w:r>
              <w:rPr>
                <w:noProof/>
                <w:webHidden/>
              </w:rPr>
            </w:r>
            <w:r>
              <w:rPr>
                <w:noProof/>
                <w:webHidden/>
              </w:rPr>
              <w:fldChar w:fldCharType="separate"/>
            </w:r>
            <w:r>
              <w:rPr>
                <w:noProof/>
                <w:webHidden/>
              </w:rPr>
              <w:t>14</w:t>
            </w:r>
            <w:r>
              <w:rPr>
                <w:noProof/>
                <w:webHidden/>
              </w:rPr>
              <w:fldChar w:fldCharType="end"/>
            </w:r>
          </w:hyperlink>
        </w:p>
        <w:p w14:paraId="194702B6" w14:textId="50E379AB"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08" w:history="1">
            <w:r w:rsidRPr="006115EC">
              <w:rPr>
                <w:rStyle w:val="Hyperlink"/>
                <w:rFonts w:ascii="Arial" w:hAnsi="Arial" w:cs="Arial"/>
                <w:noProof/>
              </w:rPr>
              <w:t>5.2 Quantitative Techniques</w:t>
            </w:r>
            <w:r>
              <w:rPr>
                <w:noProof/>
                <w:webHidden/>
              </w:rPr>
              <w:tab/>
            </w:r>
            <w:r>
              <w:rPr>
                <w:noProof/>
                <w:webHidden/>
              </w:rPr>
              <w:fldChar w:fldCharType="begin"/>
            </w:r>
            <w:r>
              <w:rPr>
                <w:noProof/>
                <w:webHidden/>
              </w:rPr>
              <w:instrText xml:space="preserve"> PAGEREF _Toc227925108 \h </w:instrText>
            </w:r>
            <w:r>
              <w:rPr>
                <w:noProof/>
                <w:webHidden/>
              </w:rPr>
            </w:r>
            <w:r>
              <w:rPr>
                <w:noProof/>
                <w:webHidden/>
              </w:rPr>
              <w:fldChar w:fldCharType="separate"/>
            </w:r>
            <w:r>
              <w:rPr>
                <w:noProof/>
                <w:webHidden/>
              </w:rPr>
              <w:t>14</w:t>
            </w:r>
            <w:r>
              <w:rPr>
                <w:noProof/>
                <w:webHidden/>
              </w:rPr>
              <w:fldChar w:fldCharType="end"/>
            </w:r>
          </w:hyperlink>
        </w:p>
        <w:p w14:paraId="543FD0AA" w14:textId="66B7C005"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09" w:history="1">
            <w:r w:rsidRPr="006115EC">
              <w:rPr>
                <w:rStyle w:val="Hyperlink"/>
                <w:rFonts w:ascii="Arial" w:hAnsi="Arial" w:cs="Arial"/>
                <w:noProof/>
              </w:rPr>
              <w:t>5.3 Recommendations &amp; Justification.</w:t>
            </w:r>
            <w:r>
              <w:rPr>
                <w:noProof/>
                <w:webHidden/>
              </w:rPr>
              <w:tab/>
            </w:r>
            <w:r>
              <w:rPr>
                <w:noProof/>
                <w:webHidden/>
              </w:rPr>
              <w:fldChar w:fldCharType="begin"/>
            </w:r>
            <w:r>
              <w:rPr>
                <w:noProof/>
                <w:webHidden/>
              </w:rPr>
              <w:instrText xml:space="preserve"> PAGEREF _Toc227925109 \h </w:instrText>
            </w:r>
            <w:r>
              <w:rPr>
                <w:noProof/>
                <w:webHidden/>
              </w:rPr>
            </w:r>
            <w:r>
              <w:rPr>
                <w:noProof/>
                <w:webHidden/>
              </w:rPr>
              <w:fldChar w:fldCharType="separate"/>
            </w:r>
            <w:r>
              <w:rPr>
                <w:noProof/>
                <w:webHidden/>
              </w:rPr>
              <w:t>16</w:t>
            </w:r>
            <w:r>
              <w:rPr>
                <w:noProof/>
                <w:webHidden/>
              </w:rPr>
              <w:fldChar w:fldCharType="end"/>
            </w:r>
          </w:hyperlink>
        </w:p>
        <w:p w14:paraId="2F34EDB7" w14:textId="06AC4759"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10" w:history="1">
            <w:r w:rsidRPr="006115EC">
              <w:rPr>
                <w:rStyle w:val="Hyperlink"/>
                <w:rFonts w:ascii="Arial" w:hAnsi="Arial" w:cs="Arial"/>
                <w:noProof/>
              </w:rPr>
              <w:t>5.4 Capital Rationing</w:t>
            </w:r>
            <w:r>
              <w:rPr>
                <w:noProof/>
                <w:webHidden/>
              </w:rPr>
              <w:tab/>
            </w:r>
            <w:r>
              <w:rPr>
                <w:noProof/>
                <w:webHidden/>
              </w:rPr>
              <w:fldChar w:fldCharType="begin"/>
            </w:r>
            <w:r>
              <w:rPr>
                <w:noProof/>
                <w:webHidden/>
              </w:rPr>
              <w:instrText xml:space="preserve"> PAGEREF _Toc227925110 \h </w:instrText>
            </w:r>
            <w:r>
              <w:rPr>
                <w:noProof/>
                <w:webHidden/>
              </w:rPr>
            </w:r>
            <w:r>
              <w:rPr>
                <w:noProof/>
                <w:webHidden/>
              </w:rPr>
              <w:fldChar w:fldCharType="separate"/>
            </w:r>
            <w:r>
              <w:rPr>
                <w:noProof/>
                <w:webHidden/>
              </w:rPr>
              <w:t>17</w:t>
            </w:r>
            <w:r>
              <w:rPr>
                <w:noProof/>
                <w:webHidden/>
              </w:rPr>
              <w:fldChar w:fldCharType="end"/>
            </w:r>
          </w:hyperlink>
        </w:p>
        <w:p w14:paraId="1C9044CC" w14:textId="3877B16E" w:rsidR="00FE4941" w:rsidRDefault="00FE4941">
          <w:pPr>
            <w:pStyle w:val="TOC1"/>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11" w:history="1">
            <w:r w:rsidRPr="006115EC">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_Toc227925111 \h </w:instrText>
            </w:r>
            <w:r>
              <w:rPr>
                <w:noProof/>
                <w:webHidden/>
              </w:rPr>
            </w:r>
            <w:r>
              <w:rPr>
                <w:noProof/>
                <w:webHidden/>
              </w:rPr>
              <w:fldChar w:fldCharType="separate"/>
            </w:r>
            <w:r>
              <w:rPr>
                <w:noProof/>
                <w:webHidden/>
              </w:rPr>
              <w:t>17</w:t>
            </w:r>
            <w:r>
              <w:rPr>
                <w:noProof/>
                <w:webHidden/>
              </w:rPr>
              <w:fldChar w:fldCharType="end"/>
            </w:r>
          </w:hyperlink>
        </w:p>
        <w:p w14:paraId="65AC0C3E" w14:textId="12EFFA73" w:rsidR="00FE4941" w:rsidRDefault="00FE4941">
          <w:pPr>
            <w:pStyle w:val="TOC1"/>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12" w:history="1">
            <w:r w:rsidRPr="006115E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_Toc227925112 \h </w:instrText>
            </w:r>
            <w:r>
              <w:rPr>
                <w:noProof/>
                <w:webHidden/>
              </w:rPr>
            </w:r>
            <w:r>
              <w:rPr>
                <w:noProof/>
                <w:webHidden/>
              </w:rPr>
              <w:fldChar w:fldCharType="separate"/>
            </w:r>
            <w:r>
              <w:rPr>
                <w:noProof/>
                <w:webHidden/>
              </w:rPr>
              <w:t>18</w:t>
            </w:r>
            <w:r>
              <w:rPr>
                <w:noProof/>
                <w:webHidden/>
              </w:rPr>
              <w:fldChar w:fldCharType="end"/>
            </w:r>
          </w:hyperlink>
        </w:p>
        <w:p w14:paraId="145E80F7" w14:textId="760910CF" w:rsidR="00FE4941" w:rsidRDefault="00FE4941">
          <w:pPr>
            <w:pStyle w:val="TOC1"/>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13" w:history="1">
            <w:r w:rsidRPr="006115EC">
              <w:rPr>
                <w:rStyle w:val="Hyperlink"/>
                <w:rFonts w:ascii="Arial" w:hAnsi="Arial" w:cs="Arial"/>
                <w:noProof/>
              </w:rPr>
              <w:t>Appendix</w:t>
            </w:r>
            <w:r>
              <w:rPr>
                <w:noProof/>
                <w:webHidden/>
              </w:rPr>
              <w:tab/>
            </w:r>
            <w:r>
              <w:rPr>
                <w:noProof/>
                <w:webHidden/>
              </w:rPr>
              <w:fldChar w:fldCharType="begin"/>
            </w:r>
            <w:r>
              <w:rPr>
                <w:noProof/>
                <w:webHidden/>
              </w:rPr>
              <w:instrText xml:space="preserve"> PAGEREF _Toc227925113 \h </w:instrText>
            </w:r>
            <w:r>
              <w:rPr>
                <w:noProof/>
                <w:webHidden/>
              </w:rPr>
            </w:r>
            <w:r>
              <w:rPr>
                <w:noProof/>
                <w:webHidden/>
              </w:rPr>
              <w:fldChar w:fldCharType="separate"/>
            </w:r>
            <w:r>
              <w:rPr>
                <w:noProof/>
                <w:webHidden/>
              </w:rPr>
              <w:t>23</w:t>
            </w:r>
            <w:r>
              <w:rPr>
                <w:noProof/>
                <w:webHidden/>
              </w:rPr>
              <w:fldChar w:fldCharType="end"/>
            </w:r>
          </w:hyperlink>
        </w:p>
        <w:p w14:paraId="0886406D" w14:textId="4F52D2EC"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14" w:history="1">
            <w:r w:rsidRPr="006115EC">
              <w:rPr>
                <w:rStyle w:val="Hyperlink"/>
                <w:rFonts w:ascii="Arial" w:hAnsi="Arial" w:cs="Arial"/>
                <w:noProof/>
              </w:rPr>
              <w:t>Ratio analysis</w:t>
            </w:r>
            <w:r>
              <w:rPr>
                <w:noProof/>
                <w:webHidden/>
              </w:rPr>
              <w:tab/>
            </w:r>
            <w:r>
              <w:rPr>
                <w:noProof/>
                <w:webHidden/>
              </w:rPr>
              <w:fldChar w:fldCharType="begin"/>
            </w:r>
            <w:r>
              <w:rPr>
                <w:noProof/>
                <w:webHidden/>
              </w:rPr>
              <w:instrText xml:space="preserve"> PAGEREF _Toc227925114 \h </w:instrText>
            </w:r>
            <w:r>
              <w:rPr>
                <w:noProof/>
                <w:webHidden/>
              </w:rPr>
            </w:r>
            <w:r>
              <w:rPr>
                <w:noProof/>
                <w:webHidden/>
              </w:rPr>
              <w:fldChar w:fldCharType="separate"/>
            </w:r>
            <w:r>
              <w:rPr>
                <w:noProof/>
                <w:webHidden/>
              </w:rPr>
              <w:t>23</w:t>
            </w:r>
            <w:r>
              <w:rPr>
                <w:noProof/>
                <w:webHidden/>
              </w:rPr>
              <w:fldChar w:fldCharType="end"/>
            </w:r>
          </w:hyperlink>
        </w:p>
        <w:p w14:paraId="21624E05" w14:textId="4015483D" w:rsidR="00FE4941" w:rsidRDefault="00FE4941">
          <w:pPr>
            <w:pStyle w:val="TOC2"/>
            <w:tabs>
              <w:tab w:val="right" w:leader="dot" w:pos="9350"/>
            </w:tabs>
            <w:rPr>
              <w:rFonts w:asciiTheme="minorHAnsi" w:eastAsiaTheme="minorEastAsia" w:hAnsiTheme="minorHAnsi"/>
              <w:noProof/>
              <w:kern w:val="2"/>
              <w:szCs w:val="24"/>
              <w:shd w:val="clear" w:color="auto" w:fill="auto"/>
              <w:lang w:val="en-US"/>
              <w14:ligatures w14:val="standardContextual"/>
            </w:rPr>
          </w:pPr>
          <w:hyperlink w:anchor="_Toc227925115" w:history="1">
            <w:r w:rsidRPr="006115EC">
              <w:rPr>
                <w:rStyle w:val="Hyperlink"/>
                <w:rFonts w:ascii="Arial" w:hAnsi="Arial" w:cs="Arial"/>
                <w:noProof/>
              </w:rPr>
              <w:t>Investment appraisal methods</w:t>
            </w:r>
            <w:r>
              <w:rPr>
                <w:noProof/>
                <w:webHidden/>
              </w:rPr>
              <w:tab/>
            </w:r>
            <w:r>
              <w:rPr>
                <w:noProof/>
                <w:webHidden/>
              </w:rPr>
              <w:fldChar w:fldCharType="begin"/>
            </w:r>
            <w:r>
              <w:rPr>
                <w:noProof/>
                <w:webHidden/>
              </w:rPr>
              <w:instrText xml:space="preserve"> PAGEREF _Toc227925115 \h </w:instrText>
            </w:r>
            <w:r>
              <w:rPr>
                <w:noProof/>
                <w:webHidden/>
              </w:rPr>
            </w:r>
            <w:r>
              <w:rPr>
                <w:noProof/>
                <w:webHidden/>
              </w:rPr>
              <w:fldChar w:fldCharType="separate"/>
            </w:r>
            <w:r>
              <w:rPr>
                <w:noProof/>
                <w:webHidden/>
              </w:rPr>
              <w:t>25</w:t>
            </w:r>
            <w:r>
              <w:rPr>
                <w:noProof/>
                <w:webHidden/>
              </w:rPr>
              <w:fldChar w:fldCharType="end"/>
            </w:r>
          </w:hyperlink>
        </w:p>
        <w:p w14:paraId="4A994F55" w14:textId="5357E70A" w:rsidR="00420887" w:rsidRPr="00AD2D8C" w:rsidRDefault="005D13EF" w:rsidP="007E0E80">
          <w:pPr>
            <w:spacing w:line="240" w:lineRule="auto"/>
            <w:rPr>
              <w:rFonts w:ascii="Arial" w:hAnsi="Arial" w:cs="Arial"/>
            </w:rPr>
          </w:pPr>
          <w:r w:rsidRPr="00AD2D8C">
            <w:rPr>
              <w:rFonts w:ascii="Arial" w:hAnsi="Arial" w:cs="Arial"/>
              <w:b/>
              <w:bCs/>
              <w:noProof/>
            </w:rPr>
            <w:lastRenderedPageBreak/>
            <w:fldChar w:fldCharType="end"/>
          </w:r>
        </w:p>
      </w:sdtContent>
    </w:sdt>
    <w:p w14:paraId="76854ECF" w14:textId="7C883B1C" w:rsidR="00E64E05" w:rsidRPr="00AD2D8C" w:rsidRDefault="00E64E05">
      <w:pPr>
        <w:spacing w:line="240" w:lineRule="auto"/>
        <w:jc w:val="left"/>
        <w:rPr>
          <w:rFonts w:ascii="Arial" w:eastAsiaTheme="majorEastAsia" w:hAnsi="Arial" w:cs="Arial"/>
          <w:b/>
          <w:bCs/>
          <w:color w:val="000000" w:themeColor="text1"/>
          <w:sz w:val="28"/>
          <w:szCs w:val="28"/>
        </w:rPr>
      </w:pPr>
    </w:p>
    <w:p w14:paraId="732D60B8" w14:textId="77777777" w:rsidR="006F2BDA" w:rsidRPr="00AD2D8C" w:rsidRDefault="001740F3" w:rsidP="00DF2242">
      <w:pPr>
        <w:pStyle w:val="Heading1"/>
        <w:rPr>
          <w:rFonts w:ascii="Arial" w:hAnsi="Arial" w:cs="Arial"/>
        </w:rPr>
      </w:pPr>
      <w:bookmarkStart w:id="0" w:name="_Toc227925091"/>
      <w:r w:rsidRPr="00AD2D8C">
        <w:rPr>
          <w:rFonts w:ascii="Arial" w:hAnsi="Arial" w:cs="Arial"/>
        </w:rPr>
        <w:t xml:space="preserve">1. </w:t>
      </w:r>
      <w:r w:rsidR="0061125D" w:rsidRPr="00AD2D8C">
        <w:rPr>
          <w:rFonts w:ascii="Arial" w:hAnsi="Arial" w:cs="Arial"/>
        </w:rPr>
        <w:t>Introduction</w:t>
      </w:r>
      <w:bookmarkEnd w:id="0"/>
    </w:p>
    <w:p w14:paraId="2EE466E9" w14:textId="77777777" w:rsidR="00DF2242" w:rsidRPr="00AD2D8C" w:rsidRDefault="006372A5" w:rsidP="0099759E">
      <w:pPr>
        <w:pStyle w:val="Heading2"/>
        <w:rPr>
          <w:rFonts w:ascii="Arial" w:hAnsi="Arial" w:cs="Arial"/>
        </w:rPr>
      </w:pPr>
      <w:bookmarkStart w:id="1" w:name="_Toc227925092"/>
      <w:r w:rsidRPr="00AD2D8C">
        <w:rPr>
          <w:rFonts w:ascii="Arial" w:hAnsi="Arial" w:cs="Arial"/>
        </w:rPr>
        <w:t xml:space="preserve">1.1 </w:t>
      </w:r>
      <w:r w:rsidR="001740F3" w:rsidRPr="00AD2D8C">
        <w:rPr>
          <w:rFonts w:ascii="Arial" w:hAnsi="Arial" w:cs="Arial"/>
        </w:rPr>
        <w:t>O</w:t>
      </w:r>
      <w:r w:rsidR="0061125D" w:rsidRPr="00AD2D8C">
        <w:rPr>
          <w:rFonts w:ascii="Arial" w:hAnsi="Arial" w:cs="Arial"/>
        </w:rPr>
        <w:t>verview</w:t>
      </w:r>
      <w:r w:rsidR="001740F3" w:rsidRPr="00AD2D8C">
        <w:rPr>
          <w:rFonts w:ascii="Arial" w:hAnsi="Arial" w:cs="Arial"/>
        </w:rPr>
        <w:t xml:space="preserve"> of </w:t>
      </w:r>
      <w:r w:rsidR="00C64864" w:rsidRPr="00AD2D8C">
        <w:rPr>
          <w:rFonts w:ascii="Arial" w:hAnsi="Arial" w:cs="Arial"/>
        </w:rPr>
        <w:t>Company</w:t>
      </w:r>
      <w:bookmarkEnd w:id="1"/>
    </w:p>
    <w:p w14:paraId="0B4CBA0F" w14:textId="77777777" w:rsidR="00516F8B" w:rsidRPr="00AD2D8C" w:rsidRDefault="009E1A3E" w:rsidP="00516F8B">
      <w:pPr>
        <w:rPr>
          <w:rFonts w:ascii="Arial" w:hAnsi="Arial" w:cs="Arial"/>
        </w:rPr>
      </w:pPr>
      <w:r w:rsidRPr="00AD2D8C">
        <w:rPr>
          <w:rFonts w:ascii="Arial" w:hAnsi="Arial" w:cs="Arial"/>
        </w:rPr>
        <w:t>Volkswagen (VW) Group, based in Wolfsburg, Germany</w:t>
      </w:r>
      <w:r w:rsidR="00A4209B" w:rsidRPr="00AD2D8C">
        <w:rPr>
          <w:rFonts w:ascii="Arial" w:hAnsi="Arial" w:cs="Arial"/>
        </w:rPr>
        <w:t xml:space="preserve"> is one of the biggest car manufacturers in the world, and a key stakeholder in the global shift to sustainable mobility</w:t>
      </w:r>
      <w:r w:rsidRPr="00AD2D8C">
        <w:rPr>
          <w:rFonts w:ascii="Arial" w:hAnsi="Arial" w:cs="Arial"/>
        </w:rPr>
        <w:t>. Under the strategy of New Auto, the Group has made a promise of becoming a software-led mobility provider, with an all-electric future</w:t>
      </w:r>
      <w:r w:rsidR="0067375F" w:rsidRPr="00AD2D8C">
        <w:rPr>
          <w:rFonts w:ascii="Arial" w:hAnsi="Arial" w:cs="Arial"/>
        </w:rPr>
        <w:t xml:space="preserve"> (Volkswagen Group, 2026)</w:t>
      </w:r>
      <w:r w:rsidRPr="00AD2D8C">
        <w:rPr>
          <w:rFonts w:ascii="Arial" w:hAnsi="Arial" w:cs="Arial"/>
        </w:rPr>
        <w:t xml:space="preserve">. By 2025, the Group made a considerable step forward in delivering close to one million battery-electric vehicles (BEVs) worldwide, which was a nearly 11-percent portion of the total deliveries. </w:t>
      </w:r>
    </w:p>
    <w:p w14:paraId="198A9AE2" w14:textId="77777777" w:rsidR="001740F3" w:rsidRPr="00AD2D8C" w:rsidRDefault="006372A5" w:rsidP="0099759E">
      <w:pPr>
        <w:pStyle w:val="Heading2"/>
        <w:rPr>
          <w:rFonts w:ascii="Arial" w:hAnsi="Arial" w:cs="Arial"/>
          <w:lang w:val="en-IN"/>
        </w:rPr>
      </w:pPr>
      <w:bookmarkStart w:id="2" w:name="_Toc227925093"/>
      <w:r w:rsidRPr="00AD2D8C">
        <w:rPr>
          <w:rFonts w:ascii="Arial" w:hAnsi="Arial" w:cs="Arial"/>
          <w:lang w:val="en-IN"/>
        </w:rPr>
        <w:t xml:space="preserve">1.2 </w:t>
      </w:r>
      <w:r w:rsidR="001740F3" w:rsidRPr="00AD2D8C">
        <w:rPr>
          <w:rFonts w:ascii="Arial" w:hAnsi="Arial" w:cs="Arial"/>
          <w:lang w:val="en-IN"/>
        </w:rPr>
        <w:t>Market position &amp; products</w:t>
      </w:r>
      <w:bookmarkEnd w:id="2"/>
    </w:p>
    <w:p w14:paraId="756483E0" w14:textId="77777777" w:rsidR="0061125D" w:rsidRPr="00AD2D8C" w:rsidRDefault="007D16DF" w:rsidP="007C340C">
      <w:pPr>
        <w:rPr>
          <w:rFonts w:ascii="Arial" w:hAnsi="Arial" w:cs="Arial"/>
          <w:lang w:val="en-IN"/>
        </w:rPr>
      </w:pPr>
      <w:r w:rsidRPr="00AD2D8C">
        <w:rPr>
          <w:rFonts w:ascii="Arial" w:hAnsi="Arial" w:cs="Arial"/>
        </w:rPr>
        <w:t>In Europe, Volkswagen has a leading position in the market with an estimated market share of about 27 percent of the BEV market, thus it is the leader in the region</w:t>
      </w:r>
      <w:r w:rsidR="00464113" w:rsidRPr="00AD2D8C">
        <w:rPr>
          <w:rFonts w:ascii="Arial" w:hAnsi="Arial" w:cs="Arial"/>
        </w:rPr>
        <w:t xml:space="preserve"> (Autocar Pro, 2025)</w:t>
      </w:r>
      <w:r w:rsidRPr="00AD2D8C">
        <w:rPr>
          <w:rFonts w:ascii="Arial" w:hAnsi="Arial" w:cs="Arial"/>
        </w:rPr>
        <w:t xml:space="preserve">. Its range of products revolves around the modular electric drive matrix (MEB) and premium platform electric (PPE). Some of the main models are the ID.3, ID.4 and the Audi Q4 e-tron. </w:t>
      </w:r>
      <w:proofErr w:type="gramStart"/>
      <w:r w:rsidRPr="00AD2D8C">
        <w:rPr>
          <w:rFonts w:ascii="Arial" w:hAnsi="Arial" w:cs="Arial"/>
        </w:rPr>
        <w:t>In the near future</w:t>
      </w:r>
      <w:proofErr w:type="gramEnd"/>
      <w:r w:rsidRPr="00AD2D8C">
        <w:rPr>
          <w:rFonts w:ascii="Arial" w:hAnsi="Arial" w:cs="Arial"/>
        </w:rPr>
        <w:t xml:space="preserve">, the Group is introducing a product offensive of more than 20 new models, including the ID, to the year 2026. </w:t>
      </w:r>
    </w:p>
    <w:p w14:paraId="2C2415EC" w14:textId="77777777" w:rsidR="00992064" w:rsidRPr="00AD2D8C" w:rsidRDefault="00992064" w:rsidP="00992064">
      <w:pPr>
        <w:pStyle w:val="Heading1"/>
        <w:rPr>
          <w:rFonts w:ascii="Arial" w:hAnsi="Arial" w:cs="Arial"/>
        </w:rPr>
      </w:pPr>
      <w:bookmarkStart w:id="3" w:name="_Toc227925094"/>
      <w:r w:rsidRPr="00AD2D8C">
        <w:rPr>
          <w:rFonts w:ascii="Arial" w:hAnsi="Arial" w:cs="Arial"/>
        </w:rPr>
        <w:t>2. Financial Health Check</w:t>
      </w:r>
      <w:bookmarkEnd w:id="3"/>
    </w:p>
    <w:p w14:paraId="7F69C7A3" w14:textId="77777777" w:rsidR="001740F3" w:rsidRPr="00AD2D8C" w:rsidRDefault="00992064" w:rsidP="00D643D7">
      <w:pPr>
        <w:pStyle w:val="Heading2"/>
        <w:rPr>
          <w:rFonts w:ascii="Arial" w:hAnsi="Arial" w:cs="Arial"/>
        </w:rPr>
      </w:pPr>
      <w:bookmarkStart w:id="4" w:name="_Toc227925095"/>
      <w:r w:rsidRPr="00AD2D8C">
        <w:rPr>
          <w:rFonts w:ascii="Arial" w:hAnsi="Arial" w:cs="Arial"/>
        </w:rPr>
        <w:t>2.1 Five-Year Financial Statement Analysis</w:t>
      </w:r>
      <w:bookmarkEnd w:id="4"/>
    </w:p>
    <w:p w14:paraId="181CAE4E" w14:textId="77777777" w:rsidR="00E73AEE" w:rsidRPr="00AD2D8C" w:rsidRDefault="007560CB" w:rsidP="00E73AEE">
      <w:pPr>
        <w:rPr>
          <w:rFonts w:ascii="Arial" w:hAnsi="Arial" w:cs="Arial"/>
        </w:rPr>
      </w:pPr>
      <w:r w:rsidRPr="00AD2D8C">
        <w:rPr>
          <w:rFonts w:ascii="Arial" w:hAnsi="Arial" w:cs="Arial"/>
        </w:rPr>
        <w:t xml:space="preserve">The financial outlook of Volkswagen Group in 2021-2025 indicates a company stepping into an electric vehicle (EV) </w:t>
      </w:r>
      <w:r w:rsidR="007E611A" w:rsidRPr="00AD2D8C">
        <w:rPr>
          <w:rFonts w:ascii="Arial" w:hAnsi="Arial" w:cs="Arial"/>
        </w:rPr>
        <w:t xml:space="preserve">transiting from </w:t>
      </w:r>
      <w:r w:rsidRPr="00AD2D8C">
        <w:rPr>
          <w:rFonts w:ascii="Arial" w:hAnsi="Arial" w:cs="Arial"/>
        </w:rPr>
        <w:t xml:space="preserve">the traditional internal combustion engines (ICE). </w:t>
      </w:r>
    </w:p>
    <w:p w14:paraId="1F57A401" w14:textId="77777777" w:rsidR="00F34988" w:rsidRPr="00AD2D8C" w:rsidRDefault="00F34988" w:rsidP="00F34988">
      <w:pPr>
        <w:rPr>
          <w:rFonts w:ascii="Arial" w:hAnsi="Arial" w:cs="Arial"/>
          <w:lang w:val="en-IN"/>
        </w:rPr>
      </w:pPr>
      <w:r w:rsidRPr="00AD2D8C">
        <w:rPr>
          <w:rFonts w:ascii="Arial" w:hAnsi="Arial" w:cs="Arial"/>
          <w:b/>
          <w:bCs/>
          <w:lang w:val="en-IN"/>
        </w:rPr>
        <w:t>Income Statement Analysis</w:t>
      </w:r>
    </w:p>
    <w:p w14:paraId="003B80A6" w14:textId="77777777" w:rsidR="00F34988" w:rsidRPr="00AD2D8C" w:rsidRDefault="00DD16DC" w:rsidP="00F34988">
      <w:pPr>
        <w:rPr>
          <w:rFonts w:ascii="Arial" w:hAnsi="Arial" w:cs="Arial"/>
          <w:lang w:val="en-IN"/>
        </w:rPr>
      </w:pPr>
      <w:r w:rsidRPr="00AD2D8C">
        <w:rPr>
          <w:rFonts w:ascii="Arial" w:hAnsi="Arial" w:cs="Arial"/>
        </w:rPr>
        <w:t xml:space="preserve">The revenue of Volkswagen reached a peak of £324.6 billion in 2024, after a stable growth period. The Operating Profit Margin (OPM) has gradually declined as high as 7.92% in 2022 to a critical low of 2.75% in 2025. This indicates a reduced cost-to-revenue margin, which was probably due to the intensive R&amp;D, and the increased cost of raw materials to produce batteries. The net income experienced </w:t>
      </w:r>
      <w:r w:rsidR="00C771BE" w:rsidRPr="00AD2D8C">
        <w:rPr>
          <w:rFonts w:ascii="Arial" w:hAnsi="Arial" w:cs="Arial"/>
        </w:rPr>
        <w:t xml:space="preserve">experience </w:t>
      </w:r>
      <w:r w:rsidR="00950DF5" w:rsidRPr="00AD2D8C">
        <w:rPr>
          <w:rFonts w:ascii="Arial" w:hAnsi="Arial" w:cs="Arial"/>
        </w:rPr>
        <w:t>the same</w:t>
      </w:r>
      <w:r w:rsidRPr="00AD2D8C">
        <w:rPr>
          <w:rFonts w:ascii="Arial" w:hAnsi="Arial" w:cs="Arial"/>
        </w:rPr>
        <w:t xml:space="preserve"> trend, decreasing significantly by nearly 61.5% between 2023 and 2025 to only 6.9 billion pounds</w:t>
      </w:r>
      <w:r w:rsidR="009C6FCA" w:rsidRPr="00AD2D8C">
        <w:rPr>
          <w:rFonts w:ascii="Arial" w:hAnsi="Arial" w:cs="Arial"/>
        </w:rPr>
        <w:t>.</w:t>
      </w:r>
    </w:p>
    <w:p w14:paraId="05C32252" w14:textId="77777777" w:rsidR="00F34988" w:rsidRPr="00AD2D8C" w:rsidRDefault="00F34988" w:rsidP="00F34988">
      <w:pPr>
        <w:rPr>
          <w:rFonts w:ascii="Arial" w:hAnsi="Arial" w:cs="Arial"/>
          <w:lang w:val="en-IN"/>
        </w:rPr>
      </w:pPr>
      <w:r w:rsidRPr="00AD2D8C">
        <w:rPr>
          <w:rFonts w:ascii="Arial" w:hAnsi="Arial" w:cs="Arial"/>
          <w:b/>
          <w:bCs/>
          <w:lang w:val="en-IN"/>
        </w:rPr>
        <w:t>Balance Sheet Analysis</w:t>
      </w:r>
    </w:p>
    <w:p w14:paraId="2A08583E" w14:textId="77777777" w:rsidR="00F34988" w:rsidRPr="00AD2D8C" w:rsidRDefault="00F34988" w:rsidP="00F34988">
      <w:pPr>
        <w:rPr>
          <w:rFonts w:ascii="Arial" w:hAnsi="Arial" w:cs="Arial"/>
          <w:lang w:val="en-IN"/>
        </w:rPr>
      </w:pPr>
      <w:r w:rsidRPr="00AD2D8C">
        <w:rPr>
          <w:rFonts w:ascii="Arial" w:hAnsi="Arial" w:cs="Arial"/>
          <w:lang w:val="en-IN"/>
        </w:rPr>
        <w:lastRenderedPageBreak/>
        <w:t>The Group’s asset base grew consistently</w:t>
      </w:r>
      <w:r w:rsidR="00950DF5" w:rsidRPr="00AD2D8C">
        <w:rPr>
          <w:rFonts w:ascii="Arial" w:hAnsi="Arial" w:cs="Arial"/>
        </w:rPr>
        <w:t xml:space="preserve">to a total of 632.9 billion by 2025. But there has been a change in the organization of funding those assets. Although the total debt amount </w:t>
      </w:r>
      <w:proofErr w:type="gramStart"/>
      <w:r w:rsidR="00950DF5" w:rsidRPr="00AD2D8C">
        <w:rPr>
          <w:rFonts w:ascii="Arial" w:hAnsi="Arial" w:cs="Arial"/>
        </w:rPr>
        <w:t xml:space="preserve">was </w:t>
      </w:r>
      <w:r w:rsidR="00BC6415" w:rsidRPr="00AD2D8C">
        <w:rPr>
          <w:rFonts w:ascii="Arial" w:hAnsi="Arial" w:cs="Arial"/>
        </w:rPr>
        <w:t>has</w:t>
      </w:r>
      <w:proofErr w:type="gramEnd"/>
      <w:r w:rsidR="00BC6415" w:rsidRPr="00AD2D8C">
        <w:rPr>
          <w:rFonts w:ascii="Arial" w:hAnsi="Arial" w:cs="Arial"/>
        </w:rPr>
        <w:t xml:space="preserve"> decreased from</w:t>
      </w:r>
      <w:r w:rsidR="00950DF5" w:rsidRPr="00AD2D8C">
        <w:rPr>
          <w:rFonts w:ascii="Arial" w:hAnsi="Arial" w:cs="Arial"/>
        </w:rPr>
        <w:t xml:space="preserve"> 2022 level of 146.2 billion to 92.8 billion in 2025, the Shareholders Equity increased to 437 billion. This shows that there is a strategic push to deleverage the balance sheet as demonstrated in the Debt-to-Assets (DTA) ratio, which went up to 0.25 (2022), and to 0.14 (2025). This decrease in leverage gives a required buffer to the increase in interest but </w:t>
      </w:r>
      <w:r w:rsidR="004E53A5" w:rsidRPr="00AD2D8C">
        <w:rPr>
          <w:rFonts w:ascii="Arial" w:hAnsi="Arial" w:cs="Arial"/>
        </w:rPr>
        <w:t>needs to be balance</w:t>
      </w:r>
      <w:r w:rsidR="00950DF5" w:rsidRPr="00AD2D8C">
        <w:rPr>
          <w:rFonts w:ascii="Arial" w:hAnsi="Arial" w:cs="Arial"/>
        </w:rPr>
        <w:t xml:space="preserve"> by the decreasing Return on Equity (ROE) which dropped to 1.58% in 2025.</w:t>
      </w:r>
    </w:p>
    <w:p w14:paraId="1D2E0A12" w14:textId="77777777" w:rsidR="00F34988" w:rsidRPr="00AD2D8C" w:rsidRDefault="00F34988" w:rsidP="00F34988">
      <w:pPr>
        <w:rPr>
          <w:rFonts w:ascii="Arial" w:hAnsi="Arial" w:cs="Arial"/>
          <w:lang w:val="en-IN"/>
        </w:rPr>
      </w:pPr>
      <w:r w:rsidRPr="00AD2D8C">
        <w:rPr>
          <w:rFonts w:ascii="Arial" w:hAnsi="Arial" w:cs="Arial"/>
          <w:b/>
          <w:bCs/>
          <w:lang w:val="en-IN"/>
        </w:rPr>
        <w:t>Cash Flow and Financial Stability</w:t>
      </w:r>
    </w:p>
    <w:p w14:paraId="0A450309" w14:textId="77777777" w:rsidR="00F34988" w:rsidRPr="00AD2D8C" w:rsidRDefault="00664F26" w:rsidP="00E73AEE">
      <w:pPr>
        <w:rPr>
          <w:rFonts w:ascii="Arial" w:hAnsi="Arial" w:cs="Arial"/>
          <w:lang w:val="en-IN"/>
        </w:rPr>
      </w:pPr>
      <w:r w:rsidRPr="00AD2D8C">
        <w:rPr>
          <w:rFonts w:ascii="Arial" w:hAnsi="Arial" w:cs="Arial"/>
        </w:rPr>
        <w:t xml:space="preserve">The current trends in cash flows highlight the Strategic CFO Challenge. Although the Group has a huge scale, Cash Operating Cycle is also high (89.56 days). The main </w:t>
      </w:r>
      <w:r w:rsidR="001776BE" w:rsidRPr="00AD2D8C">
        <w:rPr>
          <w:rFonts w:ascii="Arial" w:hAnsi="Arial" w:cs="Arial"/>
        </w:rPr>
        <w:t>obstacle</w:t>
      </w:r>
      <w:r w:rsidRPr="00AD2D8C">
        <w:rPr>
          <w:rFonts w:ascii="Arial" w:hAnsi="Arial" w:cs="Arial"/>
        </w:rPr>
        <w:t xml:space="preserve"> is the inventory turnover where capital is tied up in inventory about 85 days. Although the current ratio is not particularly high (1.21 in 2023), the drastic reduction in the profitability and ROE indicates that the company is </w:t>
      </w:r>
      <w:proofErr w:type="gramStart"/>
      <w:r w:rsidRPr="00AD2D8C">
        <w:rPr>
          <w:rFonts w:ascii="Arial" w:hAnsi="Arial" w:cs="Arial"/>
        </w:rPr>
        <w:t>at the moment</w:t>
      </w:r>
      <w:proofErr w:type="gramEnd"/>
      <w:r w:rsidRPr="00AD2D8C">
        <w:rPr>
          <w:rFonts w:ascii="Arial" w:hAnsi="Arial" w:cs="Arial"/>
        </w:rPr>
        <w:t xml:space="preserve"> stable and solvent, yet its current Growth Pattern is stagnating</w:t>
      </w:r>
      <w:r w:rsidR="00F34988" w:rsidRPr="00AD2D8C">
        <w:rPr>
          <w:rFonts w:ascii="Arial" w:hAnsi="Arial" w:cs="Arial"/>
          <w:lang w:val="en-IN"/>
        </w:rPr>
        <w:t>.</w:t>
      </w:r>
    </w:p>
    <w:p w14:paraId="14922BBA" w14:textId="77777777" w:rsidR="00992064" w:rsidRPr="00AD2D8C" w:rsidRDefault="00992064" w:rsidP="00F34988">
      <w:pPr>
        <w:pStyle w:val="Heading2"/>
        <w:rPr>
          <w:rFonts w:ascii="Arial" w:hAnsi="Arial" w:cs="Arial"/>
        </w:rPr>
      </w:pPr>
      <w:bookmarkStart w:id="5" w:name="_Toc227925096"/>
      <w:r w:rsidRPr="00AD2D8C">
        <w:rPr>
          <w:rFonts w:ascii="Arial" w:hAnsi="Arial" w:cs="Arial"/>
        </w:rPr>
        <w:t>2.2 Ratio Analysis</w:t>
      </w:r>
      <w:bookmarkEnd w:id="5"/>
    </w:p>
    <w:p w14:paraId="46A44A49" w14:textId="77777777" w:rsidR="007537BD" w:rsidRPr="00AD2D8C" w:rsidRDefault="00FA5460" w:rsidP="007537BD">
      <w:pPr>
        <w:rPr>
          <w:rFonts w:ascii="Arial" w:hAnsi="Arial" w:cs="Arial"/>
        </w:rPr>
      </w:pPr>
      <w:r w:rsidRPr="00AD2D8C">
        <w:rPr>
          <w:rFonts w:ascii="Arial" w:hAnsi="Arial" w:cs="Arial"/>
        </w:rPr>
        <w:t xml:space="preserve">The analysis below will be based on the financial information of the Volkswagen Group between 2021 and 2025. The section </w:t>
      </w:r>
      <w:r w:rsidR="004C35F1" w:rsidRPr="00AD2D8C">
        <w:rPr>
          <w:rFonts w:ascii="Arial" w:hAnsi="Arial" w:cs="Arial"/>
        </w:rPr>
        <w:t>analyses</w:t>
      </w:r>
      <w:r w:rsidRPr="00AD2D8C">
        <w:rPr>
          <w:rFonts w:ascii="Arial" w:hAnsi="Arial" w:cs="Arial"/>
        </w:rPr>
        <w:t xml:space="preserve"> the performance of the corporation on five dimensions of financial management that are critical</w:t>
      </w:r>
      <w:r w:rsidR="00842C53" w:rsidRPr="00AD2D8C">
        <w:rPr>
          <w:rFonts w:ascii="Arial" w:hAnsi="Arial" w:cs="Arial"/>
        </w:rPr>
        <w:t>.</w:t>
      </w:r>
    </w:p>
    <w:tbl>
      <w:tblPr>
        <w:tblStyle w:val="LightLis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6"/>
        <w:gridCol w:w="2759"/>
        <w:gridCol w:w="951"/>
        <w:gridCol w:w="951"/>
        <w:gridCol w:w="951"/>
        <w:gridCol w:w="951"/>
        <w:gridCol w:w="951"/>
      </w:tblGrid>
      <w:tr w:rsidR="00DA704F" w:rsidRPr="00C64864" w14:paraId="46A321A5" w14:textId="77777777" w:rsidTr="00C648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C2AE32" w14:textId="77777777" w:rsidR="00DA704F" w:rsidRPr="00C64864" w:rsidRDefault="00DA704F" w:rsidP="00C64864">
            <w:pPr>
              <w:pStyle w:val="NoSpacing"/>
              <w:rPr>
                <w:rFonts w:ascii="Arial" w:hAnsi="Arial" w:cs="Arial"/>
                <w:b w:val="0"/>
                <w:bCs w:val="0"/>
                <w:szCs w:val="24"/>
              </w:rPr>
            </w:pPr>
            <w:r w:rsidRPr="00C64864">
              <w:rPr>
                <w:rFonts w:ascii="Arial" w:hAnsi="Arial" w:cs="Arial"/>
                <w:szCs w:val="24"/>
              </w:rPr>
              <w:t>Ratio Category</w:t>
            </w:r>
          </w:p>
        </w:tc>
        <w:tc>
          <w:tcPr>
            <w:tcW w:w="0" w:type="auto"/>
            <w:hideMark/>
          </w:tcPr>
          <w:p w14:paraId="72A183F6" w14:textId="77777777" w:rsidR="00DA704F" w:rsidRPr="00C64864" w:rsidRDefault="00DA704F" w:rsidP="00C64864">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C64864">
              <w:rPr>
                <w:rFonts w:ascii="Arial" w:hAnsi="Arial" w:cs="Arial"/>
                <w:szCs w:val="24"/>
              </w:rPr>
              <w:t>Financial Indicator</w:t>
            </w:r>
          </w:p>
        </w:tc>
        <w:tc>
          <w:tcPr>
            <w:tcW w:w="0" w:type="auto"/>
            <w:hideMark/>
          </w:tcPr>
          <w:p w14:paraId="39505F5E" w14:textId="77777777" w:rsidR="00DA704F" w:rsidRPr="00C64864" w:rsidRDefault="00DA704F" w:rsidP="00C64864">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C64864">
              <w:rPr>
                <w:rFonts w:ascii="Arial" w:hAnsi="Arial" w:cs="Arial"/>
                <w:szCs w:val="24"/>
              </w:rPr>
              <w:t>2021</w:t>
            </w:r>
          </w:p>
        </w:tc>
        <w:tc>
          <w:tcPr>
            <w:tcW w:w="0" w:type="auto"/>
            <w:hideMark/>
          </w:tcPr>
          <w:p w14:paraId="5B675B4F" w14:textId="77777777" w:rsidR="00DA704F" w:rsidRPr="00C64864" w:rsidRDefault="00DA704F" w:rsidP="00C64864">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C64864">
              <w:rPr>
                <w:rFonts w:ascii="Arial" w:hAnsi="Arial" w:cs="Arial"/>
                <w:szCs w:val="24"/>
              </w:rPr>
              <w:t>2022</w:t>
            </w:r>
          </w:p>
        </w:tc>
        <w:tc>
          <w:tcPr>
            <w:tcW w:w="0" w:type="auto"/>
            <w:hideMark/>
          </w:tcPr>
          <w:p w14:paraId="2726CE73" w14:textId="77777777" w:rsidR="00DA704F" w:rsidRPr="00C64864" w:rsidRDefault="00DA704F" w:rsidP="00C64864">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C64864">
              <w:rPr>
                <w:rFonts w:ascii="Arial" w:hAnsi="Arial" w:cs="Arial"/>
                <w:szCs w:val="24"/>
              </w:rPr>
              <w:t>2023</w:t>
            </w:r>
          </w:p>
        </w:tc>
        <w:tc>
          <w:tcPr>
            <w:tcW w:w="0" w:type="auto"/>
            <w:hideMark/>
          </w:tcPr>
          <w:p w14:paraId="16CAE912" w14:textId="77777777" w:rsidR="00DA704F" w:rsidRPr="00C64864" w:rsidRDefault="00DA704F" w:rsidP="00C64864">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C64864">
              <w:rPr>
                <w:rFonts w:ascii="Arial" w:hAnsi="Arial" w:cs="Arial"/>
                <w:szCs w:val="24"/>
              </w:rPr>
              <w:t>2024</w:t>
            </w:r>
          </w:p>
        </w:tc>
        <w:tc>
          <w:tcPr>
            <w:tcW w:w="0" w:type="auto"/>
            <w:hideMark/>
          </w:tcPr>
          <w:p w14:paraId="015C2279" w14:textId="77777777" w:rsidR="00DA704F" w:rsidRPr="00C64864" w:rsidRDefault="00DA704F" w:rsidP="00C64864">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C64864">
              <w:rPr>
                <w:rFonts w:ascii="Arial" w:hAnsi="Arial" w:cs="Arial"/>
                <w:szCs w:val="24"/>
              </w:rPr>
              <w:t>2025</w:t>
            </w:r>
          </w:p>
        </w:tc>
      </w:tr>
      <w:tr w:rsidR="00DA704F" w:rsidRPr="00C64864" w14:paraId="05E9EE11" w14:textId="77777777" w:rsidTr="00C64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B4E9ECA" w14:textId="77777777" w:rsidR="00DA704F" w:rsidRPr="00C64864" w:rsidRDefault="00DA704F" w:rsidP="00C64864">
            <w:pPr>
              <w:pStyle w:val="NoSpacing"/>
              <w:rPr>
                <w:rFonts w:ascii="Arial" w:hAnsi="Arial" w:cs="Arial"/>
                <w:szCs w:val="24"/>
              </w:rPr>
            </w:pPr>
            <w:r w:rsidRPr="00C64864">
              <w:rPr>
                <w:rFonts w:ascii="Arial" w:hAnsi="Arial" w:cs="Arial"/>
                <w:szCs w:val="24"/>
              </w:rPr>
              <w:t>Profitability</w:t>
            </w:r>
          </w:p>
        </w:tc>
        <w:tc>
          <w:tcPr>
            <w:tcW w:w="0" w:type="auto"/>
            <w:tcBorders>
              <w:top w:val="none" w:sz="0" w:space="0" w:color="auto"/>
              <w:bottom w:val="none" w:sz="0" w:space="0" w:color="auto"/>
            </w:tcBorders>
            <w:hideMark/>
          </w:tcPr>
          <w:p w14:paraId="122EAD9C"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Operating Profit Margin (%)</w:t>
            </w:r>
          </w:p>
        </w:tc>
        <w:tc>
          <w:tcPr>
            <w:tcW w:w="0" w:type="auto"/>
            <w:tcBorders>
              <w:top w:val="none" w:sz="0" w:space="0" w:color="auto"/>
              <w:bottom w:val="none" w:sz="0" w:space="0" w:color="auto"/>
            </w:tcBorders>
            <w:hideMark/>
          </w:tcPr>
          <w:p w14:paraId="23C707AD"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7.70%</w:t>
            </w:r>
          </w:p>
        </w:tc>
        <w:tc>
          <w:tcPr>
            <w:tcW w:w="0" w:type="auto"/>
            <w:tcBorders>
              <w:top w:val="none" w:sz="0" w:space="0" w:color="auto"/>
              <w:bottom w:val="none" w:sz="0" w:space="0" w:color="auto"/>
            </w:tcBorders>
            <w:hideMark/>
          </w:tcPr>
          <w:p w14:paraId="257E2EB2"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7.92%</w:t>
            </w:r>
          </w:p>
        </w:tc>
        <w:tc>
          <w:tcPr>
            <w:tcW w:w="0" w:type="auto"/>
            <w:tcBorders>
              <w:top w:val="none" w:sz="0" w:space="0" w:color="auto"/>
              <w:bottom w:val="none" w:sz="0" w:space="0" w:color="auto"/>
            </w:tcBorders>
            <w:hideMark/>
          </w:tcPr>
          <w:p w14:paraId="74D23B00"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7.01%</w:t>
            </w:r>
          </w:p>
        </w:tc>
        <w:tc>
          <w:tcPr>
            <w:tcW w:w="0" w:type="auto"/>
            <w:tcBorders>
              <w:top w:val="none" w:sz="0" w:space="0" w:color="auto"/>
              <w:bottom w:val="none" w:sz="0" w:space="0" w:color="auto"/>
            </w:tcBorders>
            <w:hideMark/>
          </w:tcPr>
          <w:p w14:paraId="402E751F"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5.87%</w:t>
            </w:r>
          </w:p>
        </w:tc>
        <w:tc>
          <w:tcPr>
            <w:tcW w:w="0" w:type="auto"/>
            <w:tcBorders>
              <w:top w:val="none" w:sz="0" w:space="0" w:color="auto"/>
              <w:bottom w:val="none" w:sz="0" w:space="0" w:color="auto"/>
              <w:right w:val="none" w:sz="0" w:space="0" w:color="auto"/>
            </w:tcBorders>
            <w:hideMark/>
          </w:tcPr>
          <w:p w14:paraId="51500558"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2.75%</w:t>
            </w:r>
          </w:p>
        </w:tc>
      </w:tr>
      <w:tr w:rsidR="00DA704F" w:rsidRPr="00C64864" w14:paraId="4D66B715" w14:textId="77777777" w:rsidTr="00C64864">
        <w:tc>
          <w:tcPr>
            <w:cnfStyle w:val="001000000000" w:firstRow="0" w:lastRow="0" w:firstColumn="1" w:lastColumn="0" w:oddVBand="0" w:evenVBand="0" w:oddHBand="0" w:evenHBand="0" w:firstRowFirstColumn="0" w:firstRowLastColumn="0" w:lastRowFirstColumn="0" w:lastRowLastColumn="0"/>
            <w:tcW w:w="0" w:type="auto"/>
            <w:hideMark/>
          </w:tcPr>
          <w:p w14:paraId="7A5EC7A2" w14:textId="77777777" w:rsidR="00DA704F" w:rsidRPr="00C64864" w:rsidRDefault="00DA704F" w:rsidP="00C64864">
            <w:pPr>
              <w:pStyle w:val="NoSpacing"/>
              <w:rPr>
                <w:rFonts w:ascii="Arial" w:hAnsi="Arial" w:cs="Arial"/>
                <w:szCs w:val="24"/>
              </w:rPr>
            </w:pPr>
          </w:p>
        </w:tc>
        <w:tc>
          <w:tcPr>
            <w:tcW w:w="0" w:type="auto"/>
            <w:hideMark/>
          </w:tcPr>
          <w:p w14:paraId="211D7A4E"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Net Profit Margin (%)</w:t>
            </w:r>
          </w:p>
        </w:tc>
        <w:tc>
          <w:tcPr>
            <w:tcW w:w="0" w:type="auto"/>
            <w:hideMark/>
          </w:tcPr>
          <w:p w14:paraId="02E9BDC2"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6.17%</w:t>
            </w:r>
          </w:p>
        </w:tc>
        <w:tc>
          <w:tcPr>
            <w:tcW w:w="0" w:type="auto"/>
            <w:hideMark/>
          </w:tcPr>
          <w:p w14:paraId="5C217086"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5.67%</w:t>
            </w:r>
          </w:p>
        </w:tc>
        <w:tc>
          <w:tcPr>
            <w:tcW w:w="0" w:type="auto"/>
            <w:hideMark/>
          </w:tcPr>
          <w:p w14:paraId="09E6B59A"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5.56%</w:t>
            </w:r>
          </w:p>
        </w:tc>
        <w:tc>
          <w:tcPr>
            <w:tcW w:w="0" w:type="auto"/>
            <w:hideMark/>
          </w:tcPr>
          <w:p w14:paraId="72D19528"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3.82%</w:t>
            </w:r>
          </w:p>
        </w:tc>
        <w:tc>
          <w:tcPr>
            <w:tcW w:w="0" w:type="auto"/>
            <w:hideMark/>
          </w:tcPr>
          <w:p w14:paraId="6D5412EB"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2.14%</w:t>
            </w:r>
          </w:p>
        </w:tc>
      </w:tr>
      <w:tr w:rsidR="00DA704F" w:rsidRPr="00C64864" w14:paraId="66FC6278" w14:textId="77777777" w:rsidTr="00C64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88A8840" w14:textId="77777777" w:rsidR="00DA704F" w:rsidRPr="00C64864" w:rsidRDefault="00DA704F" w:rsidP="00C64864">
            <w:pPr>
              <w:pStyle w:val="NoSpacing"/>
              <w:rPr>
                <w:rFonts w:ascii="Arial" w:hAnsi="Arial" w:cs="Arial"/>
                <w:szCs w:val="24"/>
              </w:rPr>
            </w:pPr>
          </w:p>
        </w:tc>
        <w:tc>
          <w:tcPr>
            <w:tcW w:w="0" w:type="auto"/>
            <w:tcBorders>
              <w:top w:val="none" w:sz="0" w:space="0" w:color="auto"/>
              <w:bottom w:val="none" w:sz="0" w:space="0" w:color="auto"/>
            </w:tcBorders>
            <w:hideMark/>
          </w:tcPr>
          <w:p w14:paraId="759A0777"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Return on Equity (ROE) (%)</w:t>
            </w:r>
          </w:p>
        </w:tc>
        <w:tc>
          <w:tcPr>
            <w:tcW w:w="0" w:type="auto"/>
            <w:tcBorders>
              <w:top w:val="none" w:sz="0" w:space="0" w:color="auto"/>
              <w:bottom w:val="none" w:sz="0" w:space="0" w:color="auto"/>
            </w:tcBorders>
            <w:hideMark/>
          </w:tcPr>
          <w:p w14:paraId="311D68FA"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4.24%</w:t>
            </w:r>
          </w:p>
        </w:tc>
        <w:tc>
          <w:tcPr>
            <w:tcW w:w="0" w:type="auto"/>
            <w:tcBorders>
              <w:top w:val="none" w:sz="0" w:space="0" w:color="auto"/>
              <w:bottom w:val="none" w:sz="0" w:space="0" w:color="auto"/>
            </w:tcBorders>
            <w:hideMark/>
          </w:tcPr>
          <w:p w14:paraId="50510554"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4.15%</w:t>
            </w:r>
          </w:p>
        </w:tc>
        <w:tc>
          <w:tcPr>
            <w:tcW w:w="0" w:type="auto"/>
            <w:tcBorders>
              <w:top w:val="none" w:sz="0" w:space="0" w:color="auto"/>
              <w:bottom w:val="none" w:sz="0" w:space="0" w:color="auto"/>
            </w:tcBorders>
            <w:hideMark/>
          </w:tcPr>
          <w:p w14:paraId="4F463E6F"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4.54%</w:t>
            </w:r>
          </w:p>
        </w:tc>
        <w:tc>
          <w:tcPr>
            <w:tcW w:w="0" w:type="auto"/>
            <w:tcBorders>
              <w:top w:val="none" w:sz="0" w:space="0" w:color="auto"/>
              <w:bottom w:val="none" w:sz="0" w:space="0" w:color="auto"/>
            </w:tcBorders>
            <w:hideMark/>
          </w:tcPr>
          <w:p w14:paraId="54D5F6C6"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2.98%</w:t>
            </w:r>
          </w:p>
        </w:tc>
        <w:tc>
          <w:tcPr>
            <w:tcW w:w="0" w:type="auto"/>
            <w:tcBorders>
              <w:top w:val="none" w:sz="0" w:space="0" w:color="auto"/>
              <w:bottom w:val="none" w:sz="0" w:space="0" w:color="auto"/>
              <w:right w:val="none" w:sz="0" w:space="0" w:color="auto"/>
            </w:tcBorders>
            <w:hideMark/>
          </w:tcPr>
          <w:p w14:paraId="2F68EA97"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1.65%</w:t>
            </w:r>
          </w:p>
        </w:tc>
      </w:tr>
      <w:tr w:rsidR="00DA704F" w:rsidRPr="00C64864" w14:paraId="1D51760A" w14:textId="77777777" w:rsidTr="00C64864">
        <w:tc>
          <w:tcPr>
            <w:cnfStyle w:val="001000000000" w:firstRow="0" w:lastRow="0" w:firstColumn="1" w:lastColumn="0" w:oddVBand="0" w:evenVBand="0" w:oddHBand="0" w:evenHBand="0" w:firstRowFirstColumn="0" w:firstRowLastColumn="0" w:lastRowFirstColumn="0" w:lastRowLastColumn="0"/>
            <w:tcW w:w="0" w:type="auto"/>
            <w:hideMark/>
          </w:tcPr>
          <w:p w14:paraId="7B5A7799" w14:textId="77777777" w:rsidR="00DA704F" w:rsidRPr="00C64864" w:rsidRDefault="00DA704F" w:rsidP="00C64864">
            <w:pPr>
              <w:pStyle w:val="NoSpacing"/>
              <w:rPr>
                <w:rFonts w:ascii="Arial" w:hAnsi="Arial" w:cs="Arial"/>
                <w:szCs w:val="24"/>
              </w:rPr>
            </w:pPr>
            <w:r w:rsidRPr="00C64864">
              <w:rPr>
                <w:rFonts w:ascii="Arial" w:hAnsi="Arial" w:cs="Arial"/>
                <w:szCs w:val="24"/>
              </w:rPr>
              <w:t>Liquidity</w:t>
            </w:r>
          </w:p>
        </w:tc>
        <w:tc>
          <w:tcPr>
            <w:tcW w:w="0" w:type="auto"/>
            <w:hideMark/>
          </w:tcPr>
          <w:p w14:paraId="58AB18E6"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Current Ratio</w:t>
            </w:r>
          </w:p>
        </w:tc>
        <w:tc>
          <w:tcPr>
            <w:tcW w:w="0" w:type="auto"/>
            <w:hideMark/>
          </w:tcPr>
          <w:p w14:paraId="36E7142F"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1.22</w:t>
            </w:r>
          </w:p>
        </w:tc>
        <w:tc>
          <w:tcPr>
            <w:tcW w:w="0" w:type="auto"/>
            <w:hideMark/>
          </w:tcPr>
          <w:p w14:paraId="59FE26BD"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1.23</w:t>
            </w:r>
          </w:p>
        </w:tc>
        <w:tc>
          <w:tcPr>
            <w:tcW w:w="0" w:type="auto"/>
            <w:hideMark/>
          </w:tcPr>
          <w:p w14:paraId="06210E6F"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1.16</w:t>
            </w:r>
          </w:p>
        </w:tc>
        <w:tc>
          <w:tcPr>
            <w:tcW w:w="0" w:type="auto"/>
            <w:hideMark/>
          </w:tcPr>
          <w:p w14:paraId="3D336FC6"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1.13</w:t>
            </w:r>
          </w:p>
        </w:tc>
        <w:tc>
          <w:tcPr>
            <w:tcW w:w="0" w:type="auto"/>
            <w:hideMark/>
          </w:tcPr>
          <w:p w14:paraId="7953C249"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1.09</w:t>
            </w:r>
          </w:p>
        </w:tc>
      </w:tr>
      <w:tr w:rsidR="00DA704F" w:rsidRPr="00C64864" w14:paraId="70679D3F" w14:textId="77777777" w:rsidTr="00C64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592A1959" w14:textId="77777777" w:rsidR="00DA704F" w:rsidRPr="00C64864" w:rsidRDefault="00DA704F" w:rsidP="00C64864">
            <w:pPr>
              <w:pStyle w:val="NoSpacing"/>
              <w:rPr>
                <w:rFonts w:ascii="Arial" w:hAnsi="Arial" w:cs="Arial"/>
                <w:szCs w:val="24"/>
              </w:rPr>
            </w:pPr>
          </w:p>
        </w:tc>
        <w:tc>
          <w:tcPr>
            <w:tcW w:w="0" w:type="auto"/>
            <w:tcBorders>
              <w:top w:val="none" w:sz="0" w:space="0" w:color="auto"/>
              <w:bottom w:val="none" w:sz="0" w:space="0" w:color="auto"/>
            </w:tcBorders>
            <w:hideMark/>
          </w:tcPr>
          <w:p w14:paraId="3F1B629E"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Quick Ratio (Acid Test)</w:t>
            </w:r>
          </w:p>
        </w:tc>
        <w:tc>
          <w:tcPr>
            <w:tcW w:w="0" w:type="auto"/>
            <w:tcBorders>
              <w:top w:val="none" w:sz="0" w:space="0" w:color="auto"/>
              <w:bottom w:val="none" w:sz="0" w:space="0" w:color="auto"/>
            </w:tcBorders>
            <w:hideMark/>
          </w:tcPr>
          <w:p w14:paraId="18A327D5"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0.95</w:t>
            </w:r>
          </w:p>
        </w:tc>
        <w:tc>
          <w:tcPr>
            <w:tcW w:w="0" w:type="auto"/>
            <w:tcBorders>
              <w:top w:val="none" w:sz="0" w:space="0" w:color="auto"/>
              <w:bottom w:val="none" w:sz="0" w:space="0" w:color="auto"/>
            </w:tcBorders>
            <w:hideMark/>
          </w:tcPr>
          <w:p w14:paraId="463BE774"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0.94</w:t>
            </w:r>
          </w:p>
        </w:tc>
        <w:tc>
          <w:tcPr>
            <w:tcW w:w="0" w:type="auto"/>
            <w:tcBorders>
              <w:top w:val="none" w:sz="0" w:space="0" w:color="auto"/>
              <w:bottom w:val="none" w:sz="0" w:space="0" w:color="auto"/>
            </w:tcBorders>
            <w:hideMark/>
          </w:tcPr>
          <w:p w14:paraId="032B1527"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0.90</w:t>
            </w:r>
          </w:p>
        </w:tc>
        <w:tc>
          <w:tcPr>
            <w:tcW w:w="0" w:type="auto"/>
            <w:tcBorders>
              <w:top w:val="none" w:sz="0" w:space="0" w:color="auto"/>
              <w:bottom w:val="none" w:sz="0" w:space="0" w:color="auto"/>
            </w:tcBorders>
            <w:hideMark/>
          </w:tcPr>
          <w:p w14:paraId="26D71BA3"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0.87</w:t>
            </w:r>
          </w:p>
        </w:tc>
        <w:tc>
          <w:tcPr>
            <w:tcW w:w="0" w:type="auto"/>
            <w:tcBorders>
              <w:top w:val="none" w:sz="0" w:space="0" w:color="auto"/>
              <w:bottom w:val="none" w:sz="0" w:space="0" w:color="auto"/>
              <w:right w:val="none" w:sz="0" w:space="0" w:color="auto"/>
            </w:tcBorders>
            <w:hideMark/>
          </w:tcPr>
          <w:p w14:paraId="254C04F9"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0.85</w:t>
            </w:r>
          </w:p>
        </w:tc>
      </w:tr>
      <w:tr w:rsidR="00DA704F" w:rsidRPr="00C64864" w14:paraId="741FC0EB" w14:textId="77777777" w:rsidTr="00C64864">
        <w:tc>
          <w:tcPr>
            <w:cnfStyle w:val="001000000000" w:firstRow="0" w:lastRow="0" w:firstColumn="1" w:lastColumn="0" w:oddVBand="0" w:evenVBand="0" w:oddHBand="0" w:evenHBand="0" w:firstRowFirstColumn="0" w:firstRowLastColumn="0" w:lastRowFirstColumn="0" w:lastRowLastColumn="0"/>
            <w:tcW w:w="0" w:type="auto"/>
            <w:hideMark/>
          </w:tcPr>
          <w:p w14:paraId="52085D17" w14:textId="77777777" w:rsidR="00DA704F" w:rsidRPr="00C64864" w:rsidRDefault="00DA704F" w:rsidP="00C64864">
            <w:pPr>
              <w:pStyle w:val="NoSpacing"/>
              <w:rPr>
                <w:rFonts w:ascii="Arial" w:hAnsi="Arial" w:cs="Arial"/>
                <w:szCs w:val="24"/>
              </w:rPr>
            </w:pPr>
            <w:r w:rsidRPr="00C64864">
              <w:rPr>
                <w:rFonts w:ascii="Arial" w:hAnsi="Arial" w:cs="Arial"/>
                <w:szCs w:val="24"/>
              </w:rPr>
              <w:t>Solvency</w:t>
            </w:r>
          </w:p>
        </w:tc>
        <w:tc>
          <w:tcPr>
            <w:tcW w:w="0" w:type="auto"/>
            <w:hideMark/>
          </w:tcPr>
          <w:p w14:paraId="25E82814"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Debt-to-Assets (DTA) Ratio</w:t>
            </w:r>
          </w:p>
        </w:tc>
        <w:tc>
          <w:tcPr>
            <w:tcW w:w="0" w:type="auto"/>
            <w:hideMark/>
          </w:tcPr>
          <w:p w14:paraId="5656503F"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0.20</w:t>
            </w:r>
          </w:p>
        </w:tc>
        <w:tc>
          <w:tcPr>
            <w:tcW w:w="0" w:type="auto"/>
            <w:hideMark/>
          </w:tcPr>
          <w:p w14:paraId="48515794"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0.26</w:t>
            </w:r>
          </w:p>
        </w:tc>
        <w:tc>
          <w:tcPr>
            <w:tcW w:w="0" w:type="auto"/>
            <w:hideMark/>
          </w:tcPr>
          <w:p w14:paraId="7399A8AC"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0.19</w:t>
            </w:r>
          </w:p>
        </w:tc>
        <w:tc>
          <w:tcPr>
            <w:tcW w:w="0" w:type="auto"/>
            <w:hideMark/>
          </w:tcPr>
          <w:p w14:paraId="68E8BB81"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0.17</w:t>
            </w:r>
          </w:p>
        </w:tc>
        <w:tc>
          <w:tcPr>
            <w:tcW w:w="0" w:type="auto"/>
            <w:hideMark/>
          </w:tcPr>
          <w:p w14:paraId="436E28CB"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0.15</w:t>
            </w:r>
          </w:p>
        </w:tc>
      </w:tr>
      <w:tr w:rsidR="00DA704F" w:rsidRPr="00C64864" w14:paraId="1AFBC914" w14:textId="77777777" w:rsidTr="00C64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0138FB06" w14:textId="77777777" w:rsidR="00DA704F" w:rsidRPr="00C64864" w:rsidRDefault="00DA704F" w:rsidP="00C64864">
            <w:pPr>
              <w:pStyle w:val="NoSpacing"/>
              <w:rPr>
                <w:rFonts w:ascii="Arial" w:hAnsi="Arial" w:cs="Arial"/>
                <w:szCs w:val="24"/>
              </w:rPr>
            </w:pPr>
          </w:p>
        </w:tc>
        <w:tc>
          <w:tcPr>
            <w:tcW w:w="0" w:type="auto"/>
            <w:tcBorders>
              <w:top w:val="none" w:sz="0" w:space="0" w:color="auto"/>
              <w:bottom w:val="none" w:sz="0" w:space="0" w:color="auto"/>
            </w:tcBorders>
            <w:hideMark/>
          </w:tcPr>
          <w:p w14:paraId="0202CE34"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Debt-to-Equity (DTE) Ratio</w:t>
            </w:r>
          </w:p>
        </w:tc>
        <w:tc>
          <w:tcPr>
            <w:tcW w:w="0" w:type="auto"/>
            <w:tcBorders>
              <w:top w:val="none" w:sz="0" w:space="0" w:color="auto"/>
              <w:bottom w:val="none" w:sz="0" w:space="0" w:color="auto"/>
            </w:tcBorders>
            <w:hideMark/>
          </w:tcPr>
          <w:p w14:paraId="40AD5D22"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7.33</w:t>
            </w:r>
          </w:p>
        </w:tc>
        <w:tc>
          <w:tcPr>
            <w:tcW w:w="0" w:type="auto"/>
            <w:tcBorders>
              <w:top w:val="none" w:sz="0" w:space="0" w:color="auto"/>
              <w:bottom w:val="none" w:sz="0" w:space="0" w:color="auto"/>
            </w:tcBorders>
            <w:hideMark/>
          </w:tcPr>
          <w:p w14:paraId="55DAC830"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0.82</w:t>
            </w:r>
          </w:p>
        </w:tc>
        <w:tc>
          <w:tcPr>
            <w:tcW w:w="0" w:type="auto"/>
            <w:tcBorders>
              <w:top w:val="none" w:sz="0" w:space="0" w:color="auto"/>
              <w:bottom w:val="none" w:sz="0" w:space="0" w:color="auto"/>
            </w:tcBorders>
            <w:hideMark/>
          </w:tcPr>
          <w:p w14:paraId="453EBB12"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0.59</w:t>
            </w:r>
          </w:p>
        </w:tc>
        <w:tc>
          <w:tcPr>
            <w:tcW w:w="0" w:type="auto"/>
            <w:tcBorders>
              <w:top w:val="none" w:sz="0" w:space="0" w:color="auto"/>
              <w:bottom w:val="none" w:sz="0" w:space="0" w:color="auto"/>
            </w:tcBorders>
            <w:hideMark/>
          </w:tcPr>
          <w:p w14:paraId="129B6F05"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0.54</w:t>
            </w:r>
          </w:p>
        </w:tc>
        <w:tc>
          <w:tcPr>
            <w:tcW w:w="0" w:type="auto"/>
            <w:tcBorders>
              <w:top w:val="none" w:sz="0" w:space="0" w:color="auto"/>
              <w:bottom w:val="none" w:sz="0" w:space="0" w:color="auto"/>
              <w:right w:val="none" w:sz="0" w:space="0" w:color="auto"/>
            </w:tcBorders>
            <w:hideMark/>
          </w:tcPr>
          <w:p w14:paraId="6FFEBF3F"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0.46</w:t>
            </w:r>
          </w:p>
        </w:tc>
      </w:tr>
      <w:tr w:rsidR="00DA704F" w:rsidRPr="00C64864" w14:paraId="69059A9B" w14:textId="77777777" w:rsidTr="00C64864">
        <w:tc>
          <w:tcPr>
            <w:cnfStyle w:val="001000000000" w:firstRow="0" w:lastRow="0" w:firstColumn="1" w:lastColumn="0" w:oddVBand="0" w:evenVBand="0" w:oddHBand="0" w:evenHBand="0" w:firstRowFirstColumn="0" w:firstRowLastColumn="0" w:lastRowFirstColumn="0" w:lastRowLastColumn="0"/>
            <w:tcW w:w="0" w:type="auto"/>
            <w:hideMark/>
          </w:tcPr>
          <w:p w14:paraId="485DBB0A" w14:textId="77777777" w:rsidR="00DA704F" w:rsidRPr="00C64864" w:rsidRDefault="00DA704F" w:rsidP="00C64864">
            <w:pPr>
              <w:pStyle w:val="NoSpacing"/>
              <w:rPr>
                <w:rFonts w:ascii="Arial" w:hAnsi="Arial" w:cs="Arial"/>
                <w:szCs w:val="24"/>
              </w:rPr>
            </w:pPr>
            <w:r w:rsidRPr="00C64864">
              <w:rPr>
                <w:rFonts w:ascii="Arial" w:hAnsi="Arial" w:cs="Arial"/>
                <w:szCs w:val="24"/>
              </w:rPr>
              <w:t>Efficiency</w:t>
            </w:r>
          </w:p>
        </w:tc>
        <w:tc>
          <w:tcPr>
            <w:tcW w:w="0" w:type="auto"/>
            <w:hideMark/>
          </w:tcPr>
          <w:p w14:paraId="4EDD4001"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Asset Turnover Ratio (ATR)</w:t>
            </w:r>
          </w:p>
        </w:tc>
        <w:tc>
          <w:tcPr>
            <w:tcW w:w="0" w:type="auto"/>
            <w:hideMark/>
          </w:tcPr>
          <w:p w14:paraId="18ED4A3F"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0.49</w:t>
            </w:r>
          </w:p>
        </w:tc>
        <w:tc>
          <w:tcPr>
            <w:tcW w:w="0" w:type="auto"/>
            <w:hideMark/>
          </w:tcPr>
          <w:p w14:paraId="62460B3B"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0.51</w:t>
            </w:r>
          </w:p>
        </w:tc>
        <w:tc>
          <w:tcPr>
            <w:tcW w:w="0" w:type="auto"/>
            <w:hideMark/>
          </w:tcPr>
          <w:p w14:paraId="3429C70D"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0.55</w:t>
            </w:r>
          </w:p>
        </w:tc>
        <w:tc>
          <w:tcPr>
            <w:tcW w:w="0" w:type="auto"/>
            <w:hideMark/>
          </w:tcPr>
          <w:p w14:paraId="41C617C9"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0.52</w:t>
            </w:r>
          </w:p>
        </w:tc>
        <w:tc>
          <w:tcPr>
            <w:tcW w:w="0" w:type="auto"/>
            <w:hideMark/>
          </w:tcPr>
          <w:p w14:paraId="678B6098"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0.50</w:t>
            </w:r>
          </w:p>
        </w:tc>
      </w:tr>
      <w:tr w:rsidR="00DA704F" w:rsidRPr="00C64864" w14:paraId="30A119CF" w14:textId="77777777" w:rsidTr="00C64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17092206" w14:textId="77777777" w:rsidR="00DA704F" w:rsidRPr="00C64864" w:rsidRDefault="00DA704F" w:rsidP="00C64864">
            <w:pPr>
              <w:pStyle w:val="NoSpacing"/>
              <w:rPr>
                <w:rFonts w:ascii="Arial" w:hAnsi="Arial" w:cs="Arial"/>
                <w:szCs w:val="24"/>
              </w:rPr>
            </w:pPr>
          </w:p>
        </w:tc>
        <w:tc>
          <w:tcPr>
            <w:tcW w:w="0" w:type="auto"/>
            <w:tcBorders>
              <w:top w:val="none" w:sz="0" w:space="0" w:color="auto"/>
              <w:bottom w:val="none" w:sz="0" w:space="0" w:color="auto"/>
            </w:tcBorders>
            <w:hideMark/>
          </w:tcPr>
          <w:p w14:paraId="546B015E"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Inventory Turnover (ITR)</w:t>
            </w:r>
          </w:p>
        </w:tc>
        <w:tc>
          <w:tcPr>
            <w:tcW w:w="0" w:type="auto"/>
            <w:tcBorders>
              <w:top w:val="none" w:sz="0" w:space="0" w:color="auto"/>
              <w:bottom w:val="none" w:sz="0" w:space="0" w:color="auto"/>
            </w:tcBorders>
            <w:hideMark/>
          </w:tcPr>
          <w:p w14:paraId="28204E0A"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4.64</w:t>
            </w:r>
          </w:p>
        </w:tc>
        <w:tc>
          <w:tcPr>
            <w:tcW w:w="0" w:type="auto"/>
            <w:tcBorders>
              <w:top w:val="none" w:sz="0" w:space="0" w:color="auto"/>
              <w:bottom w:val="none" w:sz="0" w:space="0" w:color="auto"/>
            </w:tcBorders>
            <w:hideMark/>
          </w:tcPr>
          <w:p w14:paraId="7A5E95C5"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4.73</w:t>
            </w:r>
          </w:p>
        </w:tc>
        <w:tc>
          <w:tcPr>
            <w:tcW w:w="0" w:type="auto"/>
            <w:tcBorders>
              <w:top w:val="none" w:sz="0" w:space="0" w:color="auto"/>
              <w:bottom w:val="none" w:sz="0" w:space="0" w:color="auto"/>
            </w:tcBorders>
            <w:hideMark/>
          </w:tcPr>
          <w:p w14:paraId="19A492FE"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4.94</w:t>
            </w:r>
          </w:p>
        </w:tc>
        <w:tc>
          <w:tcPr>
            <w:tcW w:w="0" w:type="auto"/>
            <w:tcBorders>
              <w:top w:val="none" w:sz="0" w:space="0" w:color="auto"/>
              <w:bottom w:val="none" w:sz="0" w:space="0" w:color="auto"/>
            </w:tcBorders>
            <w:hideMark/>
          </w:tcPr>
          <w:p w14:paraId="59A7C774"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5.89</w:t>
            </w:r>
          </w:p>
        </w:tc>
        <w:tc>
          <w:tcPr>
            <w:tcW w:w="0" w:type="auto"/>
            <w:tcBorders>
              <w:top w:val="none" w:sz="0" w:space="0" w:color="auto"/>
              <w:bottom w:val="none" w:sz="0" w:space="0" w:color="auto"/>
              <w:right w:val="none" w:sz="0" w:space="0" w:color="auto"/>
            </w:tcBorders>
            <w:hideMark/>
          </w:tcPr>
          <w:p w14:paraId="149B9B4A"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4.80</w:t>
            </w:r>
          </w:p>
        </w:tc>
      </w:tr>
      <w:tr w:rsidR="00DA704F" w:rsidRPr="00C64864" w14:paraId="7B370A45" w14:textId="77777777" w:rsidTr="00C64864">
        <w:tc>
          <w:tcPr>
            <w:cnfStyle w:val="001000000000" w:firstRow="0" w:lastRow="0" w:firstColumn="1" w:lastColumn="0" w:oddVBand="0" w:evenVBand="0" w:oddHBand="0" w:evenHBand="0" w:firstRowFirstColumn="0" w:firstRowLastColumn="0" w:lastRowFirstColumn="0" w:lastRowLastColumn="0"/>
            <w:tcW w:w="0" w:type="auto"/>
            <w:hideMark/>
          </w:tcPr>
          <w:p w14:paraId="2F67EF52" w14:textId="77777777" w:rsidR="00DA704F" w:rsidRPr="00C64864" w:rsidRDefault="00DA704F" w:rsidP="00C64864">
            <w:pPr>
              <w:pStyle w:val="NoSpacing"/>
              <w:rPr>
                <w:rFonts w:ascii="Arial" w:hAnsi="Arial" w:cs="Arial"/>
                <w:szCs w:val="24"/>
              </w:rPr>
            </w:pPr>
            <w:r w:rsidRPr="00C64864">
              <w:rPr>
                <w:rFonts w:ascii="Arial" w:hAnsi="Arial" w:cs="Arial"/>
                <w:szCs w:val="24"/>
              </w:rPr>
              <w:lastRenderedPageBreak/>
              <w:t>Investment</w:t>
            </w:r>
          </w:p>
        </w:tc>
        <w:tc>
          <w:tcPr>
            <w:tcW w:w="0" w:type="auto"/>
            <w:hideMark/>
          </w:tcPr>
          <w:p w14:paraId="4154DD74"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Earnings Per Share (EPS)</w:t>
            </w:r>
          </w:p>
        </w:tc>
        <w:tc>
          <w:tcPr>
            <w:tcW w:w="0" w:type="auto"/>
            <w:hideMark/>
          </w:tcPr>
          <w:p w14:paraId="6FC07B9C"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£29.59</w:t>
            </w:r>
          </w:p>
        </w:tc>
        <w:tc>
          <w:tcPr>
            <w:tcW w:w="0" w:type="auto"/>
            <w:hideMark/>
          </w:tcPr>
          <w:p w14:paraId="46531305"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£29.66</w:t>
            </w:r>
          </w:p>
        </w:tc>
        <w:tc>
          <w:tcPr>
            <w:tcW w:w="0" w:type="auto"/>
            <w:hideMark/>
          </w:tcPr>
          <w:p w14:paraId="7C0D90B0"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£31.92</w:t>
            </w:r>
          </w:p>
        </w:tc>
        <w:tc>
          <w:tcPr>
            <w:tcW w:w="0" w:type="auto"/>
            <w:hideMark/>
          </w:tcPr>
          <w:p w14:paraId="2F74A307"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£21.36</w:t>
            </w:r>
          </w:p>
        </w:tc>
        <w:tc>
          <w:tcPr>
            <w:tcW w:w="0" w:type="auto"/>
            <w:hideMark/>
          </w:tcPr>
          <w:p w14:paraId="289F1D62"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£13.29</w:t>
            </w:r>
          </w:p>
        </w:tc>
      </w:tr>
      <w:tr w:rsidR="00DA704F" w:rsidRPr="00C64864" w14:paraId="170C9DAF" w14:textId="77777777" w:rsidTr="00C64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0991F8D3" w14:textId="77777777" w:rsidR="00DA704F" w:rsidRPr="00C64864" w:rsidRDefault="00DA704F" w:rsidP="00C64864">
            <w:pPr>
              <w:pStyle w:val="NoSpacing"/>
              <w:rPr>
                <w:rFonts w:ascii="Arial" w:hAnsi="Arial" w:cs="Arial"/>
                <w:szCs w:val="24"/>
              </w:rPr>
            </w:pPr>
          </w:p>
        </w:tc>
        <w:tc>
          <w:tcPr>
            <w:tcW w:w="0" w:type="auto"/>
            <w:tcBorders>
              <w:top w:val="none" w:sz="0" w:space="0" w:color="auto"/>
              <w:bottom w:val="none" w:sz="0" w:space="0" w:color="auto"/>
            </w:tcBorders>
            <w:hideMark/>
          </w:tcPr>
          <w:p w14:paraId="40035E97"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P/E Ratio</w:t>
            </w:r>
          </w:p>
        </w:tc>
        <w:tc>
          <w:tcPr>
            <w:tcW w:w="0" w:type="auto"/>
            <w:tcBorders>
              <w:top w:val="none" w:sz="0" w:space="0" w:color="auto"/>
              <w:bottom w:val="none" w:sz="0" w:space="0" w:color="auto"/>
            </w:tcBorders>
            <w:hideMark/>
          </w:tcPr>
          <w:p w14:paraId="5C509993"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6.00</w:t>
            </w:r>
          </w:p>
        </w:tc>
        <w:tc>
          <w:tcPr>
            <w:tcW w:w="0" w:type="auto"/>
            <w:tcBorders>
              <w:top w:val="none" w:sz="0" w:space="0" w:color="auto"/>
              <w:bottom w:val="none" w:sz="0" w:space="0" w:color="auto"/>
            </w:tcBorders>
            <w:hideMark/>
          </w:tcPr>
          <w:p w14:paraId="1B208AA0"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3.93</w:t>
            </w:r>
          </w:p>
        </w:tc>
        <w:tc>
          <w:tcPr>
            <w:tcW w:w="0" w:type="auto"/>
            <w:tcBorders>
              <w:top w:val="none" w:sz="0" w:space="0" w:color="auto"/>
              <w:bottom w:val="none" w:sz="0" w:space="0" w:color="auto"/>
            </w:tcBorders>
            <w:hideMark/>
          </w:tcPr>
          <w:p w14:paraId="4A72D705"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3.50</w:t>
            </w:r>
          </w:p>
        </w:tc>
        <w:tc>
          <w:tcPr>
            <w:tcW w:w="0" w:type="auto"/>
            <w:tcBorders>
              <w:top w:val="none" w:sz="0" w:space="0" w:color="auto"/>
              <w:bottom w:val="none" w:sz="0" w:space="0" w:color="auto"/>
            </w:tcBorders>
            <w:hideMark/>
          </w:tcPr>
          <w:p w14:paraId="32AFABD1"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4.17</w:t>
            </w:r>
          </w:p>
        </w:tc>
        <w:tc>
          <w:tcPr>
            <w:tcW w:w="0" w:type="auto"/>
            <w:tcBorders>
              <w:top w:val="none" w:sz="0" w:space="0" w:color="auto"/>
              <w:bottom w:val="none" w:sz="0" w:space="0" w:color="auto"/>
              <w:right w:val="none" w:sz="0" w:space="0" w:color="auto"/>
            </w:tcBorders>
            <w:hideMark/>
          </w:tcPr>
          <w:p w14:paraId="185F31F7" w14:textId="77777777" w:rsidR="00DA704F" w:rsidRPr="00C64864" w:rsidRDefault="00DA704F" w:rsidP="00C64864">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64864">
              <w:rPr>
                <w:rFonts w:ascii="Arial" w:hAnsi="Arial" w:cs="Arial"/>
                <w:szCs w:val="24"/>
              </w:rPr>
              <w:t>7.79</w:t>
            </w:r>
          </w:p>
        </w:tc>
      </w:tr>
      <w:tr w:rsidR="00DA704F" w:rsidRPr="00C64864" w14:paraId="3944D505" w14:textId="77777777" w:rsidTr="00C64864">
        <w:tc>
          <w:tcPr>
            <w:cnfStyle w:val="001000000000" w:firstRow="0" w:lastRow="0" w:firstColumn="1" w:lastColumn="0" w:oddVBand="0" w:evenVBand="0" w:oddHBand="0" w:evenHBand="0" w:firstRowFirstColumn="0" w:firstRowLastColumn="0" w:lastRowFirstColumn="0" w:lastRowLastColumn="0"/>
            <w:tcW w:w="0" w:type="auto"/>
            <w:hideMark/>
          </w:tcPr>
          <w:p w14:paraId="5A0A0AF4" w14:textId="77777777" w:rsidR="00DA704F" w:rsidRPr="00C64864" w:rsidRDefault="00DA704F" w:rsidP="00C64864">
            <w:pPr>
              <w:pStyle w:val="NoSpacing"/>
              <w:rPr>
                <w:rFonts w:ascii="Arial" w:hAnsi="Arial" w:cs="Arial"/>
                <w:szCs w:val="24"/>
              </w:rPr>
            </w:pPr>
            <w:r w:rsidRPr="00C64864">
              <w:rPr>
                <w:rFonts w:ascii="Arial" w:hAnsi="Arial" w:cs="Arial"/>
                <w:szCs w:val="24"/>
              </w:rPr>
              <w:t>Cash Flow</w:t>
            </w:r>
          </w:p>
        </w:tc>
        <w:tc>
          <w:tcPr>
            <w:tcW w:w="0" w:type="auto"/>
            <w:hideMark/>
          </w:tcPr>
          <w:p w14:paraId="4E531E50"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Operating Cash Flow Ratio</w:t>
            </w:r>
          </w:p>
        </w:tc>
        <w:tc>
          <w:tcPr>
            <w:tcW w:w="0" w:type="auto"/>
            <w:hideMark/>
          </w:tcPr>
          <w:p w14:paraId="65BEBD93"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0.24</w:t>
            </w:r>
          </w:p>
        </w:tc>
        <w:tc>
          <w:tcPr>
            <w:tcW w:w="0" w:type="auto"/>
            <w:hideMark/>
          </w:tcPr>
          <w:p w14:paraId="617B9A6D"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0.16</w:t>
            </w:r>
          </w:p>
        </w:tc>
        <w:tc>
          <w:tcPr>
            <w:tcW w:w="0" w:type="auto"/>
            <w:hideMark/>
          </w:tcPr>
          <w:p w14:paraId="5DE02242"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0.09</w:t>
            </w:r>
          </w:p>
        </w:tc>
        <w:tc>
          <w:tcPr>
            <w:tcW w:w="0" w:type="auto"/>
            <w:hideMark/>
          </w:tcPr>
          <w:p w14:paraId="7A8F35EF"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0.08</w:t>
            </w:r>
          </w:p>
        </w:tc>
        <w:tc>
          <w:tcPr>
            <w:tcW w:w="0" w:type="auto"/>
            <w:hideMark/>
          </w:tcPr>
          <w:p w14:paraId="63150A9B" w14:textId="77777777" w:rsidR="00DA704F" w:rsidRPr="00C64864" w:rsidRDefault="00DA704F" w:rsidP="00C648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64864">
              <w:rPr>
                <w:rFonts w:ascii="Arial" w:hAnsi="Arial" w:cs="Arial"/>
                <w:szCs w:val="24"/>
              </w:rPr>
              <w:t>0.07</w:t>
            </w:r>
          </w:p>
        </w:tc>
      </w:tr>
    </w:tbl>
    <w:p w14:paraId="20ACEC32" w14:textId="77777777" w:rsidR="00802AD9" w:rsidRPr="00AD2D8C" w:rsidRDefault="00802AD9" w:rsidP="00802AD9">
      <w:pPr>
        <w:rPr>
          <w:rFonts w:ascii="Arial" w:hAnsi="Arial" w:cs="Arial"/>
          <w:b/>
          <w:bCs/>
          <w:lang w:val="en-IN"/>
        </w:rPr>
      </w:pPr>
      <w:r w:rsidRPr="00AD2D8C">
        <w:rPr>
          <w:rFonts w:ascii="Arial" w:hAnsi="Arial" w:cs="Arial"/>
          <w:b/>
          <w:bCs/>
          <w:lang w:val="en-IN"/>
        </w:rPr>
        <w:t>Profitability Ratios</w:t>
      </w:r>
    </w:p>
    <w:p w14:paraId="24EE09AA" w14:textId="77777777" w:rsidR="00802AD9" w:rsidRPr="00AD2D8C" w:rsidRDefault="00BB753A" w:rsidP="00802AD9">
      <w:pPr>
        <w:rPr>
          <w:rFonts w:ascii="Arial" w:hAnsi="Arial" w:cs="Arial"/>
          <w:lang w:val="en-IN"/>
        </w:rPr>
      </w:pPr>
      <w:r w:rsidRPr="00AD2D8C">
        <w:rPr>
          <w:rFonts w:ascii="Arial" w:hAnsi="Arial" w:cs="Arial"/>
        </w:rPr>
        <w:t>Profitability ratios are the measures of efficiency of the company in earning the profit on the sales and capital invested. The Operating Profit Margin (OPM) indicates a big drop in value over the 2022 to 2025 when the value dropped to 2.75% as compared to 7.92% in 2022, which implies an increase in the cost of operation even though the revenues remain relatively the same. The reason behind this rise in costs is probably due to the intensive investment in EV technology and rising energy costs</w:t>
      </w:r>
      <w:r w:rsidR="00A76B7B" w:rsidRPr="00AD2D8C">
        <w:rPr>
          <w:rFonts w:ascii="Arial" w:hAnsi="Arial" w:cs="Arial"/>
        </w:rPr>
        <w:t xml:space="preserve"> (Hasyim </w:t>
      </w:r>
      <w:proofErr w:type="spellStart"/>
      <w:r w:rsidR="00A76B7B" w:rsidRPr="00AD2D8C">
        <w:rPr>
          <w:rFonts w:ascii="Arial" w:hAnsi="Arial" w:cs="Arial"/>
        </w:rPr>
        <w:t>andNuraeni</w:t>
      </w:r>
      <w:proofErr w:type="spellEnd"/>
      <w:r w:rsidR="00A76B7B" w:rsidRPr="00AD2D8C">
        <w:rPr>
          <w:rFonts w:ascii="Arial" w:hAnsi="Arial" w:cs="Arial"/>
        </w:rPr>
        <w:t>, 2022)</w:t>
      </w:r>
      <w:r w:rsidRPr="00AD2D8C">
        <w:rPr>
          <w:rFonts w:ascii="Arial" w:hAnsi="Arial" w:cs="Arial"/>
        </w:rPr>
        <w:t xml:space="preserve">. In the same </w:t>
      </w:r>
      <w:r w:rsidR="00F7477E" w:rsidRPr="00AD2D8C">
        <w:rPr>
          <w:rFonts w:ascii="Arial" w:hAnsi="Arial" w:cs="Arial"/>
        </w:rPr>
        <w:t>line</w:t>
      </w:r>
      <w:r w:rsidRPr="00AD2D8C">
        <w:rPr>
          <w:rFonts w:ascii="Arial" w:hAnsi="Arial" w:cs="Arial"/>
        </w:rPr>
        <w:t>, the Net Profit Margin (NPM) decreased to 2.14% in 2025, compared to 5.56% in 2023 which indicates that general profitability is continuing to be diminished through interest and taxation forces. The ROCE has also declined drastically to 1.40% in 2025, which is lower than the average cost of capital</w:t>
      </w:r>
      <w:r w:rsidR="008A3774" w:rsidRPr="00AD2D8C">
        <w:rPr>
          <w:rFonts w:ascii="Arial" w:hAnsi="Arial" w:cs="Arial"/>
        </w:rPr>
        <w:t xml:space="preserve"> (</w:t>
      </w:r>
      <w:r w:rsidR="008A3774" w:rsidRPr="00AD2D8C">
        <w:rPr>
          <w:rFonts w:ascii="Arial" w:hAnsi="Arial" w:cs="Arial"/>
          <w:lang w:val="en-IN"/>
        </w:rPr>
        <w:t>Volkswagen Group 2026</w:t>
      </w:r>
      <w:r w:rsidR="008A3774" w:rsidRPr="00AD2D8C">
        <w:rPr>
          <w:rFonts w:ascii="Arial" w:hAnsi="Arial" w:cs="Arial"/>
        </w:rPr>
        <w:t>)</w:t>
      </w:r>
      <w:r w:rsidRPr="00AD2D8C">
        <w:rPr>
          <w:rFonts w:ascii="Arial" w:hAnsi="Arial" w:cs="Arial"/>
        </w:rPr>
        <w:t xml:space="preserve">. It means that investments made </w:t>
      </w:r>
      <w:proofErr w:type="gramStart"/>
      <w:r w:rsidRPr="00AD2D8C">
        <w:rPr>
          <w:rFonts w:ascii="Arial" w:hAnsi="Arial" w:cs="Arial"/>
        </w:rPr>
        <w:t>at the moment</w:t>
      </w:r>
      <w:proofErr w:type="gramEnd"/>
      <w:r w:rsidRPr="00AD2D8C">
        <w:rPr>
          <w:rFonts w:ascii="Arial" w:hAnsi="Arial" w:cs="Arial"/>
        </w:rPr>
        <w:t xml:space="preserve"> are not yet efficient to ensure the sufficient returns and the questions about the efficiency of capital utilisation arise</w:t>
      </w:r>
      <w:r w:rsidR="00802AD9" w:rsidRPr="00AD2D8C">
        <w:rPr>
          <w:rFonts w:ascii="Arial" w:hAnsi="Arial" w:cs="Arial"/>
          <w:lang w:val="en-IN"/>
        </w:rPr>
        <w:t>.</w:t>
      </w:r>
    </w:p>
    <w:p w14:paraId="5AF58DE1" w14:textId="77777777" w:rsidR="00802AD9" w:rsidRPr="00AD2D8C" w:rsidRDefault="00802AD9" w:rsidP="00802AD9">
      <w:pPr>
        <w:rPr>
          <w:rFonts w:ascii="Arial" w:hAnsi="Arial" w:cs="Arial"/>
          <w:b/>
          <w:bCs/>
          <w:lang w:val="en-IN"/>
        </w:rPr>
      </w:pPr>
      <w:r w:rsidRPr="00AD2D8C">
        <w:rPr>
          <w:rFonts w:ascii="Arial" w:hAnsi="Arial" w:cs="Arial"/>
          <w:b/>
          <w:bCs/>
          <w:lang w:val="en-IN"/>
        </w:rPr>
        <w:t>Liquidity Ratios</w:t>
      </w:r>
    </w:p>
    <w:p w14:paraId="1950E9C0" w14:textId="77777777" w:rsidR="00802AD9" w:rsidRPr="00AD2D8C" w:rsidRDefault="00E22660" w:rsidP="00802AD9">
      <w:pPr>
        <w:rPr>
          <w:rFonts w:ascii="Arial" w:hAnsi="Arial" w:cs="Arial"/>
          <w:lang w:val="en-IN"/>
        </w:rPr>
      </w:pPr>
      <w:r w:rsidRPr="00AD2D8C">
        <w:rPr>
          <w:rFonts w:ascii="Arial" w:hAnsi="Arial" w:cs="Arial"/>
        </w:rPr>
        <w:t>Liquidity ratios determine how a company can pay its short-term liabilities</w:t>
      </w:r>
      <w:r w:rsidR="00404EDF" w:rsidRPr="00AD2D8C">
        <w:rPr>
          <w:rFonts w:ascii="Arial" w:hAnsi="Arial" w:cs="Arial"/>
        </w:rPr>
        <w:t xml:space="preserve"> (Gunawan, 2023)</w:t>
      </w:r>
      <w:r w:rsidRPr="00AD2D8C">
        <w:rPr>
          <w:rFonts w:ascii="Arial" w:hAnsi="Arial" w:cs="Arial"/>
        </w:rPr>
        <w:t xml:space="preserve">. In 2023, the Current Ratio was 1.21, a bit higher than the acceptable ratio of 1.0, showing that the company </w:t>
      </w:r>
      <w:proofErr w:type="gramStart"/>
      <w:r w:rsidRPr="00AD2D8C">
        <w:rPr>
          <w:rFonts w:ascii="Arial" w:hAnsi="Arial" w:cs="Arial"/>
        </w:rPr>
        <w:t>is able to</w:t>
      </w:r>
      <w:proofErr w:type="gramEnd"/>
      <w:r w:rsidRPr="00AD2D8C">
        <w:rPr>
          <w:rFonts w:ascii="Arial" w:hAnsi="Arial" w:cs="Arial"/>
        </w:rPr>
        <w:t xml:space="preserve"> meet its short-term obligations. However, the decrease of 1.24 in 2022 indicates restricting working capital management. High inventory levels are likely to have brought the Quick Ratio far down with an average inventory day of 85. This shows that the liquidity of the company in the short run is too much reliant on its inventory turnover, which can be a risk in case of a change in demand</w:t>
      </w:r>
      <w:r w:rsidR="00802AD9" w:rsidRPr="00AD2D8C">
        <w:rPr>
          <w:rFonts w:ascii="Arial" w:hAnsi="Arial" w:cs="Arial"/>
          <w:lang w:val="en-IN"/>
        </w:rPr>
        <w:t>.</w:t>
      </w:r>
    </w:p>
    <w:p w14:paraId="50242BA3" w14:textId="77777777" w:rsidR="00802AD9" w:rsidRPr="00AD2D8C" w:rsidRDefault="00802AD9" w:rsidP="00802AD9">
      <w:pPr>
        <w:rPr>
          <w:rFonts w:ascii="Arial" w:hAnsi="Arial" w:cs="Arial"/>
          <w:b/>
          <w:bCs/>
          <w:lang w:val="en-IN"/>
        </w:rPr>
      </w:pPr>
      <w:r w:rsidRPr="00AD2D8C">
        <w:rPr>
          <w:rFonts w:ascii="Arial" w:hAnsi="Arial" w:cs="Arial"/>
          <w:b/>
          <w:bCs/>
          <w:lang w:val="en-IN"/>
        </w:rPr>
        <w:t>Efficiency (Activity) Ratios</w:t>
      </w:r>
    </w:p>
    <w:p w14:paraId="16AAF198" w14:textId="77777777" w:rsidR="002E6B8A" w:rsidRPr="00AD2D8C" w:rsidRDefault="00E265A1" w:rsidP="00802AD9">
      <w:pPr>
        <w:rPr>
          <w:rFonts w:ascii="Arial" w:hAnsi="Arial" w:cs="Arial"/>
        </w:rPr>
      </w:pPr>
      <w:r w:rsidRPr="00AD2D8C">
        <w:rPr>
          <w:rFonts w:ascii="Arial" w:hAnsi="Arial" w:cs="Arial"/>
        </w:rPr>
        <w:t xml:space="preserve">Efficiency ratios are used to </w:t>
      </w:r>
      <w:r w:rsidR="00AE2549" w:rsidRPr="00AD2D8C">
        <w:rPr>
          <w:rFonts w:ascii="Arial" w:hAnsi="Arial" w:cs="Arial"/>
        </w:rPr>
        <w:t>analyse</w:t>
      </w:r>
      <w:r w:rsidRPr="00AD2D8C">
        <w:rPr>
          <w:rFonts w:ascii="Arial" w:hAnsi="Arial" w:cs="Arial"/>
        </w:rPr>
        <w:t xml:space="preserve"> the efficiency with which the firm utilizes its assets and working capital</w:t>
      </w:r>
      <w:r w:rsidR="002E6B8A" w:rsidRPr="00AD2D8C">
        <w:rPr>
          <w:rFonts w:ascii="Arial" w:hAnsi="Arial" w:cs="Arial"/>
        </w:rPr>
        <w:t xml:space="preserve"> (Habib and Mourad, 2022)</w:t>
      </w:r>
      <w:r w:rsidRPr="00AD2D8C">
        <w:rPr>
          <w:rFonts w:ascii="Arial" w:hAnsi="Arial" w:cs="Arial"/>
        </w:rPr>
        <w:t xml:space="preserve">. Inventory Turnover period is 85.50 days on average which is not very low and shows that a lot of capital is tied up in inventory, adding to the cost of storing. Receivables Collection Period of 44.40 days indicates that the company is </w:t>
      </w:r>
      <w:proofErr w:type="gramStart"/>
      <w:r w:rsidRPr="00AD2D8C">
        <w:rPr>
          <w:rFonts w:ascii="Arial" w:hAnsi="Arial" w:cs="Arial"/>
        </w:rPr>
        <w:t>fairly effective</w:t>
      </w:r>
      <w:proofErr w:type="gramEnd"/>
      <w:r w:rsidRPr="00AD2D8C">
        <w:rPr>
          <w:rFonts w:ascii="Arial" w:hAnsi="Arial" w:cs="Arial"/>
        </w:rPr>
        <w:t xml:space="preserve"> in terms of collecting the </w:t>
      </w:r>
      <w:r w:rsidR="00C64864" w:rsidRPr="00AD2D8C">
        <w:rPr>
          <w:rFonts w:ascii="Arial" w:hAnsi="Arial" w:cs="Arial"/>
        </w:rPr>
        <w:t>customer’s</w:t>
      </w:r>
      <w:r w:rsidRPr="00AD2D8C">
        <w:rPr>
          <w:rFonts w:ascii="Arial" w:hAnsi="Arial" w:cs="Arial"/>
        </w:rPr>
        <w:t xml:space="preserve"> payment. </w:t>
      </w:r>
      <w:proofErr w:type="gramStart"/>
      <w:r w:rsidRPr="00AD2D8C">
        <w:rPr>
          <w:rFonts w:ascii="Arial" w:hAnsi="Arial" w:cs="Arial"/>
        </w:rPr>
        <w:t>But,</w:t>
      </w:r>
      <w:proofErr w:type="gramEnd"/>
      <w:r w:rsidRPr="00AD2D8C">
        <w:rPr>
          <w:rFonts w:ascii="Arial" w:hAnsi="Arial" w:cs="Arial"/>
        </w:rPr>
        <w:t xml:space="preserve"> the </w:t>
      </w:r>
      <w:r w:rsidRPr="00AD2D8C">
        <w:rPr>
          <w:rFonts w:ascii="Arial" w:hAnsi="Arial" w:cs="Arial"/>
        </w:rPr>
        <w:lastRenderedPageBreak/>
        <w:t xml:space="preserve">Payables Period of 40.34 days indicates that the company is paying the suppliers sooner than the cash receipts and this is </w:t>
      </w:r>
      <w:r w:rsidR="0025409F" w:rsidRPr="00AD2D8C">
        <w:rPr>
          <w:rFonts w:ascii="Arial" w:hAnsi="Arial" w:cs="Arial"/>
        </w:rPr>
        <w:t>unfavourable</w:t>
      </w:r>
      <w:r w:rsidRPr="00AD2D8C">
        <w:rPr>
          <w:rFonts w:ascii="Arial" w:hAnsi="Arial" w:cs="Arial"/>
        </w:rPr>
        <w:t xml:space="preserve"> to liquidity. </w:t>
      </w:r>
    </w:p>
    <w:p w14:paraId="370324D8" w14:textId="77777777" w:rsidR="00802AD9" w:rsidRPr="00AD2D8C" w:rsidRDefault="00802AD9" w:rsidP="00802AD9">
      <w:pPr>
        <w:rPr>
          <w:rFonts w:ascii="Arial" w:hAnsi="Arial" w:cs="Arial"/>
          <w:b/>
          <w:bCs/>
          <w:lang w:val="en-IN"/>
        </w:rPr>
      </w:pPr>
      <w:r w:rsidRPr="00AD2D8C">
        <w:rPr>
          <w:rFonts w:ascii="Arial" w:hAnsi="Arial" w:cs="Arial"/>
          <w:b/>
          <w:bCs/>
          <w:lang w:val="en-IN"/>
        </w:rPr>
        <w:t>Gearing (Solvency) Ratios</w:t>
      </w:r>
    </w:p>
    <w:p w14:paraId="0EA93708" w14:textId="77777777" w:rsidR="00802AD9" w:rsidRPr="00AD2D8C" w:rsidRDefault="009645DF" w:rsidP="00802AD9">
      <w:pPr>
        <w:rPr>
          <w:rFonts w:ascii="Arial" w:hAnsi="Arial" w:cs="Arial"/>
          <w:lang w:val="en-IN"/>
        </w:rPr>
      </w:pPr>
      <w:r w:rsidRPr="00AD2D8C">
        <w:rPr>
          <w:rFonts w:ascii="Arial" w:hAnsi="Arial" w:cs="Arial"/>
        </w:rPr>
        <w:t>T</w:t>
      </w:r>
      <w:r w:rsidR="006843F7" w:rsidRPr="00AD2D8C">
        <w:rPr>
          <w:rFonts w:ascii="Arial" w:hAnsi="Arial" w:cs="Arial"/>
        </w:rPr>
        <w:t>s</w:t>
      </w:r>
      <w:r w:rsidR="00C6368E" w:rsidRPr="00AD2D8C">
        <w:rPr>
          <w:rFonts w:ascii="Arial" w:hAnsi="Arial" w:cs="Arial"/>
        </w:rPr>
        <w:t>he gearing ratios examine the financial structure and stability of the company in the long term</w:t>
      </w:r>
      <w:r w:rsidR="000340A2" w:rsidRPr="00AD2D8C">
        <w:rPr>
          <w:rFonts w:ascii="Arial" w:hAnsi="Arial" w:cs="Arial"/>
        </w:rPr>
        <w:t xml:space="preserve"> (BETTY, 2024)</w:t>
      </w:r>
      <w:r w:rsidR="00C6368E" w:rsidRPr="00AD2D8C">
        <w:rPr>
          <w:rFonts w:ascii="Arial" w:hAnsi="Arial" w:cs="Arial"/>
        </w:rPr>
        <w:t>. The Debt to Assets (DTA) ratio has been also improved, as it declined by 0.25 to 0.1</w:t>
      </w:r>
      <w:r w:rsidR="00952DFC" w:rsidRPr="00AD2D8C">
        <w:rPr>
          <w:rFonts w:ascii="Arial" w:hAnsi="Arial" w:cs="Arial"/>
        </w:rPr>
        <w:t>5</w:t>
      </w:r>
      <w:r w:rsidR="00C6368E" w:rsidRPr="00AD2D8C">
        <w:rPr>
          <w:rFonts w:ascii="Arial" w:hAnsi="Arial" w:cs="Arial"/>
        </w:rPr>
        <w:t xml:space="preserve"> in 2022-2025. This is an indication of a strategic decrease in the amount of debt, which reduces the risk of financial risk and enhances solvency. The Interest Coverage Ratio has however deteriorated because of the drop in operating profit in 2025. This means that the company has less capacity to service the interests and it </w:t>
      </w:r>
      <w:proofErr w:type="gramStart"/>
      <w:r w:rsidR="00C6368E" w:rsidRPr="00AD2D8C">
        <w:rPr>
          <w:rFonts w:ascii="Arial" w:hAnsi="Arial" w:cs="Arial"/>
        </w:rPr>
        <w:t>has to</w:t>
      </w:r>
      <w:proofErr w:type="gramEnd"/>
      <w:r w:rsidR="00C6368E" w:rsidRPr="00AD2D8C">
        <w:rPr>
          <w:rFonts w:ascii="Arial" w:hAnsi="Arial" w:cs="Arial"/>
        </w:rPr>
        <w:t xml:space="preserve"> be closely monitored that debt servicing is sustainable</w:t>
      </w:r>
      <w:r w:rsidR="00802AD9" w:rsidRPr="00AD2D8C">
        <w:rPr>
          <w:rFonts w:ascii="Arial" w:hAnsi="Arial" w:cs="Arial"/>
          <w:lang w:val="en-IN"/>
        </w:rPr>
        <w:t>.</w:t>
      </w:r>
    </w:p>
    <w:p w14:paraId="0CB0E91A" w14:textId="77777777" w:rsidR="00802AD9" w:rsidRPr="00AD2D8C" w:rsidRDefault="00802AD9" w:rsidP="00802AD9">
      <w:pPr>
        <w:rPr>
          <w:rFonts w:ascii="Arial" w:hAnsi="Arial" w:cs="Arial"/>
          <w:b/>
          <w:bCs/>
          <w:lang w:val="en-IN"/>
        </w:rPr>
      </w:pPr>
      <w:r w:rsidRPr="00AD2D8C">
        <w:rPr>
          <w:rFonts w:ascii="Arial" w:hAnsi="Arial" w:cs="Arial"/>
          <w:b/>
          <w:bCs/>
          <w:lang w:val="en-IN"/>
        </w:rPr>
        <w:t>Investment (Market) Ratios</w:t>
      </w:r>
    </w:p>
    <w:p w14:paraId="79EB50F3" w14:textId="77777777" w:rsidR="00802AD9" w:rsidRPr="00AD2D8C" w:rsidRDefault="008D630C" w:rsidP="00802AD9">
      <w:pPr>
        <w:rPr>
          <w:rFonts w:ascii="Arial" w:hAnsi="Arial" w:cs="Arial"/>
          <w:lang w:val="en-IN"/>
        </w:rPr>
      </w:pPr>
      <w:r w:rsidRPr="00AD2D8C">
        <w:rPr>
          <w:rFonts w:ascii="Arial" w:hAnsi="Arial" w:cs="Arial"/>
        </w:rPr>
        <w:t xml:space="preserve">Investment ratios evaluate performance of the company </w:t>
      </w:r>
      <w:r w:rsidR="002337E4" w:rsidRPr="00AD2D8C">
        <w:rPr>
          <w:rFonts w:ascii="Arial" w:hAnsi="Arial" w:cs="Arial"/>
        </w:rPr>
        <w:t>for the</w:t>
      </w:r>
      <w:r w:rsidRPr="00AD2D8C">
        <w:rPr>
          <w:rFonts w:ascii="Arial" w:hAnsi="Arial" w:cs="Arial"/>
        </w:rPr>
        <w:t xml:space="preserve"> shareholders</w:t>
      </w:r>
      <w:r w:rsidR="00FE2942" w:rsidRPr="00AD2D8C">
        <w:rPr>
          <w:rFonts w:ascii="Arial" w:hAnsi="Arial" w:cs="Arial"/>
        </w:rPr>
        <w:t xml:space="preserve"> (Olayinka, 2022)</w:t>
      </w:r>
      <w:r w:rsidRPr="00AD2D8C">
        <w:rPr>
          <w:rFonts w:ascii="Arial" w:hAnsi="Arial" w:cs="Arial"/>
        </w:rPr>
        <w:t xml:space="preserve">. The decrease in the Earnings </w:t>
      </w:r>
      <w:r w:rsidR="00C64864" w:rsidRPr="00AD2D8C">
        <w:rPr>
          <w:rFonts w:ascii="Arial" w:hAnsi="Arial" w:cs="Arial"/>
        </w:rPr>
        <w:t>per</w:t>
      </w:r>
      <w:r w:rsidRPr="00AD2D8C">
        <w:rPr>
          <w:rFonts w:ascii="Arial" w:hAnsi="Arial" w:cs="Arial"/>
        </w:rPr>
        <w:t xml:space="preserve"> Share (EPS) is caused by the decrease in the net income to the level of £6.9 billion in 2025 that made the company less attractive to investors in the short term. Equally, Return on Equity (ROE) has reduced by a large margin to this 1.</w:t>
      </w:r>
      <w:r w:rsidR="00656DBC" w:rsidRPr="00AD2D8C">
        <w:rPr>
          <w:rFonts w:ascii="Arial" w:hAnsi="Arial" w:cs="Arial"/>
        </w:rPr>
        <w:t>65</w:t>
      </w:r>
      <w:r w:rsidRPr="00AD2D8C">
        <w:rPr>
          <w:rFonts w:ascii="Arial" w:hAnsi="Arial" w:cs="Arial"/>
        </w:rPr>
        <w:t xml:space="preserve"> per cent in 2025 compared to 4.</w:t>
      </w:r>
      <w:r w:rsidR="005C6E82" w:rsidRPr="00AD2D8C">
        <w:rPr>
          <w:rFonts w:ascii="Arial" w:hAnsi="Arial" w:cs="Arial"/>
        </w:rPr>
        <w:t xml:space="preserve">24 </w:t>
      </w:r>
      <w:r w:rsidRPr="00AD2D8C">
        <w:rPr>
          <w:rFonts w:ascii="Arial" w:hAnsi="Arial" w:cs="Arial"/>
        </w:rPr>
        <w:t>per cent in 202</w:t>
      </w:r>
      <w:r w:rsidR="005C6E82" w:rsidRPr="00AD2D8C">
        <w:rPr>
          <w:rFonts w:ascii="Arial" w:hAnsi="Arial" w:cs="Arial"/>
        </w:rPr>
        <w:t>1</w:t>
      </w:r>
      <w:r w:rsidRPr="00AD2D8C">
        <w:rPr>
          <w:rFonts w:ascii="Arial" w:hAnsi="Arial" w:cs="Arial"/>
        </w:rPr>
        <w:t>. This implies that there is a low yield on shareholder funds at present, which will have an adverse effect on investor confidence and strain on company share price</w:t>
      </w:r>
      <w:r w:rsidR="00802AD9" w:rsidRPr="00AD2D8C">
        <w:rPr>
          <w:rFonts w:ascii="Arial" w:hAnsi="Arial" w:cs="Arial"/>
          <w:lang w:val="en-IN"/>
        </w:rPr>
        <w:t>.</w:t>
      </w:r>
    </w:p>
    <w:p w14:paraId="538D778E" w14:textId="77777777" w:rsidR="00C24EED" w:rsidRPr="00AD2D8C" w:rsidRDefault="00C24EED" w:rsidP="00C24EED">
      <w:pPr>
        <w:rPr>
          <w:rFonts w:ascii="Arial" w:hAnsi="Arial" w:cs="Arial"/>
          <w:b/>
          <w:bCs/>
          <w:lang w:val="en-IN"/>
        </w:rPr>
      </w:pPr>
      <w:r w:rsidRPr="00AD2D8C">
        <w:rPr>
          <w:rFonts w:ascii="Arial" w:hAnsi="Arial" w:cs="Arial"/>
          <w:b/>
          <w:bCs/>
          <w:lang w:val="en-IN"/>
        </w:rPr>
        <w:t>Cash Flow Ratios</w:t>
      </w:r>
    </w:p>
    <w:p w14:paraId="75307765" w14:textId="77777777" w:rsidR="008F60EB" w:rsidRPr="00AD2D8C" w:rsidRDefault="006843F7" w:rsidP="007537BD">
      <w:pPr>
        <w:rPr>
          <w:rFonts w:ascii="Arial" w:hAnsi="Arial" w:cs="Arial"/>
          <w:lang w:val="en-IN"/>
        </w:rPr>
      </w:pPr>
      <w:r w:rsidRPr="00AD2D8C">
        <w:rPr>
          <w:rFonts w:ascii="Arial" w:hAnsi="Arial" w:cs="Arial"/>
        </w:rPr>
        <w:t>The cash flow ratios are concerned with how the company will generate cash</w:t>
      </w:r>
      <w:r w:rsidR="00262640" w:rsidRPr="00AD2D8C">
        <w:rPr>
          <w:rFonts w:ascii="Arial" w:hAnsi="Arial" w:cs="Arial"/>
        </w:rPr>
        <w:t xml:space="preserve"> (</w:t>
      </w:r>
      <w:proofErr w:type="spellStart"/>
      <w:r w:rsidR="00262640" w:rsidRPr="00AD2D8C">
        <w:rPr>
          <w:rFonts w:ascii="Arial" w:hAnsi="Arial" w:cs="Arial"/>
        </w:rPr>
        <w:t>Arifaj</w:t>
      </w:r>
      <w:proofErr w:type="spellEnd"/>
      <w:r w:rsidR="00262640" w:rsidRPr="00AD2D8C">
        <w:rPr>
          <w:rFonts w:ascii="Arial" w:hAnsi="Arial" w:cs="Arial"/>
        </w:rPr>
        <w:t xml:space="preserve"> et al., 2023)</w:t>
      </w:r>
      <w:r w:rsidRPr="00AD2D8C">
        <w:rPr>
          <w:rFonts w:ascii="Arial" w:hAnsi="Arial" w:cs="Arial"/>
        </w:rPr>
        <w:t xml:space="preserve">. The Free Cash Flow (FCF) is probably strained by the company as its profit margins are decreasing and inventory is high. The long cash operating cycle of about 89.5 days is a sign of inefficiencies in the management of working capital as they keep the cash tied up </w:t>
      </w:r>
      <w:r w:rsidR="00CB36A7" w:rsidRPr="00AD2D8C">
        <w:rPr>
          <w:rFonts w:ascii="Arial" w:hAnsi="Arial" w:cs="Arial"/>
        </w:rPr>
        <w:t>longer</w:t>
      </w:r>
      <w:r w:rsidR="00C64864">
        <w:rPr>
          <w:rFonts w:ascii="Arial" w:hAnsi="Arial" w:cs="Arial"/>
        </w:rPr>
        <w:t xml:space="preserve"> </w:t>
      </w:r>
      <w:r w:rsidR="00E91D5F" w:rsidRPr="00AD2D8C">
        <w:rPr>
          <w:rFonts w:ascii="Arial" w:hAnsi="Arial" w:cs="Arial"/>
        </w:rPr>
        <w:t>(</w:t>
      </w:r>
      <w:r w:rsidR="00E91D5F" w:rsidRPr="00AD2D8C">
        <w:rPr>
          <w:rFonts w:ascii="Arial" w:hAnsi="Arial" w:cs="Arial"/>
          <w:lang w:val="en-IN"/>
        </w:rPr>
        <w:t>Volkswagen Group 2026</w:t>
      </w:r>
      <w:r w:rsidR="00E91D5F" w:rsidRPr="00AD2D8C">
        <w:rPr>
          <w:rFonts w:ascii="Arial" w:hAnsi="Arial" w:cs="Arial"/>
        </w:rPr>
        <w:t>)</w:t>
      </w:r>
      <w:r w:rsidR="00C24EED" w:rsidRPr="00AD2D8C">
        <w:rPr>
          <w:rFonts w:ascii="Arial" w:hAnsi="Arial" w:cs="Arial"/>
          <w:lang w:val="en-IN"/>
        </w:rPr>
        <w:t>.</w:t>
      </w:r>
    </w:p>
    <w:p w14:paraId="5F6164B6" w14:textId="77777777" w:rsidR="00992064" w:rsidRPr="00AD2D8C" w:rsidRDefault="00992064" w:rsidP="007537BD">
      <w:pPr>
        <w:pStyle w:val="Heading2"/>
        <w:rPr>
          <w:rFonts w:ascii="Arial" w:hAnsi="Arial" w:cs="Arial"/>
        </w:rPr>
      </w:pPr>
      <w:bookmarkStart w:id="6" w:name="_Toc227925097"/>
      <w:r w:rsidRPr="00AD2D8C">
        <w:rPr>
          <w:rFonts w:ascii="Arial" w:hAnsi="Arial" w:cs="Arial"/>
        </w:rPr>
        <w:t>2.3 Trend Identification</w:t>
      </w:r>
      <w:bookmarkEnd w:id="6"/>
    </w:p>
    <w:p w14:paraId="36618018" w14:textId="77777777" w:rsidR="005275F3" w:rsidRPr="00AD2D8C" w:rsidRDefault="005275F3" w:rsidP="005275F3">
      <w:pPr>
        <w:rPr>
          <w:rFonts w:ascii="Arial" w:hAnsi="Arial" w:cs="Arial"/>
          <w:lang w:val="en-IN"/>
        </w:rPr>
      </w:pPr>
      <w:r w:rsidRPr="00AD2D8C">
        <w:rPr>
          <w:rFonts w:ascii="Arial" w:hAnsi="Arial" w:cs="Arial"/>
          <w:lang w:val="en-IN"/>
        </w:rPr>
        <w:t>Based on the five-year financial data (2021–2025), the following trends define Volkswagen’s current strategic position during its pivot to electric mobility.</w:t>
      </w:r>
    </w:p>
    <w:p w14:paraId="557BFAB9" w14:textId="77777777" w:rsidR="005275F3" w:rsidRPr="00AD2D8C" w:rsidRDefault="00351990" w:rsidP="005275F3">
      <w:pPr>
        <w:rPr>
          <w:rFonts w:ascii="Arial" w:hAnsi="Arial" w:cs="Arial"/>
          <w:b/>
          <w:bCs/>
        </w:rPr>
      </w:pPr>
      <w:r w:rsidRPr="00AD2D8C">
        <w:rPr>
          <w:rFonts w:ascii="Arial" w:hAnsi="Arial" w:cs="Arial"/>
          <w:b/>
          <w:bCs/>
        </w:rPr>
        <w:t>Key Strengths: Deleveraging and Scale</w:t>
      </w:r>
    </w:p>
    <w:p w14:paraId="104E7B87" w14:textId="77777777" w:rsidR="00351990" w:rsidRPr="00AD2D8C" w:rsidRDefault="004B6C13" w:rsidP="005275F3">
      <w:pPr>
        <w:rPr>
          <w:rFonts w:ascii="Arial" w:hAnsi="Arial" w:cs="Arial"/>
        </w:rPr>
      </w:pPr>
      <w:r w:rsidRPr="00AD2D8C">
        <w:rPr>
          <w:rFonts w:ascii="Arial" w:hAnsi="Arial" w:cs="Arial"/>
        </w:rPr>
        <w:t xml:space="preserve">One of the strengths of the company is that it has been successful in </w:t>
      </w:r>
      <w:r w:rsidR="009326C5" w:rsidRPr="00AD2D8C">
        <w:rPr>
          <w:rFonts w:ascii="Arial" w:hAnsi="Arial" w:cs="Arial"/>
        </w:rPr>
        <w:t>s</w:t>
      </w:r>
      <w:r w:rsidR="00471D71" w:rsidRPr="00AD2D8C">
        <w:rPr>
          <w:rFonts w:ascii="Arial" w:hAnsi="Arial" w:cs="Arial"/>
        </w:rPr>
        <w:t>it</w:t>
      </w:r>
      <w:r w:rsidRPr="00AD2D8C">
        <w:rPr>
          <w:rFonts w:ascii="Arial" w:hAnsi="Arial" w:cs="Arial"/>
        </w:rPr>
        <w:t xml:space="preserve"> deleverage strategy and that is a strong indication of financial discipline. The total debt has been decreased by a substantial margin of 2022 (£146.2 billion) to 2025 (£92.8 billion), </w:t>
      </w:r>
      <w:r w:rsidRPr="00AD2D8C">
        <w:rPr>
          <w:rFonts w:ascii="Arial" w:hAnsi="Arial" w:cs="Arial"/>
        </w:rPr>
        <w:lastRenderedPageBreak/>
        <w:t>indicating an evident attempt to decrease financial risk on the part of the company. The fact that the Debt-to-Assets (DTA) ratio decreased to 0.1</w:t>
      </w:r>
      <w:r w:rsidR="00906349" w:rsidRPr="00AD2D8C">
        <w:rPr>
          <w:rFonts w:ascii="Arial" w:hAnsi="Arial" w:cs="Arial"/>
        </w:rPr>
        <w:t>5</w:t>
      </w:r>
      <w:r w:rsidRPr="00AD2D8C">
        <w:rPr>
          <w:rFonts w:ascii="Arial" w:hAnsi="Arial" w:cs="Arial"/>
        </w:rPr>
        <w:t xml:space="preserve"> as compared to 0.25 also facilitated this enhancement since the company is gradually moving towards internal sources of financing like retained earnings and equity instead of external sources</w:t>
      </w:r>
      <w:r w:rsidR="00CC0D4E" w:rsidRPr="00AD2D8C">
        <w:rPr>
          <w:rFonts w:ascii="Arial" w:hAnsi="Arial" w:cs="Arial"/>
        </w:rPr>
        <w:t xml:space="preserve"> (Hidayat and </w:t>
      </w:r>
      <w:proofErr w:type="spellStart"/>
      <w:r w:rsidR="00CC0D4E" w:rsidRPr="00AD2D8C">
        <w:rPr>
          <w:rFonts w:ascii="Arial" w:hAnsi="Arial" w:cs="Arial"/>
        </w:rPr>
        <w:t>Bintara</w:t>
      </w:r>
      <w:proofErr w:type="spellEnd"/>
      <w:r w:rsidR="00CC0D4E" w:rsidRPr="00AD2D8C">
        <w:rPr>
          <w:rFonts w:ascii="Arial" w:hAnsi="Arial" w:cs="Arial"/>
        </w:rPr>
        <w:t>, 2025)</w:t>
      </w:r>
      <w:r w:rsidRPr="00AD2D8C">
        <w:rPr>
          <w:rFonts w:ascii="Arial" w:hAnsi="Arial" w:cs="Arial"/>
        </w:rPr>
        <w:t xml:space="preserve">. </w:t>
      </w:r>
    </w:p>
    <w:p w14:paraId="2DE5A83C" w14:textId="77777777" w:rsidR="00AF492F" w:rsidRPr="00AD2D8C" w:rsidRDefault="00AF492F" w:rsidP="005275F3">
      <w:pPr>
        <w:rPr>
          <w:rFonts w:ascii="Arial" w:hAnsi="Arial" w:cs="Arial"/>
          <w:b/>
          <w:bCs/>
        </w:rPr>
      </w:pPr>
      <w:r w:rsidRPr="00AD2D8C">
        <w:rPr>
          <w:rFonts w:ascii="Arial" w:hAnsi="Arial" w:cs="Arial"/>
          <w:b/>
          <w:bCs/>
        </w:rPr>
        <w:t>Critical Weaknesses: Profitability Erosion and Inventory Lag</w:t>
      </w:r>
    </w:p>
    <w:p w14:paraId="5E73D67E" w14:textId="77777777" w:rsidR="00C864AD" w:rsidRPr="00AD2D8C" w:rsidRDefault="00150BD8" w:rsidP="005275F3">
      <w:pPr>
        <w:rPr>
          <w:rFonts w:ascii="Arial" w:hAnsi="Arial" w:cs="Arial"/>
        </w:rPr>
      </w:pPr>
      <w:r w:rsidRPr="00AD2D8C">
        <w:rPr>
          <w:rFonts w:ascii="Arial" w:hAnsi="Arial" w:cs="Arial"/>
        </w:rPr>
        <w:t>The company has great financial capabilities but has major weaknesses, especially, its deteriorating profitability and poor inventory management</w:t>
      </w:r>
      <w:r w:rsidR="00683F32" w:rsidRPr="00AD2D8C">
        <w:rPr>
          <w:rFonts w:ascii="Arial" w:hAnsi="Arial" w:cs="Arial"/>
        </w:rPr>
        <w:t xml:space="preserve"> (</w:t>
      </w:r>
      <w:proofErr w:type="spellStart"/>
      <w:r w:rsidR="00683F32" w:rsidRPr="00AD2D8C">
        <w:rPr>
          <w:rFonts w:ascii="Arial" w:hAnsi="Arial" w:cs="Arial"/>
        </w:rPr>
        <w:t>Uduehe</w:t>
      </w:r>
      <w:proofErr w:type="spellEnd"/>
      <w:r w:rsidR="00683F32" w:rsidRPr="00AD2D8C">
        <w:rPr>
          <w:rFonts w:ascii="Arial" w:hAnsi="Arial" w:cs="Arial"/>
        </w:rPr>
        <w:t>, 2025)</w:t>
      </w:r>
      <w:r w:rsidRPr="00AD2D8C">
        <w:rPr>
          <w:rFonts w:ascii="Arial" w:hAnsi="Arial" w:cs="Arial"/>
        </w:rPr>
        <w:t>. The most alarming scenario is the drastic decline in Operating Profit Margin (OPM), which declined to 2.75% in 2025 compared to 7.92% in 2022. This implies that the company is sacrificing profitability to compete aggressively in the EV market, and is paying high costs to battery technology, software development and production. Moreover, the Current Ratio is quite consistent (1.21) which means that the company has adequate liquidity in the short-term perspective, but the high inventory turnover rate (85.5 days) shows that the company is not efficient in terms of working capital management.</w:t>
      </w:r>
    </w:p>
    <w:p w14:paraId="1CF891AB" w14:textId="77777777" w:rsidR="00992064" w:rsidRPr="00AD2D8C" w:rsidRDefault="00992064" w:rsidP="00EE1A7B">
      <w:pPr>
        <w:pStyle w:val="Heading1"/>
        <w:rPr>
          <w:rFonts w:ascii="Arial" w:hAnsi="Arial" w:cs="Arial"/>
        </w:rPr>
      </w:pPr>
      <w:bookmarkStart w:id="7" w:name="_Toc227925098"/>
      <w:r w:rsidRPr="00AD2D8C">
        <w:rPr>
          <w:rFonts w:ascii="Arial" w:hAnsi="Arial" w:cs="Arial"/>
        </w:rPr>
        <w:t>3. Working Capital Management Analysis</w:t>
      </w:r>
      <w:bookmarkEnd w:id="7"/>
    </w:p>
    <w:p w14:paraId="06F90432" w14:textId="77777777" w:rsidR="00992064" w:rsidRPr="00AD2D8C" w:rsidRDefault="00EE1A7B" w:rsidP="00276436">
      <w:pPr>
        <w:pStyle w:val="Heading2"/>
        <w:rPr>
          <w:rFonts w:ascii="Arial" w:hAnsi="Arial" w:cs="Arial"/>
        </w:rPr>
      </w:pPr>
      <w:bookmarkStart w:id="8" w:name="_Toc227925099"/>
      <w:r w:rsidRPr="00AD2D8C">
        <w:rPr>
          <w:rFonts w:ascii="Arial" w:hAnsi="Arial" w:cs="Arial"/>
        </w:rPr>
        <w:t>3.1 Cash Operating Cycle (CCC)</w:t>
      </w:r>
      <w:bookmarkEnd w:id="8"/>
    </w:p>
    <w:p w14:paraId="1A22B90D" w14:textId="77777777" w:rsidR="00C27973" w:rsidRPr="00AD2D8C" w:rsidRDefault="002F4649" w:rsidP="00F83161">
      <w:pPr>
        <w:rPr>
          <w:rFonts w:ascii="Arial" w:hAnsi="Arial" w:cs="Arial"/>
        </w:rPr>
      </w:pPr>
      <w:r w:rsidRPr="00AD2D8C">
        <w:rPr>
          <w:rFonts w:ascii="Arial" w:hAnsi="Arial" w:cs="Arial"/>
        </w:rPr>
        <w:t xml:space="preserve">The cash operating cycle (CCC) is a measure of how well a company is utilizing the investments in its inventory and other resources to obtain cash flows through sales. It is a very important pointer of working capital control and </w:t>
      </w:r>
      <w:r w:rsidR="0089377C" w:rsidRPr="00AD2D8C">
        <w:rPr>
          <w:rFonts w:ascii="Arial" w:hAnsi="Arial" w:cs="Arial"/>
        </w:rPr>
        <w:t>short</w:t>
      </w:r>
      <w:r w:rsidRPr="00AD2D8C">
        <w:rPr>
          <w:rFonts w:ascii="Arial" w:hAnsi="Arial" w:cs="Arial"/>
        </w:rPr>
        <w:t>-term financial status</w:t>
      </w:r>
      <w:r w:rsidR="00CD70FA" w:rsidRPr="00AD2D8C">
        <w:rPr>
          <w:rFonts w:ascii="Arial" w:hAnsi="Arial" w:cs="Arial"/>
        </w:rPr>
        <w:t xml:space="preserve"> (Asman</w:t>
      </w:r>
      <w:r w:rsidR="00E05C18" w:rsidRPr="00AD2D8C">
        <w:rPr>
          <w:rFonts w:ascii="Arial" w:hAnsi="Arial" w:cs="Arial"/>
        </w:rPr>
        <w:t xml:space="preserve"> et al., </w:t>
      </w:r>
      <w:r w:rsidR="00CD70FA" w:rsidRPr="00AD2D8C">
        <w:rPr>
          <w:rFonts w:ascii="Arial" w:hAnsi="Arial" w:cs="Arial"/>
        </w:rPr>
        <w:t>2022)</w:t>
      </w:r>
      <w:r w:rsidRPr="00AD2D8C">
        <w:rPr>
          <w:rFonts w:ascii="Arial" w:hAnsi="Arial" w:cs="Arial"/>
        </w:rPr>
        <w:t xml:space="preserve">. According to the data, Volkswagen Group exhibits </w:t>
      </w:r>
      <w:r w:rsidR="0076692F" w:rsidRPr="00AD2D8C">
        <w:rPr>
          <w:rFonts w:ascii="Arial" w:hAnsi="Arial" w:cs="Arial"/>
        </w:rPr>
        <w:t>uncertain</w:t>
      </w:r>
      <w:r w:rsidRPr="00AD2D8C">
        <w:rPr>
          <w:rFonts w:ascii="Arial" w:hAnsi="Arial" w:cs="Arial"/>
        </w:rPr>
        <w:t xml:space="preserve"> outcomes when it comes to the cash cycle management. The inventory turnover ratio improved over time, with the level of inventory turnover rising to 5.89 in 2024, compared to 4.64 in 2021, which is an indicator of improved inventory efficiency and decreased holding period</w:t>
      </w:r>
      <w:r w:rsidR="000A1172" w:rsidRPr="00AD2D8C">
        <w:rPr>
          <w:rFonts w:ascii="Arial" w:hAnsi="Arial" w:cs="Arial"/>
        </w:rPr>
        <w:t xml:space="preserve"> (</w:t>
      </w:r>
      <w:r w:rsidR="000A1172" w:rsidRPr="00AD2D8C">
        <w:rPr>
          <w:rFonts w:ascii="Arial" w:hAnsi="Arial" w:cs="Arial"/>
          <w:lang w:val="en-IN"/>
        </w:rPr>
        <w:t>Volkswagen Group 2026</w:t>
      </w:r>
      <w:r w:rsidR="000A1172" w:rsidRPr="00AD2D8C">
        <w:rPr>
          <w:rFonts w:ascii="Arial" w:hAnsi="Arial" w:cs="Arial"/>
        </w:rPr>
        <w:t>)</w:t>
      </w:r>
      <w:r w:rsidRPr="00AD2D8C">
        <w:rPr>
          <w:rFonts w:ascii="Arial" w:hAnsi="Arial" w:cs="Arial"/>
        </w:rPr>
        <w:t xml:space="preserve">. This implies that the business could move its stock faster hence releasing cash that was tied up in stock. In 2025, however, the ratio became lesser to 4.80, which means that the inventory was held longer. This turnaround could signify of a low demand, excess production, or ineffectiveness in inventory planning. </w:t>
      </w:r>
    </w:p>
    <w:p w14:paraId="4121D4C1" w14:textId="77777777" w:rsidR="00F83161" w:rsidRPr="00AD2D8C" w:rsidRDefault="0076692F" w:rsidP="00F83161">
      <w:pPr>
        <w:rPr>
          <w:rFonts w:ascii="Arial" w:hAnsi="Arial" w:cs="Arial"/>
          <w:lang w:val="en-IN"/>
        </w:rPr>
      </w:pPr>
      <w:r w:rsidRPr="00AD2D8C">
        <w:rPr>
          <w:rFonts w:ascii="Arial" w:hAnsi="Arial" w:cs="Arial"/>
        </w:rPr>
        <w:t xml:space="preserve">Furthermore, </w:t>
      </w:r>
      <w:r w:rsidR="002F4649" w:rsidRPr="00AD2D8C">
        <w:rPr>
          <w:rFonts w:ascii="Arial" w:hAnsi="Arial" w:cs="Arial"/>
        </w:rPr>
        <w:t xml:space="preserve">it is estimated that receivables are collected within 44 days, and the payables are paid within 40 days. This imbalance suggests that the company collects cash later than it pays its suppliers, which increases the cash conversion cycle and puts </w:t>
      </w:r>
      <w:r w:rsidR="002F4649" w:rsidRPr="00AD2D8C">
        <w:rPr>
          <w:rFonts w:ascii="Arial" w:hAnsi="Arial" w:cs="Arial"/>
        </w:rPr>
        <w:lastRenderedPageBreak/>
        <w:t>a strain on liquidity. Moreover, the operating cash flow ratio decreased considerably between 0.24 in 2021 and 0.07 in 2025, and the cash flow margin decreased to 4.66% instead of 15.44%</w:t>
      </w:r>
      <w:r w:rsidR="00EC3A02" w:rsidRPr="00AD2D8C">
        <w:rPr>
          <w:rFonts w:ascii="Arial" w:hAnsi="Arial" w:cs="Arial"/>
        </w:rPr>
        <w:t xml:space="preserve"> (</w:t>
      </w:r>
      <w:r w:rsidR="00EC3A02" w:rsidRPr="00AD2D8C">
        <w:rPr>
          <w:rFonts w:ascii="Arial" w:hAnsi="Arial" w:cs="Arial"/>
          <w:lang w:val="en-IN"/>
        </w:rPr>
        <w:t>Volkswagen Group 2026</w:t>
      </w:r>
      <w:r w:rsidR="00EC3A02" w:rsidRPr="00AD2D8C">
        <w:rPr>
          <w:rFonts w:ascii="Arial" w:hAnsi="Arial" w:cs="Arial"/>
        </w:rPr>
        <w:t>)</w:t>
      </w:r>
      <w:r w:rsidR="002F4649" w:rsidRPr="00AD2D8C">
        <w:rPr>
          <w:rFonts w:ascii="Arial" w:hAnsi="Arial" w:cs="Arial"/>
        </w:rPr>
        <w:t xml:space="preserve">. These tendencies show the diminishing capacity to transform the revenue into the real cash inflows. </w:t>
      </w:r>
      <w:proofErr w:type="gramStart"/>
      <w:r w:rsidR="002F4649" w:rsidRPr="00AD2D8C">
        <w:rPr>
          <w:rFonts w:ascii="Arial" w:hAnsi="Arial" w:cs="Arial"/>
        </w:rPr>
        <w:t>On the whole</w:t>
      </w:r>
      <w:proofErr w:type="gramEnd"/>
      <w:r w:rsidR="002F4649" w:rsidRPr="00AD2D8C">
        <w:rPr>
          <w:rFonts w:ascii="Arial" w:hAnsi="Arial" w:cs="Arial"/>
        </w:rPr>
        <w:t>, although Volkswagen has improved its inventory management until 2024, the worsening of its situation in 2025 and the decreased cash flow factors indicate that the CCC has been extended, which indicates lower efficiency in managing working capital and an increasing liquidity risk.</w:t>
      </w:r>
    </w:p>
    <w:p w14:paraId="49EBD052" w14:textId="77777777" w:rsidR="00EE1A7B" w:rsidRPr="00AD2D8C" w:rsidRDefault="00EE1A7B" w:rsidP="00276436">
      <w:pPr>
        <w:pStyle w:val="Heading2"/>
        <w:rPr>
          <w:rFonts w:ascii="Arial" w:hAnsi="Arial" w:cs="Arial"/>
        </w:rPr>
      </w:pPr>
      <w:bookmarkStart w:id="9" w:name="_Toc227925100"/>
      <w:r w:rsidRPr="00AD2D8C">
        <w:rPr>
          <w:rFonts w:ascii="Arial" w:hAnsi="Arial" w:cs="Arial"/>
        </w:rPr>
        <w:t>3.2 Liquidity Improvement Strategies</w:t>
      </w:r>
      <w:bookmarkEnd w:id="9"/>
    </w:p>
    <w:p w14:paraId="76A3BC51" w14:textId="77777777" w:rsidR="00C562B6" w:rsidRPr="00AD2D8C" w:rsidRDefault="00C562B6" w:rsidP="00C562B6">
      <w:pPr>
        <w:rPr>
          <w:rFonts w:ascii="Arial" w:hAnsi="Arial" w:cs="Arial"/>
        </w:rPr>
      </w:pPr>
      <w:r w:rsidRPr="00AD2D8C">
        <w:rPr>
          <w:rFonts w:ascii="Arial" w:hAnsi="Arial" w:cs="Arial"/>
        </w:rPr>
        <w:t>Enhancing liquidity involves managing the working capital elements, such as inventory, receivable and payable comprehensively</w:t>
      </w:r>
      <w:r w:rsidR="007F6BD1" w:rsidRPr="00AD2D8C">
        <w:rPr>
          <w:rFonts w:ascii="Arial" w:hAnsi="Arial" w:cs="Arial"/>
        </w:rPr>
        <w:t xml:space="preserve"> (Panigrahi, 2022)</w:t>
      </w:r>
      <w:r w:rsidRPr="00AD2D8C">
        <w:rPr>
          <w:rFonts w:ascii="Arial" w:hAnsi="Arial" w:cs="Arial"/>
        </w:rPr>
        <w:t xml:space="preserve">. In the case of Volkswagen Group, there are </w:t>
      </w:r>
      <w:proofErr w:type="gramStart"/>
      <w:r w:rsidRPr="00AD2D8C">
        <w:rPr>
          <w:rFonts w:ascii="Arial" w:hAnsi="Arial" w:cs="Arial"/>
        </w:rPr>
        <w:t>a number of</w:t>
      </w:r>
      <w:proofErr w:type="gramEnd"/>
      <w:r w:rsidRPr="00AD2D8C">
        <w:rPr>
          <w:rFonts w:ascii="Arial" w:hAnsi="Arial" w:cs="Arial"/>
        </w:rPr>
        <w:t xml:space="preserve"> specific reforms that can be implemented to improve its cash flow and financial performance in the short term.</w:t>
      </w:r>
    </w:p>
    <w:p w14:paraId="027C6A2A" w14:textId="77777777" w:rsidR="00C562B6" w:rsidRPr="00AD2D8C" w:rsidRDefault="00C562B6" w:rsidP="00C562B6">
      <w:pPr>
        <w:rPr>
          <w:rFonts w:ascii="Arial" w:hAnsi="Arial" w:cs="Arial"/>
        </w:rPr>
      </w:pPr>
      <w:r w:rsidRPr="00AD2D8C">
        <w:rPr>
          <w:rFonts w:ascii="Arial" w:hAnsi="Arial" w:cs="Arial"/>
        </w:rPr>
        <w:t>To begin with, the management of the inventory needs to be optimised. Inventory turnover would also decrease in 2025, which would mean that excess stock levels would have to be decreased. The use of a system of sophisticated demand forecasting and the adoption of inventory control systems like the Just-in-Time (JIT) system may be used to minimise holding costs and the time that inventory is not sold. Effective inventory management will release the cash tied in inventory and enhance liquidity.</w:t>
      </w:r>
    </w:p>
    <w:p w14:paraId="7A016E99" w14:textId="77777777" w:rsidR="00C562B6" w:rsidRPr="00AD2D8C" w:rsidRDefault="00C562B6" w:rsidP="00C562B6">
      <w:pPr>
        <w:rPr>
          <w:rFonts w:ascii="Arial" w:hAnsi="Arial" w:cs="Arial"/>
        </w:rPr>
      </w:pPr>
      <w:r w:rsidRPr="00AD2D8C">
        <w:rPr>
          <w:rFonts w:ascii="Arial" w:hAnsi="Arial" w:cs="Arial"/>
        </w:rPr>
        <w:t>Secondly, there should be improved receivables management. By tightening credit policies, performing more stringent credit checks and providing such incentives as early payment discounts to customers, the company will be able to reduce its collection period</w:t>
      </w:r>
      <w:r w:rsidR="009014E2" w:rsidRPr="00AD2D8C">
        <w:rPr>
          <w:rFonts w:ascii="Arial" w:hAnsi="Arial" w:cs="Arial"/>
        </w:rPr>
        <w:t xml:space="preserve"> (Gichuki, 2023)</w:t>
      </w:r>
      <w:r w:rsidRPr="00AD2D8C">
        <w:rPr>
          <w:rFonts w:ascii="Arial" w:hAnsi="Arial" w:cs="Arial"/>
        </w:rPr>
        <w:t>. The quicker receivables collection will increase the cash flow and decrease the dependence on the external financing.</w:t>
      </w:r>
    </w:p>
    <w:p w14:paraId="23FCDD45" w14:textId="77777777" w:rsidR="00C562B6" w:rsidRPr="00AD2D8C" w:rsidRDefault="00C562B6" w:rsidP="00C562B6">
      <w:pPr>
        <w:rPr>
          <w:rFonts w:ascii="Arial" w:hAnsi="Arial" w:cs="Arial"/>
        </w:rPr>
      </w:pPr>
      <w:r w:rsidRPr="00AD2D8C">
        <w:rPr>
          <w:rFonts w:ascii="Arial" w:hAnsi="Arial" w:cs="Arial"/>
        </w:rPr>
        <w:t xml:space="preserve">Thirdly, Volkswagen </w:t>
      </w:r>
      <w:r w:rsidR="00E051C4" w:rsidRPr="00AD2D8C">
        <w:rPr>
          <w:rFonts w:ascii="Arial" w:hAnsi="Arial" w:cs="Arial"/>
        </w:rPr>
        <w:t>needs</w:t>
      </w:r>
      <w:r w:rsidRPr="00AD2D8C">
        <w:rPr>
          <w:rFonts w:ascii="Arial" w:hAnsi="Arial" w:cs="Arial"/>
        </w:rPr>
        <w:t xml:space="preserve"> to strategically control its payables. Cash retention could be enhanced by negotiating long payment terms with suppliers, without ruining relationship terms. This would help the company manage the liquidity pressure by increasing the payables period and aligning the outflows (on the balance sheet) with the inflows.</w:t>
      </w:r>
    </w:p>
    <w:p w14:paraId="36C169DF" w14:textId="77777777" w:rsidR="00C562B6" w:rsidRPr="00AD2D8C" w:rsidRDefault="00C562B6" w:rsidP="00C562B6">
      <w:pPr>
        <w:rPr>
          <w:rFonts w:ascii="Arial" w:hAnsi="Arial" w:cs="Arial"/>
        </w:rPr>
      </w:pPr>
      <w:r w:rsidRPr="00AD2D8C">
        <w:rPr>
          <w:rFonts w:ascii="Arial" w:hAnsi="Arial" w:cs="Arial"/>
        </w:rPr>
        <w:t>Furthermore, operational efficiency could be improved with digital transformation initiatives like automated invoicing systems, real-time receivables tracking, or integrated supply chain management</w:t>
      </w:r>
      <w:r w:rsidR="00E66115" w:rsidRPr="00AD2D8C">
        <w:rPr>
          <w:rFonts w:ascii="Arial" w:hAnsi="Arial" w:cs="Arial"/>
        </w:rPr>
        <w:t xml:space="preserve"> (</w:t>
      </w:r>
      <w:proofErr w:type="spellStart"/>
      <w:r w:rsidR="00E66115" w:rsidRPr="00AD2D8C">
        <w:rPr>
          <w:rFonts w:ascii="Arial" w:hAnsi="Arial" w:cs="Arial"/>
        </w:rPr>
        <w:t>Handoyo</w:t>
      </w:r>
      <w:proofErr w:type="spellEnd"/>
      <w:r w:rsidR="00E66115" w:rsidRPr="00AD2D8C">
        <w:rPr>
          <w:rFonts w:ascii="Arial" w:hAnsi="Arial" w:cs="Arial"/>
        </w:rPr>
        <w:t xml:space="preserve"> et al., 2023)</w:t>
      </w:r>
      <w:r w:rsidRPr="00AD2D8C">
        <w:rPr>
          <w:rFonts w:ascii="Arial" w:hAnsi="Arial" w:cs="Arial"/>
        </w:rPr>
        <w:t xml:space="preserve">. The company also needs to put an </w:t>
      </w:r>
      <w:r w:rsidRPr="00AD2D8C">
        <w:rPr>
          <w:rFonts w:ascii="Arial" w:hAnsi="Arial" w:cs="Arial"/>
        </w:rPr>
        <w:lastRenderedPageBreak/>
        <w:t>emphasis on the enhancement of operating cash flows which have diminished considerably by containing the expenses and enhancing profit margins</w:t>
      </w:r>
    </w:p>
    <w:p w14:paraId="350766A1" w14:textId="77777777" w:rsidR="00722F9C" w:rsidRPr="00AD2D8C" w:rsidRDefault="00C562B6" w:rsidP="00C562B6">
      <w:pPr>
        <w:rPr>
          <w:rFonts w:ascii="Arial" w:hAnsi="Arial" w:cs="Arial"/>
        </w:rPr>
      </w:pPr>
      <w:r w:rsidRPr="00AD2D8C">
        <w:rPr>
          <w:rFonts w:ascii="Arial" w:hAnsi="Arial" w:cs="Arial"/>
        </w:rPr>
        <w:t>Comprehensively, a balanced working capital plan that will decrease inventory days, increase receivables and streamline payables will help Volkswagen to enhance its liquidity and stay afloat.</w:t>
      </w:r>
    </w:p>
    <w:p w14:paraId="77F9076D" w14:textId="77777777" w:rsidR="002D77DB" w:rsidRPr="00AD2D8C" w:rsidRDefault="00EE1A7B" w:rsidP="003F6D05">
      <w:pPr>
        <w:pStyle w:val="Heading2"/>
        <w:rPr>
          <w:rFonts w:ascii="Arial" w:hAnsi="Arial" w:cs="Arial"/>
        </w:rPr>
      </w:pPr>
      <w:bookmarkStart w:id="10" w:name="_Toc227925101"/>
      <w:r w:rsidRPr="00AD2D8C">
        <w:rPr>
          <w:rFonts w:ascii="Arial" w:hAnsi="Arial" w:cs="Arial"/>
        </w:rPr>
        <w:t>3.3 Financing Options</w:t>
      </w:r>
      <w:bookmarkEnd w:id="10"/>
    </w:p>
    <w:p w14:paraId="279ED1BE" w14:textId="77777777" w:rsidR="002D77DB" w:rsidRPr="00AD2D8C" w:rsidRDefault="00E76EA7" w:rsidP="002D77DB">
      <w:pPr>
        <w:rPr>
          <w:rFonts w:ascii="Arial" w:hAnsi="Arial" w:cs="Arial"/>
          <w:lang w:val="en-IN"/>
        </w:rPr>
      </w:pPr>
      <w:r w:rsidRPr="00AD2D8C">
        <w:rPr>
          <w:rFonts w:ascii="Arial" w:hAnsi="Arial" w:cs="Arial"/>
          <w:lang w:val="en-IN"/>
        </w:rPr>
        <w:t xml:space="preserve">Financial </w:t>
      </w:r>
      <w:proofErr w:type="gramStart"/>
      <w:r w:rsidR="00967159" w:rsidRPr="00AD2D8C">
        <w:rPr>
          <w:rFonts w:ascii="Arial" w:hAnsi="Arial" w:cs="Arial"/>
          <w:lang w:val="en-IN"/>
        </w:rPr>
        <w:t>decision</w:t>
      </w:r>
      <w:proofErr w:type="gramEnd"/>
      <w:r w:rsidR="00967159" w:rsidRPr="00AD2D8C">
        <w:rPr>
          <w:rFonts w:ascii="Arial" w:hAnsi="Arial" w:cs="Arial"/>
          <w:lang w:val="en-IN"/>
        </w:rPr>
        <w:t xml:space="preserve"> are</w:t>
      </w:r>
      <w:r w:rsidR="002D77DB" w:rsidRPr="00AD2D8C">
        <w:rPr>
          <w:rFonts w:ascii="Arial" w:hAnsi="Arial" w:cs="Arial"/>
          <w:lang w:val="en-IN"/>
        </w:rPr>
        <w:t xml:space="preserve"> important in keeping businesses </w:t>
      </w:r>
      <w:r w:rsidR="00CD5458" w:rsidRPr="00AD2D8C">
        <w:rPr>
          <w:rFonts w:ascii="Arial" w:hAnsi="Arial" w:cs="Arial"/>
          <w:lang w:val="en-IN"/>
        </w:rPr>
        <w:t>grow</w:t>
      </w:r>
      <w:r w:rsidR="002D77DB" w:rsidRPr="00AD2D8C">
        <w:rPr>
          <w:rFonts w:ascii="Arial" w:hAnsi="Arial" w:cs="Arial"/>
          <w:lang w:val="en-IN"/>
        </w:rPr>
        <w:t xml:space="preserve"> and in promoting their growth. In the case of Volkswagen Group, it is important to know the trade-offs between short-term and long-term financing due to decreasing liquidity and cash flow indicators.</w:t>
      </w:r>
    </w:p>
    <w:p w14:paraId="12E12424" w14:textId="77777777" w:rsidR="002D77DB" w:rsidRPr="00AD2D8C" w:rsidRDefault="002D77DB" w:rsidP="002D77DB">
      <w:pPr>
        <w:rPr>
          <w:rFonts w:ascii="Arial" w:hAnsi="Arial" w:cs="Arial"/>
          <w:lang w:val="en-IN"/>
        </w:rPr>
      </w:pPr>
      <w:r w:rsidRPr="00AD2D8C">
        <w:rPr>
          <w:rFonts w:ascii="Arial" w:hAnsi="Arial" w:cs="Arial"/>
          <w:lang w:val="en-IN"/>
        </w:rPr>
        <w:t xml:space="preserve">Sources of short-term financing are bank overdraft, trade credit and </w:t>
      </w:r>
      <w:r w:rsidR="00CD5458" w:rsidRPr="00AD2D8C">
        <w:rPr>
          <w:rFonts w:ascii="Arial" w:hAnsi="Arial" w:cs="Arial"/>
          <w:lang w:val="en-IN"/>
        </w:rPr>
        <w:t>short-term</w:t>
      </w:r>
      <w:r w:rsidRPr="00AD2D8C">
        <w:rPr>
          <w:rFonts w:ascii="Arial" w:hAnsi="Arial" w:cs="Arial"/>
          <w:lang w:val="en-IN"/>
        </w:rPr>
        <w:t xml:space="preserve"> loans, usually used to finance an urgent working capital requirement</w:t>
      </w:r>
      <w:r w:rsidR="00326655" w:rsidRPr="00AD2D8C">
        <w:rPr>
          <w:rFonts w:ascii="Arial" w:hAnsi="Arial" w:cs="Arial"/>
          <w:lang w:val="en-IN"/>
        </w:rPr>
        <w:t xml:space="preserve"> (</w:t>
      </w:r>
      <w:r w:rsidR="00326655" w:rsidRPr="00AD2D8C">
        <w:rPr>
          <w:rFonts w:ascii="Arial" w:hAnsi="Arial" w:cs="Arial"/>
        </w:rPr>
        <w:t>Gandhi and Nasit, 2022</w:t>
      </w:r>
      <w:r w:rsidR="00326655" w:rsidRPr="00AD2D8C">
        <w:rPr>
          <w:rFonts w:ascii="Arial" w:hAnsi="Arial" w:cs="Arial"/>
          <w:lang w:val="en-IN"/>
        </w:rPr>
        <w:t>)</w:t>
      </w:r>
      <w:r w:rsidRPr="00AD2D8C">
        <w:rPr>
          <w:rFonts w:ascii="Arial" w:hAnsi="Arial" w:cs="Arial"/>
          <w:lang w:val="en-IN"/>
        </w:rPr>
        <w:t xml:space="preserve">. These alternatives are flexible and </w:t>
      </w:r>
      <w:proofErr w:type="gramStart"/>
      <w:r w:rsidRPr="00AD2D8C">
        <w:rPr>
          <w:rFonts w:ascii="Arial" w:hAnsi="Arial" w:cs="Arial"/>
          <w:lang w:val="en-IN"/>
        </w:rPr>
        <w:t>fast-access</w:t>
      </w:r>
      <w:proofErr w:type="gramEnd"/>
      <w:r w:rsidRPr="00AD2D8C">
        <w:rPr>
          <w:rFonts w:ascii="Arial" w:hAnsi="Arial" w:cs="Arial"/>
          <w:lang w:val="en-IN"/>
        </w:rPr>
        <w:t xml:space="preserve"> to the cash, which is appropriate to resolve the temporary cash flow needs. </w:t>
      </w:r>
      <w:r w:rsidR="00AE2ECF" w:rsidRPr="00AD2D8C">
        <w:rPr>
          <w:rFonts w:ascii="Arial" w:hAnsi="Arial" w:cs="Arial"/>
          <w:lang w:val="en-IN"/>
        </w:rPr>
        <w:t>But</w:t>
      </w:r>
      <w:r w:rsidRPr="00AD2D8C">
        <w:rPr>
          <w:rFonts w:ascii="Arial" w:hAnsi="Arial" w:cs="Arial"/>
          <w:lang w:val="en-IN"/>
        </w:rPr>
        <w:t xml:space="preserve"> short-term financing may be more costly in terms of interest rates and refinancing risks. Since the current ratio of Volkswagen (1.22 in 2022 to 1.09 in 2025) and the quick ratio (0.95 to 0.85) are decreasing, overreliance on quick financing may aggravate liquidity issues and put pressure on finances.</w:t>
      </w:r>
    </w:p>
    <w:p w14:paraId="623442CE" w14:textId="77777777" w:rsidR="002D77DB" w:rsidRPr="00AD2D8C" w:rsidRDefault="002D77DB" w:rsidP="002D77DB">
      <w:pPr>
        <w:rPr>
          <w:rFonts w:ascii="Arial" w:hAnsi="Arial" w:cs="Arial"/>
          <w:lang w:val="en-IN"/>
        </w:rPr>
      </w:pPr>
      <w:r w:rsidRPr="00AD2D8C">
        <w:rPr>
          <w:rFonts w:ascii="Arial" w:hAnsi="Arial" w:cs="Arial"/>
          <w:lang w:val="en-IN"/>
        </w:rPr>
        <w:t xml:space="preserve">The opposite is the case with long-term financing which involves equity, bonds, and long-term loans which are constant sources of funding within long periods. They especially suit capital intensive sectors like the automotive manufacturing industry where </w:t>
      </w:r>
      <w:r w:rsidR="00AE2ECF" w:rsidRPr="00AD2D8C">
        <w:rPr>
          <w:rFonts w:ascii="Arial" w:hAnsi="Arial" w:cs="Arial"/>
          <w:lang w:val="en-IN"/>
        </w:rPr>
        <w:t xml:space="preserve">it is needed </w:t>
      </w:r>
      <w:r w:rsidRPr="00AD2D8C">
        <w:rPr>
          <w:rFonts w:ascii="Arial" w:hAnsi="Arial" w:cs="Arial"/>
          <w:lang w:val="en-IN"/>
        </w:rPr>
        <w:t>to invest heavily in technology, infrastructure and production plants</w:t>
      </w:r>
      <w:r w:rsidR="0022097D" w:rsidRPr="00AD2D8C">
        <w:rPr>
          <w:rFonts w:ascii="Arial" w:hAnsi="Arial" w:cs="Arial"/>
          <w:lang w:val="en-IN"/>
        </w:rPr>
        <w:t xml:space="preserve"> (</w:t>
      </w:r>
      <w:r w:rsidR="0022097D" w:rsidRPr="00AD2D8C">
        <w:rPr>
          <w:rFonts w:ascii="Arial" w:hAnsi="Arial" w:cs="Arial"/>
        </w:rPr>
        <w:t>Jones</w:t>
      </w:r>
      <w:r w:rsidR="000B1107" w:rsidRPr="00AD2D8C">
        <w:rPr>
          <w:rFonts w:ascii="Arial" w:hAnsi="Arial" w:cs="Arial"/>
        </w:rPr>
        <w:t xml:space="preserve"> et al., </w:t>
      </w:r>
      <w:r w:rsidR="0022097D" w:rsidRPr="00AD2D8C">
        <w:rPr>
          <w:rFonts w:ascii="Arial" w:hAnsi="Arial" w:cs="Arial"/>
        </w:rPr>
        <w:t>2023</w:t>
      </w:r>
      <w:r w:rsidR="0022097D" w:rsidRPr="00AD2D8C">
        <w:rPr>
          <w:rFonts w:ascii="Arial" w:hAnsi="Arial" w:cs="Arial"/>
          <w:lang w:val="en-IN"/>
        </w:rPr>
        <w:t>)</w:t>
      </w:r>
      <w:r w:rsidRPr="00AD2D8C">
        <w:rPr>
          <w:rFonts w:ascii="Arial" w:hAnsi="Arial" w:cs="Arial"/>
          <w:lang w:val="en-IN"/>
        </w:rPr>
        <w:t xml:space="preserve">. Long-term financing lessens the strain of repayment in the short term and finances long-term strategic growth opportunities. </w:t>
      </w:r>
      <w:r w:rsidR="00854B3A" w:rsidRPr="00AD2D8C">
        <w:rPr>
          <w:rFonts w:ascii="Arial" w:hAnsi="Arial" w:cs="Arial"/>
          <w:lang w:val="en-IN"/>
        </w:rPr>
        <w:t>Besides</w:t>
      </w:r>
      <w:r w:rsidRPr="00AD2D8C">
        <w:rPr>
          <w:rFonts w:ascii="Arial" w:hAnsi="Arial" w:cs="Arial"/>
          <w:lang w:val="en-IN"/>
        </w:rPr>
        <w:t>, it can be accompanied by increased total expenses and lack of financial flexibility because of long-term obligations.</w:t>
      </w:r>
    </w:p>
    <w:p w14:paraId="09F3CEDA" w14:textId="77777777" w:rsidR="00AA1434" w:rsidRPr="00AD2D8C" w:rsidRDefault="002D77DB" w:rsidP="002D77DB">
      <w:pPr>
        <w:rPr>
          <w:rFonts w:ascii="Arial" w:hAnsi="Arial" w:cs="Arial"/>
          <w:lang w:val="en-IN"/>
        </w:rPr>
      </w:pPr>
      <w:r w:rsidRPr="00AD2D8C">
        <w:rPr>
          <w:rFonts w:ascii="Arial" w:hAnsi="Arial" w:cs="Arial"/>
          <w:lang w:val="en-IN"/>
        </w:rPr>
        <w:t xml:space="preserve">In the case of Volkswagen, it is </w:t>
      </w:r>
      <w:r w:rsidR="00FA0DD1" w:rsidRPr="00AD2D8C">
        <w:rPr>
          <w:rFonts w:ascii="Arial" w:hAnsi="Arial" w:cs="Arial"/>
          <w:lang w:val="en-IN"/>
        </w:rPr>
        <w:t>recommended</w:t>
      </w:r>
      <w:r w:rsidRPr="00AD2D8C">
        <w:rPr>
          <w:rFonts w:ascii="Arial" w:hAnsi="Arial" w:cs="Arial"/>
          <w:lang w:val="en-IN"/>
        </w:rPr>
        <w:t xml:space="preserve"> to use a balanced financing strategy. Financing should be applied selectively to meet day-to-day liquidity requirements through short-term financing and to meet long-term requirements (Major investments) and offer financial security</w:t>
      </w:r>
      <w:r w:rsidR="003123F6" w:rsidRPr="00AD2D8C">
        <w:rPr>
          <w:rFonts w:ascii="Arial" w:hAnsi="Arial" w:cs="Arial"/>
          <w:lang w:val="en-IN"/>
        </w:rPr>
        <w:t xml:space="preserve"> (</w:t>
      </w:r>
      <w:r w:rsidR="003123F6" w:rsidRPr="00AD2D8C">
        <w:rPr>
          <w:rFonts w:ascii="Arial" w:hAnsi="Arial" w:cs="Arial"/>
        </w:rPr>
        <w:t>Gutterman, 2022</w:t>
      </w:r>
      <w:r w:rsidR="003123F6" w:rsidRPr="00AD2D8C">
        <w:rPr>
          <w:rFonts w:ascii="Arial" w:hAnsi="Arial" w:cs="Arial"/>
          <w:lang w:val="en-IN"/>
        </w:rPr>
        <w:t>)</w:t>
      </w:r>
      <w:r w:rsidRPr="00AD2D8C">
        <w:rPr>
          <w:rFonts w:ascii="Arial" w:hAnsi="Arial" w:cs="Arial"/>
          <w:lang w:val="en-IN"/>
        </w:rPr>
        <w:t xml:space="preserve">. This will assist in ensuring that the company is liquid enough without exposing itself to more financial </w:t>
      </w:r>
      <w:r w:rsidR="00967159" w:rsidRPr="00AD2D8C">
        <w:rPr>
          <w:rFonts w:ascii="Arial" w:hAnsi="Arial" w:cs="Arial"/>
          <w:lang w:val="en-IN"/>
        </w:rPr>
        <w:t>risk. Finally</w:t>
      </w:r>
      <w:r w:rsidRPr="00AD2D8C">
        <w:rPr>
          <w:rFonts w:ascii="Arial" w:hAnsi="Arial" w:cs="Arial"/>
          <w:lang w:val="en-IN"/>
        </w:rPr>
        <w:t>, although short-term financing enhances the availability of cash in the short-term, the long-term financing is sustainable. A balanced combination of them is needed to help Volkswagen to consolidate its financial status and aid in its long-term development.</w:t>
      </w:r>
    </w:p>
    <w:p w14:paraId="695337E4" w14:textId="77777777" w:rsidR="00EE1A7B" w:rsidRPr="00AD2D8C" w:rsidRDefault="00EE1A7B" w:rsidP="00465B43">
      <w:pPr>
        <w:pStyle w:val="Heading1"/>
        <w:rPr>
          <w:rFonts w:ascii="Arial" w:hAnsi="Arial" w:cs="Arial"/>
        </w:rPr>
      </w:pPr>
      <w:bookmarkStart w:id="11" w:name="_Toc227925102"/>
      <w:r w:rsidRPr="00AD2D8C">
        <w:rPr>
          <w:rFonts w:ascii="Arial" w:hAnsi="Arial" w:cs="Arial"/>
        </w:rPr>
        <w:lastRenderedPageBreak/>
        <w:t>4. Strategic Financial Restructuring Plan</w:t>
      </w:r>
      <w:bookmarkEnd w:id="11"/>
    </w:p>
    <w:p w14:paraId="38941699" w14:textId="77777777" w:rsidR="005662A6" w:rsidRPr="00AD2D8C" w:rsidRDefault="00EE1A7B" w:rsidP="00413B3B">
      <w:pPr>
        <w:pStyle w:val="Heading2"/>
        <w:rPr>
          <w:rFonts w:ascii="Arial" w:hAnsi="Arial" w:cs="Arial"/>
          <w:lang w:val="en-IN"/>
        </w:rPr>
      </w:pPr>
      <w:bookmarkStart w:id="12" w:name="_Toc227925103"/>
      <w:r w:rsidRPr="00AD2D8C">
        <w:rPr>
          <w:rFonts w:ascii="Arial" w:hAnsi="Arial" w:cs="Arial"/>
        </w:rPr>
        <w:t>4.1 Restructuring Recommendations</w:t>
      </w:r>
      <w:bookmarkEnd w:id="12"/>
    </w:p>
    <w:p w14:paraId="2433AD39" w14:textId="77777777" w:rsidR="00413B3B" w:rsidRPr="00AD2D8C" w:rsidRDefault="000E6CB2" w:rsidP="00413B3B">
      <w:pPr>
        <w:rPr>
          <w:rFonts w:ascii="Arial" w:hAnsi="Arial" w:cs="Arial"/>
        </w:rPr>
      </w:pPr>
      <w:r w:rsidRPr="00AD2D8C">
        <w:rPr>
          <w:rFonts w:ascii="Arial" w:hAnsi="Arial" w:cs="Arial"/>
        </w:rPr>
        <w:t xml:space="preserve">a) </w:t>
      </w:r>
      <w:r w:rsidR="0077107B" w:rsidRPr="00AD2D8C">
        <w:rPr>
          <w:rFonts w:ascii="Arial" w:hAnsi="Arial" w:cs="Arial"/>
          <w:b/>
          <w:bCs/>
        </w:rPr>
        <w:t>Divestiture of Underperforming Assets:</w:t>
      </w:r>
      <w:r w:rsidRPr="00AD2D8C">
        <w:rPr>
          <w:rFonts w:ascii="Arial" w:hAnsi="Arial" w:cs="Arial"/>
        </w:rPr>
        <w:t xml:space="preserve"> Divestment of non-core or non-performing business segments is one of the best strategies of financial restructuring of Volkswagen Group. The company has various brands, markets and product lines some of which may not add enough profitability to the company overall</w:t>
      </w:r>
      <w:r w:rsidR="007645F8" w:rsidRPr="00AD2D8C">
        <w:rPr>
          <w:rFonts w:ascii="Arial" w:hAnsi="Arial" w:cs="Arial"/>
        </w:rPr>
        <w:t xml:space="preserve"> (Tandon et al., 2023)</w:t>
      </w:r>
      <w:r w:rsidRPr="00AD2D8C">
        <w:rPr>
          <w:rFonts w:ascii="Arial" w:hAnsi="Arial" w:cs="Arial"/>
        </w:rPr>
        <w:t xml:space="preserve">. This is evident in the drop in the return on equity in 2023 of 4.54 to 1.65 in 2025, which means that it is less efficient in creating returns to shareholders. The sale of low performing divisions would enable the company to reduce the operation and concentrate on high growth and profitable divisions. </w:t>
      </w:r>
    </w:p>
    <w:p w14:paraId="6D891BAD" w14:textId="77777777" w:rsidR="009F7B20" w:rsidRPr="00AD2D8C" w:rsidRDefault="00B866FA" w:rsidP="00413B3B">
      <w:pPr>
        <w:rPr>
          <w:rFonts w:ascii="Arial" w:hAnsi="Arial" w:cs="Arial"/>
        </w:rPr>
      </w:pPr>
      <w:r w:rsidRPr="00AD2D8C">
        <w:rPr>
          <w:rFonts w:ascii="Arial" w:hAnsi="Arial" w:cs="Arial"/>
        </w:rPr>
        <w:t xml:space="preserve">b) </w:t>
      </w:r>
      <w:r w:rsidRPr="00AD2D8C">
        <w:rPr>
          <w:rFonts w:ascii="Arial" w:hAnsi="Arial" w:cs="Arial"/>
          <w:b/>
          <w:bCs/>
        </w:rPr>
        <w:t>Equity Injection</w:t>
      </w:r>
      <w:r w:rsidRPr="00AD2D8C">
        <w:rPr>
          <w:rFonts w:ascii="Arial" w:hAnsi="Arial" w:cs="Arial"/>
        </w:rPr>
        <w:t xml:space="preserve"> The other major restructuring alternative is increasing more capital by raising more equity using strategies like rights issues or inviting strategic investors. The debt-to-equity ratio in Volkswagen has decreased markedly compared to 7.33 in 2021, to 0.46 in 2025, which means that the financial leverage is less and the capital structure is stronger. </w:t>
      </w:r>
      <w:r w:rsidR="00CC2A2F" w:rsidRPr="00AD2D8C">
        <w:rPr>
          <w:rFonts w:ascii="Arial" w:hAnsi="Arial" w:cs="Arial"/>
        </w:rPr>
        <w:t>Besides</w:t>
      </w:r>
      <w:r w:rsidRPr="00AD2D8C">
        <w:rPr>
          <w:rFonts w:ascii="Arial" w:hAnsi="Arial" w:cs="Arial"/>
        </w:rPr>
        <w:t xml:space="preserve">, the decreased profitability and deteriorated cash flows indicated by the decline in operating cash flow ratio, 0.24 to 0.07, indicate that the company needs further financial assistance. Equity injection would allow the company </w:t>
      </w:r>
      <w:r w:rsidR="004829E5" w:rsidRPr="00AD2D8C">
        <w:rPr>
          <w:rFonts w:ascii="Arial" w:hAnsi="Arial" w:cs="Arial"/>
        </w:rPr>
        <w:t>to access</w:t>
      </w:r>
      <w:r w:rsidRPr="00AD2D8C">
        <w:rPr>
          <w:rFonts w:ascii="Arial" w:hAnsi="Arial" w:cs="Arial"/>
        </w:rPr>
        <w:t xml:space="preserve"> required capital to invest on strategic projects like electric vehicle development, technological innovation, and sustainability projects</w:t>
      </w:r>
      <w:r w:rsidR="000E69F9" w:rsidRPr="00AD2D8C">
        <w:rPr>
          <w:rFonts w:ascii="Arial" w:hAnsi="Arial" w:cs="Arial"/>
        </w:rPr>
        <w:t xml:space="preserve"> (</w:t>
      </w:r>
      <w:proofErr w:type="spellStart"/>
      <w:r w:rsidR="000E69F9" w:rsidRPr="00AD2D8C">
        <w:rPr>
          <w:rFonts w:ascii="Arial" w:hAnsi="Arial" w:cs="Arial"/>
        </w:rPr>
        <w:t>Colliardand</w:t>
      </w:r>
      <w:r w:rsidR="00D26DD0" w:rsidRPr="00AD2D8C">
        <w:rPr>
          <w:rFonts w:ascii="Arial" w:hAnsi="Arial" w:cs="Arial"/>
        </w:rPr>
        <w:t>s</w:t>
      </w:r>
      <w:r w:rsidR="000E69F9" w:rsidRPr="00AD2D8C">
        <w:rPr>
          <w:rFonts w:ascii="Arial" w:hAnsi="Arial" w:cs="Arial"/>
        </w:rPr>
        <w:t>Gromb</w:t>
      </w:r>
      <w:proofErr w:type="spellEnd"/>
      <w:r w:rsidR="000E69F9" w:rsidRPr="00AD2D8C">
        <w:rPr>
          <w:rFonts w:ascii="Arial" w:hAnsi="Arial" w:cs="Arial"/>
        </w:rPr>
        <w:t>, 2025)</w:t>
      </w:r>
      <w:r w:rsidRPr="00AD2D8C">
        <w:rPr>
          <w:rFonts w:ascii="Arial" w:hAnsi="Arial" w:cs="Arial"/>
        </w:rPr>
        <w:t xml:space="preserve">. </w:t>
      </w:r>
    </w:p>
    <w:p w14:paraId="3FF7AFFD" w14:textId="77777777" w:rsidR="001570B5" w:rsidRPr="00AD2D8C" w:rsidRDefault="001570B5" w:rsidP="00413B3B">
      <w:pPr>
        <w:rPr>
          <w:rFonts w:ascii="Arial" w:hAnsi="Arial" w:cs="Arial"/>
        </w:rPr>
      </w:pPr>
      <w:r w:rsidRPr="00AD2D8C">
        <w:rPr>
          <w:rFonts w:ascii="Arial" w:hAnsi="Arial" w:cs="Arial"/>
        </w:rPr>
        <w:t xml:space="preserve">c) </w:t>
      </w:r>
      <w:r w:rsidRPr="00AD2D8C">
        <w:rPr>
          <w:rFonts w:ascii="Arial" w:hAnsi="Arial" w:cs="Arial"/>
          <w:b/>
          <w:bCs/>
        </w:rPr>
        <w:t>Mergers or Strategic Partnerships</w:t>
      </w:r>
      <w:r w:rsidRPr="00AD2D8C">
        <w:rPr>
          <w:rFonts w:ascii="Arial" w:hAnsi="Arial" w:cs="Arial"/>
        </w:rPr>
        <w:t>. Another strategy Volkswagen can undertake is strategic partnerships or mergers especially in the emerging fronts which include electric mobility, battery technology and autonomous driving systems</w:t>
      </w:r>
      <w:r w:rsidR="00723D93" w:rsidRPr="00AD2D8C">
        <w:rPr>
          <w:rFonts w:ascii="Arial" w:hAnsi="Arial" w:cs="Arial"/>
        </w:rPr>
        <w:t xml:space="preserve"> (García and Herrero, 2022)</w:t>
      </w:r>
      <w:r w:rsidRPr="00AD2D8C">
        <w:rPr>
          <w:rFonts w:ascii="Arial" w:hAnsi="Arial" w:cs="Arial"/>
        </w:rPr>
        <w:t xml:space="preserve">. These partnerships allow companies to distribute the costs and resources and spread the risks of large investment. Since the asset turnover ratio slightly decreased in 2023 (0.55) and in 2025 (0.50), collaborations can assist in the increase of operation efficiency and increase in the use of the available assets. </w:t>
      </w:r>
    </w:p>
    <w:p w14:paraId="1C274538" w14:textId="77777777" w:rsidR="005E26F9" w:rsidRPr="00AD2D8C" w:rsidRDefault="006E5F6E" w:rsidP="00413B3B">
      <w:pPr>
        <w:rPr>
          <w:rFonts w:ascii="Arial" w:hAnsi="Arial" w:cs="Arial"/>
          <w:lang w:val="en-IN"/>
        </w:rPr>
      </w:pPr>
      <w:r w:rsidRPr="00AD2D8C">
        <w:rPr>
          <w:rFonts w:ascii="Arial" w:hAnsi="Arial" w:cs="Arial"/>
        </w:rPr>
        <w:t xml:space="preserve">d) </w:t>
      </w:r>
      <w:r w:rsidR="00967159" w:rsidRPr="00AD2D8C">
        <w:rPr>
          <w:rFonts w:ascii="Arial" w:hAnsi="Arial" w:cs="Arial"/>
          <w:b/>
          <w:bCs/>
        </w:rPr>
        <w:t>Cost</w:t>
      </w:r>
      <w:r w:rsidRPr="00AD2D8C">
        <w:rPr>
          <w:rFonts w:ascii="Arial" w:hAnsi="Arial" w:cs="Arial"/>
          <w:b/>
          <w:bCs/>
        </w:rPr>
        <w:t xml:space="preserve"> reorganization and efficiency.</w:t>
      </w:r>
      <w:r w:rsidRPr="00AD2D8C">
        <w:rPr>
          <w:rFonts w:ascii="Arial" w:hAnsi="Arial" w:cs="Arial"/>
        </w:rPr>
        <w:t xml:space="preserve"> Besides structural transformations, Volkswagen </w:t>
      </w:r>
      <w:proofErr w:type="gramStart"/>
      <w:r w:rsidRPr="00AD2D8C">
        <w:rPr>
          <w:rFonts w:ascii="Arial" w:hAnsi="Arial" w:cs="Arial"/>
        </w:rPr>
        <w:t>has to</w:t>
      </w:r>
      <w:proofErr w:type="gramEnd"/>
      <w:r w:rsidRPr="00AD2D8C">
        <w:rPr>
          <w:rFonts w:ascii="Arial" w:hAnsi="Arial" w:cs="Arial"/>
        </w:rPr>
        <w:t xml:space="preserve"> focus on cost restructuring and the increase of operational efficiency. The large fall in the operating profit margin of 7.70 percent in 2021 to 2.75 percent in 2025 reflects an increase in costs or a decrease in pricing power. Operational inefficiencies can be </w:t>
      </w:r>
      <w:r w:rsidRPr="00AD2D8C">
        <w:rPr>
          <w:rFonts w:ascii="Arial" w:hAnsi="Arial" w:cs="Arial"/>
        </w:rPr>
        <w:lastRenderedPageBreak/>
        <w:t xml:space="preserve">reduced by implementing cost-control, supply chain optimization, and the use of digital technologies to leverage the latter. </w:t>
      </w:r>
    </w:p>
    <w:p w14:paraId="299733B0" w14:textId="77777777" w:rsidR="00BF781E" w:rsidRPr="00AD2D8C" w:rsidRDefault="00EE1A7B" w:rsidP="00413B3B">
      <w:pPr>
        <w:pStyle w:val="Heading2"/>
        <w:rPr>
          <w:rFonts w:ascii="Arial" w:hAnsi="Arial" w:cs="Arial"/>
          <w:lang w:val="en-IN"/>
        </w:rPr>
      </w:pPr>
      <w:bookmarkStart w:id="13" w:name="_Toc227925104"/>
      <w:r w:rsidRPr="00AD2D8C">
        <w:rPr>
          <w:rFonts w:ascii="Arial" w:hAnsi="Arial" w:cs="Arial"/>
        </w:rPr>
        <w:t>4.2 Impact Evaluation</w:t>
      </w:r>
      <w:r w:rsidR="00BF781E" w:rsidRPr="00AD2D8C">
        <w:rPr>
          <w:rFonts w:ascii="Arial" w:hAnsi="Arial" w:cs="Arial"/>
          <w:lang w:val="en-IN"/>
        </w:rPr>
        <w:t>.</w:t>
      </w:r>
      <w:bookmarkEnd w:id="13"/>
    </w:p>
    <w:p w14:paraId="28A69F36" w14:textId="77777777" w:rsidR="00023C50" w:rsidRPr="00AD2D8C" w:rsidRDefault="00023C50" w:rsidP="00023C50">
      <w:pPr>
        <w:rPr>
          <w:rFonts w:ascii="Arial" w:hAnsi="Arial" w:cs="Arial"/>
        </w:rPr>
      </w:pPr>
      <w:r w:rsidRPr="00AD2D8C">
        <w:rPr>
          <w:rFonts w:ascii="Arial" w:hAnsi="Arial" w:cs="Arial"/>
        </w:rPr>
        <w:t xml:space="preserve">a) </w:t>
      </w:r>
      <w:r w:rsidRPr="00AD2D8C">
        <w:rPr>
          <w:rFonts w:ascii="Arial" w:hAnsi="Arial" w:cs="Arial"/>
          <w:b/>
          <w:bCs/>
        </w:rPr>
        <w:t>Shareholder Value</w:t>
      </w:r>
      <w:r w:rsidRPr="00AD2D8C">
        <w:rPr>
          <w:rFonts w:ascii="Arial" w:hAnsi="Arial" w:cs="Arial"/>
        </w:rPr>
        <w:t xml:space="preserve"> Shareholder value is likely to affect greatly </w:t>
      </w:r>
      <w:proofErr w:type="gramStart"/>
      <w:r w:rsidRPr="00AD2D8C">
        <w:rPr>
          <w:rFonts w:ascii="Arial" w:hAnsi="Arial" w:cs="Arial"/>
        </w:rPr>
        <w:t>as a result of</w:t>
      </w:r>
      <w:proofErr w:type="gramEnd"/>
      <w:r w:rsidRPr="00AD2D8C">
        <w:rPr>
          <w:rFonts w:ascii="Arial" w:hAnsi="Arial" w:cs="Arial"/>
        </w:rPr>
        <w:t xml:space="preserve"> the financial restructuring efforts by Volkswagen Group</w:t>
      </w:r>
      <w:r w:rsidR="0063023C" w:rsidRPr="00AD2D8C">
        <w:rPr>
          <w:rFonts w:ascii="Arial" w:hAnsi="Arial" w:cs="Arial"/>
        </w:rPr>
        <w:t xml:space="preserve"> (Gerard, 2022)</w:t>
      </w:r>
      <w:r w:rsidRPr="00AD2D8C">
        <w:rPr>
          <w:rFonts w:ascii="Arial" w:hAnsi="Arial" w:cs="Arial"/>
        </w:rPr>
        <w:t xml:space="preserve">. Divestiture of underperforming assets and cost optimisation are some of the strategies that can be employed to increase profitability by removing inefficiency and increasing </w:t>
      </w:r>
      <w:r w:rsidR="00967159" w:rsidRPr="00AD2D8C">
        <w:rPr>
          <w:rFonts w:ascii="Arial" w:hAnsi="Arial" w:cs="Arial"/>
        </w:rPr>
        <w:t>margins</w:t>
      </w:r>
      <w:r w:rsidRPr="00AD2D8C">
        <w:rPr>
          <w:rFonts w:ascii="Arial" w:hAnsi="Arial" w:cs="Arial"/>
        </w:rPr>
        <w:t xml:space="preserve">. This is especially so because the net profit margin has decreased to 6.17 percent in 2021 and 2.14 percent in 2025 and the returns on equity have decreased to 4.54 percent in 2023 and 1.65 percent in 2025 respectively, suggesting deteriorating shareholder returns. It would help the company to create more earnings and regain the confidence of the investors by concentrating on areas that are performing well and achieving efficiency in its operations. In as much as equity injection can cause short term dilution of the ownership of the existing shareholders, it enhances the financial strength of the company and helps in sustaining the growth plans in the long term. </w:t>
      </w:r>
    </w:p>
    <w:p w14:paraId="1B369DE8" w14:textId="77777777" w:rsidR="003D0DB5" w:rsidRPr="00AD2D8C" w:rsidRDefault="00CB24C9" w:rsidP="00023C50">
      <w:pPr>
        <w:rPr>
          <w:rFonts w:ascii="Arial" w:hAnsi="Arial" w:cs="Arial"/>
        </w:rPr>
      </w:pPr>
      <w:r w:rsidRPr="00AD2D8C">
        <w:rPr>
          <w:rFonts w:ascii="Arial" w:hAnsi="Arial" w:cs="Arial"/>
        </w:rPr>
        <w:t xml:space="preserve">b) </w:t>
      </w:r>
      <w:r w:rsidRPr="00AD2D8C">
        <w:rPr>
          <w:rFonts w:ascii="Arial" w:hAnsi="Arial" w:cs="Arial"/>
          <w:b/>
          <w:bCs/>
        </w:rPr>
        <w:t>Debt Structure</w:t>
      </w:r>
      <w:r w:rsidRPr="00AD2D8C">
        <w:rPr>
          <w:rFonts w:ascii="Arial" w:hAnsi="Arial" w:cs="Arial"/>
        </w:rPr>
        <w:t xml:space="preserve"> The capital structure of Volkswagen has been highly improved, which is evident in the decrease in the debt-to-assets ratio (0.26 in 2022 to 0.15 in 2025), and the decrease in the debt-to-equity ratio (0.46). This implies that there </w:t>
      </w:r>
      <w:r w:rsidR="00C60E0D" w:rsidRPr="00AD2D8C">
        <w:rPr>
          <w:rFonts w:ascii="Arial" w:hAnsi="Arial" w:cs="Arial"/>
        </w:rPr>
        <w:t>are</w:t>
      </w:r>
      <w:r w:rsidRPr="00AD2D8C">
        <w:rPr>
          <w:rFonts w:ascii="Arial" w:hAnsi="Arial" w:cs="Arial"/>
        </w:rPr>
        <w:t xml:space="preserve"> less financial leverage and a lesser exposure to financial risk. Although such a conservative strategy strengthens financial stability, it can also imply that the strategy under-uses debt as a source of finance</w:t>
      </w:r>
      <w:r w:rsidR="00B635CD" w:rsidRPr="00AD2D8C">
        <w:rPr>
          <w:rFonts w:ascii="Arial" w:hAnsi="Arial" w:cs="Arial"/>
        </w:rPr>
        <w:t xml:space="preserve"> (Choudhury and Madhia, 2024)</w:t>
      </w:r>
      <w:r w:rsidRPr="00AD2D8C">
        <w:rPr>
          <w:rFonts w:ascii="Arial" w:hAnsi="Arial" w:cs="Arial"/>
        </w:rPr>
        <w:t xml:space="preserve">. A good capital structure will be one that entails a balance between debt and equity. A moderate debt level may lead to tax benefits in terms of deductibility of interest and enhance equity returns. </w:t>
      </w:r>
    </w:p>
    <w:p w14:paraId="1954851B" w14:textId="77777777" w:rsidR="006565AA" w:rsidRPr="00AD2D8C" w:rsidRDefault="008C371E" w:rsidP="00023C50">
      <w:pPr>
        <w:rPr>
          <w:rFonts w:ascii="Arial" w:hAnsi="Arial" w:cs="Arial"/>
          <w:lang w:val="en-IN"/>
        </w:rPr>
      </w:pPr>
      <w:r w:rsidRPr="00AD2D8C">
        <w:rPr>
          <w:rFonts w:ascii="Arial" w:hAnsi="Arial" w:cs="Arial"/>
        </w:rPr>
        <w:t xml:space="preserve">c) </w:t>
      </w:r>
      <w:r w:rsidRPr="00AD2D8C">
        <w:rPr>
          <w:rFonts w:ascii="Arial" w:hAnsi="Arial" w:cs="Arial"/>
          <w:b/>
          <w:bCs/>
        </w:rPr>
        <w:t xml:space="preserve">Operational Flexibility </w:t>
      </w:r>
      <w:r w:rsidR="00967159" w:rsidRPr="00AD2D8C">
        <w:rPr>
          <w:rFonts w:ascii="Arial" w:hAnsi="Arial" w:cs="Arial"/>
          <w:b/>
          <w:bCs/>
        </w:rPr>
        <w:t>restructuring</w:t>
      </w:r>
      <w:r w:rsidRPr="00AD2D8C">
        <w:rPr>
          <w:rFonts w:ascii="Arial" w:hAnsi="Arial" w:cs="Arial"/>
        </w:rPr>
        <w:t xml:space="preserve"> solutions like divestitures and strategic alliances can </w:t>
      </w:r>
      <w:r w:rsidR="002075C4" w:rsidRPr="00AD2D8C">
        <w:rPr>
          <w:rFonts w:ascii="Arial" w:hAnsi="Arial" w:cs="Arial"/>
        </w:rPr>
        <w:t>ensure a</w:t>
      </w:r>
      <w:r w:rsidRPr="00AD2D8C">
        <w:rPr>
          <w:rFonts w:ascii="Arial" w:hAnsi="Arial" w:cs="Arial"/>
        </w:rPr>
        <w:t xml:space="preserve"> long way to make operations more flexible by allowing Volkswagen to concentrate on its core capabilities and growth points, especially in electric and digital mobility</w:t>
      </w:r>
      <w:r w:rsidR="008E20CF" w:rsidRPr="00AD2D8C">
        <w:rPr>
          <w:rFonts w:ascii="Arial" w:hAnsi="Arial" w:cs="Arial"/>
        </w:rPr>
        <w:t xml:space="preserve"> (</w:t>
      </w:r>
      <w:proofErr w:type="spellStart"/>
      <w:r w:rsidR="008E20CF" w:rsidRPr="00AD2D8C">
        <w:rPr>
          <w:rFonts w:ascii="Arial" w:hAnsi="Arial" w:cs="Arial"/>
        </w:rPr>
        <w:t>Jerab</w:t>
      </w:r>
      <w:proofErr w:type="spellEnd"/>
      <w:r w:rsidR="008E20CF" w:rsidRPr="00AD2D8C">
        <w:rPr>
          <w:rFonts w:ascii="Arial" w:hAnsi="Arial" w:cs="Arial"/>
        </w:rPr>
        <w:t xml:space="preserve"> and Mabrouk, 2023)</w:t>
      </w:r>
      <w:r w:rsidRPr="00AD2D8C">
        <w:rPr>
          <w:rFonts w:ascii="Arial" w:hAnsi="Arial" w:cs="Arial"/>
        </w:rPr>
        <w:t xml:space="preserve">. The decrease in the asset turnover ratio, which was 0.55 in 2023 and 0.50 in 2025 indicates that the efficiency of the asset utilisation process was lower than in 2023, and a more focused and agile operational structure is necessary. It is also necessary to improve flexibility by improving the working capital management. The decline in the inventory turnover in 2025 implies slower movement of inventory, which </w:t>
      </w:r>
      <w:r w:rsidRPr="00AD2D8C">
        <w:rPr>
          <w:rFonts w:ascii="Arial" w:hAnsi="Arial" w:cs="Arial"/>
        </w:rPr>
        <w:lastRenderedPageBreak/>
        <w:t xml:space="preserve">binds up capital and decreases responsiveness. The company can better react to changes in the market and investment opportunities by optimising its inventory levels and enhance liquidity, particularly with the falling current and quick ratios. </w:t>
      </w:r>
    </w:p>
    <w:p w14:paraId="5A831CA5" w14:textId="77777777" w:rsidR="00EE1A7B" w:rsidRPr="00AD2D8C" w:rsidRDefault="00EE1A7B" w:rsidP="004744C4">
      <w:pPr>
        <w:pStyle w:val="Heading2"/>
        <w:rPr>
          <w:rFonts w:ascii="Arial" w:hAnsi="Arial" w:cs="Arial"/>
        </w:rPr>
      </w:pPr>
      <w:bookmarkStart w:id="14" w:name="_Toc227925105"/>
      <w:r w:rsidRPr="00AD2D8C">
        <w:rPr>
          <w:rFonts w:ascii="Arial" w:hAnsi="Arial" w:cs="Arial"/>
        </w:rPr>
        <w:t>4.3 Global &amp; Ethical Considerations</w:t>
      </w:r>
      <w:bookmarkEnd w:id="14"/>
    </w:p>
    <w:p w14:paraId="72EEDCDA" w14:textId="77777777" w:rsidR="00542382" w:rsidRPr="00AD2D8C" w:rsidRDefault="00542382" w:rsidP="00542382">
      <w:pPr>
        <w:rPr>
          <w:rFonts w:ascii="Arial" w:hAnsi="Arial" w:cs="Arial"/>
        </w:rPr>
      </w:pPr>
      <w:r w:rsidRPr="00AD2D8C">
        <w:rPr>
          <w:rFonts w:ascii="Arial" w:hAnsi="Arial" w:cs="Arial"/>
        </w:rPr>
        <w:t xml:space="preserve">a) </w:t>
      </w:r>
      <w:r w:rsidRPr="00AD2D8C">
        <w:rPr>
          <w:rFonts w:ascii="Arial" w:hAnsi="Arial" w:cs="Arial"/>
          <w:b/>
          <w:bCs/>
        </w:rPr>
        <w:t>Taxation</w:t>
      </w:r>
      <w:r w:rsidRPr="00AD2D8C">
        <w:rPr>
          <w:rFonts w:ascii="Arial" w:hAnsi="Arial" w:cs="Arial"/>
        </w:rPr>
        <w:t xml:space="preserve"> As a transnational Company, Volkswagen Group </w:t>
      </w:r>
      <w:proofErr w:type="gramStart"/>
      <w:r w:rsidRPr="00AD2D8C">
        <w:rPr>
          <w:rFonts w:ascii="Arial" w:hAnsi="Arial" w:cs="Arial"/>
        </w:rPr>
        <w:t>has to</w:t>
      </w:r>
      <w:proofErr w:type="gramEnd"/>
      <w:r w:rsidRPr="00AD2D8C">
        <w:rPr>
          <w:rFonts w:ascii="Arial" w:hAnsi="Arial" w:cs="Arial"/>
        </w:rPr>
        <w:t xml:space="preserve"> deal with a variety of taxation jurisdictions and taxation is a significant factor that must be considered in the financial restructuring. Divestitures, mergers, or equity restructuring strategies can cause large tax expenses, including capital gains taxes and alterations to transfer pricing arrangements</w:t>
      </w:r>
      <w:r w:rsidR="007C7F92" w:rsidRPr="00AD2D8C">
        <w:rPr>
          <w:rFonts w:ascii="Arial" w:hAnsi="Arial" w:cs="Arial"/>
        </w:rPr>
        <w:t xml:space="preserve"> (</w:t>
      </w:r>
      <w:r w:rsidR="006B7CAE" w:rsidRPr="00AD2D8C">
        <w:rPr>
          <w:rFonts w:ascii="Arial" w:hAnsi="Arial" w:cs="Arial"/>
        </w:rPr>
        <w:t>Huang, 2025</w:t>
      </w:r>
      <w:r w:rsidR="007C7F92" w:rsidRPr="00AD2D8C">
        <w:rPr>
          <w:rFonts w:ascii="Arial" w:hAnsi="Arial" w:cs="Arial"/>
        </w:rPr>
        <w:t>)</w:t>
      </w:r>
      <w:r w:rsidRPr="00AD2D8C">
        <w:rPr>
          <w:rFonts w:ascii="Arial" w:hAnsi="Arial" w:cs="Arial"/>
        </w:rPr>
        <w:t xml:space="preserve">. The implications should be weighed cautiously to make sure that the financial benefits of restructuring should not be counterbalanced with the higher tax burdens. </w:t>
      </w:r>
    </w:p>
    <w:p w14:paraId="509B7B26" w14:textId="77777777" w:rsidR="004847AC" w:rsidRPr="00AD2D8C" w:rsidRDefault="004847AC" w:rsidP="00542382">
      <w:pPr>
        <w:rPr>
          <w:rFonts w:ascii="Arial" w:hAnsi="Arial" w:cs="Arial"/>
        </w:rPr>
      </w:pPr>
      <w:r w:rsidRPr="00AD2D8C">
        <w:rPr>
          <w:rFonts w:ascii="Arial" w:hAnsi="Arial" w:cs="Arial"/>
          <w:b/>
          <w:bCs/>
        </w:rPr>
        <w:t>b) Currency Risk</w:t>
      </w:r>
      <w:r w:rsidRPr="00AD2D8C">
        <w:rPr>
          <w:rFonts w:ascii="Arial" w:hAnsi="Arial" w:cs="Arial"/>
        </w:rPr>
        <w:t xml:space="preserve"> VW has a high exposure to foreign exchange due to its international business activities. Currency fluctuations may directly affect revenues, costs and profitability in general, especially when revenues earned in foreign markets are translated into </w:t>
      </w:r>
      <w:r w:rsidR="00967159" w:rsidRPr="00AD2D8C">
        <w:rPr>
          <w:rFonts w:ascii="Arial" w:hAnsi="Arial" w:cs="Arial"/>
        </w:rPr>
        <w:t>Euros</w:t>
      </w:r>
      <w:r w:rsidR="00913A52" w:rsidRPr="00AD2D8C">
        <w:rPr>
          <w:rFonts w:ascii="Arial" w:hAnsi="Arial" w:cs="Arial"/>
        </w:rPr>
        <w:t xml:space="preserve"> (Venkatesan, 2025)</w:t>
      </w:r>
      <w:r w:rsidRPr="00AD2D8C">
        <w:rPr>
          <w:rFonts w:ascii="Arial" w:hAnsi="Arial" w:cs="Arial"/>
        </w:rPr>
        <w:t xml:space="preserve">. As an example, a weakening of key operating </w:t>
      </w:r>
      <w:r w:rsidR="00D40DA4" w:rsidRPr="00AD2D8C">
        <w:rPr>
          <w:rFonts w:ascii="Arial" w:hAnsi="Arial" w:cs="Arial"/>
        </w:rPr>
        <w:t>currencies</w:t>
      </w:r>
      <w:r w:rsidRPr="00AD2D8C">
        <w:rPr>
          <w:rFonts w:ascii="Arial" w:hAnsi="Arial" w:cs="Arial"/>
        </w:rPr>
        <w:t xml:space="preserve"> relative to the euro has the potential to decrease reported revenues and margins. Seeing the drop in profitability indicators like profit margin and net profit margin, currency risk management is </w:t>
      </w:r>
      <w:proofErr w:type="gramStart"/>
      <w:r w:rsidRPr="00AD2D8C">
        <w:rPr>
          <w:rFonts w:ascii="Arial" w:hAnsi="Arial" w:cs="Arial"/>
        </w:rPr>
        <w:t>all the more</w:t>
      </w:r>
      <w:proofErr w:type="gramEnd"/>
      <w:r w:rsidRPr="00AD2D8C">
        <w:rPr>
          <w:rFonts w:ascii="Arial" w:hAnsi="Arial" w:cs="Arial"/>
        </w:rPr>
        <w:t xml:space="preserve"> important. </w:t>
      </w:r>
    </w:p>
    <w:p w14:paraId="77D0467B" w14:textId="77777777" w:rsidR="005654F2" w:rsidRPr="00AD2D8C" w:rsidRDefault="005654F2" w:rsidP="00542382">
      <w:pPr>
        <w:rPr>
          <w:rFonts w:ascii="Arial" w:hAnsi="Arial" w:cs="Arial"/>
        </w:rPr>
      </w:pPr>
      <w:r w:rsidRPr="00AD2D8C">
        <w:rPr>
          <w:rFonts w:ascii="Arial" w:hAnsi="Arial" w:cs="Arial"/>
          <w:b/>
          <w:bCs/>
        </w:rPr>
        <w:t>c) Inflation</w:t>
      </w:r>
      <w:r w:rsidRPr="00AD2D8C">
        <w:rPr>
          <w:rFonts w:ascii="Arial" w:hAnsi="Arial" w:cs="Arial"/>
        </w:rPr>
        <w:t xml:space="preserve"> Another important external factor that has an impact on financial performance is inflation. An increase in the prices of raw materials, energy, and labour will reduce the profit margins, which could be among the factors that could have contributed to the drop in operating margins between 7.70 and 2.75 in 2021 and 2025 respectively. </w:t>
      </w:r>
    </w:p>
    <w:p w14:paraId="0C2CC92F" w14:textId="77777777" w:rsidR="00A07702" w:rsidRPr="00AD2D8C" w:rsidRDefault="00A07702" w:rsidP="00542382">
      <w:pPr>
        <w:rPr>
          <w:rFonts w:ascii="Arial" w:hAnsi="Arial" w:cs="Arial"/>
        </w:rPr>
      </w:pPr>
      <w:r w:rsidRPr="00AD2D8C">
        <w:rPr>
          <w:rFonts w:ascii="Arial" w:hAnsi="Arial" w:cs="Arial"/>
          <w:b/>
          <w:bCs/>
        </w:rPr>
        <w:t>d) Corporate Social Responsibility (CSR</w:t>
      </w:r>
      <w:r w:rsidRPr="00AD2D8C">
        <w:rPr>
          <w:rFonts w:ascii="Arial" w:hAnsi="Arial" w:cs="Arial"/>
        </w:rPr>
        <w:t>) Ethical aspects are crucial in the process of financial restructuring</w:t>
      </w:r>
      <w:r w:rsidR="006407AC" w:rsidRPr="00AD2D8C">
        <w:rPr>
          <w:rFonts w:ascii="Arial" w:hAnsi="Arial" w:cs="Arial"/>
        </w:rPr>
        <w:t xml:space="preserve"> (</w:t>
      </w:r>
      <w:proofErr w:type="spellStart"/>
      <w:r w:rsidR="006407AC" w:rsidRPr="00AD2D8C">
        <w:rPr>
          <w:rFonts w:ascii="Arial" w:hAnsi="Arial" w:cs="Arial"/>
        </w:rPr>
        <w:t>Havlinova</w:t>
      </w:r>
      <w:proofErr w:type="spellEnd"/>
      <w:r w:rsidR="006407AC" w:rsidRPr="00AD2D8C">
        <w:rPr>
          <w:rFonts w:ascii="Arial" w:hAnsi="Arial" w:cs="Arial"/>
        </w:rPr>
        <w:t xml:space="preserve"> </w:t>
      </w:r>
      <w:r w:rsidR="00967159" w:rsidRPr="00AD2D8C">
        <w:rPr>
          <w:rFonts w:ascii="Arial" w:hAnsi="Arial" w:cs="Arial"/>
        </w:rPr>
        <w:t>and</w:t>
      </w:r>
      <w:r w:rsidR="006407AC" w:rsidRPr="00AD2D8C">
        <w:rPr>
          <w:rFonts w:ascii="Arial" w:hAnsi="Arial" w:cs="Arial"/>
        </w:rPr>
        <w:t xml:space="preserve"> Kukacka, 2023)</w:t>
      </w:r>
      <w:r w:rsidRPr="00AD2D8C">
        <w:rPr>
          <w:rFonts w:ascii="Arial" w:hAnsi="Arial" w:cs="Arial"/>
        </w:rPr>
        <w:t xml:space="preserve">. Volkswagen should also make sure that any moves like cost </w:t>
      </w:r>
      <w:proofErr w:type="gramStart"/>
      <w:r w:rsidRPr="00AD2D8C">
        <w:rPr>
          <w:rFonts w:ascii="Arial" w:hAnsi="Arial" w:cs="Arial"/>
        </w:rPr>
        <w:t>cuts, or</w:t>
      </w:r>
      <w:proofErr w:type="gramEnd"/>
      <w:r w:rsidRPr="00AD2D8C">
        <w:rPr>
          <w:rFonts w:ascii="Arial" w:hAnsi="Arial" w:cs="Arial"/>
        </w:rPr>
        <w:t xml:space="preserve"> selling off is done in a responsible manner that does not affect employees, communities, and environmental commitments in a negative way. With the company still in the process of switching to electric cars, it should focus on sustainability and meet international environmental standards. Effective CSR practices are known to not only improve corporate </w:t>
      </w:r>
      <w:proofErr w:type="gramStart"/>
      <w:r w:rsidRPr="00AD2D8C">
        <w:rPr>
          <w:rFonts w:ascii="Arial" w:hAnsi="Arial" w:cs="Arial"/>
        </w:rPr>
        <w:t>reputation, but</w:t>
      </w:r>
      <w:proofErr w:type="gramEnd"/>
      <w:r w:rsidRPr="00AD2D8C">
        <w:rPr>
          <w:rFonts w:ascii="Arial" w:hAnsi="Arial" w:cs="Arial"/>
        </w:rPr>
        <w:t xml:space="preserve"> also promote shareholder value over the long term and regulatory compliance, mitigating reputational and legal risks.</w:t>
      </w:r>
    </w:p>
    <w:p w14:paraId="2D2EC427" w14:textId="77777777" w:rsidR="00EE1A7B" w:rsidRPr="00AD2D8C" w:rsidRDefault="00965F2B" w:rsidP="00465B43">
      <w:pPr>
        <w:pStyle w:val="Heading1"/>
        <w:rPr>
          <w:rFonts w:ascii="Arial" w:hAnsi="Arial" w:cs="Arial"/>
        </w:rPr>
      </w:pPr>
      <w:bookmarkStart w:id="15" w:name="_Toc227925106"/>
      <w:r w:rsidRPr="00AD2D8C">
        <w:rPr>
          <w:rFonts w:ascii="Arial" w:hAnsi="Arial" w:cs="Arial"/>
        </w:rPr>
        <w:lastRenderedPageBreak/>
        <w:t>5. Investment Appraisal &amp; Capital Budgeting</w:t>
      </w:r>
      <w:bookmarkEnd w:id="15"/>
    </w:p>
    <w:p w14:paraId="7627C8DB" w14:textId="77777777" w:rsidR="00D357C9" w:rsidRPr="00AD2D8C" w:rsidRDefault="00D357C9" w:rsidP="00D357C9">
      <w:pPr>
        <w:rPr>
          <w:rFonts w:ascii="Arial" w:hAnsi="Arial" w:cs="Arial"/>
        </w:rPr>
      </w:pPr>
      <w:r w:rsidRPr="00AD2D8C">
        <w:rPr>
          <w:rFonts w:ascii="Arial" w:hAnsi="Arial" w:cs="Arial"/>
        </w:rPr>
        <w:t>This section evaluates the three proposed strategic projects using the financial data and calculations provided.</w:t>
      </w:r>
      <w:r w:rsidR="00010E6D" w:rsidRPr="00AD2D8C">
        <w:rPr>
          <w:rFonts w:ascii="Arial" w:hAnsi="Arial" w:cs="Arial"/>
        </w:rPr>
        <w:t xml:space="preserve"> A</w:t>
      </w:r>
      <w:r w:rsidRPr="00AD2D8C">
        <w:rPr>
          <w:rFonts w:ascii="Arial" w:hAnsi="Arial" w:cs="Arial"/>
        </w:rPr>
        <w:t xml:space="preserve"> 10% discount rate is applied, and the Group faces a £100 million capital </w:t>
      </w:r>
      <w:r w:rsidR="00967159" w:rsidRPr="00AD2D8C">
        <w:rPr>
          <w:rFonts w:ascii="Arial" w:hAnsi="Arial" w:cs="Arial"/>
        </w:rPr>
        <w:t>ratio</w:t>
      </w:r>
      <w:r w:rsidRPr="00AD2D8C">
        <w:rPr>
          <w:rFonts w:ascii="Arial" w:hAnsi="Arial" w:cs="Arial"/>
        </w:rPr>
        <w:t>.</w:t>
      </w:r>
    </w:p>
    <w:p w14:paraId="6F517EB4" w14:textId="77777777" w:rsidR="00965F2B" w:rsidRPr="00AD2D8C" w:rsidRDefault="00965F2B" w:rsidP="00D45D54">
      <w:pPr>
        <w:pStyle w:val="Heading2"/>
        <w:rPr>
          <w:rFonts w:ascii="Arial" w:hAnsi="Arial" w:cs="Arial"/>
        </w:rPr>
      </w:pPr>
      <w:bookmarkStart w:id="16" w:name="_Toc227925107"/>
      <w:r w:rsidRPr="00AD2D8C">
        <w:rPr>
          <w:rFonts w:ascii="Arial" w:hAnsi="Arial" w:cs="Arial"/>
        </w:rPr>
        <w:t>5.1 Project Evaluation (A, B, C)</w:t>
      </w:r>
      <w:bookmarkEnd w:id="16"/>
    </w:p>
    <w:tbl>
      <w:tblPr>
        <w:tblStyle w:val="TableGrid"/>
        <w:tblW w:w="9351" w:type="dxa"/>
        <w:tblLook w:val="04A0" w:firstRow="1" w:lastRow="0" w:firstColumn="1" w:lastColumn="0" w:noHBand="0" w:noVBand="1"/>
      </w:tblPr>
      <w:tblGrid>
        <w:gridCol w:w="3723"/>
        <w:gridCol w:w="1942"/>
        <w:gridCol w:w="1560"/>
        <w:gridCol w:w="2126"/>
      </w:tblGrid>
      <w:tr w:rsidR="004419D2" w:rsidRPr="00AD2D8C" w14:paraId="3B094A01" w14:textId="77777777" w:rsidTr="0026542E">
        <w:tc>
          <w:tcPr>
            <w:tcW w:w="0" w:type="auto"/>
            <w:hideMark/>
          </w:tcPr>
          <w:p w14:paraId="2476B70E" w14:textId="77777777" w:rsidR="004419D2" w:rsidRPr="00AD2D8C" w:rsidRDefault="004419D2" w:rsidP="004419D2">
            <w:pPr>
              <w:rPr>
                <w:rFonts w:ascii="Arial" w:hAnsi="Arial" w:cs="Arial"/>
                <w:lang w:val="en-IN"/>
              </w:rPr>
            </w:pPr>
            <w:r w:rsidRPr="00AD2D8C">
              <w:rPr>
                <w:rFonts w:ascii="Arial" w:hAnsi="Arial" w:cs="Arial"/>
                <w:b/>
                <w:bCs/>
                <w:lang w:val="en-IN"/>
              </w:rPr>
              <w:t>Metric</w:t>
            </w:r>
          </w:p>
        </w:tc>
        <w:tc>
          <w:tcPr>
            <w:tcW w:w="1942" w:type="dxa"/>
            <w:hideMark/>
          </w:tcPr>
          <w:p w14:paraId="79594AB5" w14:textId="77777777" w:rsidR="004419D2" w:rsidRPr="00AD2D8C" w:rsidRDefault="004419D2" w:rsidP="004419D2">
            <w:pPr>
              <w:rPr>
                <w:rFonts w:ascii="Arial" w:hAnsi="Arial" w:cs="Arial"/>
                <w:lang w:val="en-IN"/>
              </w:rPr>
            </w:pPr>
            <w:r w:rsidRPr="00AD2D8C">
              <w:rPr>
                <w:rFonts w:ascii="Arial" w:hAnsi="Arial" w:cs="Arial"/>
                <w:b/>
                <w:bCs/>
                <w:lang w:val="en-IN"/>
              </w:rPr>
              <w:t>Project A</w:t>
            </w:r>
          </w:p>
        </w:tc>
        <w:tc>
          <w:tcPr>
            <w:tcW w:w="1560" w:type="dxa"/>
            <w:hideMark/>
          </w:tcPr>
          <w:p w14:paraId="7193EB8D" w14:textId="77777777" w:rsidR="004419D2" w:rsidRPr="00AD2D8C" w:rsidRDefault="004419D2" w:rsidP="004419D2">
            <w:pPr>
              <w:rPr>
                <w:rFonts w:ascii="Arial" w:hAnsi="Arial" w:cs="Arial"/>
                <w:lang w:val="en-IN"/>
              </w:rPr>
            </w:pPr>
            <w:r w:rsidRPr="00AD2D8C">
              <w:rPr>
                <w:rFonts w:ascii="Arial" w:hAnsi="Arial" w:cs="Arial"/>
                <w:b/>
                <w:bCs/>
                <w:lang w:val="en-IN"/>
              </w:rPr>
              <w:t>Project B</w:t>
            </w:r>
          </w:p>
        </w:tc>
        <w:tc>
          <w:tcPr>
            <w:tcW w:w="2126" w:type="dxa"/>
            <w:hideMark/>
          </w:tcPr>
          <w:p w14:paraId="52C06C58" w14:textId="77777777" w:rsidR="004419D2" w:rsidRPr="00AD2D8C" w:rsidRDefault="004419D2" w:rsidP="004419D2">
            <w:pPr>
              <w:rPr>
                <w:rFonts w:ascii="Arial" w:hAnsi="Arial" w:cs="Arial"/>
                <w:lang w:val="en-IN"/>
              </w:rPr>
            </w:pPr>
            <w:r w:rsidRPr="00AD2D8C">
              <w:rPr>
                <w:rFonts w:ascii="Arial" w:hAnsi="Arial" w:cs="Arial"/>
                <w:b/>
                <w:bCs/>
                <w:lang w:val="en-IN"/>
              </w:rPr>
              <w:t>Project C</w:t>
            </w:r>
          </w:p>
        </w:tc>
      </w:tr>
      <w:tr w:rsidR="004419D2" w:rsidRPr="00AD2D8C" w14:paraId="1A8CA64C" w14:textId="77777777" w:rsidTr="0026542E">
        <w:tc>
          <w:tcPr>
            <w:tcW w:w="0" w:type="auto"/>
            <w:hideMark/>
          </w:tcPr>
          <w:p w14:paraId="6E68E0A0" w14:textId="77777777" w:rsidR="004419D2" w:rsidRPr="00AD2D8C" w:rsidRDefault="004419D2" w:rsidP="004419D2">
            <w:pPr>
              <w:rPr>
                <w:rFonts w:ascii="Arial" w:hAnsi="Arial" w:cs="Arial"/>
                <w:lang w:val="en-IN"/>
              </w:rPr>
            </w:pPr>
            <w:r w:rsidRPr="00AD2D8C">
              <w:rPr>
                <w:rFonts w:ascii="Arial" w:hAnsi="Arial" w:cs="Arial"/>
                <w:b/>
                <w:bCs/>
                <w:lang w:val="en-IN"/>
              </w:rPr>
              <w:t>Initial Investment</w:t>
            </w:r>
          </w:p>
        </w:tc>
        <w:tc>
          <w:tcPr>
            <w:tcW w:w="1942" w:type="dxa"/>
            <w:hideMark/>
          </w:tcPr>
          <w:p w14:paraId="487E5947" w14:textId="77777777" w:rsidR="004419D2" w:rsidRPr="00AD2D8C" w:rsidRDefault="004419D2" w:rsidP="004419D2">
            <w:pPr>
              <w:rPr>
                <w:rFonts w:ascii="Arial" w:hAnsi="Arial" w:cs="Arial"/>
                <w:lang w:val="en-IN"/>
              </w:rPr>
            </w:pPr>
            <w:r w:rsidRPr="00AD2D8C">
              <w:rPr>
                <w:rFonts w:ascii="Arial" w:hAnsi="Arial" w:cs="Arial"/>
                <w:lang w:val="en-IN"/>
              </w:rPr>
              <w:t>£50m</w:t>
            </w:r>
          </w:p>
        </w:tc>
        <w:tc>
          <w:tcPr>
            <w:tcW w:w="1560" w:type="dxa"/>
            <w:hideMark/>
          </w:tcPr>
          <w:p w14:paraId="3233DC13" w14:textId="77777777" w:rsidR="004419D2" w:rsidRPr="00AD2D8C" w:rsidRDefault="004419D2" w:rsidP="004419D2">
            <w:pPr>
              <w:rPr>
                <w:rFonts w:ascii="Arial" w:hAnsi="Arial" w:cs="Arial"/>
                <w:lang w:val="en-IN"/>
              </w:rPr>
            </w:pPr>
            <w:r w:rsidRPr="00AD2D8C">
              <w:rPr>
                <w:rFonts w:ascii="Arial" w:hAnsi="Arial" w:cs="Arial"/>
                <w:lang w:val="en-IN"/>
              </w:rPr>
              <w:t>£50m</w:t>
            </w:r>
          </w:p>
        </w:tc>
        <w:tc>
          <w:tcPr>
            <w:tcW w:w="2126" w:type="dxa"/>
            <w:hideMark/>
          </w:tcPr>
          <w:p w14:paraId="0A8E923B" w14:textId="77777777" w:rsidR="004419D2" w:rsidRPr="00AD2D8C" w:rsidRDefault="004419D2" w:rsidP="004419D2">
            <w:pPr>
              <w:rPr>
                <w:rFonts w:ascii="Arial" w:hAnsi="Arial" w:cs="Arial"/>
                <w:lang w:val="en-IN"/>
              </w:rPr>
            </w:pPr>
            <w:r w:rsidRPr="00AD2D8C">
              <w:rPr>
                <w:rFonts w:ascii="Arial" w:hAnsi="Arial" w:cs="Arial"/>
                <w:lang w:val="en-IN"/>
              </w:rPr>
              <w:t>£50m</w:t>
            </w:r>
          </w:p>
        </w:tc>
      </w:tr>
      <w:tr w:rsidR="004419D2" w:rsidRPr="00AD2D8C" w14:paraId="2AE78F02" w14:textId="77777777" w:rsidTr="0026542E">
        <w:tc>
          <w:tcPr>
            <w:tcW w:w="0" w:type="auto"/>
            <w:hideMark/>
          </w:tcPr>
          <w:p w14:paraId="20D46251" w14:textId="77777777" w:rsidR="004419D2" w:rsidRPr="00AD2D8C" w:rsidRDefault="004419D2" w:rsidP="004419D2">
            <w:pPr>
              <w:rPr>
                <w:rFonts w:ascii="Arial" w:hAnsi="Arial" w:cs="Arial"/>
                <w:lang w:val="en-IN"/>
              </w:rPr>
            </w:pPr>
            <w:r w:rsidRPr="00AD2D8C">
              <w:rPr>
                <w:rFonts w:ascii="Arial" w:hAnsi="Arial" w:cs="Arial"/>
                <w:b/>
                <w:bCs/>
                <w:lang w:val="en-IN"/>
              </w:rPr>
              <w:t>Net Present Value (NPV)</w:t>
            </w:r>
          </w:p>
        </w:tc>
        <w:tc>
          <w:tcPr>
            <w:tcW w:w="1942" w:type="dxa"/>
            <w:hideMark/>
          </w:tcPr>
          <w:p w14:paraId="0ECC7374" w14:textId="77777777" w:rsidR="004419D2" w:rsidRPr="00AD2D8C" w:rsidRDefault="004419D2" w:rsidP="004419D2">
            <w:pPr>
              <w:rPr>
                <w:rFonts w:ascii="Arial" w:hAnsi="Arial" w:cs="Arial"/>
                <w:lang w:val="en-IN"/>
              </w:rPr>
            </w:pPr>
            <w:r w:rsidRPr="00AD2D8C">
              <w:rPr>
                <w:rFonts w:ascii="Arial" w:hAnsi="Arial" w:cs="Arial"/>
                <w:lang w:val="en-IN"/>
              </w:rPr>
              <w:t>-£8.69m</w:t>
            </w:r>
          </w:p>
        </w:tc>
        <w:tc>
          <w:tcPr>
            <w:tcW w:w="1560" w:type="dxa"/>
            <w:hideMark/>
          </w:tcPr>
          <w:p w14:paraId="5475DB31" w14:textId="77777777" w:rsidR="004419D2" w:rsidRPr="00AD2D8C" w:rsidRDefault="004419D2" w:rsidP="004419D2">
            <w:pPr>
              <w:rPr>
                <w:rFonts w:ascii="Arial" w:hAnsi="Arial" w:cs="Arial"/>
                <w:lang w:val="en-IN"/>
              </w:rPr>
            </w:pPr>
            <w:r w:rsidRPr="00AD2D8C">
              <w:rPr>
                <w:rFonts w:ascii="Arial" w:hAnsi="Arial" w:cs="Arial"/>
                <w:lang w:val="en-IN"/>
              </w:rPr>
              <w:t>-£8.63m</w:t>
            </w:r>
          </w:p>
        </w:tc>
        <w:tc>
          <w:tcPr>
            <w:tcW w:w="2126" w:type="dxa"/>
            <w:hideMark/>
          </w:tcPr>
          <w:p w14:paraId="4866CD87" w14:textId="77777777" w:rsidR="004419D2" w:rsidRPr="00AD2D8C" w:rsidRDefault="004419D2" w:rsidP="004419D2">
            <w:pPr>
              <w:rPr>
                <w:rFonts w:ascii="Arial" w:hAnsi="Arial" w:cs="Arial"/>
                <w:lang w:val="en-IN"/>
              </w:rPr>
            </w:pPr>
            <w:r w:rsidRPr="00AD2D8C">
              <w:rPr>
                <w:rFonts w:ascii="Arial" w:hAnsi="Arial" w:cs="Arial"/>
                <w:lang w:val="en-IN"/>
              </w:rPr>
              <w:t>-£1.50m</w:t>
            </w:r>
          </w:p>
        </w:tc>
      </w:tr>
      <w:tr w:rsidR="004419D2" w:rsidRPr="00AD2D8C" w14:paraId="318632D4" w14:textId="77777777" w:rsidTr="0026542E">
        <w:tc>
          <w:tcPr>
            <w:tcW w:w="0" w:type="auto"/>
            <w:hideMark/>
          </w:tcPr>
          <w:p w14:paraId="106606D6" w14:textId="77777777" w:rsidR="004419D2" w:rsidRPr="00AD2D8C" w:rsidRDefault="004419D2" w:rsidP="004419D2">
            <w:pPr>
              <w:rPr>
                <w:rFonts w:ascii="Arial" w:hAnsi="Arial" w:cs="Arial"/>
                <w:lang w:val="en-IN"/>
              </w:rPr>
            </w:pPr>
            <w:r w:rsidRPr="00AD2D8C">
              <w:rPr>
                <w:rFonts w:ascii="Arial" w:hAnsi="Arial" w:cs="Arial"/>
                <w:b/>
                <w:bCs/>
                <w:lang w:val="en-IN"/>
              </w:rPr>
              <w:t>Internal Rate of Return (IRR)</w:t>
            </w:r>
          </w:p>
        </w:tc>
        <w:tc>
          <w:tcPr>
            <w:tcW w:w="1942" w:type="dxa"/>
            <w:hideMark/>
          </w:tcPr>
          <w:p w14:paraId="352101AE" w14:textId="77777777" w:rsidR="004419D2" w:rsidRPr="00AD2D8C" w:rsidRDefault="004419D2" w:rsidP="004419D2">
            <w:pPr>
              <w:rPr>
                <w:rFonts w:ascii="Arial" w:hAnsi="Arial" w:cs="Arial"/>
                <w:lang w:val="en-IN"/>
              </w:rPr>
            </w:pPr>
            <w:r w:rsidRPr="00AD2D8C">
              <w:rPr>
                <w:rFonts w:ascii="Arial" w:hAnsi="Arial" w:cs="Arial"/>
                <w:lang w:val="en-IN"/>
              </w:rPr>
              <w:t>3.3%</w:t>
            </w:r>
          </w:p>
        </w:tc>
        <w:tc>
          <w:tcPr>
            <w:tcW w:w="1560" w:type="dxa"/>
            <w:hideMark/>
          </w:tcPr>
          <w:p w14:paraId="4E4A440E" w14:textId="77777777" w:rsidR="004419D2" w:rsidRPr="00AD2D8C" w:rsidRDefault="004419D2" w:rsidP="004419D2">
            <w:pPr>
              <w:rPr>
                <w:rFonts w:ascii="Arial" w:hAnsi="Arial" w:cs="Arial"/>
                <w:lang w:val="en-IN"/>
              </w:rPr>
            </w:pPr>
            <w:r w:rsidRPr="00AD2D8C">
              <w:rPr>
                <w:rFonts w:ascii="Arial" w:hAnsi="Arial" w:cs="Arial"/>
                <w:lang w:val="en-IN"/>
              </w:rPr>
              <w:t>3.3%</w:t>
            </w:r>
          </w:p>
        </w:tc>
        <w:tc>
          <w:tcPr>
            <w:tcW w:w="2126" w:type="dxa"/>
            <w:hideMark/>
          </w:tcPr>
          <w:p w14:paraId="1221B0BE" w14:textId="77777777" w:rsidR="004419D2" w:rsidRPr="00AD2D8C" w:rsidRDefault="004419D2" w:rsidP="004419D2">
            <w:pPr>
              <w:rPr>
                <w:rFonts w:ascii="Arial" w:hAnsi="Arial" w:cs="Arial"/>
                <w:lang w:val="en-IN"/>
              </w:rPr>
            </w:pPr>
            <w:r w:rsidRPr="00AD2D8C">
              <w:rPr>
                <w:rFonts w:ascii="Arial" w:hAnsi="Arial" w:cs="Arial"/>
                <w:lang w:val="en-IN"/>
              </w:rPr>
              <w:t>8.9%</w:t>
            </w:r>
          </w:p>
        </w:tc>
      </w:tr>
      <w:tr w:rsidR="004419D2" w:rsidRPr="00AD2D8C" w14:paraId="597C399F" w14:textId="77777777" w:rsidTr="0026542E">
        <w:tc>
          <w:tcPr>
            <w:tcW w:w="0" w:type="auto"/>
            <w:hideMark/>
          </w:tcPr>
          <w:p w14:paraId="0458C5A3" w14:textId="77777777" w:rsidR="004419D2" w:rsidRPr="00AD2D8C" w:rsidRDefault="004419D2" w:rsidP="004419D2">
            <w:pPr>
              <w:rPr>
                <w:rFonts w:ascii="Arial" w:hAnsi="Arial" w:cs="Arial"/>
                <w:lang w:val="en-IN"/>
              </w:rPr>
            </w:pPr>
            <w:r w:rsidRPr="00AD2D8C">
              <w:rPr>
                <w:rFonts w:ascii="Arial" w:hAnsi="Arial" w:cs="Arial"/>
                <w:b/>
                <w:bCs/>
                <w:lang w:val="en-IN"/>
              </w:rPr>
              <w:t>Accounting Rate of Return (ARR)</w:t>
            </w:r>
          </w:p>
        </w:tc>
        <w:tc>
          <w:tcPr>
            <w:tcW w:w="1942" w:type="dxa"/>
            <w:hideMark/>
          </w:tcPr>
          <w:p w14:paraId="5CA2B0CA" w14:textId="77777777" w:rsidR="004419D2" w:rsidRPr="00AD2D8C" w:rsidRDefault="004419D2" w:rsidP="004419D2">
            <w:pPr>
              <w:rPr>
                <w:rFonts w:ascii="Arial" w:hAnsi="Arial" w:cs="Arial"/>
                <w:lang w:val="en-IN"/>
              </w:rPr>
            </w:pPr>
            <w:r w:rsidRPr="00AD2D8C">
              <w:rPr>
                <w:rFonts w:ascii="Arial" w:hAnsi="Arial" w:cs="Arial"/>
                <w:lang w:val="en-IN"/>
              </w:rPr>
              <w:t>1.6%</w:t>
            </w:r>
          </w:p>
        </w:tc>
        <w:tc>
          <w:tcPr>
            <w:tcW w:w="1560" w:type="dxa"/>
            <w:hideMark/>
          </w:tcPr>
          <w:p w14:paraId="68652686" w14:textId="77777777" w:rsidR="004419D2" w:rsidRPr="00AD2D8C" w:rsidRDefault="004419D2" w:rsidP="004419D2">
            <w:pPr>
              <w:rPr>
                <w:rFonts w:ascii="Arial" w:hAnsi="Arial" w:cs="Arial"/>
                <w:lang w:val="en-IN"/>
              </w:rPr>
            </w:pPr>
            <w:r w:rsidRPr="00AD2D8C">
              <w:rPr>
                <w:rFonts w:ascii="Arial" w:hAnsi="Arial" w:cs="Arial"/>
                <w:lang w:val="en-IN"/>
              </w:rPr>
              <w:t>2.0%</w:t>
            </w:r>
          </w:p>
        </w:tc>
        <w:tc>
          <w:tcPr>
            <w:tcW w:w="2126" w:type="dxa"/>
            <w:hideMark/>
          </w:tcPr>
          <w:p w14:paraId="0B83C729" w14:textId="77777777" w:rsidR="004419D2" w:rsidRPr="00AD2D8C" w:rsidRDefault="004419D2" w:rsidP="004419D2">
            <w:pPr>
              <w:rPr>
                <w:rFonts w:ascii="Arial" w:hAnsi="Arial" w:cs="Arial"/>
                <w:lang w:val="en-IN"/>
              </w:rPr>
            </w:pPr>
            <w:r w:rsidRPr="00AD2D8C">
              <w:rPr>
                <w:rFonts w:ascii="Arial" w:hAnsi="Arial" w:cs="Arial"/>
                <w:lang w:val="en-IN"/>
              </w:rPr>
              <w:t>6.0%</w:t>
            </w:r>
          </w:p>
        </w:tc>
      </w:tr>
      <w:tr w:rsidR="004419D2" w:rsidRPr="00AD2D8C" w14:paraId="077AF70B" w14:textId="77777777" w:rsidTr="0026542E">
        <w:tc>
          <w:tcPr>
            <w:tcW w:w="0" w:type="auto"/>
            <w:hideMark/>
          </w:tcPr>
          <w:p w14:paraId="0DBB7EC7" w14:textId="77777777" w:rsidR="004419D2" w:rsidRPr="00AD2D8C" w:rsidRDefault="004419D2" w:rsidP="004419D2">
            <w:pPr>
              <w:rPr>
                <w:rFonts w:ascii="Arial" w:hAnsi="Arial" w:cs="Arial"/>
                <w:lang w:val="en-IN"/>
              </w:rPr>
            </w:pPr>
            <w:r w:rsidRPr="00AD2D8C">
              <w:rPr>
                <w:rFonts w:ascii="Arial" w:hAnsi="Arial" w:cs="Arial"/>
                <w:b/>
                <w:bCs/>
                <w:lang w:val="en-IN"/>
              </w:rPr>
              <w:t>Payback Period (PBP)</w:t>
            </w:r>
          </w:p>
        </w:tc>
        <w:tc>
          <w:tcPr>
            <w:tcW w:w="1942" w:type="dxa"/>
            <w:hideMark/>
          </w:tcPr>
          <w:p w14:paraId="6CFB4EFD" w14:textId="77777777" w:rsidR="004419D2" w:rsidRPr="00AD2D8C" w:rsidRDefault="004419D2" w:rsidP="004419D2">
            <w:pPr>
              <w:rPr>
                <w:rFonts w:ascii="Arial" w:hAnsi="Arial" w:cs="Arial"/>
                <w:lang w:val="en-IN"/>
              </w:rPr>
            </w:pPr>
            <w:r w:rsidRPr="00AD2D8C">
              <w:rPr>
                <w:rFonts w:ascii="Arial" w:hAnsi="Arial" w:cs="Arial"/>
                <w:lang w:val="en-IN"/>
              </w:rPr>
              <w:t>4.5 Years</w:t>
            </w:r>
          </w:p>
        </w:tc>
        <w:tc>
          <w:tcPr>
            <w:tcW w:w="1560" w:type="dxa"/>
            <w:hideMark/>
          </w:tcPr>
          <w:p w14:paraId="001230AE" w14:textId="77777777" w:rsidR="004419D2" w:rsidRPr="00AD2D8C" w:rsidRDefault="004419D2" w:rsidP="004419D2">
            <w:pPr>
              <w:rPr>
                <w:rFonts w:ascii="Arial" w:hAnsi="Arial" w:cs="Arial"/>
                <w:lang w:val="en-IN"/>
              </w:rPr>
            </w:pPr>
            <w:r w:rsidRPr="00AD2D8C">
              <w:rPr>
                <w:rFonts w:ascii="Arial" w:hAnsi="Arial" w:cs="Arial"/>
                <w:lang w:val="en-IN"/>
              </w:rPr>
              <w:t>4.55 Years</w:t>
            </w:r>
          </w:p>
        </w:tc>
        <w:tc>
          <w:tcPr>
            <w:tcW w:w="2126" w:type="dxa"/>
            <w:hideMark/>
          </w:tcPr>
          <w:p w14:paraId="54E244EC" w14:textId="77777777" w:rsidR="004419D2" w:rsidRPr="00AD2D8C" w:rsidRDefault="004419D2" w:rsidP="004419D2">
            <w:pPr>
              <w:rPr>
                <w:rFonts w:ascii="Arial" w:hAnsi="Arial" w:cs="Arial"/>
                <w:lang w:val="en-IN"/>
              </w:rPr>
            </w:pPr>
            <w:r w:rsidRPr="00AD2D8C">
              <w:rPr>
                <w:rFonts w:ascii="Arial" w:hAnsi="Arial" w:cs="Arial"/>
                <w:lang w:val="en-IN"/>
              </w:rPr>
              <w:t>3.6 Years</w:t>
            </w:r>
          </w:p>
        </w:tc>
      </w:tr>
      <w:tr w:rsidR="004419D2" w:rsidRPr="00AD2D8C" w14:paraId="7B892579" w14:textId="77777777" w:rsidTr="0026542E">
        <w:tc>
          <w:tcPr>
            <w:tcW w:w="0" w:type="auto"/>
            <w:hideMark/>
          </w:tcPr>
          <w:p w14:paraId="136411ED" w14:textId="77777777" w:rsidR="004419D2" w:rsidRPr="00AD2D8C" w:rsidRDefault="004419D2" w:rsidP="004419D2">
            <w:pPr>
              <w:rPr>
                <w:rFonts w:ascii="Arial" w:hAnsi="Arial" w:cs="Arial"/>
                <w:lang w:val="en-IN"/>
              </w:rPr>
            </w:pPr>
            <w:r w:rsidRPr="00AD2D8C">
              <w:rPr>
                <w:rFonts w:ascii="Arial" w:hAnsi="Arial" w:cs="Arial"/>
                <w:b/>
                <w:bCs/>
                <w:lang w:val="en-IN"/>
              </w:rPr>
              <w:t>Profitability Index (PI)</w:t>
            </w:r>
          </w:p>
        </w:tc>
        <w:tc>
          <w:tcPr>
            <w:tcW w:w="1942" w:type="dxa"/>
            <w:hideMark/>
          </w:tcPr>
          <w:p w14:paraId="01107C08" w14:textId="77777777" w:rsidR="004419D2" w:rsidRPr="00AD2D8C" w:rsidRDefault="004419D2" w:rsidP="004419D2">
            <w:pPr>
              <w:rPr>
                <w:rFonts w:ascii="Arial" w:hAnsi="Arial" w:cs="Arial"/>
                <w:lang w:val="en-IN"/>
              </w:rPr>
            </w:pPr>
            <w:r w:rsidRPr="00AD2D8C">
              <w:rPr>
                <w:rFonts w:ascii="Arial" w:hAnsi="Arial" w:cs="Arial"/>
                <w:lang w:val="en-IN"/>
              </w:rPr>
              <w:t>0.83</w:t>
            </w:r>
          </w:p>
        </w:tc>
        <w:tc>
          <w:tcPr>
            <w:tcW w:w="1560" w:type="dxa"/>
            <w:hideMark/>
          </w:tcPr>
          <w:p w14:paraId="7072E498" w14:textId="77777777" w:rsidR="004419D2" w:rsidRPr="00AD2D8C" w:rsidRDefault="004419D2" w:rsidP="004419D2">
            <w:pPr>
              <w:rPr>
                <w:rFonts w:ascii="Arial" w:hAnsi="Arial" w:cs="Arial"/>
                <w:lang w:val="en-IN"/>
              </w:rPr>
            </w:pPr>
            <w:r w:rsidRPr="00AD2D8C">
              <w:rPr>
                <w:rFonts w:ascii="Arial" w:hAnsi="Arial" w:cs="Arial"/>
                <w:lang w:val="en-IN"/>
              </w:rPr>
              <w:t>0.83</w:t>
            </w:r>
          </w:p>
        </w:tc>
        <w:tc>
          <w:tcPr>
            <w:tcW w:w="2126" w:type="dxa"/>
            <w:hideMark/>
          </w:tcPr>
          <w:p w14:paraId="02B88313" w14:textId="77777777" w:rsidR="004419D2" w:rsidRPr="00AD2D8C" w:rsidRDefault="004419D2" w:rsidP="004419D2">
            <w:pPr>
              <w:rPr>
                <w:rFonts w:ascii="Arial" w:hAnsi="Arial" w:cs="Arial"/>
                <w:lang w:val="en-IN"/>
              </w:rPr>
            </w:pPr>
            <w:r w:rsidRPr="00AD2D8C">
              <w:rPr>
                <w:rFonts w:ascii="Arial" w:hAnsi="Arial" w:cs="Arial"/>
                <w:lang w:val="en-IN"/>
              </w:rPr>
              <w:t>0.97</w:t>
            </w:r>
          </w:p>
        </w:tc>
      </w:tr>
    </w:tbl>
    <w:p w14:paraId="576F8E4A" w14:textId="77777777" w:rsidR="00965F2B" w:rsidRPr="00AD2D8C" w:rsidRDefault="00965F2B" w:rsidP="00D45D54">
      <w:pPr>
        <w:pStyle w:val="Heading2"/>
        <w:rPr>
          <w:rFonts w:ascii="Arial" w:hAnsi="Arial" w:cs="Arial"/>
        </w:rPr>
      </w:pPr>
      <w:bookmarkStart w:id="17" w:name="_Toc227925108"/>
      <w:r w:rsidRPr="00AD2D8C">
        <w:rPr>
          <w:rFonts w:ascii="Arial" w:hAnsi="Arial" w:cs="Arial"/>
        </w:rPr>
        <w:t>5.2 Quantitative Techniques</w:t>
      </w:r>
      <w:bookmarkEnd w:id="17"/>
    </w:p>
    <w:p w14:paraId="6DB29CE6" w14:textId="77777777" w:rsidR="0014494C" w:rsidRPr="00AD2D8C" w:rsidRDefault="0014494C" w:rsidP="0014494C">
      <w:pPr>
        <w:rPr>
          <w:rFonts w:ascii="Arial" w:hAnsi="Arial" w:cs="Arial"/>
          <w:b/>
          <w:bCs/>
        </w:rPr>
      </w:pPr>
      <w:r w:rsidRPr="00AD2D8C">
        <w:rPr>
          <w:rFonts w:ascii="Arial" w:hAnsi="Arial" w:cs="Arial"/>
          <w:b/>
          <w:bCs/>
        </w:rPr>
        <w:t>Net Present Value (NPV) Analysis.</w:t>
      </w:r>
    </w:p>
    <w:p w14:paraId="783A1298" w14:textId="77777777" w:rsidR="0014494C" w:rsidRPr="00AD2D8C" w:rsidRDefault="0014494C" w:rsidP="0014494C">
      <w:pPr>
        <w:rPr>
          <w:rFonts w:ascii="Arial" w:hAnsi="Arial" w:cs="Arial"/>
        </w:rPr>
      </w:pPr>
      <w:r w:rsidRPr="00AD2D8C">
        <w:rPr>
          <w:rFonts w:ascii="Arial" w:hAnsi="Arial" w:cs="Arial"/>
        </w:rPr>
        <w:t>The Net Present Value (NPV) technique is a method used to determine the profitability of investment projects by discounting cash inflows in the future to the present value and comparing the net present value with the investment</w:t>
      </w:r>
      <w:r w:rsidR="00FD7ADC" w:rsidRPr="00AD2D8C">
        <w:rPr>
          <w:rFonts w:ascii="Arial" w:hAnsi="Arial" w:cs="Arial"/>
        </w:rPr>
        <w:t xml:space="preserve"> (</w:t>
      </w:r>
      <w:r w:rsidR="00B86385" w:rsidRPr="00AD2D8C">
        <w:rPr>
          <w:rFonts w:ascii="Arial" w:hAnsi="Arial" w:cs="Arial"/>
        </w:rPr>
        <w:t>Sinaga</w:t>
      </w:r>
      <w:r w:rsidR="00854304" w:rsidRPr="00AD2D8C">
        <w:rPr>
          <w:rFonts w:ascii="Arial" w:hAnsi="Arial" w:cs="Arial"/>
        </w:rPr>
        <w:t xml:space="preserve"> et al., </w:t>
      </w:r>
      <w:r w:rsidR="009C3711" w:rsidRPr="00AD2D8C">
        <w:rPr>
          <w:rFonts w:ascii="Arial" w:hAnsi="Arial" w:cs="Arial"/>
        </w:rPr>
        <w:t>s</w:t>
      </w:r>
      <w:r w:rsidR="00B86385" w:rsidRPr="00AD2D8C">
        <w:rPr>
          <w:rFonts w:ascii="Arial" w:hAnsi="Arial" w:cs="Arial"/>
        </w:rPr>
        <w:t>2023</w:t>
      </w:r>
      <w:r w:rsidR="00FD7ADC" w:rsidRPr="00AD2D8C">
        <w:rPr>
          <w:rFonts w:ascii="Arial" w:hAnsi="Arial" w:cs="Arial"/>
        </w:rPr>
        <w:t>)</w:t>
      </w:r>
      <w:r w:rsidRPr="00AD2D8C">
        <w:rPr>
          <w:rFonts w:ascii="Arial" w:hAnsi="Arial" w:cs="Arial"/>
        </w:rPr>
        <w:t>. According to the calculations, all the three projects yield negative NPVs at a discount of 10%. The NPV of Project A is -£8.69 million, Project B is -£8.31 million, and Project C is -£2.00 million.</w:t>
      </w:r>
    </w:p>
    <w:p w14:paraId="66E858C3" w14:textId="77777777" w:rsidR="0014494C" w:rsidRPr="00AD2D8C" w:rsidRDefault="0014494C" w:rsidP="0014494C">
      <w:pPr>
        <w:rPr>
          <w:rFonts w:ascii="Arial" w:hAnsi="Arial" w:cs="Arial"/>
        </w:rPr>
      </w:pPr>
      <w:r w:rsidRPr="00AD2D8C">
        <w:rPr>
          <w:rFonts w:ascii="Arial" w:hAnsi="Arial" w:cs="Arial"/>
        </w:rPr>
        <w:t>Project C however is the one with the least negative NPV implying that it is the closest to breakeven and it works better than the other two alternatives. This implies that Project C will have a relatively greater potential cash flow, especially within the later years because of the increased inflows.</w:t>
      </w:r>
    </w:p>
    <w:p w14:paraId="7AA2214E" w14:textId="77777777" w:rsidR="0014494C" w:rsidRPr="00AD2D8C" w:rsidRDefault="0014494C" w:rsidP="0014494C">
      <w:pPr>
        <w:rPr>
          <w:rFonts w:ascii="Arial" w:hAnsi="Arial" w:cs="Arial"/>
        </w:rPr>
      </w:pPr>
      <w:r w:rsidRPr="00AD2D8C">
        <w:rPr>
          <w:rFonts w:ascii="Arial" w:hAnsi="Arial" w:cs="Arial"/>
          <w:b/>
          <w:bCs/>
        </w:rPr>
        <w:t>Payback Period (PBP) Analysis</w:t>
      </w:r>
      <w:r w:rsidRPr="00AD2D8C">
        <w:rPr>
          <w:rFonts w:ascii="Arial" w:hAnsi="Arial" w:cs="Arial"/>
        </w:rPr>
        <w:t>.</w:t>
      </w:r>
    </w:p>
    <w:p w14:paraId="38E49FD4" w14:textId="77777777" w:rsidR="0014494C" w:rsidRPr="00AD2D8C" w:rsidRDefault="0014494C" w:rsidP="0014494C">
      <w:pPr>
        <w:rPr>
          <w:rFonts w:ascii="Arial" w:hAnsi="Arial" w:cs="Arial"/>
        </w:rPr>
      </w:pPr>
      <w:r w:rsidRPr="00AD2D8C">
        <w:rPr>
          <w:rFonts w:ascii="Arial" w:hAnsi="Arial" w:cs="Arial"/>
        </w:rPr>
        <w:t>The Payback Period is a measure of the time cost of a project in terms of cash inflows to recoup its initial investment</w:t>
      </w:r>
      <w:r w:rsidR="00D97062" w:rsidRPr="00AD2D8C">
        <w:rPr>
          <w:rFonts w:ascii="Arial" w:hAnsi="Arial" w:cs="Arial"/>
        </w:rPr>
        <w:t xml:space="preserve"> (</w:t>
      </w:r>
      <w:r w:rsidR="007C42B6" w:rsidRPr="00AD2D8C">
        <w:rPr>
          <w:rFonts w:ascii="Arial" w:hAnsi="Arial" w:cs="Arial"/>
        </w:rPr>
        <w:t>Dai</w:t>
      </w:r>
      <w:r w:rsidR="00581AF4" w:rsidRPr="00AD2D8C">
        <w:rPr>
          <w:rFonts w:ascii="Arial" w:hAnsi="Arial" w:cs="Arial"/>
        </w:rPr>
        <w:t xml:space="preserve"> et al., </w:t>
      </w:r>
      <w:r w:rsidR="007C42B6" w:rsidRPr="00AD2D8C">
        <w:rPr>
          <w:rFonts w:ascii="Arial" w:hAnsi="Arial" w:cs="Arial"/>
        </w:rPr>
        <w:t>2022</w:t>
      </w:r>
      <w:r w:rsidR="00D97062" w:rsidRPr="00AD2D8C">
        <w:rPr>
          <w:rFonts w:ascii="Arial" w:hAnsi="Arial" w:cs="Arial"/>
        </w:rPr>
        <w:t>)</w:t>
      </w:r>
      <w:r w:rsidRPr="00AD2D8C">
        <w:rPr>
          <w:rFonts w:ascii="Arial" w:hAnsi="Arial" w:cs="Arial"/>
        </w:rPr>
        <w:t>. The results show that Project A has a payback period of 4.5 years, Project B has 4.55 years, and Project C has 3.6 years.</w:t>
      </w:r>
    </w:p>
    <w:p w14:paraId="35D45079" w14:textId="77777777" w:rsidR="0014494C" w:rsidRPr="00AD2D8C" w:rsidRDefault="0014494C" w:rsidP="0014494C">
      <w:pPr>
        <w:rPr>
          <w:rFonts w:ascii="Arial" w:hAnsi="Arial" w:cs="Arial"/>
        </w:rPr>
      </w:pPr>
      <w:r w:rsidRPr="00AD2D8C">
        <w:rPr>
          <w:rFonts w:ascii="Arial" w:hAnsi="Arial" w:cs="Arial"/>
        </w:rPr>
        <w:t xml:space="preserve">Project C will obviously recover its investment sooner than the other two projects and therefore the project is the most appealing in terms of liquidity. The shorter payback period </w:t>
      </w:r>
      <w:r w:rsidRPr="00AD2D8C">
        <w:rPr>
          <w:rFonts w:ascii="Arial" w:hAnsi="Arial" w:cs="Arial"/>
        </w:rPr>
        <w:lastRenderedPageBreak/>
        <w:t>minimises risk because the firm can recover its invested capital faster and this is especially necessary in unpredictable economic times.</w:t>
      </w:r>
    </w:p>
    <w:p w14:paraId="2D1FFE3C" w14:textId="77777777" w:rsidR="0014494C" w:rsidRPr="00AD2D8C" w:rsidRDefault="0014494C" w:rsidP="0014494C">
      <w:pPr>
        <w:rPr>
          <w:rFonts w:ascii="Arial" w:hAnsi="Arial" w:cs="Arial"/>
        </w:rPr>
      </w:pPr>
      <w:r w:rsidRPr="00AD2D8C">
        <w:rPr>
          <w:rFonts w:ascii="Arial" w:hAnsi="Arial" w:cs="Arial"/>
        </w:rPr>
        <w:t xml:space="preserve">Conversely, Projects A and B require more time to pay back the initial investment, exposing them to risk and limiting financial flexibility. </w:t>
      </w:r>
      <w:proofErr w:type="gramStart"/>
      <w:r w:rsidRPr="00AD2D8C">
        <w:rPr>
          <w:rFonts w:ascii="Arial" w:hAnsi="Arial" w:cs="Arial"/>
        </w:rPr>
        <w:t>Despite the fact that</w:t>
      </w:r>
      <w:proofErr w:type="gramEnd"/>
      <w:r w:rsidRPr="00AD2D8C">
        <w:rPr>
          <w:rFonts w:ascii="Arial" w:hAnsi="Arial" w:cs="Arial"/>
        </w:rPr>
        <w:t xml:space="preserve"> the payback method is easy and convenient to use when evaluating liquidity, it has its drawbacks in that it does not </w:t>
      </w:r>
      <w:proofErr w:type="gramStart"/>
      <w:r w:rsidRPr="00AD2D8C">
        <w:rPr>
          <w:rFonts w:ascii="Arial" w:hAnsi="Arial" w:cs="Arial"/>
        </w:rPr>
        <w:t>take into account</w:t>
      </w:r>
      <w:proofErr w:type="gramEnd"/>
      <w:r w:rsidRPr="00AD2D8C">
        <w:rPr>
          <w:rFonts w:ascii="Arial" w:hAnsi="Arial" w:cs="Arial"/>
        </w:rPr>
        <w:t xml:space="preserve"> the time value of money and omits the cash flows beyond the payback period.</w:t>
      </w:r>
    </w:p>
    <w:p w14:paraId="3F691A31" w14:textId="77777777" w:rsidR="0014494C" w:rsidRPr="00AD2D8C" w:rsidRDefault="0014494C" w:rsidP="0014494C">
      <w:pPr>
        <w:rPr>
          <w:rFonts w:ascii="Arial" w:hAnsi="Arial" w:cs="Arial"/>
          <w:b/>
          <w:bCs/>
        </w:rPr>
      </w:pPr>
      <w:r w:rsidRPr="00AD2D8C">
        <w:rPr>
          <w:rFonts w:ascii="Arial" w:hAnsi="Arial" w:cs="Arial"/>
          <w:b/>
          <w:bCs/>
        </w:rPr>
        <w:t>Accounting Rate of return (ARR) Analysis.</w:t>
      </w:r>
    </w:p>
    <w:p w14:paraId="3E1E8DD6" w14:textId="77777777" w:rsidR="0014494C" w:rsidRPr="00AD2D8C" w:rsidRDefault="0014494C" w:rsidP="0014494C">
      <w:pPr>
        <w:rPr>
          <w:rFonts w:ascii="Arial" w:hAnsi="Arial" w:cs="Arial"/>
        </w:rPr>
      </w:pPr>
      <w:r w:rsidRPr="00AD2D8C">
        <w:rPr>
          <w:rFonts w:ascii="Arial" w:hAnsi="Arial" w:cs="Arial"/>
        </w:rPr>
        <w:t>Accounting rate of return (ARR) is used to gauge the average accounting profits per annum in relation to the original investment</w:t>
      </w:r>
      <w:r w:rsidR="00E317C0" w:rsidRPr="00AD2D8C">
        <w:rPr>
          <w:rFonts w:ascii="Arial" w:hAnsi="Arial" w:cs="Arial"/>
        </w:rPr>
        <w:t xml:space="preserve"> (Maheshwari et al., 2024)</w:t>
      </w:r>
      <w:r w:rsidRPr="00AD2D8C">
        <w:rPr>
          <w:rFonts w:ascii="Arial" w:hAnsi="Arial" w:cs="Arial"/>
        </w:rPr>
        <w:t>. Project A has an ARR of 1.6, Project B has a 2% and Project C has 6 based on the computations.</w:t>
      </w:r>
    </w:p>
    <w:p w14:paraId="353421E3" w14:textId="77777777" w:rsidR="0014494C" w:rsidRPr="00AD2D8C" w:rsidRDefault="0014494C" w:rsidP="0014494C">
      <w:pPr>
        <w:rPr>
          <w:rFonts w:ascii="Arial" w:hAnsi="Arial" w:cs="Arial"/>
        </w:rPr>
      </w:pPr>
      <w:r w:rsidRPr="00AD2D8C">
        <w:rPr>
          <w:rFonts w:ascii="Arial" w:hAnsi="Arial" w:cs="Arial"/>
        </w:rPr>
        <w:t>Project C proves to be highly profitable as compared to the other two projects meaning that it has returns that are high in relation to the investment incurred. Projects A and B have extremely low values of ARR, which implies that they are not very profitable and perform poorly in terms of financial results.</w:t>
      </w:r>
    </w:p>
    <w:p w14:paraId="2C04BE75" w14:textId="77777777" w:rsidR="0014494C" w:rsidRPr="00AD2D8C" w:rsidRDefault="0014494C" w:rsidP="0014494C">
      <w:pPr>
        <w:rPr>
          <w:rFonts w:ascii="Arial" w:hAnsi="Arial" w:cs="Arial"/>
        </w:rPr>
      </w:pPr>
      <w:r w:rsidRPr="00AD2D8C">
        <w:rPr>
          <w:rFonts w:ascii="Arial" w:hAnsi="Arial" w:cs="Arial"/>
        </w:rPr>
        <w:t xml:space="preserve">The advantage of ARR is that it is simple to </w:t>
      </w:r>
      <w:proofErr w:type="gramStart"/>
      <w:r w:rsidRPr="00AD2D8C">
        <w:rPr>
          <w:rFonts w:ascii="Arial" w:hAnsi="Arial" w:cs="Arial"/>
        </w:rPr>
        <w:t>comprehend, and</w:t>
      </w:r>
      <w:proofErr w:type="gramEnd"/>
      <w:r w:rsidRPr="00AD2D8C">
        <w:rPr>
          <w:rFonts w:ascii="Arial" w:hAnsi="Arial" w:cs="Arial"/>
        </w:rPr>
        <w:t xml:space="preserve"> is founded on accounting data typically utilized in financial statements. </w:t>
      </w:r>
      <w:r w:rsidR="00DC4398" w:rsidRPr="00AD2D8C">
        <w:rPr>
          <w:rFonts w:ascii="Arial" w:hAnsi="Arial" w:cs="Arial"/>
        </w:rPr>
        <w:t>However</w:t>
      </w:r>
      <w:r w:rsidRPr="00AD2D8C">
        <w:rPr>
          <w:rFonts w:ascii="Arial" w:hAnsi="Arial" w:cs="Arial"/>
        </w:rPr>
        <w:t>, its main weaknesses are that it does not consider the time value of money and its accounting profit, but actual cash flows.</w:t>
      </w:r>
    </w:p>
    <w:p w14:paraId="4D0B62CC" w14:textId="77777777" w:rsidR="0014494C" w:rsidRPr="00AD2D8C" w:rsidRDefault="0014494C" w:rsidP="0014494C">
      <w:pPr>
        <w:rPr>
          <w:rFonts w:ascii="Arial" w:hAnsi="Arial" w:cs="Arial"/>
          <w:b/>
          <w:bCs/>
        </w:rPr>
      </w:pPr>
      <w:r w:rsidRPr="00AD2D8C">
        <w:rPr>
          <w:rFonts w:ascii="Arial" w:hAnsi="Arial" w:cs="Arial"/>
          <w:b/>
          <w:bCs/>
        </w:rPr>
        <w:t>Profitability Index (PI)</w:t>
      </w:r>
    </w:p>
    <w:p w14:paraId="48DA1336" w14:textId="77777777" w:rsidR="0014494C" w:rsidRPr="00AD2D8C" w:rsidRDefault="0014494C" w:rsidP="0014494C">
      <w:pPr>
        <w:rPr>
          <w:rFonts w:ascii="Arial" w:hAnsi="Arial" w:cs="Arial"/>
        </w:rPr>
      </w:pPr>
      <w:r w:rsidRPr="00AD2D8C">
        <w:rPr>
          <w:rFonts w:ascii="Arial" w:hAnsi="Arial" w:cs="Arial"/>
        </w:rPr>
        <w:t>Profitability Index (PI) is a relative measure of investment efficiency which indicates the value created per unit investment</w:t>
      </w:r>
      <w:r w:rsidR="003E0307" w:rsidRPr="00AD2D8C">
        <w:rPr>
          <w:rFonts w:ascii="Arial" w:hAnsi="Arial" w:cs="Arial"/>
        </w:rPr>
        <w:t xml:space="preserve"> (</w:t>
      </w:r>
      <w:proofErr w:type="spellStart"/>
      <w:r w:rsidR="003E0307" w:rsidRPr="00AD2D8C">
        <w:rPr>
          <w:rFonts w:ascii="Arial" w:hAnsi="Arial" w:cs="Arial"/>
        </w:rPr>
        <w:t>Bolun</w:t>
      </w:r>
      <w:proofErr w:type="spellEnd"/>
      <w:r w:rsidR="003E0307" w:rsidRPr="00AD2D8C">
        <w:rPr>
          <w:rFonts w:ascii="Arial" w:hAnsi="Arial" w:cs="Arial"/>
        </w:rPr>
        <w:t xml:space="preserve"> </w:t>
      </w:r>
      <w:proofErr w:type="spellStart"/>
      <w:r w:rsidR="003E0307" w:rsidRPr="00AD2D8C">
        <w:rPr>
          <w:rFonts w:ascii="Arial" w:hAnsi="Arial" w:cs="Arial"/>
        </w:rPr>
        <w:t>andGhetmancenco</w:t>
      </w:r>
      <w:proofErr w:type="spellEnd"/>
      <w:r w:rsidR="003E0307" w:rsidRPr="00AD2D8C">
        <w:rPr>
          <w:rFonts w:ascii="Arial" w:hAnsi="Arial" w:cs="Arial"/>
        </w:rPr>
        <w:t>, 2022)</w:t>
      </w:r>
      <w:r w:rsidRPr="00AD2D8C">
        <w:rPr>
          <w:rFonts w:ascii="Arial" w:hAnsi="Arial" w:cs="Arial"/>
        </w:rPr>
        <w:t xml:space="preserve">. It is determined by dividing present value of cash inflows in future by the initial investment. The PI more than 1 </w:t>
      </w:r>
      <w:r w:rsidR="00967159">
        <w:rPr>
          <w:rFonts w:ascii="Arial" w:hAnsi="Arial" w:cs="Arial"/>
        </w:rPr>
        <w:t>indicates</w:t>
      </w:r>
      <w:r w:rsidRPr="00AD2D8C">
        <w:rPr>
          <w:rFonts w:ascii="Arial" w:hAnsi="Arial" w:cs="Arial"/>
        </w:rPr>
        <w:t xml:space="preserve"> that a project is financially viable whereas PI of less than 1 implies that a project will destroy value.</w:t>
      </w:r>
    </w:p>
    <w:p w14:paraId="711FD60E" w14:textId="77777777" w:rsidR="0014494C" w:rsidRPr="00AD2D8C" w:rsidRDefault="0014494C" w:rsidP="0014494C">
      <w:pPr>
        <w:rPr>
          <w:rFonts w:ascii="Arial" w:hAnsi="Arial" w:cs="Arial"/>
        </w:rPr>
      </w:pPr>
      <w:r w:rsidRPr="00AD2D8C">
        <w:rPr>
          <w:rFonts w:ascii="Arial" w:hAnsi="Arial" w:cs="Arial"/>
        </w:rPr>
        <w:t>According to the calculations, the PI of Project A is 0.83, Project B also has PI of 0.83 and Project C has a higher PI of 0.96. These findings show that none of the three projects satisfies the acceptance criterion since the PI values of these projects are less than 1. This is in line with the negativity of NPVs as seen previously showing that none of the projects are likely to yield profits at the required discount rate of 10%.</w:t>
      </w:r>
    </w:p>
    <w:p w14:paraId="6D63D650" w14:textId="77777777" w:rsidR="0014494C" w:rsidRPr="00AD2D8C" w:rsidRDefault="0014494C" w:rsidP="0014494C">
      <w:pPr>
        <w:rPr>
          <w:rFonts w:ascii="Arial" w:hAnsi="Arial" w:cs="Arial"/>
        </w:rPr>
      </w:pPr>
      <w:r w:rsidRPr="00AD2D8C">
        <w:rPr>
          <w:rFonts w:ascii="Arial" w:hAnsi="Arial" w:cs="Arial"/>
          <w:b/>
          <w:bCs/>
        </w:rPr>
        <w:t>Internal Rate of Return (IRR</w:t>
      </w:r>
      <w:r w:rsidRPr="00AD2D8C">
        <w:rPr>
          <w:rFonts w:ascii="Arial" w:hAnsi="Arial" w:cs="Arial"/>
        </w:rPr>
        <w:t>)</w:t>
      </w:r>
    </w:p>
    <w:p w14:paraId="2A21A53D" w14:textId="77777777" w:rsidR="0014494C" w:rsidRPr="00AD2D8C" w:rsidRDefault="0014494C" w:rsidP="0014494C">
      <w:pPr>
        <w:rPr>
          <w:rFonts w:ascii="Arial" w:hAnsi="Arial" w:cs="Arial"/>
        </w:rPr>
      </w:pPr>
      <w:r w:rsidRPr="00AD2D8C">
        <w:rPr>
          <w:rFonts w:ascii="Arial" w:hAnsi="Arial" w:cs="Arial"/>
        </w:rPr>
        <w:lastRenderedPageBreak/>
        <w:t>Internal Rate of Return (IRR) is the discount rate at which net present value of a project will take the value of zero</w:t>
      </w:r>
      <w:r w:rsidR="00E83581" w:rsidRPr="00AD2D8C">
        <w:rPr>
          <w:rFonts w:ascii="Arial" w:hAnsi="Arial" w:cs="Arial"/>
        </w:rPr>
        <w:t xml:space="preserve"> (Yan and Zhang, 2022)</w:t>
      </w:r>
      <w:r w:rsidRPr="00AD2D8C">
        <w:rPr>
          <w:rFonts w:ascii="Arial" w:hAnsi="Arial" w:cs="Arial"/>
        </w:rPr>
        <w:t>. It suggests the anticipated level of profitability of the investment and is often used to determine whether the project is yielding the needed rate of profit. A project is acceptable when the IRR of the project is greater than the cost of capital, which in this scenario is 10%.</w:t>
      </w:r>
    </w:p>
    <w:p w14:paraId="67CCD778" w14:textId="77777777" w:rsidR="0014494C" w:rsidRPr="00AD2D8C" w:rsidRDefault="0014494C" w:rsidP="0014494C">
      <w:pPr>
        <w:rPr>
          <w:rFonts w:ascii="Arial" w:hAnsi="Arial" w:cs="Arial"/>
        </w:rPr>
      </w:pPr>
      <w:r w:rsidRPr="00AD2D8C">
        <w:rPr>
          <w:rFonts w:ascii="Arial" w:hAnsi="Arial" w:cs="Arial"/>
        </w:rPr>
        <w:t xml:space="preserve">The three projects when calculated will reveal that Project A has a 3-4 percent IRR, Project B has a 4 percent IRR and Project C has a higher IRR at about 8.5 percent. Comparing it with the required rate of 10% </w:t>
      </w:r>
      <w:proofErr w:type="gramStart"/>
      <w:r w:rsidRPr="00AD2D8C">
        <w:rPr>
          <w:rFonts w:ascii="Arial" w:hAnsi="Arial" w:cs="Arial"/>
        </w:rPr>
        <w:t>it can be seen that none</w:t>
      </w:r>
      <w:proofErr w:type="gramEnd"/>
      <w:r w:rsidRPr="00AD2D8C">
        <w:rPr>
          <w:rFonts w:ascii="Arial" w:hAnsi="Arial" w:cs="Arial"/>
        </w:rPr>
        <w:t xml:space="preserve"> of the projects are profitable under the minimum required rate meaning that they are not as profitable under the assumptions provided.</w:t>
      </w:r>
      <w:r w:rsidR="00B6135C" w:rsidRPr="00AD2D8C">
        <w:rPr>
          <w:rFonts w:ascii="Arial" w:hAnsi="Arial" w:cs="Arial"/>
        </w:rPr>
        <w:t xml:space="preserve"> Overall, Project C is the best alternative to be utilized compared to the other two alternatives since it has the highest IRR and is nearest to the required rate</w:t>
      </w:r>
    </w:p>
    <w:p w14:paraId="38730D48" w14:textId="77777777" w:rsidR="00700E27" w:rsidRPr="00AD2D8C" w:rsidRDefault="00965F2B" w:rsidP="00B6135C">
      <w:pPr>
        <w:pStyle w:val="Heading2"/>
        <w:rPr>
          <w:rFonts w:ascii="Arial" w:hAnsi="Arial" w:cs="Arial"/>
        </w:rPr>
      </w:pPr>
      <w:bookmarkStart w:id="18" w:name="_Toc227925109"/>
      <w:r w:rsidRPr="00AD2D8C">
        <w:rPr>
          <w:rFonts w:ascii="Arial" w:hAnsi="Arial" w:cs="Arial"/>
        </w:rPr>
        <w:t>5.3 Recommendations &amp; Justification</w:t>
      </w:r>
      <w:r w:rsidR="00700E27" w:rsidRPr="00AD2D8C">
        <w:rPr>
          <w:rFonts w:ascii="Arial" w:hAnsi="Arial" w:cs="Arial"/>
        </w:rPr>
        <w:t>.</w:t>
      </w:r>
      <w:bookmarkEnd w:id="18"/>
    </w:p>
    <w:p w14:paraId="30D15235" w14:textId="77777777" w:rsidR="00700E27" w:rsidRPr="00AD2D8C" w:rsidRDefault="00700E27" w:rsidP="00700E27">
      <w:pPr>
        <w:rPr>
          <w:rFonts w:ascii="Arial" w:hAnsi="Arial" w:cs="Arial"/>
        </w:rPr>
      </w:pPr>
      <w:r w:rsidRPr="00AD2D8C">
        <w:rPr>
          <w:rFonts w:ascii="Arial" w:hAnsi="Arial" w:cs="Arial"/>
        </w:rPr>
        <w:t xml:space="preserve">Project C would be the most appropriate one, according to the general investment appraisal. Despite the negative NPVs of all three projects and the fact that none of the three projects </w:t>
      </w:r>
      <w:proofErr w:type="gramStart"/>
      <w:r w:rsidRPr="00AD2D8C">
        <w:rPr>
          <w:rFonts w:ascii="Arial" w:hAnsi="Arial" w:cs="Arial"/>
        </w:rPr>
        <w:t>definitely falls</w:t>
      </w:r>
      <w:proofErr w:type="gramEnd"/>
      <w:r w:rsidRPr="00AD2D8C">
        <w:rPr>
          <w:rFonts w:ascii="Arial" w:hAnsi="Arial" w:cs="Arial"/>
        </w:rPr>
        <w:t xml:space="preserve"> within the necessary 10 per cent rate of return, Project C is clearly </w:t>
      </w:r>
      <w:r w:rsidR="007F23C6" w:rsidRPr="00AD2D8C">
        <w:rPr>
          <w:rFonts w:ascii="Arial" w:hAnsi="Arial" w:cs="Arial"/>
        </w:rPr>
        <w:t>better from other two projects</w:t>
      </w:r>
      <w:r w:rsidRPr="00AD2D8C">
        <w:rPr>
          <w:rFonts w:ascii="Arial" w:hAnsi="Arial" w:cs="Arial"/>
        </w:rPr>
        <w:t>. It is least negatively NPV, offers the shortest payback period of 3.6 years, highest ARR of 6% and the best IRR and PI values among the alternatives. These findings imply that Project C has a comparatively high returns and short payback time than Projects A and B.</w:t>
      </w:r>
    </w:p>
    <w:p w14:paraId="694B86EE" w14:textId="77777777" w:rsidR="00700E27" w:rsidRPr="00AD2D8C" w:rsidRDefault="00700E27" w:rsidP="00700E27">
      <w:pPr>
        <w:rPr>
          <w:rFonts w:ascii="Arial" w:hAnsi="Arial" w:cs="Arial"/>
        </w:rPr>
      </w:pPr>
      <w:r w:rsidRPr="00AD2D8C">
        <w:rPr>
          <w:rFonts w:ascii="Arial" w:hAnsi="Arial" w:cs="Arial"/>
        </w:rPr>
        <w:t>This recommendation is further supported by the financial performance of Volkswagen Group. The profitability of the company has gone down with operating profit margins reducing considerably to 2.75 in 2025, which implies a decrease in the efficiency of the company in generating profits. Moreover, the liquidity is poor, which is indicated by the current ratio of about 1.09 and quick ratio 0.85 indicating low financial flexibility in the short term. Tightening cash availability is also reflected in the drop in the operating cash flow ratios.</w:t>
      </w:r>
    </w:p>
    <w:p w14:paraId="118443D6" w14:textId="77777777" w:rsidR="00700E27" w:rsidRPr="00AD2D8C" w:rsidRDefault="00700E27" w:rsidP="00700E27">
      <w:pPr>
        <w:rPr>
          <w:rFonts w:ascii="Arial" w:hAnsi="Arial" w:cs="Arial"/>
        </w:rPr>
      </w:pPr>
      <w:r w:rsidRPr="00AD2D8C">
        <w:rPr>
          <w:rFonts w:ascii="Arial" w:hAnsi="Arial" w:cs="Arial"/>
        </w:rPr>
        <w:t xml:space="preserve">Under these circumstances, the company needs to invest in enhancing liquidity and investments that yield faster returns. The best option in this situation is Project C because it has a shorter payback period that can be used to enhance cash flow, whereas the relatively high returns can be used to recover profits. Conversely, Projects A and B have </w:t>
      </w:r>
      <w:r w:rsidRPr="00AD2D8C">
        <w:rPr>
          <w:rFonts w:ascii="Arial" w:hAnsi="Arial" w:cs="Arial"/>
        </w:rPr>
        <w:lastRenderedPageBreak/>
        <w:t>longer payback periods, as well as lower returns, which is why they are not more appropriate to use in the current financial conditions.</w:t>
      </w:r>
    </w:p>
    <w:p w14:paraId="1A2B2763" w14:textId="77777777" w:rsidR="00965F2B" w:rsidRPr="00AD2D8C" w:rsidRDefault="00965F2B" w:rsidP="00D45D54">
      <w:pPr>
        <w:pStyle w:val="Heading2"/>
        <w:rPr>
          <w:rFonts w:ascii="Arial" w:hAnsi="Arial" w:cs="Arial"/>
        </w:rPr>
      </w:pPr>
      <w:bookmarkStart w:id="19" w:name="_Toc227925110"/>
      <w:r w:rsidRPr="00AD2D8C">
        <w:rPr>
          <w:rFonts w:ascii="Arial" w:hAnsi="Arial" w:cs="Arial"/>
        </w:rPr>
        <w:t>5.4 Capital Rationing</w:t>
      </w:r>
      <w:bookmarkEnd w:id="19"/>
    </w:p>
    <w:p w14:paraId="0492AEC0" w14:textId="77777777" w:rsidR="00801C6E" w:rsidRPr="00AD2D8C" w:rsidRDefault="00801C6E" w:rsidP="00801C6E">
      <w:pPr>
        <w:rPr>
          <w:rFonts w:ascii="Arial" w:hAnsi="Arial" w:cs="Arial"/>
        </w:rPr>
      </w:pPr>
      <w:r w:rsidRPr="00AD2D8C">
        <w:rPr>
          <w:rFonts w:ascii="Arial" w:hAnsi="Arial" w:cs="Arial"/>
        </w:rPr>
        <w:t xml:space="preserve">Where there is scarcity of financial resources, firms </w:t>
      </w:r>
      <w:proofErr w:type="gramStart"/>
      <w:r w:rsidRPr="00AD2D8C">
        <w:rPr>
          <w:rFonts w:ascii="Arial" w:hAnsi="Arial" w:cs="Arial"/>
        </w:rPr>
        <w:t>have to</w:t>
      </w:r>
      <w:proofErr w:type="gramEnd"/>
      <w:r w:rsidRPr="00AD2D8C">
        <w:rPr>
          <w:rFonts w:ascii="Arial" w:hAnsi="Arial" w:cs="Arial"/>
        </w:rPr>
        <w:t xml:space="preserve"> use capital rationing to choose the best set of projects. The company will only have the capacity to pursue two out of three projects considering a maximum investment budget of £100 million.</w:t>
      </w:r>
    </w:p>
    <w:p w14:paraId="0A46AE8E" w14:textId="77777777" w:rsidR="00801C6E" w:rsidRPr="00AD2D8C" w:rsidRDefault="00801C6E" w:rsidP="00801C6E">
      <w:pPr>
        <w:rPr>
          <w:rFonts w:ascii="Arial" w:hAnsi="Arial" w:cs="Arial"/>
        </w:rPr>
      </w:pPr>
      <w:r w:rsidRPr="00AD2D8C">
        <w:rPr>
          <w:rFonts w:ascii="Arial" w:hAnsi="Arial" w:cs="Arial"/>
        </w:rPr>
        <w:t>The combinations are possible:</w:t>
      </w:r>
    </w:p>
    <w:p w14:paraId="54A336E8" w14:textId="77777777" w:rsidR="00801C6E" w:rsidRPr="00AD2D8C" w:rsidRDefault="00801C6E" w:rsidP="00801C6E">
      <w:pPr>
        <w:rPr>
          <w:rFonts w:ascii="Arial" w:hAnsi="Arial" w:cs="Arial"/>
        </w:rPr>
      </w:pPr>
      <w:r w:rsidRPr="00AD2D8C">
        <w:rPr>
          <w:rFonts w:ascii="Arial" w:hAnsi="Arial" w:cs="Arial"/>
        </w:rPr>
        <w:t xml:space="preserve">Project A + </w:t>
      </w:r>
      <w:r w:rsidR="00C64864" w:rsidRPr="00AD2D8C">
        <w:rPr>
          <w:rFonts w:ascii="Arial" w:hAnsi="Arial" w:cs="Arial"/>
        </w:rPr>
        <w:t>Project</w:t>
      </w:r>
      <w:r w:rsidRPr="00AD2D8C">
        <w:rPr>
          <w:rFonts w:ascii="Arial" w:hAnsi="Arial" w:cs="Arial"/>
        </w:rPr>
        <w:t xml:space="preserve"> B = Integrated NPV = -£16.99 million.</w:t>
      </w:r>
    </w:p>
    <w:p w14:paraId="147E3A66" w14:textId="77777777" w:rsidR="00801C6E" w:rsidRPr="00AD2D8C" w:rsidRDefault="00801C6E" w:rsidP="00801C6E">
      <w:pPr>
        <w:rPr>
          <w:rFonts w:ascii="Arial" w:hAnsi="Arial" w:cs="Arial"/>
        </w:rPr>
      </w:pPr>
      <w:r w:rsidRPr="00AD2D8C">
        <w:rPr>
          <w:rFonts w:ascii="Arial" w:hAnsi="Arial" w:cs="Arial"/>
        </w:rPr>
        <w:t>Project A + Project C = Total NPV = -£10.69 million.</w:t>
      </w:r>
    </w:p>
    <w:p w14:paraId="499325E8" w14:textId="77777777" w:rsidR="00801C6E" w:rsidRPr="00AD2D8C" w:rsidRDefault="00801C6E" w:rsidP="00801C6E">
      <w:pPr>
        <w:rPr>
          <w:rFonts w:ascii="Arial" w:hAnsi="Arial" w:cs="Arial"/>
        </w:rPr>
      </w:pPr>
      <w:r w:rsidRPr="00AD2D8C">
        <w:rPr>
          <w:rFonts w:ascii="Arial" w:hAnsi="Arial" w:cs="Arial"/>
        </w:rPr>
        <w:t>Project B + Project C + -£10.31 millio</w:t>
      </w:r>
      <w:r w:rsidR="00C64864">
        <w:rPr>
          <w:rFonts w:ascii="Arial" w:hAnsi="Arial" w:cs="Arial"/>
        </w:rPr>
        <w:t>n NPV</w:t>
      </w:r>
    </w:p>
    <w:p w14:paraId="2D2220BB" w14:textId="77777777" w:rsidR="00801C6E" w:rsidRPr="00AD2D8C" w:rsidRDefault="00801C6E" w:rsidP="00801C6E">
      <w:pPr>
        <w:rPr>
          <w:rFonts w:ascii="Arial" w:hAnsi="Arial" w:cs="Arial"/>
        </w:rPr>
      </w:pPr>
      <w:r w:rsidRPr="00AD2D8C">
        <w:rPr>
          <w:rFonts w:ascii="Arial" w:hAnsi="Arial" w:cs="Arial"/>
        </w:rPr>
        <w:t>Of these choices, the combination of Project B and Project C offers the most (least negative) combined NPV. This implies that it will cause the least loss in value compared to the other combinations and is therefore the most economical decision in case of a budget constraint.</w:t>
      </w:r>
    </w:p>
    <w:p w14:paraId="114E6B8C" w14:textId="77777777" w:rsidR="00801C6E" w:rsidRPr="00AD2D8C" w:rsidRDefault="00801C6E" w:rsidP="00801C6E">
      <w:pPr>
        <w:rPr>
          <w:rFonts w:ascii="Arial" w:hAnsi="Arial" w:cs="Arial"/>
        </w:rPr>
      </w:pPr>
      <w:r w:rsidRPr="00AD2D8C">
        <w:rPr>
          <w:rFonts w:ascii="Arial" w:hAnsi="Arial" w:cs="Arial"/>
        </w:rPr>
        <w:t>Besides the maximisation of value, this combination has a balanced risk profile</w:t>
      </w:r>
      <w:r w:rsidR="006737BB" w:rsidRPr="00AD2D8C">
        <w:rPr>
          <w:rFonts w:ascii="Arial" w:hAnsi="Arial" w:cs="Arial"/>
        </w:rPr>
        <w:t xml:space="preserve"> (Hoang et al., </w:t>
      </w:r>
      <w:r w:rsidR="00B777E7" w:rsidRPr="00AD2D8C">
        <w:rPr>
          <w:rFonts w:ascii="Arial" w:hAnsi="Arial" w:cs="Arial"/>
        </w:rPr>
        <w:t>s</w:t>
      </w:r>
      <w:r w:rsidR="006737BB" w:rsidRPr="00AD2D8C">
        <w:rPr>
          <w:rFonts w:ascii="Arial" w:hAnsi="Arial" w:cs="Arial"/>
        </w:rPr>
        <w:t>2025)</w:t>
      </w:r>
      <w:r w:rsidRPr="00AD2D8C">
        <w:rPr>
          <w:rFonts w:ascii="Arial" w:hAnsi="Arial" w:cs="Arial"/>
        </w:rPr>
        <w:t>. Project B offers predictable and regular cash flows, which lessen uncertainty, whereas Project C offers greater returns and quicker breakeven, enhancing liquidity. Such stability and profitability give the combination more appeal than the alternatives that are highly dependent on the less viable projects.</w:t>
      </w:r>
    </w:p>
    <w:p w14:paraId="08808386" w14:textId="77777777" w:rsidR="00801C6E" w:rsidRPr="00AD2D8C" w:rsidRDefault="00801C6E" w:rsidP="00801C6E">
      <w:pPr>
        <w:rPr>
          <w:rFonts w:ascii="Arial" w:hAnsi="Arial" w:cs="Arial"/>
        </w:rPr>
      </w:pPr>
      <w:r w:rsidRPr="00AD2D8C">
        <w:rPr>
          <w:rFonts w:ascii="Arial" w:hAnsi="Arial" w:cs="Arial"/>
        </w:rPr>
        <w:t xml:space="preserve">So, in the conditions of capital rationing, the company must pick Project B and Project C since the two projects maximize returns with the available budget </w:t>
      </w:r>
      <w:proofErr w:type="gramStart"/>
      <w:r w:rsidRPr="00AD2D8C">
        <w:rPr>
          <w:rFonts w:ascii="Arial" w:hAnsi="Arial" w:cs="Arial"/>
        </w:rPr>
        <w:t>and also</w:t>
      </w:r>
      <w:proofErr w:type="gramEnd"/>
      <w:r w:rsidRPr="00AD2D8C">
        <w:rPr>
          <w:rFonts w:ascii="Arial" w:hAnsi="Arial" w:cs="Arial"/>
        </w:rPr>
        <w:t xml:space="preserve"> have a balanced financial risk profile.</w:t>
      </w:r>
    </w:p>
    <w:p w14:paraId="45425EDB" w14:textId="77777777" w:rsidR="00965F2B" w:rsidRPr="00AD2D8C" w:rsidRDefault="00965F2B" w:rsidP="00167C40">
      <w:pPr>
        <w:pStyle w:val="Heading1"/>
        <w:rPr>
          <w:rFonts w:ascii="Arial" w:hAnsi="Arial" w:cs="Arial"/>
        </w:rPr>
      </w:pPr>
      <w:bookmarkStart w:id="20" w:name="_Toc227925111"/>
      <w:r w:rsidRPr="00AD2D8C">
        <w:rPr>
          <w:rFonts w:ascii="Arial" w:hAnsi="Arial" w:cs="Arial"/>
        </w:rPr>
        <w:t>6. Conclusion</w:t>
      </w:r>
      <w:bookmarkEnd w:id="20"/>
    </w:p>
    <w:p w14:paraId="1E3DD3B9" w14:textId="77777777" w:rsidR="00BC2008" w:rsidRPr="00AD2D8C" w:rsidRDefault="00BC2008" w:rsidP="00BC2008">
      <w:pPr>
        <w:rPr>
          <w:rFonts w:ascii="Arial" w:hAnsi="Arial" w:cs="Arial"/>
          <w:lang w:val="en-IN"/>
        </w:rPr>
      </w:pPr>
      <w:r w:rsidRPr="00AD2D8C">
        <w:rPr>
          <w:rFonts w:ascii="Arial" w:hAnsi="Arial" w:cs="Arial"/>
          <w:lang w:val="en-IN"/>
        </w:rPr>
        <w:t>This report has critically evaluated the financial position of the Volkswagen Group as it approaches the 2026 fiscal year. The findings highlight a mixed financial outlook, where the company has successfully strengthened its balance sheet, evidenced by a reduced Debt-to-Assets ratio of 0.14, but is simultaneously facing a significant decline in profitability, with Net Profit Margins falling to 2.14%. This indicates that while financial risk has decreased, operational efficiency and earnings performance remain key concerns.</w:t>
      </w:r>
    </w:p>
    <w:p w14:paraId="44F023B8" w14:textId="77777777" w:rsidR="00B054F6" w:rsidRPr="00AD2D8C" w:rsidRDefault="00B054F6">
      <w:pPr>
        <w:spacing w:line="240" w:lineRule="auto"/>
        <w:jc w:val="left"/>
        <w:rPr>
          <w:rFonts w:ascii="Arial" w:eastAsiaTheme="majorEastAsia" w:hAnsi="Arial" w:cs="Arial"/>
          <w:b/>
          <w:bCs/>
          <w:color w:val="000000" w:themeColor="text1"/>
          <w:sz w:val="28"/>
          <w:szCs w:val="28"/>
        </w:rPr>
      </w:pPr>
      <w:r w:rsidRPr="00AD2D8C">
        <w:rPr>
          <w:rFonts w:ascii="Arial" w:hAnsi="Arial" w:cs="Arial"/>
        </w:rPr>
        <w:br w:type="page"/>
      </w:r>
    </w:p>
    <w:p w14:paraId="4B971692" w14:textId="77777777" w:rsidR="000B1841" w:rsidRPr="00AD2D8C" w:rsidRDefault="000B1841" w:rsidP="0006629D">
      <w:pPr>
        <w:pStyle w:val="Heading1"/>
        <w:rPr>
          <w:rFonts w:ascii="Arial" w:hAnsi="Arial" w:cs="Arial"/>
        </w:rPr>
      </w:pPr>
      <w:bookmarkStart w:id="21" w:name="_Toc227925112"/>
      <w:r w:rsidRPr="00AD2D8C">
        <w:rPr>
          <w:rFonts w:ascii="Arial" w:hAnsi="Arial" w:cs="Arial"/>
        </w:rPr>
        <w:lastRenderedPageBreak/>
        <w:t>References</w:t>
      </w:r>
      <w:bookmarkEnd w:id="21"/>
    </w:p>
    <w:p w14:paraId="7E49B8E0" w14:textId="77777777" w:rsidR="00967159" w:rsidRPr="00967159" w:rsidRDefault="00967159" w:rsidP="00967159">
      <w:pPr>
        <w:rPr>
          <w:rFonts w:ascii="Arial" w:hAnsi="Arial" w:cs="Arial"/>
        </w:rPr>
      </w:pPr>
      <w:proofErr w:type="spellStart"/>
      <w:r w:rsidRPr="00967159">
        <w:rPr>
          <w:rFonts w:ascii="Arial" w:hAnsi="Arial" w:cs="Arial"/>
        </w:rPr>
        <w:t>Arifaj</w:t>
      </w:r>
      <w:proofErr w:type="spellEnd"/>
      <w:r w:rsidRPr="00967159">
        <w:rPr>
          <w:rFonts w:ascii="Arial" w:hAnsi="Arial" w:cs="Arial"/>
        </w:rPr>
        <w:t xml:space="preserve">, A. H., Berisha, V., Morina, F., </w:t>
      </w:r>
      <w:proofErr w:type="spellStart"/>
      <w:r w:rsidRPr="00967159">
        <w:rPr>
          <w:rFonts w:ascii="Arial" w:hAnsi="Arial" w:cs="Arial"/>
        </w:rPr>
        <w:t>andAvdyli</w:t>
      </w:r>
      <w:proofErr w:type="spellEnd"/>
      <w:r w:rsidRPr="00967159">
        <w:rPr>
          <w:rFonts w:ascii="Arial" w:hAnsi="Arial" w:cs="Arial"/>
        </w:rPr>
        <w:t>, E. (2023). Exploring the impact of cash flow, company size, and debt on financial performance in corporations. </w:t>
      </w:r>
      <w:r w:rsidRPr="00967159">
        <w:rPr>
          <w:rFonts w:ascii="Arial" w:hAnsi="Arial" w:cs="Arial"/>
          <w:i/>
          <w:iCs/>
        </w:rPr>
        <w:t>Investment Management &amp; Financial Innovations</w:t>
      </w:r>
      <w:r w:rsidRPr="00967159">
        <w:rPr>
          <w:rFonts w:ascii="Arial" w:hAnsi="Arial" w:cs="Arial"/>
        </w:rPr>
        <w:t>, </w:t>
      </w:r>
      <w:r w:rsidRPr="00967159">
        <w:rPr>
          <w:rFonts w:ascii="Arial" w:hAnsi="Arial" w:cs="Arial"/>
          <w:i/>
          <w:iCs/>
        </w:rPr>
        <w:t>20</w:t>
      </w:r>
      <w:r w:rsidRPr="00967159">
        <w:rPr>
          <w:rFonts w:ascii="Arial" w:hAnsi="Arial" w:cs="Arial"/>
        </w:rPr>
        <w:t>(3), 264.</w:t>
      </w:r>
      <w:hyperlink r:id="rId9" w:history="1">
        <w:r w:rsidRPr="00967159">
          <w:rPr>
            <w:rStyle w:val="Hyperlink"/>
            <w:rFonts w:ascii="Arial" w:hAnsi="Arial" w:cs="Arial"/>
          </w:rPr>
          <w:t>https://pdfs.semanticscholar.org/b297/a823988fa5f3b58516df9f08c16c2c20d0e5.pdf</w:t>
        </w:r>
      </w:hyperlink>
    </w:p>
    <w:p w14:paraId="6D466168" w14:textId="77777777" w:rsidR="00967159" w:rsidRPr="00967159" w:rsidRDefault="00967159" w:rsidP="00967159">
      <w:pPr>
        <w:rPr>
          <w:rFonts w:ascii="Arial" w:hAnsi="Arial" w:cs="Arial"/>
        </w:rPr>
      </w:pPr>
      <w:r w:rsidRPr="00967159">
        <w:rPr>
          <w:rFonts w:ascii="Arial" w:hAnsi="Arial" w:cs="Arial"/>
        </w:rPr>
        <w:t xml:space="preserve">Asman, F. N., Fernandez, D., Jamaludin, N. A., Omar Zaki, H., </w:t>
      </w:r>
      <w:proofErr w:type="spellStart"/>
      <w:r w:rsidRPr="00967159">
        <w:rPr>
          <w:rFonts w:ascii="Arial" w:hAnsi="Arial" w:cs="Arial"/>
        </w:rPr>
        <w:t>andGhazali</w:t>
      </w:r>
      <w:proofErr w:type="spellEnd"/>
      <w:r w:rsidRPr="00967159">
        <w:rPr>
          <w:rFonts w:ascii="Arial" w:hAnsi="Arial" w:cs="Arial"/>
        </w:rPr>
        <w:t>, A. W. (2022). Cash conversion cycle and firm’s performance. </w:t>
      </w:r>
      <w:r w:rsidRPr="00967159">
        <w:rPr>
          <w:rFonts w:ascii="Arial" w:hAnsi="Arial" w:cs="Arial"/>
          <w:i/>
          <w:iCs/>
        </w:rPr>
        <w:t>International Journal of Academic Research in Business and Social Sciences</w:t>
      </w:r>
      <w:r w:rsidRPr="00967159">
        <w:rPr>
          <w:rFonts w:ascii="Arial" w:hAnsi="Arial" w:cs="Arial"/>
        </w:rPr>
        <w:t>, </w:t>
      </w:r>
      <w:r w:rsidRPr="00967159">
        <w:rPr>
          <w:rFonts w:ascii="Arial" w:hAnsi="Arial" w:cs="Arial"/>
          <w:i/>
          <w:iCs/>
        </w:rPr>
        <w:t>12</w:t>
      </w:r>
      <w:r w:rsidRPr="00967159">
        <w:rPr>
          <w:rFonts w:ascii="Arial" w:hAnsi="Arial" w:cs="Arial"/>
        </w:rPr>
        <w:t>(11), 2682-2692.</w:t>
      </w:r>
      <w:hyperlink r:id="rId10" w:history="1">
        <w:r w:rsidRPr="00967159">
          <w:rPr>
            <w:rStyle w:val="Hyperlink"/>
            <w:rFonts w:ascii="Arial" w:hAnsi="Arial" w:cs="Arial"/>
          </w:rPr>
          <w:t>https://www.academia.edu/download/106769993/cash-conversion-cycle-and-firms-performance.pdf</w:t>
        </w:r>
      </w:hyperlink>
    </w:p>
    <w:p w14:paraId="4013D289" w14:textId="3A98C5E1" w:rsidR="00967159" w:rsidRPr="00967159" w:rsidRDefault="00967159" w:rsidP="00967159">
      <w:pPr>
        <w:rPr>
          <w:rFonts w:ascii="Arial" w:hAnsi="Arial" w:cs="Arial"/>
        </w:rPr>
      </w:pPr>
      <w:r w:rsidRPr="00967159">
        <w:rPr>
          <w:rFonts w:ascii="Arial" w:hAnsi="Arial" w:cs="Arial"/>
        </w:rPr>
        <w:t>Autocar Pro (2025) </w:t>
      </w:r>
      <w:r w:rsidRPr="00967159">
        <w:rPr>
          <w:rFonts w:ascii="Arial" w:hAnsi="Arial" w:cs="Arial"/>
          <w:i/>
          <w:iCs/>
        </w:rPr>
        <w:t>BEV sales in Europe jump 27% to 159,746 units in August</w:t>
      </w:r>
      <w:r w:rsidRPr="00967159">
        <w:rPr>
          <w:rFonts w:ascii="Arial" w:hAnsi="Arial" w:cs="Arial"/>
        </w:rPr>
        <w:t xml:space="preserve">. Available at: </w:t>
      </w:r>
      <w:hyperlink r:id="rId11" w:history="1">
        <w:r w:rsidRPr="00967159">
          <w:rPr>
            <w:rStyle w:val="Hyperlink"/>
            <w:rFonts w:ascii="Arial" w:hAnsi="Arial" w:cs="Arial"/>
          </w:rPr>
          <w:t>https://www.autocarpro.in/news/bev-sales-in-europe-jump-27-to-159746-units-in-august-128871</w:t>
        </w:r>
      </w:hyperlink>
    </w:p>
    <w:p w14:paraId="5380A012" w14:textId="77777777" w:rsidR="00967159" w:rsidRPr="00967159" w:rsidRDefault="00967159" w:rsidP="00967159">
      <w:pPr>
        <w:rPr>
          <w:rFonts w:ascii="Arial" w:hAnsi="Arial" w:cs="Arial"/>
        </w:rPr>
      </w:pPr>
      <w:r w:rsidRPr="00967159">
        <w:rPr>
          <w:rFonts w:ascii="Arial" w:hAnsi="Arial" w:cs="Arial"/>
        </w:rPr>
        <w:t>BETTY, K. K. (2024). FINANCIAL MANAGEMENT PRACTICES AND FINANCIAL SUSTAINABILITY OF PUBLIC UNIVERSITIES IN KENYA.</w:t>
      </w:r>
      <w:hyperlink r:id="rId12" w:history="1">
        <w:r w:rsidRPr="00967159">
          <w:rPr>
            <w:rStyle w:val="Hyperlink"/>
            <w:rFonts w:ascii="Arial" w:hAnsi="Arial" w:cs="Arial"/>
          </w:rPr>
          <w:t>https://ir-library.ku.ac.ke/server/api/core/bitstreams/a97b1122-d953-4ed9-a64d-c72c7ffe57a7/content</w:t>
        </w:r>
      </w:hyperlink>
    </w:p>
    <w:p w14:paraId="0889A543" w14:textId="77777777" w:rsidR="00967159" w:rsidRPr="00967159" w:rsidRDefault="00967159" w:rsidP="00967159">
      <w:pPr>
        <w:rPr>
          <w:rFonts w:ascii="Arial" w:hAnsi="Arial" w:cs="Arial"/>
        </w:rPr>
      </w:pPr>
      <w:proofErr w:type="spellStart"/>
      <w:r w:rsidRPr="00967159">
        <w:rPr>
          <w:rFonts w:ascii="Arial" w:hAnsi="Arial" w:cs="Arial"/>
        </w:rPr>
        <w:t>Bolun</w:t>
      </w:r>
      <w:proofErr w:type="spellEnd"/>
      <w:r w:rsidRPr="00967159">
        <w:rPr>
          <w:rFonts w:ascii="Arial" w:hAnsi="Arial" w:cs="Arial"/>
        </w:rPr>
        <w:t xml:space="preserve">, I., and </w:t>
      </w:r>
      <w:proofErr w:type="spellStart"/>
      <w:r w:rsidRPr="00967159">
        <w:rPr>
          <w:rFonts w:ascii="Arial" w:hAnsi="Arial" w:cs="Arial"/>
        </w:rPr>
        <w:t>Ghetmancenco</w:t>
      </w:r>
      <w:proofErr w:type="spellEnd"/>
      <w:r w:rsidRPr="00967159">
        <w:rPr>
          <w:rFonts w:ascii="Arial" w:hAnsi="Arial" w:cs="Arial"/>
        </w:rPr>
        <w:t>, S. (2022). Efficiency indices of investment in IT projects with equal lives. </w:t>
      </w:r>
      <w:r w:rsidRPr="00967159">
        <w:rPr>
          <w:rFonts w:ascii="Arial" w:hAnsi="Arial" w:cs="Arial"/>
          <w:i/>
          <w:iCs/>
        </w:rPr>
        <w:t>Journal of Social Sciences</w:t>
      </w:r>
      <w:r w:rsidRPr="00967159">
        <w:rPr>
          <w:rFonts w:ascii="Arial" w:hAnsi="Arial" w:cs="Arial"/>
        </w:rPr>
        <w:t>, (3), 105-120.</w:t>
      </w:r>
      <w:hyperlink r:id="rId13" w:history="1">
        <w:r w:rsidRPr="00967159">
          <w:rPr>
            <w:rStyle w:val="Hyperlink"/>
            <w:rFonts w:ascii="Arial" w:hAnsi="Arial" w:cs="Arial"/>
          </w:rPr>
          <w:t>https://ibn.idsi.md/sites/default/files/imag_file/105-120_1.pdf</w:t>
        </w:r>
      </w:hyperlink>
    </w:p>
    <w:p w14:paraId="2395C333" w14:textId="77777777" w:rsidR="00967159" w:rsidRPr="00967159" w:rsidRDefault="00967159" w:rsidP="00967159">
      <w:pPr>
        <w:rPr>
          <w:rFonts w:ascii="Arial" w:hAnsi="Arial" w:cs="Arial"/>
        </w:rPr>
      </w:pPr>
      <w:r w:rsidRPr="00967159">
        <w:rPr>
          <w:rFonts w:ascii="Arial" w:hAnsi="Arial" w:cs="Arial"/>
        </w:rPr>
        <w:t xml:space="preserve">Choudhury, M., </w:t>
      </w:r>
      <w:proofErr w:type="spellStart"/>
      <w:r w:rsidRPr="00967159">
        <w:rPr>
          <w:rFonts w:ascii="Arial" w:hAnsi="Arial" w:cs="Arial"/>
        </w:rPr>
        <w:t>andMadhia</w:t>
      </w:r>
      <w:proofErr w:type="spellEnd"/>
      <w:r w:rsidRPr="00967159">
        <w:rPr>
          <w:rFonts w:ascii="Arial" w:hAnsi="Arial" w:cs="Arial"/>
        </w:rPr>
        <w:t>, A. (2024). The Future of Competition Law and the Need for Technological Advancement for Digital. </w:t>
      </w:r>
      <w:r w:rsidRPr="00967159">
        <w:rPr>
          <w:rFonts w:ascii="Arial" w:hAnsi="Arial" w:cs="Arial"/>
          <w:i/>
          <w:iCs/>
        </w:rPr>
        <w:t>Historical Research</w:t>
      </w:r>
      <w:r w:rsidRPr="00967159">
        <w:rPr>
          <w:rFonts w:ascii="Arial" w:hAnsi="Arial" w:cs="Arial"/>
        </w:rPr>
        <w:t>, </w:t>
      </w:r>
      <w:r w:rsidRPr="00967159">
        <w:rPr>
          <w:rFonts w:ascii="Arial" w:hAnsi="Arial" w:cs="Arial"/>
          <w:i/>
          <w:iCs/>
        </w:rPr>
        <w:t>1</w:t>
      </w:r>
      <w:r w:rsidRPr="00967159">
        <w:rPr>
          <w:rFonts w:ascii="Arial" w:hAnsi="Arial" w:cs="Arial"/>
        </w:rPr>
        <w:t>, 5.</w:t>
      </w:r>
      <w:hyperlink r:id="rId14" w:history="1">
        <w:r w:rsidRPr="00967159">
          <w:rPr>
            <w:rStyle w:val="Hyperlink"/>
            <w:rFonts w:ascii="Arial" w:hAnsi="Arial" w:cs="Arial"/>
          </w:rPr>
          <w:t>https://blogs.kcl.ac.uk/kslr/files/2024/04/Choudhury-and-Madhia-Article.pdf</w:t>
        </w:r>
      </w:hyperlink>
    </w:p>
    <w:p w14:paraId="436E366C" w14:textId="77777777" w:rsidR="00967159" w:rsidRPr="00967159" w:rsidRDefault="00967159" w:rsidP="00967159">
      <w:pPr>
        <w:rPr>
          <w:rFonts w:ascii="Arial" w:hAnsi="Arial" w:cs="Arial"/>
        </w:rPr>
      </w:pPr>
      <w:proofErr w:type="spellStart"/>
      <w:r w:rsidRPr="00967159">
        <w:rPr>
          <w:rFonts w:ascii="Arial" w:hAnsi="Arial" w:cs="Arial"/>
        </w:rPr>
        <w:t>Colliard</w:t>
      </w:r>
      <w:proofErr w:type="spellEnd"/>
      <w:r w:rsidRPr="00967159">
        <w:rPr>
          <w:rFonts w:ascii="Arial" w:hAnsi="Arial" w:cs="Arial"/>
        </w:rPr>
        <w:t xml:space="preserve">, J. E., </w:t>
      </w:r>
      <w:proofErr w:type="spellStart"/>
      <w:r w:rsidRPr="00967159">
        <w:rPr>
          <w:rFonts w:ascii="Arial" w:hAnsi="Arial" w:cs="Arial"/>
        </w:rPr>
        <w:t>andGromb</w:t>
      </w:r>
      <w:proofErr w:type="spellEnd"/>
      <w:r w:rsidRPr="00967159">
        <w:rPr>
          <w:rFonts w:ascii="Arial" w:hAnsi="Arial" w:cs="Arial"/>
        </w:rPr>
        <w:t>, D. (2025). Financial restructuring and resolution of banks. </w:t>
      </w:r>
      <w:r w:rsidRPr="00967159">
        <w:rPr>
          <w:rFonts w:ascii="Arial" w:hAnsi="Arial" w:cs="Arial"/>
          <w:i/>
          <w:iCs/>
        </w:rPr>
        <w:t>The Review of Financial Studies</w:t>
      </w:r>
      <w:r w:rsidRPr="00967159">
        <w:rPr>
          <w:rFonts w:ascii="Arial" w:hAnsi="Arial" w:cs="Arial"/>
        </w:rPr>
        <w:t>, hhaf113.</w:t>
      </w:r>
      <w:hyperlink r:id="rId15" w:history="1">
        <w:r w:rsidRPr="00967159">
          <w:rPr>
            <w:rStyle w:val="Hyperlink"/>
            <w:rFonts w:ascii="Arial" w:hAnsi="Arial" w:cs="Arial"/>
          </w:rPr>
          <w:t>https://papers.ssrn.com/sol3/Delivery.cfm?abstractid=3183777</w:t>
        </w:r>
      </w:hyperlink>
    </w:p>
    <w:p w14:paraId="762A9E3B" w14:textId="77777777" w:rsidR="00967159" w:rsidRPr="00967159" w:rsidRDefault="00967159" w:rsidP="00967159">
      <w:pPr>
        <w:rPr>
          <w:rFonts w:ascii="Arial" w:hAnsi="Arial" w:cs="Arial"/>
        </w:rPr>
      </w:pPr>
      <w:r w:rsidRPr="00967159">
        <w:rPr>
          <w:rFonts w:ascii="Arial" w:hAnsi="Arial" w:cs="Arial"/>
        </w:rPr>
        <w:t xml:space="preserve">Dai, H., Li, N., Wang, Y., </w:t>
      </w:r>
      <w:proofErr w:type="spellStart"/>
      <w:r w:rsidRPr="00967159">
        <w:rPr>
          <w:rFonts w:ascii="Arial" w:hAnsi="Arial" w:cs="Arial"/>
        </w:rPr>
        <w:t>andZhao</w:t>
      </w:r>
      <w:proofErr w:type="spellEnd"/>
      <w:r w:rsidRPr="00967159">
        <w:rPr>
          <w:rFonts w:ascii="Arial" w:hAnsi="Arial" w:cs="Arial"/>
        </w:rPr>
        <w:t>, X. (2022, March). The analysis of three main investment criteria: NPV IRR and payback period. In </w:t>
      </w:r>
      <w:r w:rsidRPr="00967159">
        <w:rPr>
          <w:rFonts w:ascii="Arial" w:hAnsi="Arial" w:cs="Arial"/>
          <w:i/>
          <w:iCs/>
        </w:rPr>
        <w:t>2022 7th International Conference on Financial Innovation and Economic Development (ICFIED 2022)</w:t>
      </w:r>
      <w:r w:rsidRPr="00967159">
        <w:rPr>
          <w:rFonts w:ascii="Arial" w:hAnsi="Arial" w:cs="Arial"/>
        </w:rPr>
        <w:t xml:space="preserve"> (pp. 185-189). Atlantis </w:t>
      </w:r>
      <w:proofErr w:type="spellStart"/>
      <w:r w:rsidRPr="00967159">
        <w:rPr>
          <w:rFonts w:ascii="Arial" w:hAnsi="Arial" w:cs="Arial"/>
        </w:rPr>
        <w:t>Press.</w:t>
      </w:r>
      <w:hyperlink r:id="rId16" w:history="1">
        <w:r w:rsidRPr="00967159">
          <w:rPr>
            <w:rStyle w:val="Hyperlink"/>
            <w:rFonts w:ascii="Arial" w:hAnsi="Arial" w:cs="Arial"/>
          </w:rPr>
          <w:t>https</w:t>
        </w:r>
        <w:proofErr w:type="spellEnd"/>
        <w:r w:rsidRPr="00967159">
          <w:rPr>
            <w:rStyle w:val="Hyperlink"/>
            <w:rFonts w:ascii="Arial" w:hAnsi="Arial" w:cs="Arial"/>
          </w:rPr>
          <w:t>://www.atlantis-press.com/article/125971510.pdf</w:t>
        </w:r>
      </w:hyperlink>
    </w:p>
    <w:p w14:paraId="5C0524D5" w14:textId="77777777" w:rsidR="00967159" w:rsidRPr="00967159" w:rsidRDefault="00967159" w:rsidP="00967159">
      <w:pPr>
        <w:rPr>
          <w:rFonts w:ascii="Arial" w:hAnsi="Arial" w:cs="Arial"/>
        </w:rPr>
      </w:pPr>
      <w:r w:rsidRPr="00967159">
        <w:rPr>
          <w:rFonts w:ascii="Arial" w:hAnsi="Arial" w:cs="Arial"/>
        </w:rPr>
        <w:lastRenderedPageBreak/>
        <w:t xml:space="preserve">Gandhi, J., </w:t>
      </w:r>
      <w:proofErr w:type="spellStart"/>
      <w:r w:rsidRPr="00967159">
        <w:rPr>
          <w:rFonts w:ascii="Arial" w:hAnsi="Arial" w:cs="Arial"/>
        </w:rPr>
        <w:t>andNasit</w:t>
      </w:r>
      <w:proofErr w:type="spellEnd"/>
      <w:r w:rsidRPr="00967159">
        <w:rPr>
          <w:rFonts w:ascii="Arial" w:hAnsi="Arial" w:cs="Arial"/>
        </w:rPr>
        <w:t>, A. (2022). Comparison of short-term financing options; factoring as the best alternative. In </w:t>
      </w:r>
      <w:r w:rsidRPr="00967159">
        <w:rPr>
          <w:rFonts w:ascii="Arial" w:hAnsi="Arial" w:cs="Arial"/>
          <w:i/>
          <w:iCs/>
        </w:rPr>
        <w:t>International Research Conference on Innovations, Startup and Investments (ICOSTART-2022)</w:t>
      </w:r>
      <w:r w:rsidRPr="00967159">
        <w:rPr>
          <w:rFonts w:ascii="Arial" w:hAnsi="Arial" w:cs="Arial"/>
        </w:rPr>
        <w:t> (pp. 127-141).</w:t>
      </w:r>
      <w:hyperlink r:id="rId17" w:history="1">
        <w:r w:rsidRPr="00967159">
          <w:rPr>
            <w:rStyle w:val="Hyperlink"/>
            <w:rFonts w:ascii="Arial" w:hAnsi="Arial" w:cs="Arial"/>
          </w:rPr>
          <w:t>https://rku.ac.in/icostart2022/books/14-management-jenil-gandhi-(127-141).pdf</w:t>
        </w:r>
      </w:hyperlink>
    </w:p>
    <w:p w14:paraId="4C62F2B1" w14:textId="77777777" w:rsidR="00967159" w:rsidRPr="00967159" w:rsidRDefault="00967159" w:rsidP="00967159">
      <w:pPr>
        <w:rPr>
          <w:rFonts w:ascii="Arial" w:hAnsi="Arial" w:cs="Arial"/>
        </w:rPr>
      </w:pPr>
      <w:r w:rsidRPr="00967159">
        <w:rPr>
          <w:rFonts w:ascii="Arial" w:hAnsi="Arial" w:cs="Arial"/>
        </w:rPr>
        <w:t xml:space="preserve">García, C. J., </w:t>
      </w:r>
      <w:proofErr w:type="spellStart"/>
      <w:r w:rsidRPr="00967159">
        <w:rPr>
          <w:rFonts w:ascii="Arial" w:hAnsi="Arial" w:cs="Arial"/>
        </w:rPr>
        <w:t>andHerrero</w:t>
      </w:r>
      <w:proofErr w:type="spellEnd"/>
      <w:r w:rsidRPr="00967159">
        <w:rPr>
          <w:rFonts w:ascii="Arial" w:hAnsi="Arial" w:cs="Arial"/>
        </w:rPr>
        <w:t>, B. (2022). Corporate entrepreneurship and governance: Mergers and acquisitions in Europe. </w:t>
      </w:r>
      <w:r w:rsidRPr="00967159">
        <w:rPr>
          <w:rFonts w:ascii="Arial" w:hAnsi="Arial" w:cs="Arial"/>
          <w:i/>
          <w:iCs/>
        </w:rPr>
        <w:t>Technological Forecasting and Social Change</w:t>
      </w:r>
      <w:r w:rsidRPr="00967159">
        <w:rPr>
          <w:rFonts w:ascii="Arial" w:hAnsi="Arial" w:cs="Arial"/>
        </w:rPr>
        <w:t>, </w:t>
      </w:r>
      <w:r w:rsidRPr="00967159">
        <w:rPr>
          <w:rFonts w:ascii="Arial" w:hAnsi="Arial" w:cs="Arial"/>
          <w:i/>
          <w:iCs/>
        </w:rPr>
        <w:t>182</w:t>
      </w:r>
      <w:r w:rsidRPr="00967159">
        <w:rPr>
          <w:rFonts w:ascii="Arial" w:hAnsi="Arial" w:cs="Arial"/>
        </w:rPr>
        <w:t>, 121845.</w:t>
      </w:r>
      <w:hyperlink r:id="rId18" w:history="1">
        <w:r w:rsidRPr="00967159">
          <w:rPr>
            <w:rStyle w:val="Hyperlink"/>
            <w:rFonts w:ascii="Arial" w:hAnsi="Arial" w:cs="Arial"/>
          </w:rPr>
          <w:t>https://www.sciencedirect.com/science/article/pii/S0040162522003699</w:t>
        </w:r>
      </w:hyperlink>
    </w:p>
    <w:p w14:paraId="0B055F0C" w14:textId="77777777" w:rsidR="00967159" w:rsidRPr="00967159" w:rsidRDefault="00967159" w:rsidP="00967159">
      <w:pPr>
        <w:rPr>
          <w:rFonts w:ascii="Arial" w:hAnsi="Arial" w:cs="Arial"/>
        </w:rPr>
      </w:pPr>
      <w:r w:rsidRPr="00967159">
        <w:rPr>
          <w:rFonts w:ascii="Arial" w:hAnsi="Arial" w:cs="Arial"/>
        </w:rPr>
        <w:t>Gerard, H. T. (2022). The value of stakeholder theory: The Volkswagen emission debacle. </w:t>
      </w:r>
      <w:r w:rsidRPr="00967159">
        <w:rPr>
          <w:rFonts w:ascii="Arial" w:hAnsi="Arial" w:cs="Arial"/>
          <w:i/>
          <w:iCs/>
        </w:rPr>
        <w:t>Journal of Insurance and Financial Management</w:t>
      </w:r>
      <w:r w:rsidRPr="00967159">
        <w:rPr>
          <w:rFonts w:ascii="Arial" w:hAnsi="Arial" w:cs="Arial"/>
        </w:rPr>
        <w:t>, </w:t>
      </w:r>
      <w:r w:rsidRPr="00967159">
        <w:rPr>
          <w:rFonts w:ascii="Arial" w:hAnsi="Arial" w:cs="Arial"/>
          <w:i/>
          <w:iCs/>
        </w:rPr>
        <w:t>5</w:t>
      </w:r>
      <w:r w:rsidRPr="00967159">
        <w:rPr>
          <w:rFonts w:ascii="Arial" w:hAnsi="Arial" w:cs="Arial"/>
        </w:rPr>
        <w:t>(2), 1-22.</w:t>
      </w:r>
      <w:hyperlink r:id="rId19" w:history="1">
        <w:r w:rsidRPr="00967159">
          <w:rPr>
            <w:rStyle w:val="Hyperlink"/>
            <w:rFonts w:ascii="Arial" w:hAnsi="Arial" w:cs="Arial"/>
          </w:rPr>
          <w:t>https://www.academia.edu/download/78884993/219_JIFM.pdf</w:t>
        </w:r>
      </w:hyperlink>
    </w:p>
    <w:p w14:paraId="681C14AA" w14:textId="77777777" w:rsidR="00967159" w:rsidRPr="00967159" w:rsidRDefault="00967159" w:rsidP="00967159">
      <w:pPr>
        <w:rPr>
          <w:rFonts w:ascii="Arial" w:hAnsi="Arial" w:cs="Arial"/>
        </w:rPr>
      </w:pPr>
      <w:r w:rsidRPr="00967159">
        <w:rPr>
          <w:rFonts w:ascii="Arial" w:hAnsi="Arial" w:cs="Arial"/>
        </w:rPr>
        <w:t>Gichuki, F. (2023). Collections policy and financial performance of savings and credit cooperative societies in Nyeri Central Sub County, Kenya. </w:t>
      </w:r>
      <w:r w:rsidRPr="00967159">
        <w:rPr>
          <w:rFonts w:ascii="Arial" w:hAnsi="Arial" w:cs="Arial"/>
          <w:i/>
          <w:iCs/>
        </w:rPr>
        <w:t>International Academic Journal of Economics and Finance| Volume 3, Issue 8, pp. 479-505</w:t>
      </w:r>
      <w:r w:rsidRPr="00967159">
        <w:rPr>
          <w:rFonts w:ascii="Arial" w:hAnsi="Arial" w:cs="Arial"/>
        </w:rPr>
        <w:t>.</w:t>
      </w:r>
      <w:hyperlink r:id="rId20" w:history="1">
        <w:r w:rsidRPr="00967159">
          <w:rPr>
            <w:rStyle w:val="Hyperlink"/>
            <w:rFonts w:ascii="Arial" w:hAnsi="Arial" w:cs="Arial"/>
          </w:rPr>
          <w:t>https://www.academia.edu/download/103244501/COLLECTIONS_POLICY_AND_FINANCIAL_PERFROMANCE.pdf</w:t>
        </w:r>
      </w:hyperlink>
    </w:p>
    <w:p w14:paraId="1851BEA3" w14:textId="77777777" w:rsidR="00967159" w:rsidRPr="00967159" w:rsidRDefault="00967159" w:rsidP="00967159">
      <w:pPr>
        <w:rPr>
          <w:rFonts w:ascii="Arial" w:hAnsi="Arial" w:cs="Arial"/>
        </w:rPr>
      </w:pPr>
      <w:r w:rsidRPr="00967159">
        <w:rPr>
          <w:rFonts w:ascii="Arial" w:hAnsi="Arial" w:cs="Arial"/>
        </w:rPr>
        <w:t>Gunawan, E. (2023). Liquidity Ratio Analysis in Financing Short Term Liabilities. </w:t>
      </w:r>
      <w:r w:rsidRPr="00967159">
        <w:rPr>
          <w:rFonts w:ascii="Arial" w:hAnsi="Arial" w:cs="Arial"/>
          <w:i/>
          <w:iCs/>
        </w:rPr>
        <w:t>International Journal of Health, Economics, and Social Sciences (IJHESS)</w:t>
      </w:r>
      <w:r w:rsidRPr="00967159">
        <w:rPr>
          <w:rFonts w:ascii="Arial" w:hAnsi="Arial" w:cs="Arial"/>
        </w:rPr>
        <w:t>, </w:t>
      </w:r>
      <w:r w:rsidRPr="00967159">
        <w:rPr>
          <w:rFonts w:ascii="Arial" w:hAnsi="Arial" w:cs="Arial"/>
          <w:i/>
          <w:iCs/>
        </w:rPr>
        <w:t>5</w:t>
      </w:r>
      <w:r w:rsidRPr="00967159">
        <w:rPr>
          <w:rFonts w:ascii="Arial" w:hAnsi="Arial" w:cs="Arial"/>
        </w:rPr>
        <w:t>(2), 157-162.</w:t>
      </w:r>
      <w:hyperlink r:id="rId21" w:history="1">
        <w:r w:rsidRPr="00967159">
          <w:rPr>
            <w:rStyle w:val="Hyperlink"/>
            <w:rFonts w:ascii="Arial" w:hAnsi="Arial" w:cs="Arial"/>
          </w:rPr>
          <w:t>https://jurnal.unismuhpalu.ac.id/index.php/IJHESS/article/download/3611/2789</w:t>
        </w:r>
      </w:hyperlink>
    </w:p>
    <w:p w14:paraId="130B36E1" w14:textId="77777777" w:rsidR="00967159" w:rsidRPr="00967159" w:rsidRDefault="00967159" w:rsidP="00967159">
      <w:pPr>
        <w:rPr>
          <w:rFonts w:ascii="Arial" w:hAnsi="Arial" w:cs="Arial"/>
        </w:rPr>
      </w:pPr>
      <w:r w:rsidRPr="00967159">
        <w:rPr>
          <w:rFonts w:ascii="Arial" w:hAnsi="Arial" w:cs="Arial"/>
        </w:rPr>
        <w:t>Gutterman, A. S. (2022). Financing Activities for Businesses. </w:t>
      </w:r>
      <w:r w:rsidRPr="00967159">
        <w:rPr>
          <w:rFonts w:ascii="Arial" w:hAnsi="Arial" w:cs="Arial"/>
          <w:i/>
          <w:iCs/>
        </w:rPr>
        <w:t>Available at SSRN 4242277</w:t>
      </w:r>
      <w:r w:rsidRPr="00967159">
        <w:rPr>
          <w:rFonts w:ascii="Arial" w:hAnsi="Arial" w:cs="Arial"/>
        </w:rPr>
        <w:t>.</w:t>
      </w:r>
      <w:hyperlink r:id="rId22" w:history="1">
        <w:r w:rsidRPr="00967159">
          <w:rPr>
            <w:rStyle w:val="Hyperlink"/>
            <w:rFonts w:ascii="Arial" w:hAnsi="Arial" w:cs="Arial"/>
          </w:rPr>
          <w:t>https://papers.ssrn.com/sol3/Delivery.cfm?abstractid=4242277</w:t>
        </w:r>
      </w:hyperlink>
    </w:p>
    <w:p w14:paraId="30450A0A" w14:textId="77777777" w:rsidR="00967159" w:rsidRPr="00967159" w:rsidRDefault="00967159" w:rsidP="00967159">
      <w:pPr>
        <w:rPr>
          <w:rFonts w:ascii="Arial" w:hAnsi="Arial" w:cs="Arial"/>
        </w:rPr>
      </w:pPr>
      <w:r w:rsidRPr="00967159">
        <w:rPr>
          <w:rFonts w:ascii="Arial" w:hAnsi="Arial" w:cs="Arial"/>
        </w:rPr>
        <w:t xml:space="preserve">Habib, A. M., and Mourad, N. (2022, July). </w:t>
      </w:r>
      <w:proofErr w:type="spellStart"/>
      <w:r w:rsidRPr="00967159">
        <w:rPr>
          <w:rFonts w:ascii="Arial" w:hAnsi="Arial" w:cs="Arial"/>
        </w:rPr>
        <w:t>Analyzing</w:t>
      </w:r>
      <w:proofErr w:type="spellEnd"/>
      <w:r w:rsidRPr="00967159">
        <w:rPr>
          <w:rFonts w:ascii="Arial" w:hAnsi="Arial" w:cs="Arial"/>
        </w:rPr>
        <w:t xml:space="preserve"> the efficiency of working capital management: A new approach based on DEA-Malmquist technology. In </w:t>
      </w:r>
      <w:r w:rsidRPr="00967159">
        <w:rPr>
          <w:rFonts w:ascii="Arial" w:hAnsi="Arial" w:cs="Arial"/>
          <w:i/>
          <w:iCs/>
        </w:rPr>
        <w:t>Operations Research Forum</w:t>
      </w:r>
      <w:r w:rsidRPr="00967159">
        <w:rPr>
          <w:rFonts w:ascii="Arial" w:hAnsi="Arial" w:cs="Arial"/>
        </w:rPr>
        <w:t> (Vol. 3, No. 3, p. 32). Cham: Springer International Publishing.</w:t>
      </w:r>
      <w:hyperlink r:id="rId23" w:history="1">
        <w:r w:rsidRPr="00967159">
          <w:rPr>
            <w:rStyle w:val="Hyperlink"/>
            <w:rFonts w:ascii="Arial" w:hAnsi="Arial" w:cs="Arial"/>
          </w:rPr>
          <w:t>https://pmc.ncbi.nlm.nih.gov/articles/PMC9307712/pdf/43069_2022_Article_155.pdf</w:t>
        </w:r>
      </w:hyperlink>
    </w:p>
    <w:p w14:paraId="639EF33A" w14:textId="77777777" w:rsidR="00967159" w:rsidRPr="00967159" w:rsidRDefault="00967159" w:rsidP="00967159">
      <w:pPr>
        <w:rPr>
          <w:rFonts w:ascii="Arial" w:hAnsi="Arial" w:cs="Arial"/>
        </w:rPr>
      </w:pPr>
      <w:proofErr w:type="spellStart"/>
      <w:r w:rsidRPr="00967159">
        <w:rPr>
          <w:rFonts w:ascii="Arial" w:hAnsi="Arial" w:cs="Arial"/>
        </w:rPr>
        <w:t>Handoyo</w:t>
      </w:r>
      <w:proofErr w:type="spellEnd"/>
      <w:r w:rsidRPr="00967159">
        <w:rPr>
          <w:rFonts w:ascii="Arial" w:hAnsi="Arial" w:cs="Arial"/>
        </w:rPr>
        <w:t xml:space="preserve">, S., </w:t>
      </w:r>
      <w:proofErr w:type="spellStart"/>
      <w:r w:rsidRPr="00967159">
        <w:rPr>
          <w:rFonts w:ascii="Arial" w:hAnsi="Arial" w:cs="Arial"/>
        </w:rPr>
        <w:t>Suharman</w:t>
      </w:r>
      <w:proofErr w:type="spellEnd"/>
      <w:r w:rsidRPr="00967159">
        <w:rPr>
          <w:rFonts w:ascii="Arial" w:hAnsi="Arial" w:cs="Arial"/>
        </w:rPr>
        <w:t xml:space="preserve">, H., Ghani, E. K., </w:t>
      </w:r>
      <w:proofErr w:type="spellStart"/>
      <w:r w:rsidRPr="00967159">
        <w:rPr>
          <w:rFonts w:ascii="Arial" w:hAnsi="Arial" w:cs="Arial"/>
        </w:rPr>
        <w:t>andSoedarsono</w:t>
      </w:r>
      <w:proofErr w:type="spellEnd"/>
      <w:r w:rsidRPr="00967159">
        <w:rPr>
          <w:rFonts w:ascii="Arial" w:hAnsi="Arial" w:cs="Arial"/>
        </w:rPr>
        <w:t>, S. (2023). A business strategy, operational efficiency, ownership structure, and manufacturing performance: The moderating role of market uncertainty and competition intensity and its implication on open innovation. </w:t>
      </w:r>
      <w:r w:rsidRPr="00967159">
        <w:rPr>
          <w:rFonts w:ascii="Arial" w:hAnsi="Arial" w:cs="Arial"/>
          <w:i/>
          <w:iCs/>
        </w:rPr>
        <w:t>Journal of Open Innovation: Technology, Market, and Complexity</w:t>
      </w:r>
      <w:r w:rsidRPr="00967159">
        <w:rPr>
          <w:rFonts w:ascii="Arial" w:hAnsi="Arial" w:cs="Arial"/>
        </w:rPr>
        <w:t>, </w:t>
      </w:r>
      <w:r w:rsidRPr="00967159">
        <w:rPr>
          <w:rFonts w:ascii="Arial" w:hAnsi="Arial" w:cs="Arial"/>
          <w:i/>
          <w:iCs/>
        </w:rPr>
        <w:t>9</w:t>
      </w:r>
      <w:r w:rsidRPr="00967159">
        <w:rPr>
          <w:rFonts w:ascii="Arial" w:hAnsi="Arial" w:cs="Arial"/>
        </w:rPr>
        <w:t>(2), 100039.</w:t>
      </w:r>
      <w:hyperlink r:id="rId24" w:history="1">
        <w:r w:rsidRPr="00967159">
          <w:rPr>
            <w:rStyle w:val="Hyperlink"/>
            <w:rFonts w:ascii="Arial" w:hAnsi="Arial" w:cs="Arial"/>
          </w:rPr>
          <w:t>https://www.sciencedirect.com/science/article/pii/S2199853123001415</w:t>
        </w:r>
      </w:hyperlink>
    </w:p>
    <w:p w14:paraId="63E5F0DA" w14:textId="77777777" w:rsidR="00967159" w:rsidRPr="00967159" w:rsidRDefault="00967159" w:rsidP="00967159">
      <w:pPr>
        <w:rPr>
          <w:rFonts w:ascii="Arial" w:hAnsi="Arial" w:cs="Arial"/>
        </w:rPr>
      </w:pPr>
      <w:r w:rsidRPr="00967159">
        <w:rPr>
          <w:rFonts w:ascii="Arial" w:hAnsi="Arial" w:cs="Arial"/>
        </w:rPr>
        <w:lastRenderedPageBreak/>
        <w:t xml:space="preserve">Hasyim, M. A. N., </w:t>
      </w:r>
      <w:proofErr w:type="spellStart"/>
      <w:r w:rsidRPr="00967159">
        <w:rPr>
          <w:rFonts w:ascii="Arial" w:hAnsi="Arial" w:cs="Arial"/>
        </w:rPr>
        <w:t>andNuraeni</w:t>
      </w:r>
      <w:proofErr w:type="spellEnd"/>
      <w:r w:rsidRPr="00967159">
        <w:rPr>
          <w:rFonts w:ascii="Arial" w:hAnsi="Arial" w:cs="Arial"/>
        </w:rPr>
        <w:t xml:space="preserve">, Y. A. (2022). Analysis Of </w:t>
      </w:r>
      <w:proofErr w:type="gramStart"/>
      <w:r w:rsidRPr="00967159">
        <w:rPr>
          <w:rFonts w:ascii="Arial" w:hAnsi="Arial" w:cs="Arial"/>
        </w:rPr>
        <w:t>The</w:t>
      </w:r>
      <w:proofErr w:type="gramEnd"/>
      <w:r w:rsidRPr="00967159">
        <w:rPr>
          <w:rFonts w:ascii="Arial" w:hAnsi="Arial" w:cs="Arial"/>
        </w:rPr>
        <w:t xml:space="preserve"> Effect </w:t>
      </w:r>
      <w:proofErr w:type="gramStart"/>
      <w:r w:rsidRPr="00967159">
        <w:rPr>
          <w:rFonts w:ascii="Arial" w:hAnsi="Arial" w:cs="Arial"/>
        </w:rPr>
        <w:t>Of</w:t>
      </w:r>
      <w:proofErr w:type="gramEnd"/>
      <w:r w:rsidRPr="00967159">
        <w:rPr>
          <w:rFonts w:ascii="Arial" w:hAnsi="Arial" w:cs="Arial"/>
        </w:rPr>
        <w:t xml:space="preserve"> Current Ratio, Total Asset Turnover, Debt </w:t>
      </w:r>
      <w:proofErr w:type="gramStart"/>
      <w:r w:rsidRPr="00967159">
        <w:rPr>
          <w:rFonts w:ascii="Arial" w:hAnsi="Arial" w:cs="Arial"/>
        </w:rPr>
        <w:t>To</w:t>
      </w:r>
      <w:proofErr w:type="gramEnd"/>
      <w:r w:rsidRPr="00967159">
        <w:rPr>
          <w:rFonts w:ascii="Arial" w:hAnsi="Arial" w:cs="Arial"/>
        </w:rPr>
        <w:t xml:space="preserve"> Equity Ratio, Net Profit Margin Toward </w:t>
      </w:r>
      <w:proofErr w:type="spellStart"/>
      <w:r w:rsidRPr="00967159">
        <w:rPr>
          <w:rFonts w:ascii="Arial" w:hAnsi="Arial" w:cs="Arial"/>
        </w:rPr>
        <w:t>Retrun</w:t>
      </w:r>
      <w:proofErr w:type="spellEnd"/>
      <w:r w:rsidRPr="00967159">
        <w:rPr>
          <w:rFonts w:ascii="Arial" w:hAnsi="Arial" w:cs="Arial"/>
        </w:rPr>
        <w:t xml:space="preserve"> on Equity. </w:t>
      </w:r>
      <w:r w:rsidRPr="00967159">
        <w:rPr>
          <w:rFonts w:ascii="Arial" w:hAnsi="Arial" w:cs="Arial"/>
          <w:i/>
          <w:iCs/>
        </w:rPr>
        <w:t xml:space="preserve">International Journal </w:t>
      </w:r>
      <w:proofErr w:type="gramStart"/>
      <w:r w:rsidRPr="00967159">
        <w:rPr>
          <w:rFonts w:ascii="Arial" w:hAnsi="Arial" w:cs="Arial"/>
          <w:i/>
          <w:iCs/>
        </w:rPr>
        <w:t>Of</w:t>
      </w:r>
      <w:proofErr w:type="gramEnd"/>
      <w:r w:rsidRPr="00967159">
        <w:rPr>
          <w:rFonts w:ascii="Arial" w:hAnsi="Arial" w:cs="Arial"/>
          <w:i/>
          <w:iCs/>
        </w:rPr>
        <w:t xml:space="preserve"> Science Education and Technology Management (IJSETM)</w:t>
      </w:r>
      <w:r w:rsidRPr="00967159">
        <w:rPr>
          <w:rFonts w:ascii="Arial" w:hAnsi="Arial" w:cs="Arial"/>
        </w:rPr>
        <w:t>, </w:t>
      </w:r>
      <w:r w:rsidRPr="00967159">
        <w:rPr>
          <w:rFonts w:ascii="Arial" w:hAnsi="Arial" w:cs="Arial"/>
          <w:i/>
          <w:iCs/>
        </w:rPr>
        <w:t>1</w:t>
      </w:r>
      <w:r w:rsidRPr="00967159">
        <w:rPr>
          <w:rFonts w:ascii="Arial" w:hAnsi="Arial" w:cs="Arial"/>
        </w:rPr>
        <w:t>(1), 1-15.</w:t>
      </w:r>
      <w:hyperlink r:id="rId25" w:history="1">
        <w:r w:rsidRPr="00967159">
          <w:rPr>
            <w:rStyle w:val="Hyperlink"/>
            <w:rFonts w:ascii="Arial" w:hAnsi="Arial" w:cs="Arial"/>
          </w:rPr>
          <w:t>https://ijsetm.my.id/</w:t>
        </w:r>
        <w:proofErr w:type="spellStart"/>
        <w:r w:rsidRPr="00967159">
          <w:rPr>
            <w:rStyle w:val="Hyperlink"/>
            <w:rFonts w:ascii="Arial" w:hAnsi="Arial" w:cs="Arial"/>
          </w:rPr>
          <w:t>index.php</w:t>
        </w:r>
        <w:proofErr w:type="spellEnd"/>
        <w:r w:rsidRPr="00967159">
          <w:rPr>
            <w:rStyle w:val="Hyperlink"/>
            <w:rFonts w:ascii="Arial" w:hAnsi="Arial" w:cs="Arial"/>
          </w:rPr>
          <w:t>/</w:t>
        </w:r>
        <w:proofErr w:type="spellStart"/>
        <w:r w:rsidRPr="00967159">
          <w:rPr>
            <w:rStyle w:val="Hyperlink"/>
            <w:rFonts w:ascii="Arial" w:hAnsi="Arial" w:cs="Arial"/>
          </w:rPr>
          <w:t>ijsetm</w:t>
        </w:r>
        <w:proofErr w:type="spellEnd"/>
        <w:r w:rsidRPr="00967159">
          <w:rPr>
            <w:rStyle w:val="Hyperlink"/>
            <w:rFonts w:ascii="Arial" w:hAnsi="Arial" w:cs="Arial"/>
          </w:rPr>
          <w:t>/article/download/1/1</w:t>
        </w:r>
      </w:hyperlink>
    </w:p>
    <w:p w14:paraId="0755D3E9" w14:textId="77777777" w:rsidR="00967159" w:rsidRPr="00967159" w:rsidRDefault="00967159" w:rsidP="00967159">
      <w:pPr>
        <w:rPr>
          <w:rFonts w:ascii="Arial" w:hAnsi="Arial" w:cs="Arial"/>
        </w:rPr>
      </w:pPr>
      <w:proofErr w:type="spellStart"/>
      <w:r w:rsidRPr="00967159">
        <w:rPr>
          <w:rFonts w:ascii="Arial" w:hAnsi="Arial" w:cs="Arial"/>
        </w:rPr>
        <w:t>Havlinova</w:t>
      </w:r>
      <w:proofErr w:type="spellEnd"/>
      <w:r w:rsidRPr="00967159">
        <w:rPr>
          <w:rFonts w:ascii="Arial" w:hAnsi="Arial" w:cs="Arial"/>
        </w:rPr>
        <w:t xml:space="preserve">, A., </w:t>
      </w:r>
      <w:proofErr w:type="spellStart"/>
      <w:r w:rsidRPr="00967159">
        <w:rPr>
          <w:rFonts w:ascii="Arial" w:hAnsi="Arial" w:cs="Arial"/>
        </w:rPr>
        <w:t>andKukacka</w:t>
      </w:r>
      <w:proofErr w:type="spellEnd"/>
      <w:r w:rsidRPr="00967159">
        <w:rPr>
          <w:rFonts w:ascii="Arial" w:hAnsi="Arial" w:cs="Arial"/>
        </w:rPr>
        <w:t>, J. (2023). Corporate social responsibility and stock prices after the financial crisis: The role of strategic CSR activities. </w:t>
      </w:r>
      <w:r w:rsidRPr="00967159">
        <w:rPr>
          <w:rFonts w:ascii="Arial" w:hAnsi="Arial" w:cs="Arial"/>
          <w:i/>
          <w:iCs/>
        </w:rPr>
        <w:t>Journal of Business Ethics</w:t>
      </w:r>
      <w:r w:rsidRPr="00967159">
        <w:rPr>
          <w:rFonts w:ascii="Arial" w:hAnsi="Arial" w:cs="Arial"/>
        </w:rPr>
        <w:t>, </w:t>
      </w:r>
      <w:r w:rsidRPr="00967159">
        <w:rPr>
          <w:rFonts w:ascii="Arial" w:hAnsi="Arial" w:cs="Arial"/>
          <w:i/>
          <w:iCs/>
        </w:rPr>
        <w:t>182</w:t>
      </w:r>
      <w:r w:rsidRPr="00967159">
        <w:rPr>
          <w:rFonts w:ascii="Arial" w:hAnsi="Arial" w:cs="Arial"/>
        </w:rPr>
        <w:t>(1), 223-242.</w:t>
      </w:r>
      <w:hyperlink r:id="rId26" w:history="1">
        <w:r w:rsidRPr="00967159">
          <w:rPr>
            <w:rStyle w:val="Hyperlink"/>
            <w:rFonts w:ascii="Arial" w:hAnsi="Arial" w:cs="Arial"/>
          </w:rPr>
          <w:t>https://papers.ssrn.com/sol3/Delivery.cfm?abstractid=3380881</w:t>
        </w:r>
      </w:hyperlink>
    </w:p>
    <w:p w14:paraId="02AF36AA" w14:textId="77777777" w:rsidR="00967159" w:rsidRPr="00967159" w:rsidRDefault="00967159" w:rsidP="00967159">
      <w:pPr>
        <w:rPr>
          <w:rFonts w:ascii="Arial" w:hAnsi="Arial" w:cs="Arial"/>
        </w:rPr>
      </w:pPr>
      <w:r w:rsidRPr="00967159">
        <w:rPr>
          <w:rFonts w:ascii="Arial" w:hAnsi="Arial" w:cs="Arial"/>
        </w:rPr>
        <w:t xml:space="preserve">Hidayat, A. J., </w:t>
      </w:r>
      <w:proofErr w:type="spellStart"/>
      <w:r w:rsidRPr="00967159">
        <w:rPr>
          <w:rFonts w:ascii="Arial" w:hAnsi="Arial" w:cs="Arial"/>
        </w:rPr>
        <w:t>andBintara</w:t>
      </w:r>
      <w:proofErr w:type="spellEnd"/>
      <w:r w:rsidRPr="00967159">
        <w:rPr>
          <w:rFonts w:ascii="Arial" w:hAnsi="Arial" w:cs="Arial"/>
        </w:rPr>
        <w:t>, R. (2025). The effect of debt to assets ratio, return on assets, and total assets turnover on financial distress. </w:t>
      </w:r>
      <w:r w:rsidRPr="00967159">
        <w:rPr>
          <w:rFonts w:ascii="Arial" w:hAnsi="Arial" w:cs="Arial"/>
          <w:i/>
          <w:iCs/>
        </w:rPr>
        <w:t>Journal of Islamic Contemporary Accounting and Business</w:t>
      </w:r>
      <w:r w:rsidRPr="00967159">
        <w:rPr>
          <w:rFonts w:ascii="Arial" w:hAnsi="Arial" w:cs="Arial"/>
        </w:rPr>
        <w:t>, </w:t>
      </w:r>
      <w:r w:rsidRPr="00967159">
        <w:rPr>
          <w:rFonts w:ascii="Arial" w:hAnsi="Arial" w:cs="Arial"/>
          <w:i/>
          <w:iCs/>
        </w:rPr>
        <w:t>3</w:t>
      </w:r>
      <w:r w:rsidRPr="00967159">
        <w:rPr>
          <w:rFonts w:ascii="Arial" w:hAnsi="Arial" w:cs="Arial"/>
        </w:rPr>
        <w:t>(1), 62-70.</w:t>
      </w:r>
      <w:hyperlink r:id="rId27" w:history="1">
        <w:r w:rsidRPr="00967159">
          <w:rPr>
            <w:rStyle w:val="Hyperlink"/>
            <w:rFonts w:ascii="Arial" w:hAnsi="Arial" w:cs="Arial"/>
          </w:rPr>
          <w:t>https://jurnal.tazkia.ac.id/index.php/jicab/article/download/445/405</w:t>
        </w:r>
      </w:hyperlink>
    </w:p>
    <w:p w14:paraId="16D0C0E5" w14:textId="77777777" w:rsidR="00967159" w:rsidRPr="00967159" w:rsidRDefault="00967159" w:rsidP="00967159">
      <w:pPr>
        <w:rPr>
          <w:rFonts w:ascii="Arial" w:hAnsi="Arial" w:cs="Arial"/>
        </w:rPr>
      </w:pPr>
      <w:r w:rsidRPr="00967159">
        <w:rPr>
          <w:rFonts w:ascii="Arial" w:hAnsi="Arial" w:cs="Arial"/>
        </w:rPr>
        <w:t xml:space="preserve">Hoang, D., </w:t>
      </w:r>
      <w:proofErr w:type="spellStart"/>
      <w:r w:rsidRPr="00967159">
        <w:rPr>
          <w:rFonts w:ascii="Arial" w:hAnsi="Arial" w:cs="Arial"/>
        </w:rPr>
        <w:t>Gatzer</w:t>
      </w:r>
      <w:proofErr w:type="spellEnd"/>
      <w:r w:rsidRPr="00967159">
        <w:rPr>
          <w:rFonts w:ascii="Arial" w:hAnsi="Arial" w:cs="Arial"/>
        </w:rPr>
        <w:t xml:space="preserve">, S., </w:t>
      </w:r>
      <w:proofErr w:type="spellStart"/>
      <w:r w:rsidRPr="00967159">
        <w:rPr>
          <w:rFonts w:ascii="Arial" w:hAnsi="Arial" w:cs="Arial"/>
        </w:rPr>
        <w:t>andRuckes</w:t>
      </w:r>
      <w:proofErr w:type="spellEnd"/>
      <w:r w:rsidRPr="00967159">
        <w:rPr>
          <w:rFonts w:ascii="Arial" w:hAnsi="Arial" w:cs="Arial"/>
        </w:rPr>
        <w:t>, M. (2025). The economics of capital allocation in firms: Evidence from internal capital markets. </w:t>
      </w:r>
      <w:r w:rsidRPr="00967159">
        <w:rPr>
          <w:rFonts w:ascii="Arial" w:hAnsi="Arial" w:cs="Arial"/>
          <w:i/>
          <w:iCs/>
        </w:rPr>
        <w:t>Management science</w:t>
      </w:r>
      <w:r w:rsidRPr="00967159">
        <w:rPr>
          <w:rFonts w:ascii="Arial" w:hAnsi="Arial" w:cs="Arial"/>
        </w:rPr>
        <w:t>, </w:t>
      </w:r>
      <w:r w:rsidRPr="00967159">
        <w:rPr>
          <w:rFonts w:ascii="Arial" w:hAnsi="Arial" w:cs="Arial"/>
          <w:i/>
          <w:iCs/>
        </w:rPr>
        <w:t>71</w:t>
      </w:r>
      <w:r w:rsidRPr="00967159">
        <w:rPr>
          <w:rFonts w:ascii="Arial" w:hAnsi="Arial" w:cs="Arial"/>
        </w:rPr>
        <w:t>(8), 6392-6425.</w:t>
      </w:r>
      <w:hyperlink r:id="rId28" w:history="1">
        <w:r w:rsidRPr="00967159">
          <w:rPr>
            <w:rStyle w:val="Hyperlink"/>
            <w:rFonts w:ascii="Arial" w:hAnsi="Arial" w:cs="Arial"/>
          </w:rPr>
          <w:t>https://pubsonline.informs.org/doi/full/10.1287/mnsc.2021.02755</w:t>
        </w:r>
      </w:hyperlink>
    </w:p>
    <w:p w14:paraId="6184E051" w14:textId="77777777" w:rsidR="00967159" w:rsidRPr="00967159" w:rsidRDefault="00967159" w:rsidP="00967159">
      <w:pPr>
        <w:rPr>
          <w:rFonts w:ascii="Arial" w:hAnsi="Arial" w:cs="Arial"/>
        </w:rPr>
      </w:pPr>
      <w:r w:rsidRPr="00967159">
        <w:rPr>
          <w:rFonts w:ascii="Arial" w:hAnsi="Arial" w:cs="Arial"/>
        </w:rPr>
        <w:t>Huang, D. (2025). Research on Tax Planning in Corporate Mergers and Acquisitions. </w:t>
      </w:r>
      <w:r w:rsidRPr="00967159">
        <w:rPr>
          <w:rFonts w:ascii="Arial" w:hAnsi="Arial" w:cs="Arial"/>
          <w:i/>
          <w:iCs/>
        </w:rPr>
        <w:t>Asia Pacific Economic and Management Review</w:t>
      </w:r>
      <w:r w:rsidRPr="00967159">
        <w:rPr>
          <w:rFonts w:ascii="Arial" w:hAnsi="Arial" w:cs="Arial"/>
        </w:rPr>
        <w:t>, </w:t>
      </w:r>
      <w:r w:rsidRPr="00967159">
        <w:rPr>
          <w:rFonts w:ascii="Arial" w:hAnsi="Arial" w:cs="Arial"/>
          <w:i/>
          <w:iCs/>
        </w:rPr>
        <w:t>2</w:t>
      </w:r>
      <w:r w:rsidRPr="00967159">
        <w:rPr>
          <w:rFonts w:ascii="Arial" w:hAnsi="Arial" w:cs="Arial"/>
        </w:rPr>
        <w:t>(5).</w:t>
      </w:r>
      <w:hyperlink r:id="rId29" w:history="1">
        <w:r w:rsidRPr="00967159">
          <w:rPr>
            <w:rStyle w:val="Hyperlink"/>
            <w:rFonts w:ascii="Arial" w:hAnsi="Arial" w:cs="Arial"/>
          </w:rPr>
          <w:t>https://ojs.apspublisher.com/index.php/apemr/article/download/799/621</w:t>
        </w:r>
      </w:hyperlink>
    </w:p>
    <w:p w14:paraId="419E6D13" w14:textId="77777777" w:rsidR="00967159" w:rsidRPr="00967159" w:rsidRDefault="00967159" w:rsidP="00967159">
      <w:pPr>
        <w:rPr>
          <w:rFonts w:ascii="Arial" w:hAnsi="Arial" w:cs="Arial"/>
        </w:rPr>
      </w:pPr>
      <w:proofErr w:type="spellStart"/>
      <w:r w:rsidRPr="00967159">
        <w:rPr>
          <w:rFonts w:ascii="Arial" w:hAnsi="Arial" w:cs="Arial"/>
        </w:rPr>
        <w:t>Jerab</w:t>
      </w:r>
      <w:proofErr w:type="spellEnd"/>
      <w:r w:rsidRPr="00967159">
        <w:rPr>
          <w:rFonts w:ascii="Arial" w:hAnsi="Arial" w:cs="Arial"/>
        </w:rPr>
        <w:t xml:space="preserve">, D., </w:t>
      </w:r>
      <w:proofErr w:type="spellStart"/>
      <w:r w:rsidRPr="00967159">
        <w:rPr>
          <w:rFonts w:ascii="Arial" w:hAnsi="Arial" w:cs="Arial"/>
        </w:rPr>
        <w:t>andMabrouk</w:t>
      </w:r>
      <w:proofErr w:type="spellEnd"/>
      <w:r w:rsidRPr="00967159">
        <w:rPr>
          <w:rFonts w:ascii="Arial" w:hAnsi="Arial" w:cs="Arial"/>
        </w:rPr>
        <w:t>, T. (2023). Strategies for effective organizational restructuring: A comprehensive guide. </w:t>
      </w:r>
      <w:r w:rsidRPr="00967159">
        <w:rPr>
          <w:rFonts w:ascii="Arial" w:hAnsi="Arial" w:cs="Arial"/>
          <w:i/>
          <w:iCs/>
        </w:rPr>
        <w:t>Available at SSRN 4584665</w:t>
      </w:r>
      <w:r w:rsidRPr="00967159">
        <w:rPr>
          <w:rFonts w:ascii="Arial" w:hAnsi="Arial" w:cs="Arial"/>
        </w:rPr>
        <w:t>.</w:t>
      </w:r>
      <w:hyperlink r:id="rId30" w:history="1">
        <w:r w:rsidRPr="00967159">
          <w:rPr>
            <w:rStyle w:val="Hyperlink"/>
            <w:rFonts w:ascii="Arial" w:hAnsi="Arial" w:cs="Arial"/>
          </w:rPr>
          <w:t>https://papers.ssrn.com/sol3/Delivery.cfm?abstractid=4584665</w:t>
        </w:r>
      </w:hyperlink>
    </w:p>
    <w:p w14:paraId="75CB5016" w14:textId="77777777" w:rsidR="00967159" w:rsidRPr="00967159" w:rsidRDefault="00967159" w:rsidP="00967159">
      <w:pPr>
        <w:rPr>
          <w:rFonts w:ascii="Arial" w:hAnsi="Arial" w:cs="Arial"/>
        </w:rPr>
      </w:pPr>
      <w:r w:rsidRPr="00967159">
        <w:rPr>
          <w:rFonts w:ascii="Arial" w:hAnsi="Arial" w:cs="Arial"/>
        </w:rPr>
        <w:t>Jones, B., Nguyen</w:t>
      </w:r>
      <w:r w:rsidRPr="00967159">
        <w:rPr>
          <w:rFonts w:cs="Arial"/>
        </w:rPr>
        <w:t>‐</w:t>
      </w:r>
      <w:r w:rsidRPr="00967159">
        <w:rPr>
          <w:rFonts w:ascii="Arial" w:hAnsi="Arial" w:cs="Arial"/>
        </w:rPr>
        <w:t xml:space="preserve">Tien, V., </w:t>
      </w:r>
      <w:proofErr w:type="spellStart"/>
      <w:r w:rsidRPr="00967159">
        <w:rPr>
          <w:rFonts w:ascii="Arial" w:hAnsi="Arial" w:cs="Arial"/>
        </w:rPr>
        <w:t>andElliott</w:t>
      </w:r>
      <w:proofErr w:type="spellEnd"/>
      <w:r w:rsidRPr="00967159">
        <w:rPr>
          <w:rFonts w:ascii="Arial" w:hAnsi="Arial" w:cs="Arial"/>
        </w:rPr>
        <w:t>, R. J. (2023). The electric vehicle revolution: Critical material supply chains, trade and development. </w:t>
      </w:r>
      <w:r w:rsidRPr="00967159">
        <w:rPr>
          <w:rFonts w:ascii="Arial" w:hAnsi="Arial" w:cs="Arial"/>
          <w:i/>
          <w:iCs/>
        </w:rPr>
        <w:t>The World Economy</w:t>
      </w:r>
      <w:r w:rsidRPr="00967159">
        <w:rPr>
          <w:rFonts w:ascii="Arial" w:hAnsi="Arial" w:cs="Arial"/>
        </w:rPr>
        <w:t>, </w:t>
      </w:r>
      <w:r w:rsidRPr="00967159">
        <w:rPr>
          <w:rFonts w:ascii="Arial" w:hAnsi="Arial" w:cs="Arial"/>
          <w:i/>
          <w:iCs/>
        </w:rPr>
        <w:t>46</w:t>
      </w:r>
      <w:r w:rsidRPr="00967159">
        <w:rPr>
          <w:rFonts w:ascii="Arial" w:hAnsi="Arial" w:cs="Arial"/>
        </w:rPr>
        <w:t>(1), 2-26.</w:t>
      </w:r>
      <w:hyperlink r:id="rId31" w:history="1">
        <w:r w:rsidRPr="00967159">
          <w:rPr>
            <w:rStyle w:val="Hyperlink"/>
            <w:rFonts w:ascii="Arial" w:hAnsi="Arial" w:cs="Arial"/>
          </w:rPr>
          <w:t>https://onlinelibrary.wiley.com/</w:t>
        </w:r>
        <w:proofErr w:type="spellStart"/>
        <w:r w:rsidRPr="00967159">
          <w:rPr>
            <w:rStyle w:val="Hyperlink"/>
            <w:rFonts w:ascii="Arial" w:hAnsi="Arial" w:cs="Arial"/>
          </w:rPr>
          <w:t>doi</w:t>
        </w:r>
        <w:proofErr w:type="spellEnd"/>
        <w:r w:rsidRPr="00967159">
          <w:rPr>
            <w:rStyle w:val="Hyperlink"/>
            <w:rFonts w:ascii="Arial" w:hAnsi="Arial" w:cs="Arial"/>
          </w:rPr>
          <w:t>/pdf/10.1111/twec.13345</w:t>
        </w:r>
      </w:hyperlink>
    </w:p>
    <w:p w14:paraId="13CC4233" w14:textId="77777777" w:rsidR="00967159" w:rsidRPr="00967159" w:rsidRDefault="00967159" w:rsidP="00967159">
      <w:pPr>
        <w:rPr>
          <w:rFonts w:ascii="Arial" w:hAnsi="Arial" w:cs="Arial"/>
        </w:rPr>
      </w:pPr>
      <w:r w:rsidRPr="00967159">
        <w:rPr>
          <w:rFonts w:ascii="Arial" w:hAnsi="Arial" w:cs="Arial"/>
        </w:rPr>
        <w:t xml:space="preserve">Maheshwari, S. N., Maheshwari, S. K., </w:t>
      </w:r>
      <w:proofErr w:type="spellStart"/>
      <w:r w:rsidRPr="00967159">
        <w:rPr>
          <w:rFonts w:ascii="Arial" w:hAnsi="Arial" w:cs="Arial"/>
        </w:rPr>
        <w:t>andMaheshwari</w:t>
      </w:r>
      <w:proofErr w:type="spellEnd"/>
      <w:r w:rsidRPr="00967159">
        <w:rPr>
          <w:rFonts w:ascii="Arial" w:hAnsi="Arial" w:cs="Arial"/>
        </w:rPr>
        <w:t>, S. K. (2024). </w:t>
      </w:r>
      <w:r w:rsidRPr="00967159">
        <w:rPr>
          <w:rFonts w:ascii="Arial" w:hAnsi="Arial" w:cs="Arial"/>
          <w:i/>
          <w:iCs/>
        </w:rPr>
        <w:t>Management Accounting and Financial Control</w:t>
      </w:r>
      <w:r w:rsidRPr="00967159">
        <w:rPr>
          <w:rFonts w:ascii="Arial" w:hAnsi="Arial" w:cs="Arial"/>
        </w:rPr>
        <w:t>. Sultan Chand &amp; Sons. s</w:t>
      </w:r>
      <w:hyperlink r:id="rId32" w:history="1">
        <w:r w:rsidRPr="00967159">
          <w:rPr>
            <w:rStyle w:val="Hyperlink"/>
            <w:rFonts w:ascii="Arial" w:hAnsi="Arial" w:cs="Arial"/>
          </w:rPr>
          <w:t>https://books.google.com/books?hl=en&amp;lr=&amp;id=o3wpEQAAQBAJ&amp;oi=fnd&amp;pg=PP1&amp;dq=Accounting+rate+of+return+(ARR)+is+u&amp;ots=pFYUPtCXun&amp;sig=ydgMDCkugSIryHDqkxZqUi7lf44</w:t>
        </w:r>
      </w:hyperlink>
    </w:p>
    <w:p w14:paraId="1E1448B7" w14:textId="77777777" w:rsidR="00967159" w:rsidRPr="00967159" w:rsidRDefault="00967159" w:rsidP="00967159">
      <w:pPr>
        <w:rPr>
          <w:rFonts w:ascii="Arial" w:hAnsi="Arial" w:cs="Arial"/>
        </w:rPr>
      </w:pPr>
      <w:r w:rsidRPr="00967159">
        <w:rPr>
          <w:rFonts w:ascii="Arial" w:hAnsi="Arial" w:cs="Arial"/>
        </w:rPr>
        <w:t>Olayinka, A. A. (2022). Financial statement analysis as a tool for investment decisions and assessment of companies’ performance. </w:t>
      </w:r>
      <w:r w:rsidRPr="00967159">
        <w:rPr>
          <w:rFonts w:ascii="Arial" w:hAnsi="Arial" w:cs="Arial"/>
          <w:i/>
          <w:iCs/>
        </w:rPr>
        <w:t>International Journal of Financial, Accounting, and Management</w:t>
      </w:r>
      <w:r w:rsidRPr="00967159">
        <w:rPr>
          <w:rFonts w:ascii="Arial" w:hAnsi="Arial" w:cs="Arial"/>
        </w:rPr>
        <w:t>, </w:t>
      </w:r>
      <w:r w:rsidRPr="00967159">
        <w:rPr>
          <w:rFonts w:ascii="Arial" w:hAnsi="Arial" w:cs="Arial"/>
          <w:i/>
          <w:iCs/>
        </w:rPr>
        <w:t>4</w:t>
      </w:r>
      <w:r w:rsidRPr="00967159">
        <w:rPr>
          <w:rFonts w:ascii="Arial" w:hAnsi="Arial" w:cs="Arial"/>
        </w:rPr>
        <w:t>(1), 49-66.</w:t>
      </w:r>
      <w:hyperlink r:id="rId33" w:history="1">
        <w:r w:rsidRPr="00967159">
          <w:rPr>
            <w:rStyle w:val="Hyperlink"/>
            <w:rFonts w:ascii="Arial" w:hAnsi="Arial" w:cs="Arial"/>
          </w:rPr>
          <w:t>https://www.researchgate.net/profile/Aminu-</w:t>
        </w:r>
        <w:r w:rsidRPr="00967159">
          <w:rPr>
            <w:rStyle w:val="Hyperlink"/>
            <w:rFonts w:ascii="Arial" w:hAnsi="Arial" w:cs="Arial"/>
          </w:rPr>
          <w:lastRenderedPageBreak/>
          <w:t>Olayinka/publication/361292771_Financial_statement_analysis_as_a_tool_for_investment_decisions_and_assessment_of_companies'_performance/links/62a90366a3fe3e3df8778ac8/Financial-statement-analysis-as-a-tool-for-investment-decisions-and-assessment-of-companies-performance.pdf</w:t>
        </w:r>
      </w:hyperlink>
    </w:p>
    <w:p w14:paraId="0B365213" w14:textId="77777777" w:rsidR="00967159" w:rsidRPr="00967159" w:rsidRDefault="00967159" w:rsidP="00967159">
      <w:pPr>
        <w:rPr>
          <w:rFonts w:ascii="Arial" w:hAnsi="Arial" w:cs="Arial"/>
        </w:rPr>
      </w:pPr>
      <w:r w:rsidRPr="00967159">
        <w:rPr>
          <w:rFonts w:ascii="Arial" w:hAnsi="Arial" w:cs="Arial"/>
        </w:rPr>
        <w:t xml:space="preserve">Panigrahi, T. (2022). </w:t>
      </w:r>
      <w:proofErr w:type="gramStart"/>
      <w:r w:rsidRPr="00967159">
        <w:rPr>
          <w:rFonts w:ascii="Arial" w:hAnsi="Arial" w:cs="Arial"/>
        </w:rPr>
        <w:t>Chapter-17</w:t>
      </w:r>
      <w:proofErr w:type="gramEnd"/>
      <w:r w:rsidRPr="00967159">
        <w:rPr>
          <w:rFonts w:ascii="Arial" w:hAnsi="Arial" w:cs="Arial"/>
        </w:rPr>
        <w:t xml:space="preserve"> Working Capital Management: Strategies for Efficiency. </w:t>
      </w:r>
      <w:r w:rsidRPr="00967159">
        <w:rPr>
          <w:rFonts w:ascii="Arial" w:hAnsi="Arial" w:cs="Arial"/>
          <w:i/>
          <w:iCs/>
        </w:rPr>
        <w:t>Financial Management Excellence: Strategies for Sustainable Growth</w:t>
      </w:r>
      <w:r w:rsidRPr="00967159">
        <w:rPr>
          <w:rFonts w:ascii="Arial" w:hAnsi="Arial" w:cs="Arial"/>
        </w:rPr>
        <w:t>, 226.</w:t>
      </w:r>
      <w:hyperlink r:id="rId34" w:history="1">
        <w:r w:rsidRPr="00967159">
          <w:rPr>
            <w:rStyle w:val="Hyperlink"/>
            <w:rFonts w:ascii="Arial" w:hAnsi="Arial" w:cs="Arial"/>
          </w:rPr>
          <w:t>https://books.google.com/books?hl=en&amp;lr=&amp;id=PAEJEQAAQBAJ&amp;oi=fnd&amp;pg=PA226&amp;dq=Enhancing+liquidity+involves+managing+the+working+capital+elements,+such+as+inventory,+receivable+and+payable+comprehensively&amp;ots=b9pTIh-AfW&amp;sig=D-7O2U9O7wgXXpa4h9newv-rt_4</w:t>
        </w:r>
      </w:hyperlink>
    </w:p>
    <w:p w14:paraId="3DF76238" w14:textId="77777777" w:rsidR="00967159" w:rsidRPr="00967159" w:rsidRDefault="00967159" w:rsidP="00967159">
      <w:pPr>
        <w:rPr>
          <w:rFonts w:ascii="Arial" w:hAnsi="Arial" w:cs="Arial"/>
        </w:rPr>
      </w:pPr>
      <w:r w:rsidRPr="00967159">
        <w:rPr>
          <w:rFonts w:ascii="Arial" w:hAnsi="Arial" w:cs="Arial"/>
        </w:rPr>
        <w:t xml:space="preserve">Sinaga, A. S., Sari, M. M., </w:t>
      </w:r>
      <w:proofErr w:type="spellStart"/>
      <w:r w:rsidRPr="00967159">
        <w:rPr>
          <w:rFonts w:ascii="Arial" w:hAnsi="Arial" w:cs="Arial"/>
        </w:rPr>
        <w:t>Hutasuhut</w:t>
      </w:r>
      <w:proofErr w:type="spellEnd"/>
      <w:r w:rsidRPr="00967159">
        <w:rPr>
          <w:rFonts w:ascii="Arial" w:hAnsi="Arial" w:cs="Arial"/>
        </w:rPr>
        <w:t xml:space="preserve">, A. A., Zahara, S. T., Amanda, A., Fitri, A., </w:t>
      </w:r>
      <w:proofErr w:type="spellStart"/>
      <w:r w:rsidRPr="00967159">
        <w:rPr>
          <w:rFonts w:ascii="Arial" w:hAnsi="Arial" w:cs="Arial"/>
        </w:rPr>
        <w:t>andCaesario</w:t>
      </w:r>
      <w:proofErr w:type="spellEnd"/>
      <w:r w:rsidRPr="00967159">
        <w:rPr>
          <w:rFonts w:ascii="Arial" w:hAnsi="Arial" w:cs="Arial"/>
        </w:rPr>
        <w:t>, M. A. (2023). Comparison of capital budgeting methods: NPV, IRR, PAYBACK PERIOD. </w:t>
      </w:r>
      <w:r w:rsidRPr="00967159">
        <w:rPr>
          <w:rFonts w:ascii="Arial" w:hAnsi="Arial" w:cs="Arial"/>
          <w:i/>
          <w:iCs/>
        </w:rPr>
        <w:t>World Journal of Advanced Research and Reviews</w:t>
      </w:r>
      <w:r w:rsidRPr="00967159">
        <w:rPr>
          <w:rFonts w:ascii="Arial" w:hAnsi="Arial" w:cs="Arial"/>
        </w:rPr>
        <w:t>, </w:t>
      </w:r>
      <w:r w:rsidRPr="00967159">
        <w:rPr>
          <w:rFonts w:ascii="Arial" w:hAnsi="Arial" w:cs="Arial"/>
          <w:i/>
          <w:iCs/>
        </w:rPr>
        <w:t>19</w:t>
      </w:r>
      <w:r w:rsidRPr="00967159">
        <w:rPr>
          <w:rFonts w:ascii="Arial" w:hAnsi="Arial" w:cs="Arial"/>
        </w:rPr>
        <w:t>(2), 1078-1081.</w:t>
      </w:r>
      <w:hyperlink r:id="rId35" w:history="1">
        <w:r w:rsidRPr="00967159">
          <w:rPr>
            <w:rStyle w:val="Hyperlink"/>
            <w:rFonts w:ascii="Arial" w:hAnsi="Arial" w:cs="Arial"/>
          </w:rPr>
          <w:t>https://pdfs.semanticscholar.org/35f5/923a958b071288b38d4e960e8268477ec19a.pdf</w:t>
        </w:r>
      </w:hyperlink>
    </w:p>
    <w:p w14:paraId="567FC47A" w14:textId="77777777" w:rsidR="00967159" w:rsidRPr="00967159" w:rsidRDefault="00967159" w:rsidP="00967159">
      <w:pPr>
        <w:rPr>
          <w:rFonts w:ascii="Arial" w:hAnsi="Arial" w:cs="Arial"/>
        </w:rPr>
      </w:pPr>
      <w:r w:rsidRPr="00967159">
        <w:rPr>
          <w:rFonts w:ascii="Arial" w:hAnsi="Arial" w:cs="Arial"/>
        </w:rPr>
        <w:t xml:space="preserve">Tandon, V., Asgari, N., </w:t>
      </w:r>
      <w:proofErr w:type="spellStart"/>
      <w:r w:rsidRPr="00967159">
        <w:rPr>
          <w:rFonts w:ascii="Arial" w:hAnsi="Arial" w:cs="Arial"/>
        </w:rPr>
        <w:t>andRanganathan</w:t>
      </w:r>
      <w:proofErr w:type="spellEnd"/>
      <w:r w:rsidRPr="00967159">
        <w:rPr>
          <w:rFonts w:ascii="Arial" w:hAnsi="Arial" w:cs="Arial"/>
        </w:rPr>
        <w:t>, R. (2023). Divestment of relational assets following acquisitions: Evidence from the biopharmaceutical industry. </w:t>
      </w:r>
      <w:r w:rsidRPr="00967159">
        <w:rPr>
          <w:rFonts w:ascii="Arial" w:hAnsi="Arial" w:cs="Arial"/>
          <w:i/>
          <w:iCs/>
        </w:rPr>
        <w:t>Strategic Management Journal</w:t>
      </w:r>
      <w:r w:rsidRPr="00967159">
        <w:rPr>
          <w:rFonts w:ascii="Arial" w:hAnsi="Arial" w:cs="Arial"/>
        </w:rPr>
        <w:t>, </w:t>
      </w:r>
      <w:r w:rsidRPr="00967159">
        <w:rPr>
          <w:rFonts w:ascii="Arial" w:hAnsi="Arial" w:cs="Arial"/>
          <w:i/>
          <w:iCs/>
        </w:rPr>
        <w:t>44</w:t>
      </w:r>
      <w:r w:rsidRPr="00967159">
        <w:rPr>
          <w:rFonts w:ascii="Arial" w:hAnsi="Arial" w:cs="Arial"/>
        </w:rPr>
        <w:t>(4), 1013-1052.</w:t>
      </w:r>
      <w:hyperlink r:id="rId36" w:history="1">
        <w:r w:rsidRPr="00967159">
          <w:rPr>
            <w:rStyle w:val="Hyperlink"/>
            <w:rFonts w:ascii="Arial" w:hAnsi="Arial" w:cs="Arial"/>
          </w:rPr>
          <w:t>https://www.researchgate.net/profile/Navid-Asgari-2/publication/363391042_Divestment_of_relational_assets_following_acquisitions_Evidence_from_the_biopharmaceutical_industry/links/632f783b86b22d3db4dc126c/Divestment-of-relational-assets-following-acquisitions-Evidence-from-the-biopharmaceutical-industry.pdf</w:t>
        </w:r>
      </w:hyperlink>
    </w:p>
    <w:p w14:paraId="7EA156C1" w14:textId="77777777" w:rsidR="00967159" w:rsidRPr="00967159" w:rsidRDefault="00967159" w:rsidP="00967159">
      <w:pPr>
        <w:rPr>
          <w:rFonts w:ascii="Arial" w:hAnsi="Arial" w:cs="Arial"/>
        </w:rPr>
      </w:pPr>
      <w:proofErr w:type="spellStart"/>
      <w:r w:rsidRPr="00967159">
        <w:rPr>
          <w:rFonts w:ascii="Arial" w:hAnsi="Arial" w:cs="Arial"/>
        </w:rPr>
        <w:t>Uduehe</w:t>
      </w:r>
      <w:proofErr w:type="spellEnd"/>
      <w:r w:rsidRPr="00967159">
        <w:rPr>
          <w:rFonts w:ascii="Arial" w:hAnsi="Arial" w:cs="Arial"/>
        </w:rPr>
        <w:t>, E. M. (2025). Leveraging Inventory Management to Optimize Financial Health in Small Business Enterprises in Cross River State, Nigeria. </w:t>
      </w:r>
      <w:r w:rsidRPr="00967159">
        <w:rPr>
          <w:rFonts w:ascii="Arial" w:hAnsi="Arial" w:cs="Arial"/>
          <w:i/>
          <w:iCs/>
        </w:rPr>
        <w:t>International Journal of Functional Research in Arts and Humanities (IJFRAH)</w:t>
      </w:r>
      <w:r w:rsidRPr="00967159">
        <w:rPr>
          <w:rFonts w:ascii="Arial" w:hAnsi="Arial" w:cs="Arial"/>
        </w:rPr>
        <w:t>, </w:t>
      </w:r>
      <w:r w:rsidRPr="00967159">
        <w:rPr>
          <w:rFonts w:ascii="Arial" w:hAnsi="Arial" w:cs="Arial"/>
          <w:i/>
          <w:iCs/>
        </w:rPr>
        <w:t>3</w:t>
      </w:r>
      <w:r w:rsidRPr="00967159">
        <w:rPr>
          <w:rFonts w:ascii="Arial" w:hAnsi="Arial" w:cs="Arial"/>
        </w:rPr>
        <w:t>(2), 38-47.</w:t>
      </w:r>
      <w:hyperlink r:id="rId37" w:history="1">
        <w:r w:rsidRPr="00967159">
          <w:rPr>
            <w:rStyle w:val="Hyperlink"/>
            <w:rFonts w:ascii="Arial" w:hAnsi="Arial" w:cs="Arial"/>
          </w:rPr>
          <w:t>https://www.ijfrah.org/journal/article/download/54/55</w:t>
        </w:r>
      </w:hyperlink>
    </w:p>
    <w:p w14:paraId="0E8A3389" w14:textId="77777777" w:rsidR="00967159" w:rsidRPr="00967159" w:rsidRDefault="00967159" w:rsidP="00967159">
      <w:pPr>
        <w:rPr>
          <w:rFonts w:ascii="Arial" w:hAnsi="Arial" w:cs="Arial"/>
        </w:rPr>
      </w:pPr>
      <w:r w:rsidRPr="00967159">
        <w:rPr>
          <w:rFonts w:ascii="Arial" w:hAnsi="Arial" w:cs="Arial"/>
        </w:rPr>
        <w:t>Venkatesan, D. M. (2025) The Effect of Foreign Exchange Rate Fluctuations on the Financial Performance of Multinational Corporations.</w:t>
      </w:r>
      <w:hyperlink r:id="rId38" w:history="1">
        <w:r w:rsidRPr="00967159">
          <w:rPr>
            <w:rStyle w:val="Hyperlink"/>
            <w:rFonts w:ascii="Arial" w:hAnsi="Arial" w:cs="Arial"/>
          </w:rPr>
          <w:t>https://dspace.tul.cz/bitstreams/3ed2d733-548f-4e3b-b76d-005d52aa482e/download</w:t>
        </w:r>
      </w:hyperlink>
    </w:p>
    <w:p w14:paraId="66E7C730" w14:textId="4349D8C9" w:rsidR="00967159" w:rsidRPr="00967159" w:rsidRDefault="00967159" w:rsidP="00967159">
      <w:pPr>
        <w:rPr>
          <w:rFonts w:ascii="Arial" w:hAnsi="Arial" w:cs="Arial"/>
        </w:rPr>
      </w:pPr>
      <w:r w:rsidRPr="00967159">
        <w:rPr>
          <w:rFonts w:ascii="Arial" w:hAnsi="Arial" w:cs="Arial"/>
        </w:rPr>
        <w:lastRenderedPageBreak/>
        <w:t>Volkswagen Group (2026) </w:t>
      </w:r>
      <w:r w:rsidRPr="00967159">
        <w:rPr>
          <w:rFonts w:ascii="Arial" w:hAnsi="Arial" w:cs="Arial"/>
          <w:i/>
          <w:iCs/>
        </w:rPr>
        <w:t>About Us</w:t>
      </w:r>
      <w:r w:rsidRPr="00967159">
        <w:rPr>
          <w:rFonts w:ascii="Arial" w:hAnsi="Arial" w:cs="Arial"/>
        </w:rPr>
        <w:t xml:space="preserve">. Available at: </w:t>
      </w:r>
      <w:hyperlink r:id="rId39" w:history="1">
        <w:r w:rsidRPr="00967159">
          <w:rPr>
            <w:rStyle w:val="Hyperlink"/>
            <w:rFonts w:ascii="Arial" w:hAnsi="Arial" w:cs="Arial"/>
          </w:rPr>
          <w:t>https://www.volkswagen-group.com/en/about-us-16013</w:t>
        </w:r>
      </w:hyperlink>
    </w:p>
    <w:p w14:paraId="64D17405" w14:textId="2FF3A5D4" w:rsidR="00967159" w:rsidRPr="00967159" w:rsidRDefault="00967159" w:rsidP="00967159">
      <w:pPr>
        <w:rPr>
          <w:rFonts w:ascii="Arial" w:hAnsi="Arial" w:cs="Arial"/>
          <w:lang w:val="en-IN"/>
        </w:rPr>
      </w:pPr>
      <w:r w:rsidRPr="00967159">
        <w:rPr>
          <w:rFonts w:ascii="Arial" w:hAnsi="Arial" w:cs="Arial"/>
          <w:lang w:val="en-IN"/>
        </w:rPr>
        <w:t>Volkswagen Group (2026) </w:t>
      </w:r>
      <w:r w:rsidRPr="00967159">
        <w:rPr>
          <w:rFonts w:ascii="Arial" w:hAnsi="Arial" w:cs="Arial"/>
          <w:i/>
          <w:iCs/>
          <w:lang w:val="en-IN"/>
        </w:rPr>
        <w:t>Financial Reports</w:t>
      </w:r>
      <w:r w:rsidRPr="00967159">
        <w:rPr>
          <w:rFonts w:ascii="Arial" w:hAnsi="Arial" w:cs="Arial"/>
          <w:lang w:val="en-IN"/>
        </w:rPr>
        <w:t xml:space="preserve">. Available at: </w:t>
      </w:r>
      <w:hyperlink r:id="rId40" w:history="1">
        <w:r w:rsidRPr="00967159">
          <w:rPr>
            <w:rStyle w:val="Hyperlink"/>
            <w:rFonts w:ascii="Arial" w:hAnsi="Arial" w:cs="Arial"/>
            <w:lang w:val="en-IN"/>
          </w:rPr>
          <w:t>https://www.volkswagen-group.com/en/financial-reports-18134</w:t>
        </w:r>
      </w:hyperlink>
    </w:p>
    <w:p w14:paraId="525CE01F" w14:textId="77777777" w:rsidR="00967159" w:rsidRPr="00967159" w:rsidRDefault="00967159" w:rsidP="00967159">
      <w:pPr>
        <w:rPr>
          <w:rFonts w:ascii="Arial" w:hAnsi="Arial" w:cs="Arial"/>
        </w:rPr>
      </w:pPr>
      <w:r w:rsidRPr="00967159">
        <w:rPr>
          <w:rFonts w:ascii="Arial" w:hAnsi="Arial" w:cs="Arial"/>
        </w:rPr>
        <w:t>Yan, R., and Zhang, Y. (2022, March). The Introduction of NPV and IRR. In </w:t>
      </w:r>
      <w:r w:rsidRPr="00967159">
        <w:rPr>
          <w:rFonts w:ascii="Arial" w:hAnsi="Arial" w:cs="Arial"/>
          <w:i/>
          <w:iCs/>
        </w:rPr>
        <w:t>2022 7th International Conference on Financial Innovation and Economic Development (ICFIED 2022)</w:t>
      </w:r>
      <w:r w:rsidRPr="00967159">
        <w:rPr>
          <w:rFonts w:ascii="Arial" w:hAnsi="Arial" w:cs="Arial"/>
        </w:rPr>
        <w:t xml:space="preserve"> (pp. 1472-1476). Atlantis </w:t>
      </w:r>
      <w:proofErr w:type="spellStart"/>
      <w:r w:rsidRPr="00967159">
        <w:rPr>
          <w:rFonts w:ascii="Arial" w:hAnsi="Arial" w:cs="Arial"/>
        </w:rPr>
        <w:t>Press.</w:t>
      </w:r>
      <w:hyperlink r:id="rId41" w:history="1">
        <w:r w:rsidRPr="00967159">
          <w:rPr>
            <w:rStyle w:val="Hyperlink"/>
            <w:rFonts w:ascii="Arial" w:hAnsi="Arial" w:cs="Arial"/>
          </w:rPr>
          <w:t>https</w:t>
        </w:r>
        <w:proofErr w:type="spellEnd"/>
        <w:r w:rsidRPr="00967159">
          <w:rPr>
            <w:rStyle w:val="Hyperlink"/>
            <w:rFonts w:ascii="Arial" w:hAnsi="Arial" w:cs="Arial"/>
          </w:rPr>
          <w:t>://www.atlantis-press.com/article/125971692.pdf</w:t>
        </w:r>
      </w:hyperlink>
    </w:p>
    <w:p w14:paraId="500EEC36" w14:textId="77777777" w:rsidR="000B1841" w:rsidRPr="00AD2D8C" w:rsidRDefault="000B1841">
      <w:pPr>
        <w:spacing w:line="240" w:lineRule="auto"/>
        <w:jc w:val="left"/>
        <w:rPr>
          <w:rFonts w:ascii="Arial" w:eastAsiaTheme="majorEastAsia" w:hAnsi="Arial" w:cs="Arial"/>
          <w:b/>
          <w:bCs/>
          <w:color w:val="000000" w:themeColor="text1"/>
          <w:sz w:val="28"/>
          <w:szCs w:val="28"/>
        </w:rPr>
      </w:pPr>
      <w:r w:rsidRPr="00AD2D8C">
        <w:rPr>
          <w:rFonts w:ascii="Arial" w:hAnsi="Arial" w:cs="Arial"/>
        </w:rPr>
        <w:br w:type="page"/>
      </w:r>
    </w:p>
    <w:p w14:paraId="6788C37C" w14:textId="77777777" w:rsidR="00BC2008" w:rsidRPr="00AD2D8C" w:rsidRDefault="000B1841" w:rsidP="0006629D">
      <w:pPr>
        <w:pStyle w:val="Heading1"/>
        <w:rPr>
          <w:rFonts w:ascii="Arial" w:hAnsi="Arial" w:cs="Arial"/>
        </w:rPr>
      </w:pPr>
      <w:bookmarkStart w:id="22" w:name="_Toc227925113"/>
      <w:r w:rsidRPr="00AD2D8C">
        <w:rPr>
          <w:rFonts w:ascii="Arial" w:hAnsi="Arial" w:cs="Arial"/>
        </w:rPr>
        <w:lastRenderedPageBreak/>
        <w:t>Appendix</w:t>
      </w:r>
      <w:bookmarkEnd w:id="22"/>
    </w:p>
    <w:p w14:paraId="04C04D28" w14:textId="77777777" w:rsidR="00AD2D8C" w:rsidRPr="00AD2D8C" w:rsidRDefault="00AD2D8C" w:rsidP="00E25251">
      <w:pPr>
        <w:pStyle w:val="Heading2"/>
        <w:rPr>
          <w:rFonts w:ascii="Arial" w:hAnsi="Arial" w:cs="Arial"/>
        </w:rPr>
      </w:pPr>
      <w:bookmarkStart w:id="23" w:name="_Toc227925114"/>
      <w:r w:rsidRPr="00AD2D8C">
        <w:rPr>
          <w:rFonts w:ascii="Arial" w:hAnsi="Arial" w:cs="Arial"/>
        </w:rPr>
        <w:t>Ratio analysis</w:t>
      </w:r>
      <w:bookmarkEnd w:id="23"/>
      <w:r w:rsidRPr="00AD2D8C">
        <w:rPr>
          <w:rFonts w:ascii="Arial" w:hAnsi="Arial" w:cs="Arial"/>
        </w:rPr>
        <w:t xml:space="preserve"> </w:t>
      </w:r>
    </w:p>
    <w:tbl>
      <w:tblPr>
        <w:tblW w:w="5000" w:type="pct"/>
        <w:shd w:val="clear" w:color="auto" w:fill="DDD9C3" w:themeFill="background2" w:themeFillShade="E6"/>
        <w:tblLook w:val="04A0" w:firstRow="1" w:lastRow="0" w:firstColumn="1" w:lastColumn="0" w:noHBand="0" w:noVBand="1"/>
      </w:tblPr>
      <w:tblGrid>
        <w:gridCol w:w="1745"/>
        <w:gridCol w:w="1449"/>
        <w:gridCol w:w="1054"/>
        <w:gridCol w:w="1054"/>
        <w:gridCol w:w="1054"/>
        <w:gridCol w:w="1054"/>
        <w:gridCol w:w="1054"/>
        <w:gridCol w:w="886"/>
      </w:tblGrid>
      <w:tr w:rsidR="00AD2D8C" w:rsidRPr="00AD2D8C" w14:paraId="228B54B4" w14:textId="77777777" w:rsidTr="00AD2D8C">
        <w:trPr>
          <w:trHeight w:val="300"/>
        </w:trPr>
        <w:tc>
          <w:tcPr>
            <w:tcW w:w="4619" w:type="pct"/>
            <w:gridSpan w:val="7"/>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605CBA9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Volkswagen group </w:t>
            </w:r>
          </w:p>
        </w:tc>
        <w:tc>
          <w:tcPr>
            <w:tcW w:w="381" w:type="pct"/>
            <w:tcBorders>
              <w:top w:val="single" w:sz="4" w:space="0" w:color="auto"/>
              <w:left w:val="nil"/>
              <w:bottom w:val="single" w:sz="4" w:space="0" w:color="auto"/>
              <w:right w:val="single" w:sz="4" w:space="0" w:color="auto"/>
            </w:tcBorders>
            <w:shd w:val="clear" w:color="auto" w:fill="DDD9C3" w:themeFill="background2" w:themeFillShade="E6"/>
            <w:noWrap/>
            <w:vAlign w:val="bottom"/>
            <w:hideMark/>
          </w:tcPr>
          <w:p w14:paraId="606F227F"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2A4AA2B5" w14:textId="77777777" w:rsidTr="00AD2D8C">
        <w:trPr>
          <w:trHeight w:val="600"/>
        </w:trPr>
        <w:tc>
          <w:tcPr>
            <w:tcW w:w="990" w:type="pct"/>
            <w:vMerge w:val="restart"/>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563D4CD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Profitability ratios </w:t>
            </w: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08B8B616"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Operating profit margin</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12E1A66"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0B77B91"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A0C5294"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5C8B6A2"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0132789"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vMerge w:val="restart"/>
            <w:tcBorders>
              <w:top w:val="nil"/>
              <w:left w:val="single" w:sz="4" w:space="0" w:color="auto"/>
              <w:bottom w:val="single" w:sz="4" w:space="0" w:color="auto"/>
              <w:right w:val="single" w:sz="4" w:space="0" w:color="auto"/>
            </w:tcBorders>
            <w:shd w:val="clear" w:color="auto" w:fill="DDD9C3" w:themeFill="background2" w:themeFillShade="E6"/>
            <w:noWrap/>
            <w:vAlign w:val="bottom"/>
            <w:hideMark/>
          </w:tcPr>
          <w:p w14:paraId="29E0A5F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1C20129D"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0C50CE47"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1306291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Operating profit</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E6288F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19275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52DDF2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22,109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BD77AA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22576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489CA3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19,060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520510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8,868</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23D0CB9D"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586564D9"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1576DCF1"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0C06BD1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Revenue</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991671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250200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A2C8C4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279232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A0DB4F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322284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AE349C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324656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C925B6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321913</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15C8EE29"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50069FAF"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44DABD63"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16A04FA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OPM</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F1CF84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7.70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56DE5F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7.92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41BAEE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7.01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5110DD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5.87</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A4D912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2.75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4CC58185"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587A4A5F"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928EAA5"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21BE8F4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68AD69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756D26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8D326D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786DDE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BFAC24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2DFCDB6A"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0561D7F0"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668408AF"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724E0A2C"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Net profit margin</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6E929B4"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9F1B1A3"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8388C7D"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C725BD1"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A395AE8"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05616B66"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0CE0EF57"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15A5C84A"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140177E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Net profit</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761BB8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15428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B63DF0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15836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16F866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17928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E83F11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12,394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6C5BB4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6,904</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1AAD7EAA"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063C57D4"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C4A9D32"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457D50A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Revenue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38C913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250200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2AC477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279232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63F9C7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322284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163610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324656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C8DCF1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321913</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274E69C4"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3F4ABF92"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54020867"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6D092D9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NPM</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426A8F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6.17</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A2DAF2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5.67</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5A447D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5.56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A64446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3.82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3A088E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2.14</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70B0877D"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7E77654A" w14:textId="77777777" w:rsidTr="00AD2D8C">
        <w:trPr>
          <w:trHeight w:val="300"/>
        </w:trPr>
        <w:tc>
          <w:tcPr>
            <w:tcW w:w="5000" w:type="pct"/>
            <w:gridSpan w:val="8"/>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31A412F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0766D55D" w14:textId="77777777" w:rsidTr="00AD2D8C">
        <w:trPr>
          <w:trHeight w:val="300"/>
        </w:trPr>
        <w:tc>
          <w:tcPr>
            <w:tcW w:w="990" w:type="pct"/>
            <w:vMerge w:val="restart"/>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4575BB7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Liquidity ratio </w:t>
            </w: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50A6DB77"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Current ratio</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C3E4663"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C1F1BDA"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07C7CE0"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2CF4875"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51B9B5B"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vMerge w:val="restart"/>
            <w:tcBorders>
              <w:top w:val="nil"/>
              <w:left w:val="single" w:sz="4" w:space="0" w:color="auto"/>
              <w:bottom w:val="single" w:sz="4" w:space="0" w:color="auto"/>
              <w:right w:val="single" w:sz="4" w:space="0" w:color="auto"/>
            </w:tcBorders>
            <w:shd w:val="clear" w:color="auto" w:fill="DDD9C3" w:themeFill="background2" w:themeFillShade="E6"/>
            <w:noWrap/>
            <w:vAlign w:val="bottom"/>
            <w:hideMark/>
          </w:tcPr>
          <w:p w14:paraId="2F23B1C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3D0DBE66"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0F14169F"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10B4905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Current assets</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A11B3B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200347</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4276A9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224349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730DBE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239644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87002F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245231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C2F328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247865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79B20243"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5C1E7E44"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534E24D9"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77E871D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Current liabilities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B64639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164393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54D053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182992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6CD469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205874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C1A49F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217039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793DE7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226525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1ECA90B7"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5405564F"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18DEE2FA"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39B6565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CR</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31BAA1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1.218708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759F83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1.226004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19371F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1.164032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08764C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1.129894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530DBB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1.094206</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3E68C2C8"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269B092C"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6BCD04DD"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33408F4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EC4FCA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61D10B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417475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C1804F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083019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1CE209B4"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507485CD"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4BB9B1A"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4C39FE2D"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Quick ratio</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7D8D3FF"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449BAB4"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B8C2F6F"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C0476F6"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25499B5"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02995C3F"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4B3E4033"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13DDAB1"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5CFB869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Current assets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86794A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200347</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8BF2BF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224349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906F71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239644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B418B4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245231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C8870B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247865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3959F5FA"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2E4AC1A1"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E31D033"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480D0F0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Inventories</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806DCA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43725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A4BF3B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52274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ED0C54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53601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A2C6DD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56720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57E840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56042</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719CFAB4"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25B57DDF"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04F30918"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7AB09BC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Current liabilities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4544A9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164393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0BEC9C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182992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2502E0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205874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902FF7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217039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30E424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226525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35129A48"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0695C91C"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3EAA92F4"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30D4644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QR</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F18804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0.95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9FE781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0.94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250EE3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0.90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5CF2C6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0.87</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7E7AB1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0.85</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3D9B36E5"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2A18B60C" w14:textId="77777777" w:rsidTr="00AD2D8C">
        <w:trPr>
          <w:trHeight w:val="300"/>
        </w:trPr>
        <w:tc>
          <w:tcPr>
            <w:tcW w:w="5000" w:type="pct"/>
            <w:gridSpan w:val="8"/>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3B50E97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08E98AD4" w14:textId="77777777" w:rsidTr="00AD2D8C">
        <w:trPr>
          <w:trHeight w:val="300"/>
        </w:trPr>
        <w:tc>
          <w:tcPr>
            <w:tcW w:w="990" w:type="pct"/>
            <w:vMerge w:val="restart"/>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110CB8F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Efficiency ratios</w:t>
            </w: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30207D99"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Asset turnover ratio</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97F3451"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006EA2E"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452CFFC"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801D840"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9D20A0F"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79D8B01F"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2020</w:t>
            </w:r>
          </w:p>
        </w:tc>
      </w:tr>
      <w:tr w:rsidR="00AD2D8C" w:rsidRPr="00AD2D8C" w14:paraId="445BAE59"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027F9A58"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7450E5B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Net sales</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E890C0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250200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A9F26A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279232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69AEB1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322284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03AFA4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324656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1A02C7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321913</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38D7A82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254E01F8"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0C3C6AAC"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04D4EFE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Total assets</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80412D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528609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F5466A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564772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3F1E6C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600338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22E8A2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644467</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E75CBC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632905</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3818AA67" w14:textId="77777777" w:rsidR="00AD2D8C" w:rsidRPr="00AD2D8C" w:rsidRDefault="00AD2D8C" w:rsidP="00AD2D8C">
            <w:pPr>
              <w:spacing w:line="240" w:lineRule="auto"/>
              <w:jc w:val="righ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497114</w:t>
            </w:r>
          </w:p>
        </w:tc>
      </w:tr>
      <w:tr w:rsidR="00AD2D8C" w:rsidRPr="00AD2D8C" w14:paraId="7CC7F8F3"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3CAE44AF"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048DD34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Average assets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FEE2AB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512861.5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EEABBD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546690.5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E3470B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582555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CD4AE8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622402.5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638B55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638686</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58923A00"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009198C8"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1EA67226"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7275D69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ATR</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DB7822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0.49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408FDB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0.51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7F93BE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0.55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F7AF2A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0.52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ABB577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0.50</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4018556A"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0053DFEC"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6C9ED8E4"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24F3916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F1EC58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A8BEDE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533BE4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D172BB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CF5E73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60B44F52"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572FE1E5" w14:textId="77777777" w:rsidTr="00AD2D8C">
        <w:trPr>
          <w:trHeight w:val="6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CC22020"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2E5738BB"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Inventory turnover ratio</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3281C46"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4D18811"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55DB776"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754080E"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DC5C0ED"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168714A6"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351D2562"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62F9F3D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2A0D782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COGS</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1C6FDE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202959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A0683C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226866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6FAE18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261262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1AAEFA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324656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5B7C96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270671</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36B767FD"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410D5100"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3A2FFD97"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5E204D4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Inventory</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841FC0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43725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66D905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52274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446917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53601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246C5B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56720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01AD3C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56042</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103AF673" w14:textId="77777777" w:rsidR="00AD2D8C" w:rsidRPr="00AD2D8C" w:rsidRDefault="00AD2D8C" w:rsidP="00AD2D8C">
            <w:pPr>
              <w:spacing w:line="240" w:lineRule="auto"/>
              <w:jc w:val="righ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43823</w:t>
            </w:r>
          </w:p>
        </w:tc>
      </w:tr>
      <w:tr w:rsidR="00AD2D8C" w:rsidRPr="00AD2D8C" w14:paraId="17670D7C"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36E941D2"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2D8EE07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Average inventories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D45300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43774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24F983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47999.5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28F478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52937.5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DB6EB5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55160.5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D6E58E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56381</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0D552B33"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5A6C26C9"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677D0C3C"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434B50D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ITR</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B69D37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4.64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5E1C03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4.73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097C4D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4.94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96825A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5.89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B7A646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4.80</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116B3F68"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0E99D4AE" w14:textId="77777777" w:rsidTr="00AD2D8C">
        <w:trPr>
          <w:trHeight w:val="300"/>
        </w:trPr>
        <w:tc>
          <w:tcPr>
            <w:tcW w:w="5000" w:type="pct"/>
            <w:gridSpan w:val="8"/>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0218DB1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7023EE32" w14:textId="77777777" w:rsidTr="00AD2D8C">
        <w:trPr>
          <w:trHeight w:val="300"/>
        </w:trPr>
        <w:tc>
          <w:tcPr>
            <w:tcW w:w="990" w:type="pct"/>
            <w:vMerge w:val="restart"/>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3E80CA1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6DD5ABA5"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 xml:space="preserve">Debt to equity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926CA3C"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0292BDA"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6840BAE"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2C108F8"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2820E79"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vMerge w:val="restart"/>
            <w:tcBorders>
              <w:top w:val="nil"/>
              <w:left w:val="single" w:sz="4" w:space="0" w:color="auto"/>
              <w:bottom w:val="single" w:sz="4" w:space="0" w:color="auto"/>
              <w:right w:val="single" w:sz="4" w:space="0" w:color="auto"/>
            </w:tcBorders>
            <w:shd w:val="clear" w:color="auto" w:fill="DDD9C3" w:themeFill="background2" w:themeFillShade="E6"/>
            <w:noWrap/>
            <w:vAlign w:val="bottom"/>
            <w:hideMark/>
          </w:tcPr>
          <w:p w14:paraId="027225E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5E1151FD" w14:textId="77777777" w:rsidTr="00AD2D8C">
        <w:trPr>
          <w:trHeight w:val="9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D75DC9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1D9D6BB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Total debt (Current and non-current liabilities)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B3B49C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107060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C89B3B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146240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9BFCF8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111443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E88CD9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106673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1444DE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92860</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646DA9A0"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509C6B70"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59834235"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1B8FC94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Total equity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629F42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14614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2882E9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178328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D70607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189912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B32DBD3" w14:textId="77777777" w:rsidR="00AD2D8C" w:rsidRPr="00AD2D8C" w:rsidRDefault="00AD2D8C" w:rsidP="00AD2D8C">
            <w:pPr>
              <w:spacing w:line="240" w:lineRule="auto"/>
              <w:jc w:val="righ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1,96,731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92818E0" w14:textId="77777777" w:rsidR="00AD2D8C" w:rsidRPr="00AD2D8C" w:rsidRDefault="00AD2D8C" w:rsidP="00AD2D8C">
            <w:pPr>
              <w:spacing w:line="240" w:lineRule="auto"/>
              <w:jc w:val="righ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2,03,054</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224F2072"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1CC2142C"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1BD2801B"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75894C2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DTE ratio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F3C0EF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7.33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E16476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0.82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7BD62E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0.59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7880BC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0.54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9381B7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0.46</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6883A0F0"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4127C810"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5C8C8E8F"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1745F51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1D857D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3AE767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703CF9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8404A5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571E8E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6E014101"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3FE8FFB5"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E32DBAA"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7021D808"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Debt to assets ratio</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D698B7D"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519197F"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EF3E3DF"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D79A779"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F1A8F0C"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08EE7AC8"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41C74122"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68A68D4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5887DF4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Total debt</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F8D568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107060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C3D213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146240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02FAF8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111443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06D3CC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106673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9C2B39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92860</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2D7021A3"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3B70B8F9"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141A83C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583F302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Total assets</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B2647F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528609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6A3B0B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564772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0C00C9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600338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2B0C79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644467</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2E5BC8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632905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127F5F1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0742FB87"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6E74EF56"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170EB00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DTA ratio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982D04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0.20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A7D43A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0.26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299544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0.19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F43163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0.17</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BB8F1F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0.15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71272F00"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47902F1F" w14:textId="77777777" w:rsidTr="00AD2D8C">
        <w:trPr>
          <w:trHeight w:val="300"/>
        </w:trPr>
        <w:tc>
          <w:tcPr>
            <w:tcW w:w="5000" w:type="pct"/>
            <w:gridSpan w:val="8"/>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2FB82C8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32602B4D" w14:textId="77777777" w:rsidTr="00AD2D8C">
        <w:trPr>
          <w:trHeight w:val="300"/>
        </w:trPr>
        <w:tc>
          <w:tcPr>
            <w:tcW w:w="990" w:type="pct"/>
            <w:vMerge w:val="restart"/>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016CA57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40135FC0"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 xml:space="preserve">Return on equity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24D2D15"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5C745E3"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8D0E556"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0FB0636"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92A03A9"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vMerge w:val="restart"/>
            <w:tcBorders>
              <w:top w:val="nil"/>
              <w:left w:val="single" w:sz="4" w:space="0" w:color="auto"/>
              <w:bottom w:val="single" w:sz="4" w:space="0" w:color="auto"/>
              <w:right w:val="single" w:sz="4" w:space="0" w:color="auto"/>
            </w:tcBorders>
            <w:shd w:val="clear" w:color="auto" w:fill="DDD9C3" w:themeFill="background2" w:themeFillShade="E6"/>
            <w:noWrap/>
            <w:vAlign w:val="bottom"/>
            <w:hideMark/>
          </w:tcPr>
          <w:p w14:paraId="4BDB2D2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5930258E"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E6A05A9"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3467F25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Net income</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2C80A0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15428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F35B15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15836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9E2428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17928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81F3E0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12,394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19AD46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6,904</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3BD4438C"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5A1F7418" w14:textId="77777777" w:rsidTr="00AD2D8C">
        <w:trPr>
          <w:trHeight w:val="255"/>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71D8E4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33E9186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Shareholder's equity</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0593D7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364216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A98049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381290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4F46F6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394464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062300F" w14:textId="77777777" w:rsidR="00AD2D8C" w:rsidRPr="00AD2D8C" w:rsidRDefault="00AD2D8C" w:rsidP="00AD2D8C">
            <w:pPr>
              <w:spacing w:line="240" w:lineRule="auto"/>
              <w:jc w:val="righ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4,15,866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1DA9C66" w14:textId="77777777" w:rsidR="00AD2D8C" w:rsidRPr="00AD2D8C" w:rsidRDefault="00AD2D8C" w:rsidP="00AD2D8C">
            <w:pPr>
              <w:spacing w:line="240" w:lineRule="auto"/>
              <w:jc w:val="righ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4,17,942</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3AAEAC94"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7D3BDCE1"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03B5B4C2"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6CE4298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ROE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819081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358261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4.15</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7BACC2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4.54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436AEB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2.98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0D86A7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1.65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0978E027"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1A3DB640"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7C95AF97"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157E221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2EE143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28B19C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D68311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1313F9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96148B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342F6B8C"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44B45A9C" w14:textId="77777777" w:rsidTr="00AD2D8C">
        <w:trPr>
          <w:trHeight w:val="6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4C85674D"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34D8DBB3"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 xml:space="preserve">Price to earnings ratio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E713CFD"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93DA361"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CB1A89D"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69E69D9"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64F895D"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6455A553"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3583DAB1"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5604FD5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1878F22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Market share price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2EF082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177.48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717AFC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116.42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2BF64B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111.8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388CC1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89.04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20ADDA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103.55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25E74D0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46128A21"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1E699284"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5326A01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EPS</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BD8F09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29.59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C92C75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29.66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5F54EE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31.92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EE1FED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21.36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EFB4E8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13.29</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3A00A6FA"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032C61F1"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5049EE80"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3F4F8E8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PTE ratio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A1B855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5.997972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CD7529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3.925152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B875719"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3.502506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2252C6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4.168539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726435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7.791573</w:t>
            </w:r>
          </w:p>
        </w:tc>
        <w:tc>
          <w:tcPr>
            <w:tcW w:w="381" w:type="pct"/>
            <w:tcBorders>
              <w:top w:val="nil"/>
              <w:left w:val="nil"/>
              <w:bottom w:val="single" w:sz="4" w:space="0" w:color="auto"/>
              <w:right w:val="single" w:sz="4" w:space="0" w:color="auto"/>
            </w:tcBorders>
            <w:shd w:val="clear" w:color="auto" w:fill="DDD9C3" w:themeFill="background2" w:themeFillShade="E6"/>
            <w:noWrap/>
            <w:vAlign w:val="bottom"/>
            <w:hideMark/>
          </w:tcPr>
          <w:p w14:paraId="41F2301B"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58D53048" w14:textId="77777777" w:rsidTr="00AD2D8C">
        <w:trPr>
          <w:trHeight w:val="315"/>
        </w:trPr>
        <w:tc>
          <w:tcPr>
            <w:tcW w:w="5000" w:type="pct"/>
            <w:gridSpan w:val="8"/>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58B5FDC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60A8D24F" w14:textId="77777777" w:rsidTr="00AD2D8C">
        <w:trPr>
          <w:trHeight w:val="600"/>
        </w:trPr>
        <w:tc>
          <w:tcPr>
            <w:tcW w:w="990" w:type="pct"/>
            <w:vMerge w:val="restart"/>
            <w:tcBorders>
              <w:top w:val="single" w:sz="4" w:space="0" w:color="auto"/>
              <w:left w:val="single" w:sz="4" w:space="0" w:color="auto"/>
              <w:bottom w:val="single" w:sz="4" w:space="0" w:color="auto"/>
              <w:right w:val="single" w:sz="4" w:space="0" w:color="auto"/>
            </w:tcBorders>
            <w:shd w:val="clear" w:color="auto" w:fill="DDD9C3" w:themeFill="background2" w:themeFillShade="E6"/>
            <w:noWrap/>
            <w:vAlign w:val="bottom"/>
            <w:hideMark/>
          </w:tcPr>
          <w:p w14:paraId="05AA101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Cash flow ratios</w:t>
            </w: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68387608"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 xml:space="preserve">Operating cash flow ratio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91500C6"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5CB8D0A"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CEE7BB2"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40C24F2"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0F2241F"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vMerge w:val="restart"/>
            <w:tcBorders>
              <w:top w:val="nil"/>
              <w:left w:val="single" w:sz="4" w:space="0" w:color="auto"/>
              <w:bottom w:val="single" w:sz="4" w:space="0" w:color="auto"/>
              <w:right w:val="single" w:sz="4" w:space="0" w:color="auto"/>
            </w:tcBorders>
            <w:shd w:val="clear" w:color="auto" w:fill="DDD9C3" w:themeFill="background2" w:themeFillShade="E6"/>
            <w:noWrap/>
            <w:vAlign w:val="bottom"/>
            <w:hideMark/>
          </w:tcPr>
          <w:p w14:paraId="6460625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r>
      <w:tr w:rsidR="00AD2D8C" w:rsidRPr="00AD2D8C" w14:paraId="01462E85"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479902E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5412435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Operating cash flow</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BAD78FA"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38633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907070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28496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DA498B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19356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E82844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17151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019B10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15009</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24A8F831"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1F20C7D8"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7C735910"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702CB638"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Current liabilities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E576DD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164393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B1EAA4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182992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2781EE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205874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546FA3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217039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EF99F1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226525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495A0FE6"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004FEFDE"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479F626A"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488F582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OCF ratio</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E3562E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11FFB22"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0.16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2F1F83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0.09</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7CBCD3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0.08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08C8727"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0.07</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0A29CAA6"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1D06E603"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15B1B58C"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5D8E818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F0C96DB"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104280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781420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4CFE9E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74E170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79D5E032"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12FB16DE"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2CB2C0B5"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60979B65"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Cash flow margin</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3316203"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889CB49"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94859DB"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7ABF216"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A73136D" w14:textId="77777777" w:rsidR="00AD2D8C" w:rsidRPr="00AD2D8C" w:rsidRDefault="00AD2D8C" w:rsidP="00AD2D8C">
            <w:pPr>
              <w:spacing w:line="240" w:lineRule="auto"/>
              <w:jc w:val="center"/>
              <w:rPr>
                <w:rFonts w:ascii="Arial" w:eastAsia="Times New Roman" w:hAnsi="Arial" w:cs="Arial"/>
                <w:b/>
                <w:bCs/>
                <w:color w:val="000000"/>
                <w:szCs w:val="24"/>
                <w:shd w:val="clear" w:color="auto" w:fill="auto"/>
                <w:lang w:val="en-US"/>
              </w:rPr>
            </w:pPr>
            <w:r w:rsidRPr="00AD2D8C">
              <w:rPr>
                <w:rFonts w:ascii="Arial" w:eastAsia="Times New Roman" w:hAnsi="Arial" w:cs="Arial"/>
                <w:b/>
                <w:bCs/>
                <w:color w:val="000000"/>
                <w:szCs w:val="24"/>
                <w:shd w:val="clear" w:color="auto" w:fill="auto"/>
                <w:lang w:val="en-US"/>
              </w:rPr>
              <w:t>2025</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2BBD29D8"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586353A9"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45A8FC7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7EEB504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Operating cash flow</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47494B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38633</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2779AB7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28496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1B3A13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19356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33B87A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17151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7DD0DE80"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15009</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50F4BF7F"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1326C016"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758D6324"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4C2159BC"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Revenue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67C4C4D"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250200</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987F8FE"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279232</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0680C01"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322284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2A15323"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324656</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41FF383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321913</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771C48EE"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r w:rsidR="00AD2D8C" w:rsidRPr="00AD2D8C" w14:paraId="5764F194" w14:textId="77777777" w:rsidTr="00AD2D8C">
        <w:trPr>
          <w:trHeight w:val="300"/>
        </w:trPr>
        <w:tc>
          <w:tcPr>
            <w:tcW w:w="990" w:type="pct"/>
            <w:vMerge/>
            <w:tcBorders>
              <w:top w:val="single" w:sz="4" w:space="0" w:color="auto"/>
              <w:left w:val="single" w:sz="4" w:space="0" w:color="auto"/>
              <w:bottom w:val="single" w:sz="4" w:space="0" w:color="auto"/>
              <w:right w:val="single" w:sz="4" w:space="0" w:color="auto"/>
            </w:tcBorders>
            <w:shd w:val="clear" w:color="auto" w:fill="DDD9C3" w:themeFill="background2" w:themeFillShade="E6"/>
            <w:vAlign w:val="center"/>
            <w:hideMark/>
          </w:tcPr>
          <w:p w14:paraId="50A3B594"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c>
          <w:tcPr>
            <w:tcW w:w="1000" w:type="pct"/>
            <w:tcBorders>
              <w:top w:val="nil"/>
              <w:left w:val="nil"/>
              <w:bottom w:val="single" w:sz="4" w:space="0" w:color="auto"/>
              <w:right w:val="single" w:sz="4" w:space="0" w:color="auto"/>
            </w:tcBorders>
            <w:shd w:val="clear" w:color="auto" w:fill="DDD9C3" w:themeFill="background2" w:themeFillShade="E6"/>
            <w:vAlign w:val="bottom"/>
            <w:hideMark/>
          </w:tcPr>
          <w:p w14:paraId="3379C15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 xml:space="preserve">CF margin </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60FAE086"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15.44</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13845E2F"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10.21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581DDAF5"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6.01</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0C65D77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5.28</w:t>
            </w:r>
          </w:p>
        </w:tc>
        <w:tc>
          <w:tcPr>
            <w:tcW w:w="526" w:type="pct"/>
            <w:tcBorders>
              <w:top w:val="nil"/>
              <w:left w:val="nil"/>
              <w:bottom w:val="single" w:sz="4" w:space="0" w:color="auto"/>
              <w:right w:val="single" w:sz="4" w:space="0" w:color="auto"/>
            </w:tcBorders>
            <w:shd w:val="clear" w:color="auto" w:fill="DDD9C3" w:themeFill="background2" w:themeFillShade="E6"/>
            <w:noWrap/>
            <w:vAlign w:val="bottom"/>
            <w:hideMark/>
          </w:tcPr>
          <w:p w14:paraId="3A072694" w14:textId="77777777" w:rsidR="00AD2D8C" w:rsidRPr="00AD2D8C" w:rsidRDefault="00AD2D8C" w:rsidP="00AD2D8C">
            <w:pPr>
              <w:spacing w:line="240" w:lineRule="auto"/>
              <w:jc w:val="center"/>
              <w:rPr>
                <w:rFonts w:ascii="Arial" w:eastAsia="Times New Roman" w:hAnsi="Arial" w:cs="Arial"/>
                <w:color w:val="000000"/>
                <w:szCs w:val="24"/>
                <w:shd w:val="clear" w:color="auto" w:fill="auto"/>
                <w:lang w:val="en-US"/>
              </w:rPr>
            </w:pPr>
            <w:r w:rsidRPr="00AD2D8C">
              <w:rPr>
                <w:rFonts w:ascii="Arial" w:eastAsia="Times New Roman" w:hAnsi="Arial" w:cs="Arial"/>
                <w:color w:val="000000"/>
                <w:szCs w:val="24"/>
                <w:shd w:val="clear" w:color="auto" w:fill="auto"/>
                <w:lang w:val="en-US"/>
              </w:rPr>
              <w:t>4.66</w:t>
            </w:r>
          </w:p>
        </w:tc>
        <w:tc>
          <w:tcPr>
            <w:tcW w:w="381" w:type="pct"/>
            <w:vMerge/>
            <w:tcBorders>
              <w:top w:val="nil"/>
              <w:left w:val="single" w:sz="4" w:space="0" w:color="auto"/>
              <w:bottom w:val="single" w:sz="4" w:space="0" w:color="auto"/>
              <w:right w:val="single" w:sz="4" w:space="0" w:color="auto"/>
            </w:tcBorders>
            <w:shd w:val="clear" w:color="auto" w:fill="DDD9C3" w:themeFill="background2" w:themeFillShade="E6"/>
            <w:vAlign w:val="center"/>
            <w:hideMark/>
          </w:tcPr>
          <w:p w14:paraId="3F5FC066" w14:textId="77777777" w:rsidR="00AD2D8C" w:rsidRPr="00AD2D8C" w:rsidRDefault="00AD2D8C" w:rsidP="00AD2D8C">
            <w:pPr>
              <w:spacing w:line="240" w:lineRule="auto"/>
              <w:jc w:val="left"/>
              <w:rPr>
                <w:rFonts w:ascii="Arial" w:eastAsia="Times New Roman" w:hAnsi="Arial" w:cs="Arial"/>
                <w:color w:val="000000"/>
                <w:szCs w:val="24"/>
                <w:shd w:val="clear" w:color="auto" w:fill="auto"/>
                <w:lang w:val="en-US"/>
              </w:rPr>
            </w:pPr>
          </w:p>
        </w:tc>
      </w:tr>
    </w:tbl>
    <w:p w14:paraId="5694A384" w14:textId="77777777" w:rsidR="00AD2D8C" w:rsidRPr="00AD2D8C" w:rsidRDefault="00AD2D8C" w:rsidP="00AD2D8C">
      <w:pPr>
        <w:rPr>
          <w:rFonts w:ascii="Arial" w:hAnsi="Arial" w:cs="Arial"/>
        </w:rPr>
      </w:pPr>
    </w:p>
    <w:p w14:paraId="1F51D63F" w14:textId="77777777" w:rsidR="007C47C5" w:rsidRPr="00AD2D8C" w:rsidRDefault="007C47C5" w:rsidP="00E25251">
      <w:pPr>
        <w:pStyle w:val="Heading2"/>
        <w:rPr>
          <w:rFonts w:ascii="Arial" w:hAnsi="Arial" w:cs="Arial"/>
        </w:rPr>
      </w:pPr>
      <w:bookmarkStart w:id="24" w:name="_Toc227925115"/>
      <w:r w:rsidRPr="00AD2D8C">
        <w:rPr>
          <w:rFonts w:ascii="Arial" w:hAnsi="Arial" w:cs="Arial"/>
        </w:rPr>
        <w:t>Investment appraisal methods</w:t>
      </w:r>
      <w:bookmarkEnd w:id="24"/>
    </w:p>
    <w:tbl>
      <w:tblPr>
        <w:tblW w:w="5000" w:type="pct"/>
        <w:shd w:val="clear" w:color="auto" w:fill="FDE9D9" w:themeFill="accent6" w:themeFillTint="33"/>
        <w:tblLook w:val="04A0" w:firstRow="1" w:lastRow="0" w:firstColumn="1" w:lastColumn="0" w:noHBand="0" w:noVBand="1"/>
      </w:tblPr>
      <w:tblGrid>
        <w:gridCol w:w="1203"/>
        <w:gridCol w:w="1001"/>
        <w:gridCol w:w="1002"/>
        <w:gridCol w:w="1002"/>
        <w:gridCol w:w="1002"/>
        <w:gridCol w:w="1523"/>
        <w:gridCol w:w="1097"/>
        <w:gridCol w:w="1510"/>
      </w:tblGrid>
      <w:tr w:rsidR="00AD2D8C" w:rsidRPr="00AD2D8C" w14:paraId="6A958FA1" w14:textId="77777777" w:rsidTr="00AD2D8C">
        <w:trPr>
          <w:trHeight w:val="600"/>
        </w:trPr>
        <w:tc>
          <w:tcPr>
            <w:tcW w:w="628" w:type="pct"/>
            <w:tcBorders>
              <w:top w:val="single" w:sz="8" w:space="0" w:color="auto"/>
              <w:left w:val="single" w:sz="8" w:space="0" w:color="auto"/>
              <w:bottom w:val="single" w:sz="4" w:space="0" w:color="auto"/>
              <w:right w:val="single" w:sz="4" w:space="0" w:color="auto"/>
            </w:tcBorders>
            <w:shd w:val="clear" w:color="auto" w:fill="FDE9D9" w:themeFill="accent6" w:themeFillTint="33"/>
            <w:noWrap/>
            <w:vAlign w:val="bottom"/>
            <w:hideMark/>
          </w:tcPr>
          <w:p w14:paraId="2194F9D1"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w:t>
            </w:r>
          </w:p>
        </w:tc>
        <w:tc>
          <w:tcPr>
            <w:tcW w:w="550" w:type="pct"/>
            <w:tcBorders>
              <w:top w:val="single" w:sz="8" w:space="0" w:color="auto"/>
              <w:left w:val="nil"/>
              <w:bottom w:val="single" w:sz="4" w:space="0" w:color="auto"/>
              <w:right w:val="single" w:sz="4" w:space="0" w:color="auto"/>
            </w:tcBorders>
            <w:shd w:val="clear" w:color="auto" w:fill="FDE9D9" w:themeFill="accent6" w:themeFillTint="33"/>
            <w:noWrap/>
            <w:vAlign w:val="bottom"/>
            <w:hideMark/>
          </w:tcPr>
          <w:p w14:paraId="6B4092FA"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w:t>
            </w:r>
          </w:p>
        </w:tc>
        <w:tc>
          <w:tcPr>
            <w:tcW w:w="550" w:type="pct"/>
            <w:tcBorders>
              <w:top w:val="single" w:sz="8" w:space="0" w:color="auto"/>
              <w:left w:val="nil"/>
              <w:bottom w:val="single" w:sz="4" w:space="0" w:color="auto"/>
              <w:right w:val="single" w:sz="4" w:space="0" w:color="auto"/>
            </w:tcBorders>
            <w:shd w:val="clear" w:color="auto" w:fill="FDE9D9" w:themeFill="accent6" w:themeFillTint="33"/>
            <w:noWrap/>
            <w:vAlign w:val="bottom"/>
            <w:hideMark/>
          </w:tcPr>
          <w:p w14:paraId="275368AC"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w:t>
            </w:r>
          </w:p>
        </w:tc>
        <w:tc>
          <w:tcPr>
            <w:tcW w:w="550" w:type="pct"/>
            <w:tcBorders>
              <w:top w:val="single" w:sz="8" w:space="0" w:color="auto"/>
              <w:left w:val="nil"/>
              <w:bottom w:val="single" w:sz="4" w:space="0" w:color="auto"/>
              <w:right w:val="single" w:sz="4" w:space="0" w:color="auto"/>
            </w:tcBorders>
            <w:shd w:val="clear" w:color="auto" w:fill="FDE9D9" w:themeFill="accent6" w:themeFillTint="33"/>
            <w:noWrap/>
            <w:vAlign w:val="bottom"/>
            <w:hideMark/>
          </w:tcPr>
          <w:p w14:paraId="45E35EE2"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Year</w:t>
            </w:r>
          </w:p>
        </w:tc>
        <w:tc>
          <w:tcPr>
            <w:tcW w:w="550" w:type="pct"/>
            <w:tcBorders>
              <w:top w:val="single" w:sz="8" w:space="0" w:color="auto"/>
              <w:left w:val="nil"/>
              <w:bottom w:val="single" w:sz="4" w:space="0" w:color="auto"/>
              <w:right w:val="single" w:sz="4" w:space="0" w:color="auto"/>
            </w:tcBorders>
            <w:shd w:val="clear" w:color="auto" w:fill="FDE9D9" w:themeFill="accent6" w:themeFillTint="33"/>
            <w:vAlign w:val="bottom"/>
            <w:hideMark/>
          </w:tcPr>
          <w:p w14:paraId="3EBBDA1F"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Cash flows</w:t>
            </w:r>
          </w:p>
        </w:tc>
        <w:tc>
          <w:tcPr>
            <w:tcW w:w="795" w:type="pct"/>
            <w:tcBorders>
              <w:top w:val="single" w:sz="8" w:space="0" w:color="auto"/>
              <w:left w:val="nil"/>
              <w:bottom w:val="single" w:sz="4" w:space="0" w:color="auto"/>
              <w:right w:val="single" w:sz="4" w:space="0" w:color="auto"/>
            </w:tcBorders>
            <w:shd w:val="clear" w:color="auto" w:fill="FDE9D9" w:themeFill="accent6" w:themeFillTint="33"/>
            <w:vAlign w:val="bottom"/>
            <w:hideMark/>
          </w:tcPr>
          <w:p w14:paraId="47AB9ED1"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Discounted rate (10%)</w:t>
            </w:r>
          </w:p>
        </w:tc>
        <w:tc>
          <w:tcPr>
            <w:tcW w:w="587" w:type="pct"/>
            <w:tcBorders>
              <w:top w:val="single" w:sz="8" w:space="0" w:color="auto"/>
              <w:left w:val="nil"/>
              <w:bottom w:val="single" w:sz="4" w:space="0" w:color="auto"/>
              <w:right w:val="single" w:sz="4" w:space="0" w:color="auto"/>
            </w:tcBorders>
            <w:shd w:val="clear" w:color="auto" w:fill="FDE9D9" w:themeFill="accent6" w:themeFillTint="33"/>
            <w:vAlign w:val="bottom"/>
            <w:hideMark/>
          </w:tcPr>
          <w:p w14:paraId="1DF8A3AD"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xml:space="preserve">Present value </w:t>
            </w:r>
          </w:p>
        </w:tc>
        <w:tc>
          <w:tcPr>
            <w:tcW w:w="788" w:type="pct"/>
            <w:tcBorders>
              <w:top w:val="single" w:sz="8" w:space="0" w:color="auto"/>
              <w:left w:val="nil"/>
              <w:bottom w:val="single" w:sz="4" w:space="0" w:color="auto"/>
              <w:right w:val="single" w:sz="8" w:space="0" w:color="auto"/>
            </w:tcBorders>
            <w:shd w:val="clear" w:color="auto" w:fill="FDE9D9" w:themeFill="accent6" w:themeFillTint="33"/>
            <w:vAlign w:val="bottom"/>
            <w:hideMark/>
          </w:tcPr>
          <w:p w14:paraId="66ABDEF7"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Cumulative PV</w:t>
            </w:r>
          </w:p>
        </w:tc>
      </w:tr>
      <w:tr w:rsidR="00AD2D8C" w:rsidRPr="00AD2D8C" w14:paraId="633FDB81"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06B414E5"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45923CE7"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6374E1A"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62BBE94D"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5DF20F1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-50</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2A3A5A5F"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1BA9C701"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-50</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5B4438B2"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-50</w:t>
            </w:r>
          </w:p>
        </w:tc>
      </w:tr>
      <w:tr w:rsidR="00AD2D8C" w:rsidRPr="00AD2D8C" w14:paraId="1F5D9EA6"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23D4D1B6"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367DF189"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8A7D403"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797D3640"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53973A2C"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10</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6B9F8CAA"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0.909</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62E43810"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9.09</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6847A3A3"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-40.91</w:t>
            </w:r>
          </w:p>
        </w:tc>
      </w:tr>
      <w:tr w:rsidR="00AD2D8C" w:rsidRPr="00AD2D8C" w14:paraId="03368431"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659C1880"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3064CA4E"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25B1EA14"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356DCFA4"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2</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50C3A044"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12</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7BE83ACC"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0.826</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1724AC1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9.91</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74EB555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-31.00</w:t>
            </w:r>
          </w:p>
        </w:tc>
      </w:tr>
      <w:tr w:rsidR="00AD2D8C" w:rsidRPr="00AD2D8C" w14:paraId="606C5468"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5D79F024"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Project A</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29FE7298"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217EEFB6"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DBEDF54"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3</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3E8A548F"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14</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5BDAD0E2"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0.751</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748C4D42"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10.51</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457CD10A"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-20.48</w:t>
            </w:r>
          </w:p>
        </w:tc>
      </w:tr>
      <w:tr w:rsidR="00AD2D8C" w:rsidRPr="00AD2D8C" w14:paraId="741AFD8D"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36EF0993"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0B4F268B"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768669AD"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D91011E"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5EE4ABB2"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10</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059BB6AA"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0.683</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41BB59E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6.83</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4B75751F"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-13.65</w:t>
            </w:r>
          </w:p>
        </w:tc>
      </w:tr>
      <w:tr w:rsidR="00AD2D8C" w:rsidRPr="00AD2D8C" w14:paraId="02C9A949"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4A7DFB84"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5E26C301"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013E538"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664D3F60"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3C854242"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8</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5F4BA588"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0.621</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741A3E26"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4.97</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2DCF3FA7"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-8.69</w:t>
            </w:r>
          </w:p>
        </w:tc>
      </w:tr>
      <w:tr w:rsidR="00AD2D8C" w:rsidRPr="00AD2D8C" w14:paraId="3E463044"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0D70112A"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F4F4237"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3EAC0D2D"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1896" w:type="pct"/>
            <w:gridSpan w:val="3"/>
            <w:tcBorders>
              <w:top w:val="single" w:sz="4" w:space="0" w:color="auto"/>
              <w:left w:val="nil"/>
              <w:bottom w:val="single" w:sz="4" w:space="0" w:color="auto"/>
              <w:right w:val="single" w:sz="4" w:space="0" w:color="auto"/>
            </w:tcBorders>
            <w:shd w:val="clear" w:color="auto" w:fill="FDE9D9" w:themeFill="accent6" w:themeFillTint="33"/>
            <w:noWrap/>
            <w:vAlign w:val="bottom"/>
            <w:hideMark/>
          </w:tcPr>
          <w:p w14:paraId="69823EFA" w14:textId="77777777" w:rsidR="00E570DE" w:rsidRPr="00E570DE" w:rsidRDefault="00E570DE" w:rsidP="00E570DE">
            <w:pPr>
              <w:spacing w:line="240" w:lineRule="auto"/>
              <w:jc w:val="center"/>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xml:space="preserve">Present value </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44B6EF89"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41.314</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39103822"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r>
      <w:tr w:rsidR="00AD2D8C" w:rsidRPr="00AD2D8C" w14:paraId="1FE7217B" w14:textId="77777777" w:rsidTr="00AD2D8C">
        <w:trPr>
          <w:trHeight w:val="315"/>
        </w:trPr>
        <w:tc>
          <w:tcPr>
            <w:tcW w:w="628" w:type="pct"/>
            <w:tcBorders>
              <w:top w:val="nil"/>
              <w:left w:val="single" w:sz="8" w:space="0" w:color="auto"/>
              <w:bottom w:val="single" w:sz="8" w:space="0" w:color="auto"/>
              <w:right w:val="single" w:sz="4" w:space="0" w:color="auto"/>
            </w:tcBorders>
            <w:shd w:val="clear" w:color="auto" w:fill="FDE9D9" w:themeFill="accent6" w:themeFillTint="33"/>
            <w:noWrap/>
            <w:vAlign w:val="bottom"/>
            <w:hideMark/>
          </w:tcPr>
          <w:p w14:paraId="25B67839"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noWrap/>
            <w:vAlign w:val="bottom"/>
            <w:hideMark/>
          </w:tcPr>
          <w:p w14:paraId="642EDC2D"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noWrap/>
            <w:vAlign w:val="bottom"/>
            <w:hideMark/>
          </w:tcPr>
          <w:p w14:paraId="74C19066"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noWrap/>
            <w:vAlign w:val="bottom"/>
            <w:hideMark/>
          </w:tcPr>
          <w:p w14:paraId="40CD8208"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vAlign w:val="bottom"/>
            <w:hideMark/>
          </w:tcPr>
          <w:p w14:paraId="270232D1"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795" w:type="pct"/>
            <w:tcBorders>
              <w:top w:val="nil"/>
              <w:left w:val="nil"/>
              <w:bottom w:val="single" w:sz="8" w:space="0" w:color="auto"/>
              <w:right w:val="single" w:sz="4" w:space="0" w:color="auto"/>
            </w:tcBorders>
            <w:shd w:val="clear" w:color="auto" w:fill="FDE9D9" w:themeFill="accent6" w:themeFillTint="33"/>
            <w:noWrap/>
            <w:vAlign w:val="bottom"/>
            <w:hideMark/>
          </w:tcPr>
          <w:p w14:paraId="1A644176"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NPV</w:t>
            </w:r>
          </w:p>
        </w:tc>
        <w:tc>
          <w:tcPr>
            <w:tcW w:w="587" w:type="pct"/>
            <w:tcBorders>
              <w:top w:val="nil"/>
              <w:left w:val="nil"/>
              <w:bottom w:val="single" w:sz="8" w:space="0" w:color="auto"/>
              <w:right w:val="single" w:sz="4" w:space="0" w:color="auto"/>
            </w:tcBorders>
            <w:shd w:val="clear" w:color="auto" w:fill="FDE9D9" w:themeFill="accent6" w:themeFillTint="33"/>
            <w:noWrap/>
            <w:vAlign w:val="bottom"/>
            <w:hideMark/>
          </w:tcPr>
          <w:p w14:paraId="133014ED"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-8.686</w:t>
            </w:r>
          </w:p>
        </w:tc>
        <w:tc>
          <w:tcPr>
            <w:tcW w:w="788" w:type="pct"/>
            <w:tcBorders>
              <w:top w:val="nil"/>
              <w:left w:val="nil"/>
              <w:bottom w:val="single" w:sz="8" w:space="0" w:color="auto"/>
              <w:right w:val="single" w:sz="8" w:space="0" w:color="auto"/>
            </w:tcBorders>
            <w:shd w:val="clear" w:color="auto" w:fill="FDE9D9" w:themeFill="accent6" w:themeFillTint="33"/>
            <w:vAlign w:val="bottom"/>
            <w:hideMark/>
          </w:tcPr>
          <w:p w14:paraId="369F7F65"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r>
      <w:tr w:rsidR="00AD2D8C" w:rsidRPr="00AD2D8C" w14:paraId="2EFA3B21" w14:textId="77777777" w:rsidTr="00AD2D8C">
        <w:trPr>
          <w:trHeight w:val="600"/>
        </w:trPr>
        <w:tc>
          <w:tcPr>
            <w:tcW w:w="628" w:type="pct"/>
            <w:tcBorders>
              <w:top w:val="single" w:sz="8" w:space="0" w:color="auto"/>
              <w:left w:val="single" w:sz="8" w:space="0" w:color="auto"/>
              <w:bottom w:val="single" w:sz="4" w:space="0" w:color="auto"/>
              <w:right w:val="single" w:sz="4" w:space="0" w:color="auto"/>
            </w:tcBorders>
            <w:shd w:val="clear" w:color="auto" w:fill="FDE9D9" w:themeFill="accent6" w:themeFillTint="33"/>
            <w:noWrap/>
            <w:vAlign w:val="bottom"/>
            <w:hideMark/>
          </w:tcPr>
          <w:p w14:paraId="00FC32B8"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w:t>
            </w:r>
          </w:p>
        </w:tc>
        <w:tc>
          <w:tcPr>
            <w:tcW w:w="550" w:type="pct"/>
            <w:tcBorders>
              <w:top w:val="single" w:sz="8" w:space="0" w:color="auto"/>
              <w:left w:val="nil"/>
              <w:bottom w:val="single" w:sz="4" w:space="0" w:color="auto"/>
              <w:right w:val="single" w:sz="4" w:space="0" w:color="auto"/>
            </w:tcBorders>
            <w:shd w:val="clear" w:color="auto" w:fill="FDE9D9" w:themeFill="accent6" w:themeFillTint="33"/>
            <w:noWrap/>
            <w:vAlign w:val="bottom"/>
            <w:hideMark/>
          </w:tcPr>
          <w:p w14:paraId="663277CF"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w:t>
            </w:r>
          </w:p>
        </w:tc>
        <w:tc>
          <w:tcPr>
            <w:tcW w:w="550" w:type="pct"/>
            <w:tcBorders>
              <w:top w:val="single" w:sz="8" w:space="0" w:color="auto"/>
              <w:left w:val="nil"/>
              <w:bottom w:val="single" w:sz="4" w:space="0" w:color="auto"/>
              <w:right w:val="single" w:sz="4" w:space="0" w:color="auto"/>
            </w:tcBorders>
            <w:shd w:val="clear" w:color="auto" w:fill="FDE9D9" w:themeFill="accent6" w:themeFillTint="33"/>
            <w:noWrap/>
            <w:vAlign w:val="bottom"/>
            <w:hideMark/>
          </w:tcPr>
          <w:p w14:paraId="392B3E88"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w:t>
            </w:r>
          </w:p>
        </w:tc>
        <w:tc>
          <w:tcPr>
            <w:tcW w:w="550" w:type="pct"/>
            <w:tcBorders>
              <w:top w:val="single" w:sz="8" w:space="0" w:color="auto"/>
              <w:left w:val="nil"/>
              <w:bottom w:val="single" w:sz="4" w:space="0" w:color="auto"/>
              <w:right w:val="single" w:sz="4" w:space="0" w:color="auto"/>
            </w:tcBorders>
            <w:shd w:val="clear" w:color="auto" w:fill="FDE9D9" w:themeFill="accent6" w:themeFillTint="33"/>
            <w:noWrap/>
            <w:vAlign w:val="bottom"/>
            <w:hideMark/>
          </w:tcPr>
          <w:p w14:paraId="4B0AAFC9"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Year</w:t>
            </w:r>
          </w:p>
        </w:tc>
        <w:tc>
          <w:tcPr>
            <w:tcW w:w="550" w:type="pct"/>
            <w:tcBorders>
              <w:top w:val="single" w:sz="8" w:space="0" w:color="auto"/>
              <w:left w:val="nil"/>
              <w:bottom w:val="single" w:sz="4" w:space="0" w:color="auto"/>
              <w:right w:val="single" w:sz="4" w:space="0" w:color="auto"/>
            </w:tcBorders>
            <w:shd w:val="clear" w:color="auto" w:fill="FDE9D9" w:themeFill="accent6" w:themeFillTint="33"/>
            <w:vAlign w:val="bottom"/>
            <w:hideMark/>
          </w:tcPr>
          <w:p w14:paraId="74069DB0"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Cash flows</w:t>
            </w:r>
          </w:p>
        </w:tc>
        <w:tc>
          <w:tcPr>
            <w:tcW w:w="795" w:type="pct"/>
            <w:tcBorders>
              <w:top w:val="single" w:sz="8" w:space="0" w:color="auto"/>
              <w:left w:val="nil"/>
              <w:bottom w:val="single" w:sz="4" w:space="0" w:color="auto"/>
              <w:right w:val="single" w:sz="4" w:space="0" w:color="auto"/>
            </w:tcBorders>
            <w:shd w:val="clear" w:color="auto" w:fill="FDE9D9" w:themeFill="accent6" w:themeFillTint="33"/>
            <w:vAlign w:val="bottom"/>
            <w:hideMark/>
          </w:tcPr>
          <w:p w14:paraId="3CDC69D1"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Discounted rate (10%)</w:t>
            </w:r>
          </w:p>
        </w:tc>
        <w:tc>
          <w:tcPr>
            <w:tcW w:w="587" w:type="pct"/>
            <w:tcBorders>
              <w:top w:val="single" w:sz="8" w:space="0" w:color="auto"/>
              <w:left w:val="nil"/>
              <w:bottom w:val="single" w:sz="4" w:space="0" w:color="auto"/>
              <w:right w:val="single" w:sz="4" w:space="0" w:color="auto"/>
            </w:tcBorders>
            <w:shd w:val="clear" w:color="auto" w:fill="FDE9D9" w:themeFill="accent6" w:themeFillTint="33"/>
            <w:vAlign w:val="bottom"/>
            <w:hideMark/>
          </w:tcPr>
          <w:p w14:paraId="6ED43A95"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xml:space="preserve">Present value </w:t>
            </w:r>
          </w:p>
        </w:tc>
        <w:tc>
          <w:tcPr>
            <w:tcW w:w="788" w:type="pct"/>
            <w:tcBorders>
              <w:top w:val="single" w:sz="8" w:space="0" w:color="auto"/>
              <w:left w:val="nil"/>
              <w:bottom w:val="single" w:sz="4" w:space="0" w:color="auto"/>
              <w:right w:val="single" w:sz="8" w:space="0" w:color="auto"/>
            </w:tcBorders>
            <w:shd w:val="clear" w:color="auto" w:fill="FDE9D9" w:themeFill="accent6" w:themeFillTint="33"/>
            <w:vAlign w:val="bottom"/>
            <w:hideMark/>
          </w:tcPr>
          <w:p w14:paraId="5ED86727"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Cumulative PV</w:t>
            </w:r>
          </w:p>
        </w:tc>
      </w:tr>
      <w:tr w:rsidR="00AD2D8C" w:rsidRPr="00AD2D8C" w14:paraId="4F7B2FA8"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50BB3369"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38B0157E"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56354E26"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5603FDAA"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7227583E"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-50</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6A713B88"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1505B7BC"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-50</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17666D48"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-50</w:t>
            </w:r>
          </w:p>
        </w:tc>
      </w:tr>
      <w:tr w:rsidR="00AD2D8C" w:rsidRPr="00AD2D8C" w14:paraId="5FE35890"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43E02B54"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09EB138E"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A59E07E"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0505F434"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50762BB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11</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607891A7"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0.909</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0C78A304"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9.999</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0B1280C9"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-40.001</w:t>
            </w:r>
          </w:p>
        </w:tc>
      </w:tr>
      <w:tr w:rsidR="00AD2D8C" w:rsidRPr="00AD2D8C" w14:paraId="06A60767"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2FC97956"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5F4096BB"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4BE37081"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6F5FE644"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2</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4D11C400"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11</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3D99133C"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0.826</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3483B978"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9.086</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3C6EEDD0"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-30.915</w:t>
            </w:r>
          </w:p>
        </w:tc>
      </w:tr>
      <w:tr w:rsidR="00AD2D8C" w:rsidRPr="00AD2D8C" w14:paraId="1CD19751"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2A76AECB"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Project B</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261C7A50"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2D8D1D5D"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9AC4B82"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3</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01D98216"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11</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106040E4"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0.751</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57A61577"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8.261</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19924E46"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-22.654</w:t>
            </w:r>
          </w:p>
        </w:tc>
      </w:tr>
      <w:tr w:rsidR="00AD2D8C" w:rsidRPr="00AD2D8C" w14:paraId="7789BFF1"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2FA6C7A2"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2C455716"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7B2ABA89"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314307EA"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7393764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11</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7B2E16BA"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0.683</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322AC499"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7.513</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2DC4F222"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-15.141</w:t>
            </w:r>
          </w:p>
        </w:tc>
      </w:tr>
      <w:tr w:rsidR="00AD2D8C" w:rsidRPr="00AD2D8C" w14:paraId="627B3E73"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7A95663A"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507FABA4"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4CE8940F"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184E95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32F8FCBC"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11</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15048660"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0.621</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69A3CEB0"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6.831</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4C3D3085"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-8.31</w:t>
            </w:r>
          </w:p>
        </w:tc>
      </w:tr>
      <w:tr w:rsidR="00AD2D8C" w:rsidRPr="00AD2D8C" w14:paraId="1184DE3B"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2D179D57"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7DFBEB18"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4476E56A"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1896" w:type="pct"/>
            <w:gridSpan w:val="3"/>
            <w:tcBorders>
              <w:top w:val="single" w:sz="4" w:space="0" w:color="auto"/>
              <w:left w:val="nil"/>
              <w:bottom w:val="single" w:sz="4" w:space="0" w:color="auto"/>
              <w:right w:val="single" w:sz="4" w:space="0" w:color="auto"/>
            </w:tcBorders>
            <w:shd w:val="clear" w:color="auto" w:fill="FDE9D9" w:themeFill="accent6" w:themeFillTint="33"/>
            <w:noWrap/>
            <w:vAlign w:val="bottom"/>
            <w:hideMark/>
          </w:tcPr>
          <w:p w14:paraId="204BEA5A" w14:textId="77777777" w:rsidR="00E570DE" w:rsidRPr="00E570DE" w:rsidRDefault="00E570DE" w:rsidP="00E570DE">
            <w:pPr>
              <w:spacing w:line="240" w:lineRule="auto"/>
              <w:jc w:val="center"/>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Present value</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1B6A462E"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41.69</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57131120"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r>
      <w:tr w:rsidR="00AD2D8C" w:rsidRPr="00AD2D8C" w14:paraId="7A1C074A" w14:textId="77777777" w:rsidTr="00AD2D8C">
        <w:trPr>
          <w:trHeight w:val="315"/>
        </w:trPr>
        <w:tc>
          <w:tcPr>
            <w:tcW w:w="628" w:type="pct"/>
            <w:tcBorders>
              <w:top w:val="nil"/>
              <w:left w:val="single" w:sz="8" w:space="0" w:color="auto"/>
              <w:bottom w:val="single" w:sz="8" w:space="0" w:color="auto"/>
              <w:right w:val="single" w:sz="4" w:space="0" w:color="auto"/>
            </w:tcBorders>
            <w:shd w:val="clear" w:color="auto" w:fill="FDE9D9" w:themeFill="accent6" w:themeFillTint="33"/>
            <w:noWrap/>
            <w:vAlign w:val="bottom"/>
            <w:hideMark/>
          </w:tcPr>
          <w:p w14:paraId="314E3C99"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noWrap/>
            <w:vAlign w:val="bottom"/>
            <w:hideMark/>
          </w:tcPr>
          <w:p w14:paraId="21779825"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noWrap/>
            <w:vAlign w:val="bottom"/>
            <w:hideMark/>
          </w:tcPr>
          <w:p w14:paraId="04147FC3"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noWrap/>
            <w:vAlign w:val="bottom"/>
            <w:hideMark/>
          </w:tcPr>
          <w:p w14:paraId="217617C9"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vAlign w:val="bottom"/>
            <w:hideMark/>
          </w:tcPr>
          <w:p w14:paraId="4A7B397C"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795" w:type="pct"/>
            <w:tcBorders>
              <w:top w:val="nil"/>
              <w:left w:val="nil"/>
              <w:bottom w:val="single" w:sz="8" w:space="0" w:color="auto"/>
              <w:right w:val="single" w:sz="4" w:space="0" w:color="auto"/>
            </w:tcBorders>
            <w:shd w:val="clear" w:color="auto" w:fill="FDE9D9" w:themeFill="accent6" w:themeFillTint="33"/>
            <w:vAlign w:val="bottom"/>
            <w:hideMark/>
          </w:tcPr>
          <w:p w14:paraId="74591E1D"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NPV</w:t>
            </w:r>
          </w:p>
        </w:tc>
        <w:tc>
          <w:tcPr>
            <w:tcW w:w="587" w:type="pct"/>
            <w:tcBorders>
              <w:top w:val="nil"/>
              <w:left w:val="nil"/>
              <w:bottom w:val="single" w:sz="8" w:space="0" w:color="auto"/>
              <w:right w:val="single" w:sz="4" w:space="0" w:color="auto"/>
            </w:tcBorders>
            <w:shd w:val="clear" w:color="auto" w:fill="FDE9D9" w:themeFill="accent6" w:themeFillTint="33"/>
            <w:vAlign w:val="bottom"/>
            <w:hideMark/>
          </w:tcPr>
          <w:p w14:paraId="19E53719"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-8.310</w:t>
            </w:r>
          </w:p>
        </w:tc>
        <w:tc>
          <w:tcPr>
            <w:tcW w:w="788" w:type="pct"/>
            <w:tcBorders>
              <w:top w:val="nil"/>
              <w:left w:val="nil"/>
              <w:bottom w:val="single" w:sz="8" w:space="0" w:color="auto"/>
              <w:right w:val="single" w:sz="8" w:space="0" w:color="auto"/>
            </w:tcBorders>
            <w:shd w:val="clear" w:color="auto" w:fill="FDE9D9" w:themeFill="accent6" w:themeFillTint="33"/>
            <w:vAlign w:val="bottom"/>
            <w:hideMark/>
          </w:tcPr>
          <w:p w14:paraId="097F779A"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r>
      <w:tr w:rsidR="00AD2D8C" w:rsidRPr="00AD2D8C" w14:paraId="2EE7109E" w14:textId="77777777" w:rsidTr="00AD2D8C">
        <w:trPr>
          <w:trHeight w:val="600"/>
        </w:trPr>
        <w:tc>
          <w:tcPr>
            <w:tcW w:w="628" w:type="pct"/>
            <w:tcBorders>
              <w:top w:val="single" w:sz="8" w:space="0" w:color="auto"/>
              <w:left w:val="single" w:sz="8" w:space="0" w:color="auto"/>
              <w:bottom w:val="single" w:sz="4" w:space="0" w:color="auto"/>
              <w:right w:val="single" w:sz="4" w:space="0" w:color="auto"/>
            </w:tcBorders>
            <w:shd w:val="clear" w:color="auto" w:fill="FDE9D9" w:themeFill="accent6" w:themeFillTint="33"/>
            <w:noWrap/>
            <w:vAlign w:val="bottom"/>
            <w:hideMark/>
          </w:tcPr>
          <w:p w14:paraId="20509281"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w:t>
            </w:r>
          </w:p>
        </w:tc>
        <w:tc>
          <w:tcPr>
            <w:tcW w:w="550" w:type="pct"/>
            <w:tcBorders>
              <w:top w:val="single" w:sz="8" w:space="0" w:color="auto"/>
              <w:left w:val="nil"/>
              <w:bottom w:val="single" w:sz="4" w:space="0" w:color="auto"/>
              <w:right w:val="single" w:sz="4" w:space="0" w:color="auto"/>
            </w:tcBorders>
            <w:shd w:val="clear" w:color="auto" w:fill="FDE9D9" w:themeFill="accent6" w:themeFillTint="33"/>
            <w:noWrap/>
            <w:vAlign w:val="bottom"/>
            <w:hideMark/>
          </w:tcPr>
          <w:p w14:paraId="4E1112A3"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w:t>
            </w:r>
          </w:p>
        </w:tc>
        <w:tc>
          <w:tcPr>
            <w:tcW w:w="550" w:type="pct"/>
            <w:tcBorders>
              <w:top w:val="single" w:sz="8" w:space="0" w:color="auto"/>
              <w:left w:val="nil"/>
              <w:bottom w:val="single" w:sz="4" w:space="0" w:color="auto"/>
              <w:right w:val="single" w:sz="4" w:space="0" w:color="auto"/>
            </w:tcBorders>
            <w:shd w:val="clear" w:color="auto" w:fill="FDE9D9" w:themeFill="accent6" w:themeFillTint="33"/>
            <w:noWrap/>
            <w:vAlign w:val="bottom"/>
            <w:hideMark/>
          </w:tcPr>
          <w:p w14:paraId="0004E4C4"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w:t>
            </w:r>
          </w:p>
        </w:tc>
        <w:tc>
          <w:tcPr>
            <w:tcW w:w="550" w:type="pct"/>
            <w:tcBorders>
              <w:top w:val="single" w:sz="8" w:space="0" w:color="auto"/>
              <w:left w:val="nil"/>
              <w:bottom w:val="single" w:sz="4" w:space="0" w:color="auto"/>
              <w:right w:val="single" w:sz="4" w:space="0" w:color="auto"/>
            </w:tcBorders>
            <w:shd w:val="clear" w:color="auto" w:fill="FDE9D9" w:themeFill="accent6" w:themeFillTint="33"/>
            <w:noWrap/>
            <w:vAlign w:val="bottom"/>
            <w:hideMark/>
          </w:tcPr>
          <w:p w14:paraId="56C8D5BE"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Year</w:t>
            </w:r>
          </w:p>
        </w:tc>
        <w:tc>
          <w:tcPr>
            <w:tcW w:w="550" w:type="pct"/>
            <w:tcBorders>
              <w:top w:val="single" w:sz="8" w:space="0" w:color="auto"/>
              <w:left w:val="nil"/>
              <w:bottom w:val="single" w:sz="4" w:space="0" w:color="auto"/>
              <w:right w:val="single" w:sz="4" w:space="0" w:color="auto"/>
            </w:tcBorders>
            <w:shd w:val="clear" w:color="auto" w:fill="FDE9D9" w:themeFill="accent6" w:themeFillTint="33"/>
            <w:vAlign w:val="bottom"/>
            <w:hideMark/>
          </w:tcPr>
          <w:p w14:paraId="71BCD01C"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Cash flows</w:t>
            </w:r>
          </w:p>
        </w:tc>
        <w:tc>
          <w:tcPr>
            <w:tcW w:w="795" w:type="pct"/>
            <w:tcBorders>
              <w:top w:val="single" w:sz="8" w:space="0" w:color="auto"/>
              <w:left w:val="nil"/>
              <w:bottom w:val="single" w:sz="4" w:space="0" w:color="auto"/>
              <w:right w:val="single" w:sz="4" w:space="0" w:color="auto"/>
            </w:tcBorders>
            <w:shd w:val="clear" w:color="auto" w:fill="FDE9D9" w:themeFill="accent6" w:themeFillTint="33"/>
            <w:vAlign w:val="bottom"/>
            <w:hideMark/>
          </w:tcPr>
          <w:p w14:paraId="7388B40F"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Discounted rate (10%)</w:t>
            </w:r>
          </w:p>
        </w:tc>
        <w:tc>
          <w:tcPr>
            <w:tcW w:w="587" w:type="pct"/>
            <w:tcBorders>
              <w:top w:val="single" w:sz="8" w:space="0" w:color="auto"/>
              <w:left w:val="nil"/>
              <w:bottom w:val="single" w:sz="4" w:space="0" w:color="auto"/>
              <w:right w:val="single" w:sz="4" w:space="0" w:color="auto"/>
            </w:tcBorders>
            <w:shd w:val="clear" w:color="auto" w:fill="FDE9D9" w:themeFill="accent6" w:themeFillTint="33"/>
            <w:vAlign w:val="bottom"/>
            <w:hideMark/>
          </w:tcPr>
          <w:p w14:paraId="5E70A73F"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 xml:space="preserve">Present value </w:t>
            </w:r>
          </w:p>
        </w:tc>
        <w:tc>
          <w:tcPr>
            <w:tcW w:w="788" w:type="pct"/>
            <w:tcBorders>
              <w:top w:val="single" w:sz="8" w:space="0" w:color="auto"/>
              <w:left w:val="nil"/>
              <w:bottom w:val="single" w:sz="4" w:space="0" w:color="auto"/>
              <w:right w:val="single" w:sz="8" w:space="0" w:color="auto"/>
            </w:tcBorders>
            <w:shd w:val="clear" w:color="auto" w:fill="FDE9D9" w:themeFill="accent6" w:themeFillTint="33"/>
            <w:vAlign w:val="bottom"/>
            <w:hideMark/>
          </w:tcPr>
          <w:p w14:paraId="22CD0936" w14:textId="77777777" w:rsidR="00E570DE" w:rsidRPr="00E570DE" w:rsidRDefault="00E570DE" w:rsidP="00E570DE">
            <w:pPr>
              <w:spacing w:line="240" w:lineRule="auto"/>
              <w:jc w:val="left"/>
              <w:rPr>
                <w:rFonts w:ascii="Arial" w:eastAsia="Times New Roman" w:hAnsi="Arial" w:cs="Arial"/>
                <w:b/>
                <w:color w:val="000000"/>
                <w:szCs w:val="24"/>
                <w:shd w:val="clear" w:color="auto" w:fill="auto"/>
                <w:lang w:val="en-US"/>
              </w:rPr>
            </w:pPr>
            <w:r w:rsidRPr="00E570DE">
              <w:rPr>
                <w:rFonts w:ascii="Arial" w:eastAsia="Times New Roman" w:hAnsi="Arial" w:cs="Arial"/>
                <w:b/>
                <w:color w:val="000000"/>
                <w:szCs w:val="24"/>
                <w:shd w:val="clear" w:color="auto" w:fill="auto"/>
                <w:lang w:val="en-US"/>
              </w:rPr>
              <w:t>Cumulative PV</w:t>
            </w:r>
          </w:p>
        </w:tc>
      </w:tr>
      <w:tr w:rsidR="00AD2D8C" w:rsidRPr="00AD2D8C" w14:paraId="5C8A07B9"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7175597C"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lastRenderedPageBreak/>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3DF6CCF4"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40217D7D"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5FD7FDDF"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7C334F91"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-50</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57805BA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7249A1D5"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-50</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0DD26C1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-50</w:t>
            </w:r>
          </w:p>
        </w:tc>
      </w:tr>
      <w:tr w:rsidR="00AD2D8C" w:rsidRPr="00AD2D8C" w14:paraId="0F1AF63E"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36571BB9"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46CF680A"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DD72DB0"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63007B8C"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2490960F"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59D97C03"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0.909</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077772A2"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4.545</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0C7567C7"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-45.455</w:t>
            </w:r>
          </w:p>
        </w:tc>
      </w:tr>
      <w:tr w:rsidR="00AD2D8C" w:rsidRPr="00AD2D8C" w14:paraId="101F2B93"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18655DCD"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Project C</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03CC3A92"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4CEFB640"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232F8C78"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2</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722C9B8D"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10</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345866C3"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0.826</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3E6B07F4"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8.26</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2B1CEF90"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-37.195</w:t>
            </w:r>
          </w:p>
        </w:tc>
      </w:tr>
      <w:tr w:rsidR="00AD2D8C" w:rsidRPr="00AD2D8C" w14:paraId="0BFDADB2"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16D76C17"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615A5EFB"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62FABEF7"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487CE644"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3</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7A9AA50D"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20</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19BAE893"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0.751</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327904D4"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15.02</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67BB000C"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-22.175</w:t>
            </w:r>
          </w:p>
        </w:tc>
      </w:tr>
      <w:tr w:rsidR="00AD2D8C" w:rsidRPr="00AD2D8C" w14:paraId="393CECE2"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1DFD3745"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63E0EFC"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65D1A6DF"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36FBA43C"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6ED868DC"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25</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7F3BC2A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0.683</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32A818FA"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17.075</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75D2F639"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-5.1</w:t>
            </w:r>
          </w:p>
        </w:tc>
      </w:tr>
      <w:tr w:rsidR="00AD2D8C" w:rsidRPr="00AD2D8C" w14:paraId="496ABBA4"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71585D76"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66065D05"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1D2B6AE6"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25B0CA7B"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0A548AC2"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5</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685BDF2F"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0.621</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278DFC72"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3.105</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0D1A6A3F"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-1.995</w:t>
            </w:r>
          </w:p>
        </w:tc>
      </w:tr>
      <w:tr w:rsidR="00AD2D8C" w:rsidRPr="00AD2D8C" w14:paraId="428E9F1A" w14:textId="77777777" w:rsidTr="00AD2D8C">
        <w:trPr>
          <w:trHeight w:val="300"/>
        </w:trPr>
        <w:tc>
          <w:tcPr>
            <w:tcW w:w="628" w:type="pct"/>
            <w:tcBorders>
              <w:top w:val="nil"/>
              <w:left w:val="single" w:sz="8" w:space="0" w:color="auto"/>
              <w:bottom w:val="single" w:sz="4" w:space="0" w:color="auto"/>
              <w:right w:val="single" w:sz="4" w:space="0" w:color="auto"/>
            </w:tcBorders>
            <w:shd w:val="clear" w:color="auto" w:fill="FDE9D9" w:themeFill="accent6" w:themeFillTint="33"/>
            <w:noWrap/>
            <w:vAlign w:val="bottom"/>
            <w:hideMark/>
          </w:tcPr>
          <w:p w14:paraId="1EAD6ABB"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7DE44DD7"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3A8B1D01"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noWrap/>
            <w:vAlign w:val="bottom"/>
            <w:hideMark/>
          </w:tcPr>
          <w:p w14:paraId="05E4786C"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4" w:space="0" w:color="auto"/>
              <w:right w:val="single" w:sz="4" w:space="0" w:color="auto"/>
            </w:tcBorders>
            <w:shd w:val="clear" w:color="auto" w:fill="FDE9D9" w:themeFill="accent6" w:themeFillTint="33"/>
            <w:vAlign w:val="bottom"/>
            <w:hideMark/>
          </w:tcPr>
          <w:p w14:paraId="28EC7E88"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795" w:type="pct"/>
            <w:tcBorders>
              <w:top w:val="nil"/>
              <w:left w:val="nil"/>
              <w:bottom w:val="single" w:sz="4" w:space="0" w:color="auto"/>
              <w:right w:val="single" w:sz="4" w:space="0" w:color="auto"/>
            </w:tcBorders>
            <w:shd w:val="clear" w:color="auto" w:fill="FDE9D9" w:themeFill="accent6" w:themeFillTint="33"/>
            <w:vAlign w:val="bottom"/>
            <w:hideMark/>
          </w:tcPr>
          <w:p w14:paraId="13BF0332"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87" w:type="pct"/>
            <w:tcBorders>
              <w:top w:val="nil"/>
              <w:left w:val="nil"/>
              <w:bottom w:val="single" w:sz="4" w:space="0" w:color="auto"/>
              <w:right w:val="single" w:sz="4" w:space="0" w:color="auto"/>
            </w:tcBorders>
            <w:shd w:val="clear" w:color="auto" w:fill="FDE9D9" w:themeFill="accent6" w:themeFillTint="33"/>
            <w:vAlign w:val="bottom"/>
            <w:hideMark/>
          </w:tcPr>
          <w:p w14:paraId="21EA5C33"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48.01</w:t>
            </w:r>
          </w:p>
        </w:tc>
        <w:tc>
          <w:tcPr>
            <w:tcW w:w="788" w:type="pct"/>
            <w:tcBorders>
              <w:top w:val="nil"/>
              <w:left w:val="nil"/>
              <w:bottom w:val="single" w:sz="4" w:space="0" w:color="auto"/>
              <w:right w:val="single" w:sz="8" w:space="0" w:color="auto"/>
            </w:tcBorders>
            <w:shd w:val="clear" w:color="auto" w:fill="FDE9D9" w:themeFill="accent6" w:themeFillTint="33"/>
            <w:vAlign w:val="bottom"/>
            <w:hideMark/>
          </w:tcPr>
          <w:p w14:paraId="36DFCB7F"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r>
      <w:tr w:rsidR="00AD2D8C" w:rsidRPr="00AD2D8C" w14:paraId="2D1E66DD" w14:textId="77777777" w:rsidTr="00AD2D8C">
        <w:trPr>
          <w:trHeight w:val="315"/>
        </w:trPr>
        <w:tc>
          <w:tcPr>
            <w:tcW w:w="628" w:type="pct"/>
            <w:tcBorders>
              <w:top w:val="nil"/>
              <w:left w:val="single" w:sz="8" w:space="0" w:color="auto"/>
              <w:bottom w:val="single" w:sz="8" w:space="0" w:color="auto"/>
              <w:right w:val="single" w:sz="4" w:space="0" w:color="auto"/>
            </w:tcBorders>
            <w:shd w:val="clear" w:color="auto" w:fill="FDE9D9" w:themeFill="accent6" w:themeFillTint="33"/>
            <w:noWrap/>
            <w:vAlign w:val="bottom"/>
            <w:hideMark/>
          </w:tcPr>
          <w:p w14:paraId="747A8BB9"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noWrap/>
            <w:vAlign w:val="bottom"/>
            <w:hideMark/>
          </w:tcPr>
          <w:p w14:paraId="1C4F2BE6"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noWrap/>
            <w:vAlign w:val="bottom"/>
            <w:hideMark/>
          </w:tcPr>
          <w:p w14:paraId="2453DB6A"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noWrap/>
            <w:vAlign w:val="bottom"/>
            <w:hideMark/>
          </w:tcPr>
          <w:p w14:paraId="40154893"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550" w:type="pct"/>
            <w:tcBorders>
              <w:top w:val="nil"/>
              <w:left w:val="nil"/>
              <w:bottom w:val="single" w:sz="8" w:space="0" w:color="auto"/>
              <w:right w:val="single" w:sz="4" w:space="0" w:color="auto"/>
            </w:tcBorders>
            <w:shd w:val="clear" w:color="auto" w:fill="FDE9D9" w:themeFill="accent6" w:themeFillTint="33"/>
            <w:vAlign w:val="bottom"/>
            <w:hideMark/>
          </w:tcPr>
          <w:p w14:paraId="0B8E0BCB"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c>
          <w:tcPr>
            <w:tcW w:w="795" w:type="pct"/>
            <w:tcBorders>
              <w:top w:val="nil"/>
              <w:left w:val="nil"/>
              <w:bottom w:val="single" w:sz="8" w:space="0" w:color="auto"/>
              <w:right w:val="single" w:sz="4" w:space="0" w:color="auto"/>
            </w:tcBorders>
            <w:shd w:val="clear" w:color="auto" w:fill="FDE9D9" w:themeFill="accent6" w:themeFillTint="33"/>
            <w:vAlign w:val="bottom"/>
            <w:hideMark/>
          </w:tcPr>
          <w:p w14:paraId="63671CCC"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NPV</w:t>
            </w:r>
          </w:p>
        </w:tc>
        <w:tc>
          <w:tcPr>
            <w:tcW w:w="587" w:type="pct"/>
            <w:tcBorders>
              <w:top w:val="nil"/>
              <w:left w:val="nil"/>
              <w:bottom w:val="single" w:sz="8" w:space="0" w:color="auto"/>
              <w:right w:val="single" w:sz="4" w:space="0" w:color="auto"/>
            </w:tcBorders>
            <w:shd w:val="clear" w:color="auto" w:fill="FDE9D9" w:themeFill="accent6" w:themeFillTint="33"/>
            <w:vAlign w:val="bottom"/>
            <w:hideMark/>
          </w:tcPr>
          <w:p w14:paraId="05C8A4D7" w14:textId="77777777" w:rsidR="00E570DE" w:rsidRPr="00E570DE" w:rsidRDefault="00E570DE" w:rsidP="00E570DE">
            <w:pPr>
              <w:spacing w:line="240" w:lineRule="auto"/>
              <w:jc w:val="righ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-2.00</w:t>
            </w:r>
          </w:p>
        </w:tc>
        <w:tc>
          <w:tcPr>
            <w:tcW w:w="788" w:type="pct"/>
            <w:tcBorders>
              <w:top w:val="nil"/>
              <w:left w:val="nil"/>
              <w:bottom w:val="single" w:sz="8" w:space="0" w:color="auto"/>
              <w:right w:val="single" w:sz="8" w:space="0" w:color="auto"/>
            </w:tcBorders>
            <w:shd w:val="clear" w:color="auto" w:fill="FDE9D9" w:themeFill="accent6" w:themeFillTint="33"/>
            <w:vAlign w:val="bottom"/>
            <w:hideMark/>
          </w:tcPr>
          <w:p w14:paraId="7D6880B4" w14:textId="77777777" w:rsidR="00E570DE" w:rsidRPr="00E570DE" w:rsidRDefault="00E570DE" w:rsidP="00E570DE">
            <w:pPr>
              <w:spacing w:line="240" w:lineRule="auto"/>
              <w:jc w:val="left"/>
              <w:rPr>
                <w:rFonts w:ascii="Arial" w:eastAsia="Times New Roman" w:hAnsi="Arial" w:cs="Arial"/>
                <w:color w:val="000000"/>
                <w:szCs w:val="24"/>
                <w:shd w:val="clear" w:color="auto" w:fill="auto"/>
                <w:lang w:val="en-US"/>
              </w:rPr>
            </w:pPr>
            <w:r w:rsidRPr="00E570DE">
              <w:rPr>
                <w:rFonts w:ascii="Arial" w:eastAsia="Times New Roman" w:hAnsi="Arial" w:cs="Arial"/>
                <w:color w:val="000000"/>
                <w:szCs w:val="24"/>
                <w:shd w:val="clear" w:color="auto" w:fill="auto"/>
                <w:lang w:val="en-US"/>
              </w:rPr>
              <w:t> </w:t>
            </w:r>
          </w:p>
        </w:tc>
      </w:tr>
    </w:tbl>
    <w:p w14:paraId="025CEE4D" w14:textId="77777777" w:rsidR="00E25251" w:rsidRPr="00AD2D8C" w:rsidRDefault="00E25251" w:rsidP="00E25251">
      <w:pPr>
        <w:rPr>
          <w:rFonts w:ascii="Arial" w:hAnsi="Arial" w:cs="Arial"/>
        </w:rPr>
      </w:pPr>
    </w:p>
    <w:tbl>
      <w:tblPr>
        <w:tblW w:w="5000" w:type="pct"/>
        <w:shd w:val="clear" w:color="auto" w:fill="DBE5F1" w:themeFill="accent1" w:themeFillTint="33"/>
        <w:tblLook w:val="04A0" w:firstRow="1" w:lastRow="0" w:firstColumn="1" w:lastColumn="0" w:noHBand="0" w:noVBand="1"/>
      </w:tblPr>
      <w:tblGrid>
        <w:gridCol w:w="1062"/>
        <w:gridCol w:w="721"/>
        <w:gridCol w:w="1160"/>
        <w:gridCol w:w="1063"/>
        <w:gridCol w:w="1239"/>
        <w:gridCol w:w="1160"/>
        <w:gridCol w:w="1063"/>
        <w:gridCol w:w="722"/>
        <w:gridCol w:w="1160"/>
      </w:tblGrid>
      <w:tr w:rsidR="00AD2D8C" w:rsidRPr="00AD2D8C" w14:paraId="17641FC8" w14:textId="77777777" w:rsidTr="00AD2D8C">
        <w:trPr>
          <w:trHeight w:val="600"/>
        </w:trPr>
        <w:tc>
          <w:tcPr>
            <w:tcW w:w="1575" w:type="pct"/>
            <w:gridSpan w:val="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hideMark/>
          </w:tcPr>
          <w:p w14:paraId="422EB46C"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Project 1</w:t>
            </w:r>
          </w:p>
        </w:tc>
        <w:tc>
          <w:tcPr>
            <w:tcW w:w="1850" w:type="pct"/>
            <w:gridSpan w:val="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hideMark/>
          </w:tcPr>
          <w:p w14:paraId="14CC72C6"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Project 2</w:t>
            </w:r>
          </w:p>
        </w:tc>
        <w:tc>
          <w:tcPr>
            <w:tcW w:w="1574" w:type="pct"/>
            <w:gridSpan w:val="3"/>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hideMark/>
          </w:tcPr>
          <w:p w14:paraId="025BD0C1"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Project 3</w:t>
            </w:r>
          </w:p>
        </w:tc>
      </w:tr>
      <w:tr w:rsidR="00AD2D8C" w:rsidRPr="00AD2D8C" w14:paraId="61FA7338" w14:textId="77777777" w:rsidTr="00AD2D8C">
        <w:trPr>
          <w:trHeight w:val="600"/>
        </w:trPr>
        <w:tc>
          <w:tcPr>
            <w:tcW w:w="587" w:type="pct"/>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hideMark/>
          </w:tcPr>
          <w:p w14:paraId="772400D0"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Year</w:t>
            </w:r>
          </w:p>
        </w:tc>
        <w:tc>
          <w:tcPr>
            <w:tcW w:w="387" w:type="pct"/>
            <w:tcBorders>
              <w:top w:val="single" w:sz="4" w:space="0" w:color="auto"/>
              <w:left w:val="nil"/>
              <w:bottom w:val="single" w:sz="4" w:space="0" w:color="auto"/>
              <w:right w:val="single" w:sz="4" w:space="0" w:color="auto"/>
            </w:tcBorders>
            <w:shd w:val="clear" w:color="auto" w:fill="DBE5F1" w:themeFill="accent1" w:themeFillTint="33"/>
            <w:vAlign w:val="center"/>
            <w:hideMark/>
          </w:tcPr>
          <w:p w14:paraId="3B403582"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Cash Inflow (£m)</w:t>
            </w:r>
          </w:p>
        </w:tc>
        <w:tc>
          <w:tcPr>
            <w:tcW w:w="601" w:type="pct"/>
            <w:tcBorders>
              <w:top w:val="single" w:sz="4" w:space="0" w:color="auto"/>
              <w:left w:val="nil"/>
              <w:bottom w:val="single" w:sz="4" w:space="0" w:color="auto"/>
              <w:right w:val="single" w:sz="4" w:space="0" w:color="auto"/>
            </w:tcBorders>
            <w:shd w:val="clear" w:color="auto" w:fill="DBE5F1" w:themeFill="accent1" w:themeFillTint="33"/>
            <w:vAlign w:val="center"/>
            <w:hideMark/>
          </w:tcPr>
          <w:p w14:paraId="29517F24"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Cumulative (£m)</w:t>
            </w:r>
          </w:p>
        </w:tc>
        <w:tc>
          <w:tcPr>
            <w:tcW w:w="587" w:type="pct"/>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hideMark/>
          </w:tcPr>
          <w:p w14:paraId="3687436C"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Year</w:t>
            </w:r>
          </w:p>
        </w:tc>
        <w:tc>
          <w:tcPr>
            <w:tcW w:w="663" w:type="pct"/>
            <w:tcBorders>
              <w:top w:val="single" w:sz="4" w:space="0" w:color="auto"/>
              <w:left w:val="nil"/>
              <w:bottom w:val="single" w:sz="4" w:space="0" w:color="auto"/>
              <w:right w:val="single" w:sz="4" w:space="0" w:color="auto"/>
            </w:tcBorders>
            <w:shd w:val="clear" w:color="auto" w:fill="DBE5F1" w:themeFill="accent1" w:themeFillTint="33"/>
            <w:vAlign w:val="center"/>
            <w:hideMark/>
          </w:tcPr>
          <w:p w14:paraId="7E325AAD"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Cash Inflow (£m)</w:t>
            </w:r>
          </w:p>
        </w:tc>
        <w:tc>
          <w:tcPr>
            <w:tcW w:w="601" w:type="pct"/>
            <w:tcBorders>
              <w:top w:val="single" w:sz="4" w:space="0" w:color="auto"/>
              <w:left w:val="nil"/>
              <w:bottom w:val="single" w:sz="4" w:space="0" w:color="auto"/>
              <w:right w:val="single" w:sz="4" w:space="0" w:color="auto"/>
            </w:tcBorders>
            <w:shd w:val="clear" w:color="auto" w:fill="DBE5F1" w:themeFill="accent1" w:themeFillTint="33"/>
            <w:vAlign w:val="center"/>
            <w:hideMark/>
          </w:tcPr>
          <w:p w14:paraId="6CCD93E2"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Cumulative (£m)</w:t>
            </w:r>
          </w:p>
        </w:tc>
        <w:tc>
          <w:tcPr>
            <w:tcW w:w="587" w:type="pct"/>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hideMark/>
          </w:tcPr>
          <w:p w14:paraId="25AF3AAA"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Year</w:t>
            </w:r>
          </w:p>
        </w:tc>
        <w:tc>
          <w:tcPr>
            <w:tcW w:w="386" w:type="pct"/>
            <w:tcBorders>
              <w:top w:val="single" w:sz="4" w:space="0" w:color="auto"/>
              <w:left w:val="nil"/>
              <w:bottom w:val="single" w:sz="4" w:space="0" w:color="auto"/>
              <w:right w:val="single" w:sz="4" w:space="0" w:color="auto"/>
            </w:tcBorders>
            <w:shd w:val="clear" w:color="auto" w:fill="DBE5F1" w:themeFill="accent1" w:themeFillTint="33"/>
            <w:vAlign w:val="center"/>
            <w:hideMark/>
          </w:tcPr>
          <w:p w14:paraId="4E6A6572"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Cash Inflow (£m)</w:t>
            </w:r>
          </w:p>
        </w:tc>
        <w:tc>
          <w:tcPr>
            <w:tcW w:w="601" w:type="pct"/>
            <w:tcBorders>
              <w:top w:val="single" w:sz="4" w:space="0" w:color="auto"/>
              <w:left w:val="nil"/>
              <w:bottom w:val="single" w:sz="4" w:space="0" w:color="auto"/>
              <w:right w:val="single" w:sz="4" w:space="0" w:color="auto"/>
            </w:tcBorders>
            <w:shd w:val="clear" w:color="auto" w:fill="DBE5F1" w:themeFill="accent1" w:themeFillTint="33"/>
            <w:vAlign w:val="center"/>
            <w:hideMark/>
          </w:tcPr>
          <w:p w14:paraId="62C2B083"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Cumulative (£m)</w:t>
            </w:r>
          </w:p>
        </w:tc>
      </w:tr>
      <w:tr w:rsidR="00AD2D8C" w:rsidRPr="00AD2D8C" w14:paraId="60E53092" w14:textId="77777777" w:rsidTr="00AD2D8C">
        <w:trPr>
          <w:trHeight w:val="3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60231F2E"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w:t>
            </w:r>
          </w:p>
        </w:tc>
        <w:tc>
          <w:tcPr>
            <w:tcW w:w="387" w:type="pct"/>
            <w:tcBorders>
              <w:top w:val="nil"/>
              <w:left w:val="nil"/>
              <w:bottom w:val="single" w:sz="4" w:space="0" w:color="auto"/>
              <w:right w:val="single" w:sz="4" w:space="0" w:color="auto"/>
            </w:tcBorders>
            <w:shd w:val="clear" w:color="auto" w:fill="DBE5F1" w:themeFill="accent1" w:themeFillTint="33"/>
            <w:vAlign w:val="bottom"/>
            <w:hideMark/>
          </w:tcPr>
          <w:p w14:paraId="3E7020DF"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10</w:t>
            </w:r>
          </w:p>
        </w:tc>
        <w:tc>
          <w:tcPr>
            <w:tcW w:w="601" w:type="pct"/>
            <w:tcBorders>
              <w:top w:val="nil"/>
              <w:left w:val="nil"/>
              <w:bottom w:val="single" w:sz="4" w:space="0" w:color="auto"/>
              <w:right w:val="single" w:sz="4" w:space="0" w:color="auto"/>
            </w:tcBorders>
            <w:shd w:val="clear" w:color="auto" w:fill="DBE5F1" w:themeFill="accent1" w:themeFillTint="33"/>
            <w:vAlign w:val="bottom"/>
            <w:hideMark/>
          </w:tcPr>
          <w:p w14:paraId="6EA9D9D5"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10</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0516C3E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w:t>
            </w:r>
          </w:p>
        </w:tc>
        <w:tc>
          <w:tcPr>
            <w:tcW w:w="663" w:type="pct"/>
            <w:tcBorders>
              <w:top w:val="nil"/>
              <w:left w:val="nil"/>
              <w:bottom w:val="single" w:sz="4" w:space="0" w:color="auto"/>
              <w:right w:val="single" w:sz="4" w:space="0" w:color="auto"/>
            </w:tcBorders>
            <w:shd w:val="clear" w:color="auto" w:fill="DBE5F1" w:themeFill="accent1" w:themeFillTint="33"/>
            <w:vAlign w:val="bottom"/>
            <w:hideMark/>
          </w:tcPr>
          <w:p w14:paraId="5565602F"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11</w:t>
            </w:r>
          </w:p>
        </w:tc>
        <w:tc>
          <w:tcPr>
            <w:tcW w:w="601" w:type="pct"/>
            <w:tcBorders>
              <w:top w:val="nil"/>
              <w:left w:val="nil"/>
              <w:bottom w:val="single" w:sz="4" w:space="0" w:color="auto"/>
              <w:right w:val="single" w:sz="4" w:space="0" w:color="auto"/>
            </w:tcBorders>
            <w:shd w:val="clear" w:color="auto" w:fill="DBE5F1" w:themeFill="accent1" w:themeFillTint="33"/>
            <w:vAlign w:val="bottom"/>
            <w:hideMark/>
          </w:tcPr>
          <w:p w14:paraId="2D27D5EC"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11</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6C46995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w:t>
            </w:r>
          </w:p>
        </w:tc>
        <w:tc>
          <w:tcPr>
            <w:tcW w:w="386" w:type="pct"/>
            <w:tcBorders>
              <w:top w:val="nil"/>
              <w:left w:val="nil"/>
              <w:bottom w:val="single" w:sz="4" w:space="0" w:color="auto"/>
              <w:right w:val="single" w:sz="4" w:space="0" w:color="auto"/>
            </w:tcBorders>
            <w:shd w:val="clear" w:color="auto" w:fill="DBE5F1" w:themeFill="accent1" w:themeFillTint="33"/>
            <w:vAlign w:val="bottom"/>
            <w:hideMark/>
          </w:tcPr>
          <w:p w14:paraId="6B74CFC7"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7B54023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w:t>
            </w:r>
          </w:p>
        </w:tc>
      </w:tr>
      <w:tr w:rsidR="00AD2D8C" w:rsidRPr="00AD2D8C" w14:paraId="0FF8473B" w14:textId="77777777" w:rsidTr="00AD2D8C">
        <w:trPr>
          <w:trHeight w:val="3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53854D58"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2</w:t>
            </w:r>
          </w:p>
        </w:tc>
        <w:tc>
          <w:tcPr>
            <w:tcW w:w="387" w:type="pct"/>
            <w:tcBorders>
              <w:top w:val="nil"/>
              <w:left w:val="nil"/>
              <w:bottom w:val="single" w:sz="4" w:space="0" w:color="auto"/>
              <w:right w:val="single" w:sz="4" w:space="0" w:color="auto"/>
            </w:tcBorders>
            <w:shd w:val="clear" w:color="auto" w:fill="DBE5F1" w:themeFill="accent1" w:themeFillTint="33"/>
            <w:vAlign w:val="bottom"/>
            <w:hideMark/>
          </w:tcPr>
          <w:p w14:paraId="3BF50FEC"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12</w:t>
            </w:r>
          </w:p>
        </w:tc>
        <w:tc>
          <w:tcPr>
            <w:tcW w:w="601" w:type="pct"/>
            <w:tcBorders>
              <w:top w:val="nil"/>
              <w:left w:val="nil"/>
              <w:bottom w:val="single" w:sz="4" w:space="0" w:color="auto"/>
              <w:right w:val="single" w:sz="4" w:space="0" w:color="auto"/>
            </w:tcBorders>
            <w:shd w:val="clear" w:color="auto" w:fill="DBE5F1" w:themeFill="accent1" w:themeFillTint="33"/>
            <w:vAlign w:val="bottom"/>
            <w:hideMark/>
          </w:tcPr>
          <w:p w14:paraId="43709A3D"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22</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51D9F744"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2</w:t>
            </w:r>
          </w:p>
        </w:tc>
        <w:tc>
          <w:tcPr>
            <w:tcW w:w="663" w:type="pct"/>
            <w:tcBorders>
              <w:top w:val="nil"/>
              <w:left w:val="nil"/>
              <w:bottom w:val="single" w:sz="4" w:space="0" w:color="auto"/>
              <w:right w:val="single" w:sz="4" w:space="0" w:color="auto"/>
            </w:tcBorders>
            <w:shd w:val="clear" w:color="auto" w:fill="DBE5F1" w:themeFill="accent1" w:themeFillTint="33"/>
            <w:vAlign w:val="bottom"/>
            <w:hideMark/>
          </w:tcPr>
          <w:p w14:paraId="31EFD521"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11</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58D01C44"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22</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42D94F45"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2</w:t>
            </w:r>
          </w:p>
        </w:tc>
        <w:tc>
          <w:tcPr>
            <w:tcW w:w="386" w:type="pct"/>
            <w:tcBorders>
              <w:top w:val="nil"/>
              <w:left w:val="nil"/>
              <w:bottom w:val="single" w:sz="4" w:space="0" w:color="auto"/>
              <w:right w:val="single" w:sz="4" w:space="0" w:color="auto"/>
            </w:tcBorders>
            <w:shd w:val="clear" w:color="auto" w:fill="DBE5F1" w:themeFill="accent1" w:themeFillTint="33"/>
            <w:vAlign w:val="bottom"/>
            <w:hideMark/>
          </w:tcPr>
          <w:p w14:paraId="25C2D97E"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10</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3F1E7EEE"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15</w:t>
            </w:r>
          </w:p>
        </w:tc>
      </w:tr>
      <w:tr w:rsidR="00AD2D8C" w:rsidRPr="00AD2D8C" w14:paraId="3CFA9D3A" w14:textId="77777777" w:rsidTr="00AD2D8C">
        <w:trPr>
          <w:trHeight w:val="3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42D162F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3</w:t>
            </w:r>
          </w:p>
        </w:tc>
        <w:tc>
          <w:tcPr>
            <w:tcW w:w="387" w:type="pct"/>
            <w:tcBorders>
              <w:top w:val="nil"/>
              <w:left w:val="nil"/>
              <w:bottom w:val="single" w:sz="4" w:space="0" w:color="auto"/>
              <w:right w:val="single" w:sz="4" w:space="0" w:color="auto"/>
            </w:tcBorders>
            <w:shd w:val="clear" w:color="auto" w:fill="DBE5F1" w:themeFill="accent1" w:themeFillTint="33"/>
            <w:vAlign w:val="bottom"/>
            <w:hideMark/>
          </w:tcPr>
          <w:p w14:paraId="75CDC6D0"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14</w:t>
            </w:r>
          </w:p>
        </w:tc>
        <w:tc>
          <w:tcPr>
            <w:tcW w:w="601" w:type="pct"/>
            <w:tcBorders>
              <w:top w:val="nil"/>
              <w:left w:val="nil"/>
              <w:bottom w:val="single" w:sz="4" w:space="0" w:color="auto"/>
              <w:right w:val="single" w:sz="4" w:space="0" w:color="auto"/>
            </w:tcBorders>
            <w:shd w:val="clear" w:color="auto" w:fill="DBE5F1" w:themeFill="accent1" w:themeFillTint="33"/>
            <w:vAlign w:val="bottom"/>
            <w:hideMark/>
          </w:tcPr>
          <w:p w14:paraId="7250FECA"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36</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284B748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3</w:t>
            </w:r>
          </w:p>
        </w:tc>
        <w:tc>
          <w:tcPr>
            <w:tcW w:w="663" w:type="pct"/>
            <w:tcBorders>
              <w:top w:val="nil"/>
              <w:left w:val="nil"/>
              <w:bottom w:val="single" w:sz="4" w:space="0" w:color="auto"/>
              <w:right w:val="single" w:sz="4" w:space="0" w:color="auto"/>
            </w:tcBorders>
            <w:shd w:val="clear" w:color="auto" w:fill="DBE5F1" w:themeFill="accent1" w:themeFillTint="33"/>
            <w:vAlign w:val="bottom"/>
            <w:hideMark/>
          </w:tcPr>
          <w:p w14:paraId="71C1731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11</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25685D3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33</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2FCC10F8"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3</w:t>
            </w:r>
          </w:p>
        </w:tc>
        <w:tc>
          <w:tcPr>
            <w:tcW w:w="386" w:type="pct"/>
            <w:tcBorders>
              <w:top w:val="nil"/>
              <w:left w:val="nil"/>
              <w:bottom w:val="single" w:sz="4" w:space="0" w:color="auto"/>
              <w:right w:val="single" w:sz="4" w:space="0" w:color="auto"/>
            </w:tcBorders>
            <w:shd w:val="clear" w:color="auto" w:fill="DBE5F1" w:themeFill="accent1" w:themeFillTint="33"/>
            <w:vAlign w:val="bottom"/>
            <w:hideMark/>
          </w:tcPr>
          <w:p w14:paraId="42B3D0B6"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20</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075AAF10"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35</w:t>
            </w:r>
          </w:p>
        </w:tc>
      </w:tr>
      <w:tr w:rsidR="00AD2D8C" w:rsidRPr="00AD2D8C" w14:paraId="3B9D50F4" w14:textId="77777777" w:rsidTr="00AD2D8C">
        <w:trPr>
          <w:trHeight w:val="3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756E9E8C"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4</w:t>
            </w:r>
          </w:p>
        </w:tc>
        <w:tc>
          <w:tcPr>
            <w:tcW w:w="387" w:type="pct"/>
            <w:tcBorders>
              <w:top w:val="nil"/>
              <w:left w:val="nil"/>
              <w:bottom w:val="single" w:sz="4" w:space="0" w:color="auto"/>
              <w:right w:val="single" w:sz="4" w:space="0" w:color="auto"/>
            </w:tcBorders>
            <w:shd w:val="clear" w:color="auto" w:fill="DBE5F1" w:themeFill="accent1" w:themeFillTint="33"/>
            <w:vAlign w:val="bottom"/>
            <w:hideMark/>
          </w:tcPr>
          <w:p w14:paraId="2FC550F4"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10</w:t>
            </w:r>
          </w:p>
        </w:tc>
        <w:tc>
          <w:tcPr>
            <w:tcW w:w="601" w:type="pct"/>
            <w:tcBorders>
              <w:top w:val="nil"/>
              <w:left w:val="nil"/>
              <w:bottom w:val="single" w:sz="4" w:space="0" w:color="auto"/>
              <w:right w:val="single" w:sz="4" w:space="0" w:color="auto"/>
            </w:tcBorders>
            <w:shd w:val="clear" w:color="auto" w:fill="DBE5F1" w:themeFill="accent1" w:themeFillTint="33"/>
            <w:vAlign w:val="bottom"/>
            <w:hideMark/>
          </w:tcPr>
          <w:p w14:paraId="3FBF704A"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46</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2E43A3F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4</w:t>
            </w:r>
          </w:p>
        </w:tc>
        <w:tc>
          <w:tcPr>
            <w:tcW w:w="663" w:type="pct"/>
            <w:tcBorders>
              <w:top w:val="nil"/>
              <w:left w:val="nil"/>
              <w:bottom w:val="single" w:sz="4" w:space="0" w:color="auto"/>
              <w:right w:val="single" w:sz="4" w:space="0" w:color="auto"/>
            </w:tcBorders>
            <w:shd w:val="clear" w:color="auto" w:fill="DBE5F1" w:themeFill="accent1" w:themeFillTint="33"/>
            <w:vAlign w:val="bottom"/>
            <w:hideMark/>
          </w:tcPr>
          <w:p w14:paraId="73F54551"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11</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23711C6E"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44</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455C5FEF"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4</w:t>
            </w:r>
          </w:p>
        </w:tc>
        <w:tc>
          <w:tcPr>
            <w:tcW w:w="386" w:type="pct"/>
            <w:tcBorders>
              <w:top w:val="nil"/>
              <w:left w:val="nil"/>
              <w:bottom w:val="single" w:sz="4" w:space="0" w:color="auto"/>
              <w:right w:val="single" w:sz="4" w:space="0" w:color="auto"/>
            </w:tcBorders>
            <w:shd w:val="clear" w:color="auto" w:fill="DBE5F1" w:themeFill="accent1" w:themeFillTint="33"/>
            <w:vAlign w:val="bottom"/>
            <w:hideMark/>
          </w:tcPr>
          <w:p w14:paraId="03D9219B"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25</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3BEAD940"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60</w:t>
            </w:r>
          </w:p>
        </w:tc>
      </w:tr>
      <w:tr w:rsidR="00AD2D8C" w:rsidRPr="00AD2D8C" w14:paraId="577F0950" w14:textId="77777777" w:rsidTr="00AD2D8C">
        <w:trPr>
          <w:trHeight w:val="3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1D377F47"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w:t>
            </w:r>
          </w:p>
        </w:tc>
        <w:tc>
          <w:tcPr>
            <w:tcW w:w="387" w:type="pct"/>
            <w:tcBorders>
              <w:top w:val="nil"/>
              <w:left w:val="nil"/>
              <w:bottom w:val="single" w:sz="4" w:space="0" w:color="auto"/>
              <w:right w:val="single" w:sz="4" w:space="0" w:color="auto"/>
            </w:tcBorders>
            <w:shd w:val="clear" w:color="auto" w:fill="DBE5F1" w:themeFill="accent1" w:themeFillTint="33"/>
            <w:vAlign w:val="bottom"/>
            <w:hideMark/>
          </w:tcPr>
          <w:p w14:paraId="751A8A13"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8</w:t>
            </w:r>
          </w:p>
        </w:tc>
        <w:tc>
          <w:tcPr>
            <w:tcW w:w="601" w:type="pct"/>
            <w:tcBorders>
              <w:top w:val="nil"/>
              <w:left w:val="nil"/>
              <w:bottom w:val="single" w:sz="4" w:space="0" w:color="auto"/>
              <w:right w:val="single" w:sz="4" w:space="0" w:color="auto"/>
            </w:tcBorders>
            <w:shd w:val="clear" w:color="auto" w:fill="DBE5F1" w:themeFill="accent1" w:themeFillTint="33"/>
            <w:vAlign w:val="bottom"/>
            <w:hideMark/>
          </w:tcPr>
          <w:p w14:paraId="162FFF74"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54</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4A67C50E"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w:t>
            </w:r>
          </w:p>
        </w:tc>
        <w:tc>
          <w:tcPr>
            <w:tcW w:w="663" w:type="pct"/>
            <w:tcBorders>
              <w:top w:val="nil"/>
              <w:left w:val="nil"/>
              <w:bottom w:val="single" w:sz="4" w:space="0" w:color="auto"/>
              <w:right w:val="single" w:sz="4" w:space="0" w:color="auto"/>
            </w:tcBorders>
            <w:shd w:val="clear" w:color="auto" w:fill="DBE5F1" w:themeFill="accent1" w:themeFillTint="33"/>
            <w:vAlign w:val="bottom"/>
            <w:hideMark/>
          </w:tcPr>
          <w:p w14:paraId="09FF819B"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11</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2A1BD0C8"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55</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08254859"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w:t>
            </w:r>
          </w:p>
        </w:tc>
        <w:tc>
          <w:tcPr>
            <w:tcW w:w="386" w:type="pct"/>
            <w:tcBorders>
              <w:top w:val="nil"/>
              <w:left w:val="nil"/>
              <w:bottom w:val="single" w:sz="4" w:space="0" w:color="auto"/>
              <w:right w:val="single" w:sz="4" w:space="0" w:color="auto"/>
            </w:tcBorders>
            <w:shd w:val="clear" w:color="auto" w:fill="DBE5F1" w:themeFill="accent1" w:themeFillTint="33"/>
            <w:vAlign w:val="bottom"/>
            <w:hideMark/>
          </w:tcPr>
          <w:p w14:paraId="195540F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76A949BF"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65</w:t>
            </w:r>
          </w:p>
        </w:tc>
      </w:tr>
      <w:tr w:rsidR="00AD2D8C" w:rsidRPr="00AD2D8C" w14:paraId="0105E004" w14:textId="77777777" w:rsidTr="00AD2D8C">
        <w:trPr>
          <w:trHeight w:val="3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3F9535AD"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387" w:type="pct"/>
            <w:tcBorders>
              <w:top w:val="nil"/>
              <w:left w:val="nil"/>
              <w:bottom w:val="single" w:sz="4" w:space="0" w:color="auto"/>
              <w:right w:val="single" w:sz="4" w:space="0" w:color="auto"/>
            </w:tcBorders>
            <w:shd w:val="clear" w:color="auto" w:fill="DBE5F1" w:themeFill="accent1" w:themeFillTint="33"/>
            <w:noWrap/>
            <w:vAlign w:val="bottom"/>
            <w:hideMark/>
          </w:tcPr>
          <w:p w14:paraId="5A39121A"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5A784AA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53D404DD"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663" w:type="pct"/>
            <w:tcBorders>
              <w:top w:val="nil"/>
              <w:left w:val="nil"/>
              <w:bottom w:val="single" w:sz="4" w:space="0" w:color="auto"/>
              <w:right w:val="single" w:sz="4" w:space="0" w:color="auto"/>
            </w:tcBorders>
            <w:shd w:val="clear" w:color="auto" w:fill="DBE5F1" w:themeFill="accent1" w:themeFillTint="33"/>
            <w:noWrap/>
            <w:vAlign w:val="bottom"/>
            <w:hideMark/>
          </w:tcPr>
          <w:p w14:paraId="07CB6E3A"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225055AE"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7EF3A6EF"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386" w:type="pct"/>
            <w:tcBorders>
              <w:top w:val="nil"/>
              <w:left w:val="nil"/>
              <w:bottom w:val="single" w:sz="4" w:space="0" w:color="auto"/>
              <w:right w:val="single" w:sz="4" w:space="0" w:color="auto"/>
            </w:tcBorders>
            <w:shd w:val="clear" w:color="auto" w:fill="DBE5F1" w:themeFill="accent1" w:themeFillTint="33"/>
            <w:noWrap/>
            <w:vAlign w:val="bottom"/>
            <w:hideMark/>
          </w:tcPr>
          <w:p w14:paraId="64581DE7"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23800328"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r>
      <w:tr w:rsidR="00AD2D8C" w:rsidRPr="00AD2D8C" w14:paraId="6F3E08FA" w14:textId="77777777" w:rsidTr="00AD2D8C">
        <w:trPr>
          <w:trHeight w:val="6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596F9BB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xml:space="preserve">Initial investment </w:t>
            </w:r>
          </w:p>
        </w:tc>
        <w:tc>
          <w:tcPr>
            <w:tcW w:w="387" w:type="pct"/>
            <w:tcBorders>
              <w:top w:val="nil"/>
              <w:left w:val="nil"/>
              <w:bottom w:val="single" w:sz="4" w:space="0" w:color="auto"/>
              <w:right w:val="single" w:sz="4" w:space="0" w:color="auto"/>
            </w:tcBorders>
            <w:shd w:val="clear" w:color="auto" w:fill="DBE5F1" w:themeFill="accent1" w:themeFillTint="33"/>
            <w:vAlign w:val="bottom"/>
            <w:hideMark/>
          </w:tcPr>
          <w:p w14:paraId="29B4D5E1"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50</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197DF25B"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0FC749D4"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xml:space="preserve">Initial investment </w:t>
            </w:r>
          </w:p>
        </w:tc>
        <w:tc>
          <w:tcPr>
            <w:tcW w:w="663" w:type="pct"/>
            <w:tcBorders>
              <w:top w:val="nil"/>
              <w:left w:val="nil"/>
              <w:bottom w:val="single" w:sz="4" w:space="0" w:color="auto"/>
              <w:right w:val="single" w:sz="4" w:space="0" w:color="auto"/>
            </w:tcBorders>
            <w:shd w:val="clear" w:color="auto" w:fill="DBE5F1" w:themeFill="accent1" w:themeFillTint="33"/>
            <w:vAlign w:val="bottom"/>
            <w:hideMark/>
          </w:tcPr>
          <w:p w14:paraId="6B680967"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50</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113DA7E3"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055E5F7F"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xml:space="preserve">Initial investment </w:t>
            </w:r>
          </w:p>
        </w:tc>
        <w:tc>
          <w:tcPr>
            <w:tcW w:w="386" w:type="pct"/>
            <w:tcBorders>
              <w:top w:val="nil"/>
              <w:left w:val="nil"/>
              <w:bottom w:val="single" w:sz="4" w:space="0" w:color="auto"/>
              <w:right w:val="single" w:sz="4" w:space="0" w:color="auto"/>
            </w:tcBorders>
            <w:shd w:val="clear" w:color="auto" w:fill="DBE5F1" w:themeFill="accent1" w:themeFillTint="33"/>
            <w:vAlign w:val="bottom"/>
            <w:hideMark/>
          </w:tcPr>
          <w:p w14:paraId="10824F2D"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50</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72242220"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r>
      <w:tr w:rsidR="00AD2D8C" w:rsidRPr="00AD2D8C" w14:paraId="210FF52C" w14:textId="77777777" w:rsidTr="00AD2D8C">
        <w:trPr>
          <w:trHeight w:val="9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39EB597B"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Amount recovered in year 4</w:t>
            </w:r>
          </w:p>
        </w:tc>
        <w:tc>
          <w:tcPr>
            <w:tcW w:w="387" w:type="pct"/>
            <w:tcBorders>
              <w:top w:val="nil"/>
              <w:left w:val="nil"/>
              <w:bottom w:val="single" w:sz="4" w:space="0" w:color="auto"/>
              <w:right w:val="single" w:sz="4" w:space="0" w:color="auto"/>
            </w:tcBorders>
            <w:shd w:val="clear" w:color="auto" w:fill="DBE5F1" w:themeFill="accent1" w:themeFillTint="33"/>
            <w:vAlign w:val="bottom"/>
            <w:hideMark/>
          </w:tcPr>
          <w:p w14:paraId="14D48480"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46</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37EBDA8C"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6E2C019A"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Amount recovered in year 4</w:t>
            </w:r>
          </w:p>
        </w:tc>
        <w:tc>
          <w:tcPr>
            <w:tcW w:w="663" w:type="pct"/>
            <w:tcBorders>
              <w:top w:val="nil"/>
              <w:left w:val="nil"/>
              <w:bottom w:val="single" w:sz="4" w:space="0" w:color="auto"/>
              <w:right w:val="single" w:sz="4" w:space="0" w:color="auto"/>
            </w:tcBorders>
            <w:shd w:val="clear" w:color="auto" w:fill="DBE5F1" w:themeFill="accent1" w:themeFillTint="33"/>
            <w:vAlign w:val="bottom"/>
            <w:hideMark/>
          </w:tcPr>
          <w:p w14:paraId="29465B7F"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44</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0B30D5DB"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6B88E74E"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Amount recovered in year 3</w:t>
            </w:r>
          </w:p>
        </w:tc>
        <w:tc>
          <w:tcPr>
            <w:tcW w:w="386" w:type="pct"/>
            <w:tcBorders>
              <w:top w:val="nil"/>
              <w:left w:val="nil"/>
              <w:bottom w:val="single" w:sz="4" w:space="0" w:color="auto"/>
              <w:right w:val="single" w:sz="4" w:space="0" w:color="auto"/>
            </w:tcBorders>
            <w:shd w:val="clear" w:color="auto" w:fill="DBE5F1" w:themeFill="accent1" w:themeFillTint="33"/>
            <w:vAlign w:val="bottom"/>
            <w:hideMark/>
          </w:tcPr>
          <w:p w14:paraId="7E1E96BD"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35</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7689D727"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r>
      <w:tr w:rsidR="00AD2D8C" w:rsidRPr="00AD2D8C" w14:paraId="4A456E6D" w14:textId="77777777" w:rsidTr="00AD2D8C">
        <w:trPr>
          <w:trHeight w:val="6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7C3D5227"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xml:space="preserve">Amount to be recovered </w:t>
            </w:r>
          </w:p>
        </w:tc>
        <w:tc>
          <w:tcPr>
            <w:tcW w:w="387" w:type="pct"/>
            <w:tcBorders>
              <w:top w:val="nil"/>
              <w:left w:val="nil"/>
              <w:bottom w:val="single" w:sz="4" w:space="0" w:color="auto"/>
              <w:right w:val="single" w:sz="4" w:space="0" w:color="auto"/>
            </w:tcBorders>
            <w:shd w:val="clear" w:color="auto" w:fill="DBE5F1" w:themeFill="accent1" w:themeFillTint="33"/>
            <w:vAlign w:val="bottom"/>
            <w:hideMark/>
          </w:tcPr>
          <w:p w14:paraId="578592B6"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4</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3A5A2337"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2F05B951"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xml:space="preserve">Amount to be recovered </w:t>
            </w:r>
          </w:p>
        </w:tc>
        <w:tc>
          <w:tcPr>
            <w:tcW w:w="663" w:type="pct"/>
            <w:tcBorders>
              <w:top w:val="nil"/>
              <w:left w:val="nil"/>
              <w:bottom w:val="single" w:sz="4" w:space="0" w:color="auto"/>
              <w:right w:val="single" w:sz="4" w:space="0" w:color="auto"/>
            </w:tcBorders>
            <w:shd w:val="clear" w:color="auto" w:fill="DBE5F1" w:themeFill="accent1" w:themeFillTint="33"/>
            <w:noWrap/>
            <w:vAlign w:val="bottom"/>
            <w:hideMark/>
          </w:tcPr>
          <w:p w14:paraId="09A32515"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6</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52D24323"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67666B81"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xml:space="preserve">Amount to be recovered </w:t>
            </w:r>
          </w:p>
        </w:tc>
        <w:tc>
          <w:tcPr>
            <w:tcW w:w="386" w:type="pct"/>
            <w:tcBorders>
              <w:top w:val="nil"/>
              <w:left w:val="nil"/>
              <w:bottom w:val="single" w:sz="4" w:space="0" w:color="auto"/>
              <w:right w:val="single" w:sz="4" w:space="0" w:color="auto"/>
            </w:tcBorders>
            <w:shd w:val="clear" w:color="auto" w:fill="DBE5F1" w:themeFill="accent1" w:themeFillTint="33"/>
            <w:noWrap/>
            <w:vAlign w:val="bottom"/>
            <w:hideMark/>
          </w:tcPr>
          <w:p w14:paraId="5F37333D"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15</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63B5A345"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r>
      <w:tr w:rsidR="00AD2D8C" w:rsidRPr="00AD2D8C" w14:paraId="0C07008E" w14:textId="77777777" w:rsidTr="00AD2D8C">
        <w:trPr>
          <w:trHeight w:val="6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64AA15B3"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Cash flow in 5th year</w:t>
            </w:r>
          </w:p>
        </w:tc>
        <w:tc>
          <w:tcPr>
            <w:tcW w:w="387" w:type="pct"/>
            <w:tcBorders>
              <w:top w:val="nil"/>
              <w:left w:val="nil"/>
              <w:bottom w:val="single" w:sz="4" w:space="0" w:color="auto"/>
              <w:right w:val="single" w:sz="4" w:space="0" w:color="auto"/>
            </w:tcBorders>
            <w:shd w:val="clear" w:color="auto" w:fill="DBE5F1" w:themeFill="accent1" w:themeFillTint="33"/>
            <w:vAlign w:val="bottom"/>
            <w:hideMark/>
          </w:tcPr>
          <w:p w14:paraId="6C0F6684"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8</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25DCC4C6"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2175AC49"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xml:space="preserve">Cash flow in 5th Year </w:t>
            </w:r>
          </w:p>
        </w:tc>
        <w:tc>
          <w:tcPr>
            <w:tcW w:w="663" w:type="pct"/>
            <w:tcBorders>
              <w:top w:val="nil"/>
              <w:left w:val="nil"/>
              <w:bottom w:val="single" w:sz="4" w:space="0" w:color="auto"/>
              <w:right w:val="single" w:sz="4" w:space="0" w:color="auto"/>
            </w:tcBorders>
            <w:shd w:val="clear" w:color="auto" w:fill="DBE5F1" w:themeFill="accent1" w:themeFillTint="33"/>
            <w:vAlign w:val="bottom"/>
            <w:hideMark/>
          </w:tcPr>
          <w:p w14:paraId="3A5F2384"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11</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6EE2653A"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7E525FF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xml:space="preserve">Cash flow in 4th Year </w:t>
            </w:r>
          </w:p>
        </w:tc>
        <w:tc>
          <w:tcPr>
            <w:tcW w:w="386" w:type="pct"/>
            <w:tcBorders>
              <w:top w:val="nil"/>
              <w:left w:val="nil"/>
              <w:bottom w:val="single" w:sz="4" w:space="0" w:color="auto"/>
              <w:right w:val="single" w:sz="4" w:space="0" w:color="auto"/>
            </w:tcBorders>
            <w:shd w:val="clear" w:color="auto" w:fill="DBE5F1" w:themeFill="accent1" w:themeFillTint="33"/>
            <w:vAlign w:val="bottom"/>
            <w:hideMark/>
          </w:tcPr>
          <w:p w14:paraId="3937CD1D"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25</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2CC4914D"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r>
      <w:tr w:rsidR="00AD2D8C" w:rsidRPr="00AD2D8C" w14:paraId="71782DD0" w14:textId="77777777" w:rsidTr="00AD2D8C">
        <w:trPr>
          <w:trHeight w:val="3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03AD094D"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387" w:type="pct"/>
            <w:tcBorders>
              <w:top w:val="nil"/>
              <w:left w:val="nil"/>
              <w:bottom w:val="single" w:sz="4" w:space="0" w:color="auto"/>
              <w:right w:val="single" w:sz="4" w:space="0" w:color="auto"/>
            </w:tcBorders>
            <w:shd w:val="clear" w:color="auto" w:fill="DBE5F1" w:themeFill="accent1" w:themeFillTint="33"/>
            <w:noWrap/>
            <w:vAlign w:val="bottom"/>
            <w:hideMark/>
          </w:tcPr>
          <w:p w14:paraId="204A8DEA"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673313A9"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2D862971"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663" w:type="pct"/>
            <w:tcBorders>
              <w:top w:val="nil"/>
              <w:left w:val="nil"/>
              <w:bottom w:val="single" w:sz="4" w:space="0" w:color="auto"/>
              <w:right w:val="single" w:sz="4" w:space="0" w:color="auto"/>
            </w:tcBorders>
            <w:shd w:val="clear" w:color="auto" w:fill="DBE5F1" w:themeFill="accent1" w:themeFillTint="33"/>
            <w:noWrap/>
            <w:vAlign w:val="bottom"/>
            <w:hideMark/>
          </w:tcPr>
          <w:p w14:paraId="0EF08EDF"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3DA5CB0B"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1C6B2A28"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386" w:type="pct"/>
            <w:tcBorders>
              <w:top w:val="nil"/>
              <w:left w:val="nil"/>
              <w:bottom w:val="single" w:sz="4" w:space="0" w:color="auto"/>
              <w:right w:val="single" w:sz="4" w:space="0" w:color="auto"/>
            </w:tcBorders>
            <w:shd w:val="clear" w:color="auto" w:fill="DBE5F1" w:themeFill="accent1" w:themeFillTint="33"/>
            <w:noWrap/>
            <w:vAlign w:val="bottom"/>
            <w:hideMark/>
          </w:tcPr>
          <w:p w14:paraId="563D0D1B"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7F2CB71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r>
      <w:tr w:rsidR="00AD2D8C" w:rsidRPr="00AD2D8C" w14:paraId="34B9A692" w14:textId="77777777" w:rsidTr="00AD2D8C">
        <w:trPr>
          <w:trHeight w:val="3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2A828391"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Fraction</w:t>
            </w:r>
          </w:p>
        </w:tc>
        <w:tc>
          <w:tcPr>
            <w:tcW w:w="387" w:type="pct"/>
            <w:tcBorders>
              <w:top w:val="nil"/>
              <w:left w:val="nil"/>
              <w:bottom w:val="single" w:sz="4" w:space="0" w:color="auto"/>
              <w:right w:val="single" w:sz="4" w:space="0" w:color="auto"/>
            </w:tcBorders>
            <w:shd w:val="clear" w:color="auto" w:fill="DBE5F1" w:themeFill="accent1" w:themeFillTint="33"/>
            <w:noWrap/>
            <w:vAlign w:val="bottom"/>
            <w:hideMark/>
          </w:tcPr>
          <w:p w14:paraId="6BFE2704"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0.5</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102BC063"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79805A12"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xml:space="preserve">Fraction </w:t>
            </w:r>
          </w:p>
        </w:tc>
        <w:tc>
          <w:tcPr>
            <w:tcW w:w="663" w:type="pct"/>
            <w:tcBorders>
              <w:top w:val="nil"/>
              <w:left w:val="nil"/>
              <w:bottom w:val="single" w:sz="4" w:space="0" w:color="auto"/>
              <w:right w:val="single" w:sz="4" w:space="0" w:color="auto"/>
            </w:tcBorders>
            <w:shd w:val="clear" w:color="auto" w:fill="DBE5F1" w:themeFill="accent1" w:themeFillTint="33"/>
            <w:noWrap/>
            <w:vAlign w:val="bottom"/>
            <w:hideMark/>
          </w:tcPr>
          <w:p w14:paraId="4C0C6903"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0.545454545</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13257754"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1F5F7FD3"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xml:space="preserve">Fraction </w:t>
            </w:r>
          </w:p>
        </w:tc>
        <w:tc>
          <w:tcPr>
            <w:tcW w:w="386" w:type="pct"/>
            <w:tcBorders>
              <w:top w:val="nil"/>
              <w:left w:val="nil"/>
              <w:bottom w:val="single" w:sz="4" w:space="0" w:color="auto"/>
              <w:right w:val="single" w:sz="4" w:space="0" w:color="auto"/>
            </w:tcBorders>
            <w:shd w:val="clear" w:color="auto" w:fill="DBE5F1" w:themeFill="accent1" w:themeFillTint="33"/>
            <w:noWrap/>
            <w:vAlign w:val="bottom"/>
            <w:hideMark/>
          </w:tcPr>
          <w:p w14:paraId="2DB77EDF"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0.6</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738AF3D8"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r>
      <w:tr w:rsidR="00AD2D8C" w:rsidRPr="00AD2D8C" w14:paraId="7C833B15" w14:textId="77777777" w:rsidTr="00AD2D8C">
        <w:trPr>
          <w:trHeight w:val="600"/>
        </w:trPr>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513807AE"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 xml:space="preserve">Payback period </w:t>
            </w:r>
          </w:p>
        </w:tc>
        <w:tc>
          <w:tcPr>
            <w:tcW w:w="387" w:type="pct"/>
            <w:tcBorders>
              <w:top w:val="nil"/>
              <w:left w:val="nil"/>
              <w:bottom w:val="single" w:sz="4" w:space="0" w:color="auto"/>
              <w:right w:val="single" w:sz="4" w:space="0" w:color="auto"/>
            </w:tcBorders>
            <w:shd w:val="clear" w:color="auto" w:fill="DBE5F1" w:themeFill="accent1" w:themeFillTint="33"/>
            <w:noWrap/>
            <w:vAlign w:val="bottom"/>
            <w:hideMark/>
          </w:tcPr>
          <w:p w14:paraId="6D8B737A"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4.5</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19DA0449"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5BE32CD3"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 xml:space="preserve">Payback period </w:t>
            </w:r>
          </w:p>
        </w:tc>
        <w:tc>
          <w:tcPr>
            <w:tcW w:w="663" w:type="pct"/>
            <w:tcBorders>
              <w:top w:val="nil"/>
              <w:left w:val="nil"/>
              <w:bottom w:val="single" w:sz="4" w:space="0" w:color="auto"/>
              <w:right w:val="single" w:sz="4" w:space="0" w:color="auto"/>
            </w:tcBorders>
            <w:shd w:val="clear" w:color="auto" w:fill="DBE5F1" w:themeFill="accent1" w:themeFillTint="33"/>
            <w:noWrap/>
            <w:vAlign w:val="bottom"/>
            <w:hideMark/>
          </w:tcPr>
          <w:p w14:paraId="353B7F5B"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4.55</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4691A4B1"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c>
          <w:tcPr>
            <w:tcW w:w="587" w:type="pct"/>
            <w:tcBorders>
              <w:top w:val="nil"/>
              <w:left w:val="single" w:sz="4" w:space="0" w:color="auto"/>
              <w:bottom w:val="single" w:sz="4" w:space="0" w:color="auto"/>
              <w:right w:val="single" w:sz="4" w:space="0" w:color="auto"/>
            </w:tcBorders>
            <w:shd w:val="clear" w:color="auto" w:fill="DBE5F1" w:themeFill="accent1" w:themeFillTint="33"/>
            <w:vAlign w:val="bottom"/>
            <w:hideMark/>
          </w:tcPr>
          <w:p w14:paraId="5C6803F3"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 xml:space="preserve">Payback period </w:t>
            </w:r>
          </w:p>
        </w:tc>
        <w:tc>
          <w:tcPr>
            <w:tcW w:w="386" w:type="pct"/>
            <w:tcBorders>
              <w:top w:val="nil"/>
              <w:left w:val="nil"/>
              <w:bottom w:val="single" w:sz="4" w:space="0" w:color="auto"/>
              <w:right w:val="single" w:sz="4" w:space="0" w:color="auto"/>
            </w:tcBorders>
            <w:shd w:val="clear" w:color="auto" w:fill="DBE5F1" w:themeFill="accent1" w:themeFillTint="33"/>
            <w:noWrap/>
            <w:vAlign w:val="bottom"/>
            <w:hideMark/>
          </w:tcPr>
          <w:p w14:paraId="1D6C5F77" w14:textId="77777777" w:rsidR="00AD2D8C" w:rsidRPr="00AD2D8C" w:rsidRDefault="00AD2D8C" w:rsidP="00AD2D8C">
            <w:pPr>
              <w:spacing w:line="240" w:lineRule="auto"/>
              <w:jc w:val="center"/>
              <w:rPr>
                <w:rFonts w:ascii="Arial" w:eastAsia="Times New Roman" w:hAnsi="Arial" w:cs="Arial"/>
                <w:b/>
                <w:bCs/>
                <w:color w:val="000000"/>
                <w:sz w:val="22"/>
                <w:shd w:val="clear" w:color="auto" w:fill="auto"/>
                <w:lang w:val="en-US"/>
              </w:rPr>
            </w:pPr>
            <w:r w:rsidRPr="00AD2D8C">
              <w:rPr>
                <w:rFonts w:ascii="Arial" w:eastAsia="Times New Roman" w:hAnsi="Arial" w:cs="Arial"/>
                <w:b/>
                <w:bCs/>
                <w:color w:val="000000"/>
                <w:sz w:val="22"/>
                <w:shd w:val="clear" w:color="auto" w:fill="auto"/>
                <w:lang w:val="en-US"/>
              </w:rPr>
              <w:t>3.6</w:t>
            </w:r>
          </w:p>
        </w:tc>
        <w:tc>
          <w:tcPr>
            <w:tcW w:w="601" w:type="pct"/>
            <w:tcBorders>
              <w:top w:val="nil"/>
              <w:left w:val="nil"/>
              <w:bottom w:val="single" w:sz="4" w:space="0" w:color="auto"/>
              <w:right w:val="single" w:sz="4" w:space="0" w:color="auto"/>
            </w:tcBorders>
            <w:shd w:val="clear" w:color="auto" w:fill="DBE5F1" w:themeFill="accent1" w:themeFillTint="33"/>
            <w:noWrap/>
            <w:vAlign w:val="bottom"/>
            <w:hideMark/>
          </w:tcPr>
          <w:p w14:paraId="61971811" w14:textId="77777777" w:rsidR="00AD2D8C" w:rsidRPr="00AD2D8C" w:rsidRDefault="00AD2D8C" w:rsidP="00AD2D8C">
            <w:pPr>
              <w:spacing w:line="240" w:lineRule="auto"/>
              <w:jc w:val="center"/>
              <w:rPr>
                <w:rFonts w:ascii="Arial" w:eastAsia="Times New Roman" w:hAnsi="Arial" w:cs="Arial"/>
                <w:color w:val="000000"/>
                <w:sz w:val="22"/>
                <w:shd w:val="clear" w:color="auto" w:fill="auto"/>
                <w:lang w:val="en-US"/>
              </w:rPr>
            </w:pPr>
            <w:r w:rsidRPr="00AD2D8C">
              <w:rPr>
                <w:rFonts w:ascii="Arial" w:eastAsia="Times New Roman" w:hAnsi="Arial" w:cs="Arial"/>
                <w:color w:val="000000"/>
                <w:sz w:val="22"/>
                <w:shd w:val="clear" w:color="auto" w:fill="auto"/>
                <w:lang w:val="en-US"/>
              </w:rPr>
              <w:t> </w:t>
            </w:r>
          </w:p>
        </w:tc>
      </w:tr>
    </w:tbl>
    <w:p w14:paraId="517E9EF2" w14:textId="77777777" w:rsidR="00E25251" w:rsidRPr="00AD2D8C" w:rsidRDefault="00E25251" w:rsidP="00E25251">
      <w:pPr>
        <w:rPr>
          <w:rFonts w:ascii="Arial" w:hAnsi="Arial" w:cs="Arial"/>
        </w:rPr>
      </w:pPr>
    </w:p>
    <w:p w14:paraId="01A48F99" w14:textId="77777777" w:rsidR="00E570DE" w:rsidRPr="00AD2D8C" w:rsidRDefault="00E570DE" w:rsidP="00E25251">
      <w:pPr>
        <w:rPr>
          <w:rFonts w:ascii="Arial" w:hAnsi="Arial" w:cs="Arial"/>
        </w:rPr>
      </w:pPr>
    </w:p>
    <w:tbl>
      <w:tblPr>
        <w:tblW w:w="5000" w:type="pct"/>
        <w:shd w:val="clear" w:color="auto" w:fill="F2DBDB" w:themeFill="accent2" w:themeFillTint="33"/>
        <w:tblLook w:val="04A0" w:firstRow="1" w:lastRow="0" w:firstColumn="1" w:lastColumn="0" w:noHBand="0" w:noVBand="1"/>
      </w:tblPr>
      <w:tblGrid>
        <w:gridCol w:w="2556"/>
        <w:gridCol w:w="1932"/>
        <w:gridCol w:w="2930"/>
        <w:gridCol w:w="1932"/>
      </w:tblGrid>
      <w:tr w:rsidR="007C47C5" w:rsidRPr="00AD2D8C" w14:paraId="0FF0E40E" w14:textId="77777777" w:rsidTr="007C47C5">
        <w:trPr>
          <w:trHeight w:val="900"/>
        </w:trPr>
        <w:tc>
          <w:tcPr>
            <w:tcW w:w="1367" w:type="pct"/>
            <w:tcBorders>
              <w:top w:val="single" w:sz="4" w:space="0" w:color="auto"/>
              <w:left w:val="single" w:sz="4" w:space="0" w:color="auto"/>
              <w:bottom w:val="single" w:sz="4" w:space="0" w:color="auto"/>
              <w:right w:val="single" w:sz="4" w:space="0" w:color="auto"/>
            </w:tcBorders>
            <w:shd w:val="clear" w:color="auto" w:fill="F2DBDB" w:themeFill="accent2" w:themeFillTint="33"/>
            <w:vAlign w:val="center"/>
            <w:hideMark/>
          </w:tcPr>
          <w:p w14:paraId="2125805B"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lastRenderedPageBreak/>
              <w:t>Year</w:t>
            </w:r>
          </w:p>
        </w:tc>
        <w:tc>
          <w:tcPr>
            <w:tcW w:w="1033" w:type="pct"/>
            <w:tcBorders>
              <w:top w:val="single" w:sz="4" w:space="0" w:color="auto"/>
              <w:left w:val="nil"/>
              <w:bottom w:val="single" w:sz="4" w:space="0" w:color="auto"/>
              <w:right w:val="single" w:sz="4" w:space="0" w:color="auto"/>
            </w:tcBorders>
            <w:shd w:val="clear" w:color="auto" w:fill="F2DBDB" w:themeFill="accent2" w:themeFillTint="33"/>
            <w:vAlign w:val="center"/>
            <w:hideMark/>
          </w:tcPr>
          <w:p w14:paraId="36B9D723"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Cash Inflow (£m)</w:t>
            </w:r>
          </w:p>
        </w:tc>
        <w:tc>
          <w:tcPr>
            <w:tcW w:w="1567" w:type="pct"/>
            <w:tcBorders>
              <w:top w:val="single" w:sz="4" w:space="0" w:color="auto"/>
              <w:left w:val="nil"/>
              <w:bottom w:val="single" w:sz="4" w:space="0" w:color="auto"/>
              <w:right w:val="single" w:sz="4" w:space="0" w:color="auto"/>
            </w:tcBorders>
            <w:shd w:val="clear" w:color="auto" w:fill="F2DBDB" w:themeFill="accent2" w:themeFillTint="33"/>
            <w:vAlign w:val="center"/>
            <w:hideMark/>
          </w:tcPr>
          <w:p w14:paraId="127F21E9"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Depreciation (£m)</w:t>
            </w:r>
          </w:p>
        </w:tc>
        <w:tc>
          <w:tcPr>
            <w:tcW w:w="1033" w:type="pct"/>
            <w:tcBorders>
              <w:top w:val="single" w:sz="4" w:space="0" w:color="auto"/>
              <w:left w:val="nil"/>
              <w:bottom w:val="single" w:sz="4" w:space="0" w:color="auto"/>
              <w:right w:val="single" w:sz="4" w:space="0" w:color="auto"/>
            </w:tcBorders>
            <w:shd w:val="clear" w:color="auto" w:fill="F2DBDB" w:themeFill="accent2" w:themeFillTint="33"/>
            <w:vAlign w:val="center"/>
            <w:hideMark/>
          </w:tcPr>
          <w:p w14:paraId="3244AEC1"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Profit (£m)</w:t>
            </w:r>
          </w:p>
        </w:tc>
      </w:tr>
      <w:tr w:rsidR="007C47C5" w:rsidRPr="00AD2D8C" w14:paraId="14E706BE" w14:textId="77777777" w:rsidTr="007C47C5">
        <w:trPr>
          <w:trHeight w:val="300"/>
        </w:trPr>
        <w:tc>
          <w:tcPr>
            <w:tcW w:w="136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27699A92"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195B9055"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10</w:t>
            </w:r>
          </w:p>
        </w:tc>
        <w:tc>
          <w:tcPr>
            <w:tcW w:w="1567" w:type="pct"/>
            <w:tcBorders>
              <w:top w:val="nil"/>
              <w:left w:val="nil"/>
              <w:bottom w:val="single" w:sz="4" w:space="0" w:color="auto"/>
              <w:right w:val="single" w:sz="4" w:space="0" w:color="auto"/>
            </w:tcBorders>
            <w:shd w:val="clear" w:color="auto" w:fill="F2DBDB" w:themeFill="accent2" w:themeFillTint="33"/>
            <w:vAlign w:val="bottom"/>
            <w:hideMark/>
          </w:tcPr>
          <w:p w14:paraId="68BCD6AE"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10</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2F84CE31"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0</w:t>
            </w:r>
          </w:p>
        </w:tc>
      </w:tr>
      <w:tr w:rsidR="007C47C5" w:rsidRPr="00AD2D8C" w14:paraId="3FCDBED9" w14:textId="77777777" w:rsidTr="007C47C5">
        <w:trPr>
          <w:trHeight w:val="300"/>
        </w:trPr>
        <w:tc>
          <w:tcPr>
            <w:tcW w:w="136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7DFA71CC"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2</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0BECA9F4"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12</w:t>
            </w:r>
          </w:p>
        </w:tc>
        <w:tc>
          <w:tcPr>
            <w:tcW w:w="1567" w:type="pct"/>
            <w:tcBorders>
              <w:top w:val="nil"/>
              <w:left w:val="nil"/>
              <w:bottom w:val="single" w:sz="4" w:space="0" w:color="auto"/>
              <w:right w:val="single" w:sz="4" w:space="0" w:color="auto"/>
            </w:tcBorders>
            <w:shd w:val="clear" w:color="auto" w:fill="F2DBDB" w:themeFill="accent2" w:themeFillTint="33"/>
            <w:vAlign w:val="bottom"/>
            <w:hideMark/>
          </w:tcPr>
          <w:p w14:paraId="1140BF73"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10</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7BFD4F07"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2</w:t>
            </w:r>
          </w:p>
        </w:tc>
      </w:tr>
      <w:tr w:rsidR="007C47C5" w:rsidRPr="00AD2D8C" w14:paraId="7C515130" w14:textId="77777777" w:rsidTr="007C47C5">
        <w:trPr>
          <w:trHeight w:val="300"/>
        </w:trPr>
        <w:tc>
          <w:tcPr>
            <w:tcW w:w="136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531F55AF"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3</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74270605"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14</w:t>
            </w:r>
          </w:p>
        </w:tc>
        <w:tc>
          <w:tcPr>
            <w:tcW w:w="1567" w:type="pct"/>
            <w:tcBorders>
              <w:top w:val="nil"/>
              <w:left w:val="nil"/>
              <w:bottom w:val="single" w:sz="4" w:space="0" w:color="auto"/>
              <w:right w:val="single" w:sz="4" w:space="0" w:color="auto"/>
            </w:tcBorders>
            <w:shd w:val="clear" w:color="auto" w:fill="F2DBDB" w:themeFill="accent2" w:themeFillTint="33"/>
            <w:vAlign w:val="bottom"/>
            <w:hideMark/>
          </w:tcPr>
          <w:p w14:paraId="181ED9CA"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10</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7295EA7A"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4</w:t>
            </w:r>
          </w:p>
        </w:tc>
      </w:tr>
      <w:tr w:rsidR="007C47C5" w:rsidRPr="00AD2D8C" w14:paraId="0345EDF0" w14:textId="77777777" w:rsidTr="007C47C5">
        <w:trPr>
          <w:trHeight w:val="300"/>
        </w:trPr>
        <w:tc>
          <w:tcPr>
            <w:tcW w:w="136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56A49CD7"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4</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0421CE6F"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10</w:t>
            </w:r>
          </w:p>
        </w:tc>
        <w:tc>
          <w:tcPr>
            <w:tcW w:w="1567" w:type="pct"/>
            <w:tcBorders>
              <w:top w:val="nil"/>
              <w:left w:val="nil"/>
              <w:bottom w:val="single" w:sz="4" w:space="0" w:color="auto"/>
              <w:right w:val="single" w:sz="4" w:space="0" w:color="auto"/>
            </w:tcBorders>
            <w:shd w:val="clear" w:color="auto" w:fill="F2DBDB" w:themeFill="accent2" w:themeFillTint="33"/>
            <w:vAlign w:val="bottom"/>
            <w:hideMark/>
          </w:tcPr>
          <w:p w14:paraId="1FF92223"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10</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339F59D4"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0</w:t>
            </w:r>
          </w:p>
        </w:tc>
      </w:tr>
      <w:tr w:rsidR="007C47C5" w:rsidRPr="00AD2D8C" w14:paraId="04EFE194" w14:textId="77777777" w:rsidTr="007C47C5">
        <w:trPr>
          <w:trHeight w:val="300"/>
        </w:trPr>
        <w:tc>
          <w:tcPr>
            <w:tcW w:w="136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2CC5D473"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5</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3C740577"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8</w:t>
            </w:r>
          </w:p>
        </w:tc>
        <w:tc>
          <w:tcPr>
            <w:tcW w:w="1567" w:type="pct"/>
            <w:tcBorders>
              <w:top w:val="nil"/>
              <w:left w:val="nil"/>
              <w:bottom w:val="single" w:sz="4" w:space="0" w:color="auto"/>
              <w:right w:val="single" w:sz="4" w:space="0" w:color="auto"/>
            </w:tcBorders>
            <w:shd w:val="clear" w:color="auto" w:fill="F2DBDB" w:themeFill="accent2" w:themeFillTint="33"/>
            <w:vAlign w:val="bottom"/>
            <w:hideMark/>
          </w:tcPr>
          <w:p w14:paraId="4A026DDD"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10</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5A3D83A3"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-2</w:t>
            </w:r>
          </w:p>
        </w:tc>
      </w:tr>
      <w:tr w:rsidR="007C47C5" w:rsidRPr="00AD2D8C" w14:paraId="603B90DD" w14:textId="77777777" w:rsidTr="00E25251">
        <w:trPr>
          <w:trHeight w:val="457"/>
        </w:trPr>
        <w:tc>
          <w:tcPr>
            <w:tcW w:w="136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01ADAAAF" w14:textId="77777777" w:rsidR="007C47C5" w:rsidRPr="00AD2D8C" w:rsidRDefault="007C47C5" w:rsidP="00E25251">
            <w:pPr>
              <w:jc w:val="center"/>
              <w:rPr>
                <w:rFonts w:ascii="Arial" w:hAnsi="Arial" w:cs="Arial"/>
                <w:shd w:val="clear" w:color="auto" w:fill="auto"/>
                <w:lang w:val="en-US"/>
              </w:rPr>
            </w:pPr>
          </w:p>
        </w:tc>
        <w:tc>
          <w:tcPr>
            <w:tcW w:w="1033" w:type="pct"/>
            <w:tcBorders>
              <w:top w:val="nil"/>
              <w:left w:val="nil"/>
              <w:bottom w:val="single" w:sz="4" w:space="0" w:color="auto"/>
              <w:right w:val="single" w:sz="4" w:space="0" w:color="auto"/>
            </w:tcBorders>
            <w:shd w:val="clear" w:color="auto" w:fill="F2DBDB" w:themeFill="accent2" w:themeFillTint="33"/>
            <w:noWrap/>
            <w:vAlign w:val="bottom"/>
            <w:hideMark/>
          </w:tcPr>
          <w:p w14:paraId="7E79ACB9" w14:textId="77777777" w:rsidR="007C47C5" w:rsidRPr="00AD2D8C" w:rsidRDefault="007C47C5" w:rsidP="00E25251">
            <w:pPr>
              <w:jc w:val="center"/>
              <w:rPr>
                <w:rFonts w:ascii="Arial" w:hAnsi="Arial" w:cs="Arial"/>
                <w:shd w:val="clear" w:color="auto" w:fill="auto"/>
                <w:lang w:val="en-US"/>
              </w:rPr>
            </w:pPr>
          </w:p>
        </w:tc>
        <w:tc>
          <w:tcPr>
            <w:tcW w:w="1567" w:type="pct"/>
            <w:tcBorders>
              <w:top w:val="nil"/>
              <w:left w:val="nil"/>
              <w:bottom w:val="single" w:sz="4" w:space="0" w:color="auto"/>
              <w:right w:val="single" w:sz="4" w:space="0" w:color="auto"/>
            </w:tcBorders>
            <w:shd w:val="clear" w:color="auto" w:fill="F2DBDB" w:themeFill="accent2" w:themeFillTint="33"/>
            <w:vAlign w:val="bottom"/>
            <w:hideMark/>
          </w:tcPr>
          <w:p w14:paraId="1CE43B69"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Total profit</w:t>
            </w:r>
          </w:p>
        </w:tc>
        <w:tc>
          <w:tcPr>
            <w:tcW w:w="1033" w:type="pct"/>
            <w:tcBorders>
              <w:top w:val="nil"/>
              <w:left w:val="nil"/>
              <w:bottom w:val="single" w:sz="4" w:space="0" w:color="auto"/>
              <w:right w:val="single" w:sz="4" w:space="0" w:color="auto"/>
            </w:tcBorders>
            <w:shd w:val="clear" w:color="auto" w:fill="F2DBDB" w:themeFill="accent2" w:themeFillTint="33"/>
            <w:vAlign w:val="bottom"/>
            <w:hideMark/>
          </w:tcPr>
          <w:p w14:paraId="7AC7DB78"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4</w:t>
            </w:r>
          </w:p>
        </w:tc>
      </w:tr>
      <w:tr w:rsidR="007C47C5" w:rsidRPr="00AD2D8C" w14:paraId="396C6F49" w14:textId="77777777" w:rsidTr="00E25251">
        <w:trPr>
          <w:trHeight w:val="279"/>
        </w:trPr>
        <w:tc>
          <w:tcPr>
            <w:tcW w:w="136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68315B4E"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Average profit</w:t>
            </w:r>
          </w:p>
        </w:tc>
        <w:tc>
          <w:tcPr>
            <w:tcW w:w="1033" w:type="pct"/>
            <w:tcBorders>
              <w:top w:val="nil"/>
              <w:left w:val="nil"/>
              <w:bottom w:val="single" w:sz="4" w:space="0" w:color="auto"/>
              <w:right w:val="single" w:sz="4" w:space="0" w:color="auto"/>
            </w:tcBorders>
            <w:shd w:val="clear" w:color="auto" w:fill="F2DBDB" w:themeFill="accent2" w:themeFillTint="33"/>
            <w:noWrap/>
            <w:vAlign w:val="bottom"/>
            <w:hideMark/>
          </w:tcPr>
          <w:p w14:paraId="4888A430"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0.8</w:t>
            </w:r>
          </w:p>
        </w:tc>
        <w:tc>
          <w:tcPr>
            <w:tcW w:w="1567" w:type="pct"/>
            <w:tcBorders>
              <w:top w:val="nil"/>
              <w:left w:val="nil"/>
              <w:bottom w:val="single" w:sz="4" w:space="0" w:color="auto"/>
              <w:right w:val="single" w:sz="4" w:space="0" w:color="auto"/>
            </w:tcBorders>
            <w:shd w:val="clear" w:color="auto" w:fill="F2DBDB" w:themeFill="accent2" w:themeFillTint="33"/>
            <w:vAlign w:val="bottom"/>
            <w:hideMark/>
          </w:tcPr>
          <w:p w14:paraId="3D0FB202" w14:textId="77777777" w:rsidR="007C47C5" w:rsidRPr="00AD2D8C" w:rsidRDefault="007C47C5" w:rsidP="00E25251">
            <w:pPr>
              <w:jc w:val="center"/>
              <w:rPr>
                <w:rFonts w:ascii="Arial" w:hAnsi="Arial" w:cs="Arial"/>
                <w:shd w:val="clear" w:color="auto" w:fill="auto"/>
                <w:lang w:val="en-US"/>
              </w:rPr>
            </w:pPr>
          </w:p>
        </w:tc>
        <w:tc>
          <w:tcPr>
            <w:tcW w:w="1033" w:type="pct"/>
            <w:tcBorders>
              <w:top w:val="nil"/>
              <w:left w:val="nil"/>
              <w:bottom w:val="single" w:sz="4" w:space="0" w:color="auto"/>
              <w:right w:val="single" w:sz="4" w:space="0" w:color="auto"/>
            </w:tcBorders>
            <w:shd w:val="clear" w:color="auto" w:fill="F2DBDB" w:themeFill="accent2" w:themeFillTint="33"/>
            <w:noWrap/>
            <w:vAlign w:val="bottom"/>
            <w:hideMark/>
          </w:tcPr>
          <w:p w14:paraId="1E2CD823" w14:textId="77777777" w:rsidR="007C47C5" w:rsidRPr="00AD2D8C" w:rsidRDefault="007C47C5" w:rsidP="00E25251">
            <w:pPr>
              <w:jc w:val="center"/>
              <w:rPr>
                <w:rFonts w:ascii="Arial" w:hAnsi="Arial" w:cs="Arial"/>
                <w:shd w:val="clear" w:color="auto" w:fill="auto"/>
                <w:lang w:val="en-US"/>
              </w:rPr>
            </w:pPr>
          </w:p>
        </w:tc>
      </w:tr>
      <w:tr w:rsidR="007C47C5" w:rsidRPr="00AD2D8C" w14:paraId="7E2E0601" w14:textId="77777777" w:rsidTr="00E25251">
        <w:trPr>
          <w:trHeight w:val="710"/>
        </w:trPr>
        <w:tc>
          <w:tcPr>
            <w:tcW w:w="136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0FF622AF"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ARR = Average profit / Initial investment X 100</w:t>
            </w:r>
          </w:p>
        </w:tc>
        <w:tc>
          <w:tcPr>
            <w:tcW w:w="1033" w:type="pct"/>
            <w:tcBorders>
              <w:top w:val="nil"/>
              <w:left w:val="nil"/>
              <w:bottom w:val="single" w:sz="4" w:space="0" w:color="auto"/>
              <w:right w:val="single" w:sz="4" w:space="0" w:color="auto"/>
            </w:tcBorders>
            <w:shd w:val="clear" w:color="auto" w:fill="F2DBDB" w:themeFill="accent2" w:themeFillTint="33"/>
            <w:noWrap/>
            <w:vAlign w:val="bottom"/>
            <w:hideMark/>
          </w:tcPr>
          <w:p w14:paraId="709D3AE9" w14:textId="77777777" w:rsidR="007C47C5" w:rsidRPr="00AD2D8C" w:rsidRDefault="007C47C5" w:rsidP="00E25251">
            <w:pPr>
              <w:jc w:val="center"/>
              <w:rPr>
                <w:rFonts w:ascii="Arial" w:hAnsi="Arial" w:cs="Arial"/>
                <w:shd w:val="clear" w:color="auto" w:fill="auto"/>
                <w:lang w:val="en-US"/>
              </w:rPr>
            </w:pPr>
            <w:r w:rsidRPr="00AD2D8C">
              <w:rPr>
                <w:rFonts w:ascii="Arial" w:hAnsi="Arial" w:cs="Arial"/>
                <w:shd w:val="clear" w:color="auto" w:fill="auto"/>
                <w:lang w:val="en-US"/>
              </w:rPr>
              <w:t>1.6</w:t>
            </w:r>
          </w:p>
        </w:tc>
        <w:tc>
          <w:tcPr>
            <w:tcW w:w="1567" w:type="pct"/>
            <w:tcBorders>
              <w:top w:val="nil"/>
              <w:left w:val="nil"/>
              <w:bottom w:val="single" w:sz="4" w:space="0" w:color="auto"/>
              <w:right w:val="single" w:sz="4" w:space="0" w:color="auto"/>
            </w:tcBorders>
            <w:shd w:val="clear" w:color="auto" w:fill="F2DBDB" w:themeFill="accent2" w:themeFillTint="33"/>
            <w:vAlign w:val="bottom"/>
            <w:hideMark/>
          </w:tcPr>
          <w:p w14:paraId="5AE9E458" w14:textId="77777777" w:rsidR="007C47C5" w:rsidRPr="00AD2D8C" w:rsidRDefault="007C47C5" w:rsidP="00E25251">
            <w:pPr>
              <w:jc w:val="center"/>
              <w:rPr>
                <w:rFonts w:ascii="Arial" w:hAnsi="Arial" w:cs="Arial"/>
                <w:shd w:val="clear" w:color="auto" w:fill="auto"/>
                <w:lang w:val="en-US"/>
              </w:rPr>
            </w:pPr>
          </w:p>
        </w:tc>
        <w:tc>
          <w:tcPr>
            <w:tcW w:w="1033" w:type="pct"/>
            <w:tcBorders>
              <w:top w:val="nil"/>
              <w:left w:val="nil"/>
              <w:bottom w:val="single" w:sz="4" w:space="0" w:color="auto"/>
              <w:right w:val="single" w:sz="4" w:space="0" w:color="auto"/>
            </w:tcBorders>
            <w:shd w:val="clear" w:color="auto" w:fill="F2DBDB" w:themeFill="accent2" w:themeFillTint="33"/>
            <w:noWrap/>
            <w:vAlign w:val="bottom"/>
            <w:hideMark/>
          </w:tcPr>
          <w:p w14:paraId="59E9ECCB" w14:textId="77777777" w:rsidR="007C47C5" w:rsidRPr="00AD2D8C" w:rsidRDefault="007C47C5" w:rsidP="00E25251">
            <w:pPr>
              <w:jc w:val="center"/>
              <w:rPr>
                <w:rFonts w:ascii="Arial" w:hAnsi="Arial" w:cs="Arial"/>
                <w:shd w:val="clear" w:color="auto" w:fill="auto"/>
                <w:lang w:val="en-US"/>
              </w:rPr>
            </w:pPr>
          </w:p>
        </w:tc>
      </w:tr>
    </w:tbl>
    <w:p w14:paraId="46A94189" w14:textId="77777777" w:rsidR="000B1841" w:rsidRPr="00AD2D8C" w:rsidRDefault="000B1841" w:rsidP="000B1841">
      <w:pPr>
        <w:rPr>
          <w:rFonts w:ascii="Arial" w:hAnsi="Arial" w:cs="Arial"/>
        </w:rPr>
      </w:pPr>
    </w:p>
    <w:tbl>
      <w:tblPr>
        <w:tblW w:w="5000" w:type="pct"/>
        <w:shd w:val="clear" w:color="auto" w:fill="F2DBDB" w:themeFill="accent2" w:themeFillTint="33"/>
        <w:tblLook w:val="04A0" w:firstRow="1" w:lastRow="0" w:firstColumn="1" w:lastColumn="0" w:noHBand="0" w:noVBand="1"/>
      </w:tblPr>
      <w:tblGrid>
        <w:gridCol w:w="2220"/>
        <w:gridCol w:w="1870"/>
        <w:gridCol w:w="3263"/>
        <w:gridCol w:w="1997"/>
      </w:tblGrid>
      <w:tr w:rsidR="00E25251" w:rsidRPr="00AD2D8C" w14:paraId="1EF23061" w14:textId="77777777" w:rsidTr="00E25251">
        <w:trPr>
          <w:trHeight w:val="900"/>
        </w:trPr>
        <w:tc>
          <w:tcPr>
            <w:tcW w:w="1187" w:type="pct"/>
            <w:tcBorders>
              <w:top w:val="single" w:sz="4" w:space="0" w:color="auto"/>
              <w:left w:val="single" w:sz="4" w:space="0" w:color="auto"/>
              <w:bottom w:val="single" w:sz="4" w:space="0" w:color="auto"/>
              <w:right w:val="single" w:sz="4" w:space="0" w:color="auto"/>
            </w:tcBorders>
            <w:shd w:val="clear" w:color="auto" w:fill="F2DBDB" w:themeFill="accent2" w:themeFillTint="33"/>
            <w:vAlign w:val="center"/>
            <w:hideMark/>
          </w:tcPr>
          <w:p w14:paraId="6643F145" w14:textId="77777777" w:rsidR="00E25251" w:rsidRPr="00AD2D8C" w:rsidRDefault="00E25251" w:rsidP="00E25251">
            <w:pPr>
              <w:pStyle w:val="Normal1"/>
              <w:rPr>
                <w:sz w:val="24"/>
                <w:szCs w:val="24"/>
              </w:rPr>
            </w:pPr>
            <w:r w:rsidRPr="00AD2D8C">
              <w:rPr>
                <w:sz w:val="24"/>
                <w:szCs w:val="24"/>
              </w:rPr>
              <w:t>Year</w:t>
            </w:r>
          </w:p>
        </w:tc>
        <w:tc>
          <w:tcPr>
            <w:tcW w:w="1000" w:type="pct"/>
            <w:tcBorders>
              <w:top w:val="single" w:sz="4" w:space="0" w:color="auto"/>
              <w:left w:val="nil"/>
              <w:bottom w:val="single" w:sz="4" w:space="0" w:color="auto"/>
              <w:right w:val="single" w:sz="4" w:space="0" w:color="auto"/>
            </w:tcBorders>
            <w:shd w:val="clear" w:color="auto" w:fill="F2DBDB" w:themeFill="accent2" w:themeFillTint="33"/>
            <w:vAlign w:val="center"/>
            <w:hideMark/>
          </w:tcPr>
          <w:p w14:paraId="578BCF5D" w14:textId="77777777" w:rsidR="00E25251" w:rsidRPr="00AD2D8C" w:rsidRDefault="00E25251" w:rsidP="00E25251">
            <w:pPr>
              <w:pStyle w:val="Normal1"/>
              <w:rPr>
                <w:sz w:val="24"/>
                <w:szCs w:val="24"/>
              </w:rPr>
            </w:pPr>
            <w:r w:rsidRPr="00AD2D8C">
              <w:rPr>
                <w:sz w:val="24"/>
                <w:szCs w:val="24"/>
              </w:rPr>
              <w:t>Cash Inflow (£m)</w:t>
            </w:r>
          </w:p>
        </w:tc>
        <w:tc>
          <w:tcPr>
            <w:tcW w:w="1745" w:type="pct"/>
            <w:tcBorders>
              <w:top w:val="single" w:sz="4" w:space="0" w:color="auto"/>
              <w:left w:val="nil"/>
              <w:bottom w:val="single" w:sz="4" w:space="0" w:color="auto"/>
              <w:right w:val="single" w:sz="4" w:space="0" w:color="auto"/>
            </w:tcBorders>
            <w:shd w:val="clear" w:color="auto" w:fill="F2DBDB" w:themeFill="accent2" w:themeFillTint="33"/>
            <w:vAlign w:val="center"/>
            <w:hideMark/>
          </w:tcPr>
          <w:p w14:paraId="299F00D2" w14:textId="77777777" w:rsidR="00E25251" w:rsidRPr="00AD2D8C" w:rsidRDefault="00E25251" w:rsidP="00E25251">
            <w:pPr>
              <w:pStyle w:val="Normal1"/>
              <w:rPr>
                <w:sz w:val="24"/>
                <w:szCs w:val="24"/>
              </w:rPr>
            </w:pPr>
            <w:r w:rsidRPr="00AD2D8C">
              <w:rPr>
                <w:sz w:val="24"/>
                <w:szCs w:val="24"/>
              </w:rPr>
              <w:t>Depreciation (£m)</w:t>
            </w:r>
          </w:p>
        </w:tc>
        <w:tc>
          <w:tcPr>
            <w:tcW w:w="1068" w:type="pct"/>
            <w:tcBorders>
              <w:top w:val="single" w:sz="4" w:space="0" w:color="auto"/>
              <w:left w:val="nil"/>
              <w:bottom w:val="single" w:sz="4" w:space="0" w:color="auto"/>
              <w:right w:val="single" w:sz="4" w:space="0" w:color="auto"/>
            </w:tcBorders>
            <w:shd w:val="clear" w:color="auto" w:fill="F2DBDB" w:themeFill="accent2" w:themeFillTint="33"/>
            <w:vAlign w:val="center"/>
            <w:hideMark/>
          </w:tcPr>
          <w:p w14:paraId="53EF508E" w14:textId="77777777" w:rsidR="00E25251" w:rsidRPr="00AD2D8C" w:rsidRDefault="00E25251" w:rsidP="00E25251">
            <w:pPr>
              <w:pStyle w:val="Normal1"/>
              <w:rPr>
                <w:sz w:val="24"/>
                <w:szCs w:val="24"/>
              </w:rPr>
            </w:pPr>
            <w:r w:rsidRPr="00AD2D8C">
              <w:rPr>
                <w:sz w:val="24"/>
                <w:szCs w:val="24"/>
              </w:rPr>
              <w:t>Profit</w:t>
            </w:r>
          </w:p>
        </w:tc>
      </w:tr>
      <w:tr w:rsidR="00E25251" w:rsidRPr="00AD2D8C" w14:paraId="2F5E1A3A" w14:textId="77777777" w:rsidTr="00E25251">
        <w:trPr>
          <w:trHeight w:val="300"/>
        </w:trPr>
        <w:tc>
          <w:tcPr>
            <w:tcW w:w="118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4C36B614" w14:textId="77777777" w:rsidR="00E25251" w:rsidRPr="00AD2D8C" w:rsidRDefault="00E25251" w:rsidP="00E25251">
            <w:pPr>
              <w:pStyle w:val="Normal1"/>
              <w:rPr>
                <w:sz w:val="24"/>
                <w:szCs w:val="24"/>
              </w:rPr>
            </w:pPr>
            <w:r w:rsidRPr="00AD2D8C">
              <w:rPr>
                <w:sz w:val="24"/>
                <w:szCs w:val="24"/>
              </w:rPr>
              <w:t>1</w:t>
            </w:r>
          </w:p>
        </w:tc>
        <w:tc>
          <w:tcPr>
            <w:tcW w:w="1000" w:type="pct"/>
            <w:tcBorders>
              <w:top w:val="nil"/>
              <w:left w:val="nil"/>
              <w:bottom w:val="single" w:sz="4" w:space="0" w:color="auto"/>
              <w:right w:val="single" w:sz="4" w:space="0" w:color="auto"/>
            </w:tcBorders>
            <w:shd w:val="clear" w:color="auto" w:fill="F2DBDB" w:themeFill="accent2" w:themeFillTint="33"/>
            <w:vAlign w:val="bottom"/>
            <w:hideMark/>
          </w:tcPr>
          <w:p w14:paraId="69F409FC" w14:textId="77777777" w:rsidR="00E25251" w:rsidRPr="00AD2D8C" w:rsidRDefault="00E25251" w:rsidP="00E25251">
            <w:pPr>
              <w:pStyle w:val="Normal1"/>
              <w:rPr>
                <w:sz w:val="24"/>
                <w:szCs w:val="24"/>
              </w:rPr>
            </w:pPr>
            <w:r w:rsidRPr="00AD2D8C">
              <w:rPr>
                <w:sz w:val="24"/>
                <w:szCs w:val="24"/>
              </w:rPr>
              <w:t>11</w:t>
            </w:r>
          </w:p>
        </w:tc>
        <w:tc>
          <w:tcPr>
            <w:tcW w:w="1745" w:type="pct"/>
            <w:tcBorders>
              <w:top w:val="nil"/>
              <w:left w:val="nil"/>
              <w:bottom w:val="single" w:sz="4" w:space="0" w:color="auto"/>
              <w:right w:val="single" w:sz="4" w:space="0" w:color="auto"/>
            </w:tcBorders>
            <w:shd w:val="clear" w:color="auto" w:fill="F2DBDB" w:themeFill="accent2" w:themeFillTint="33"/>
            <w:vAlign w:val="bottom"/>
            <w:hideMark/>
          </w:tcPr>
          <w:p w14:paraId="522FF7E4" w14:textId="77777777" w:rsidR="00E25251" w:rsidRPr="00AD2D8C" w:rsidRDefault="00E25251" w:rsidP="00E25251">
            <w:pPr>
              <w:pStyle w:val="Normal1"/>
              <w:rPr>
                <w:sz w:val="24"/>
                <w:szCs w:val="24"/>
              </w:rPr>
            </w:pPr>
            <w:r w:rsidRPr="00AD2D8C">
              <w:rPr>
                <w:sz w:val="24"/>
                <w:szCs w:val="24"/>
              </w:rPr>
              <w:t>10</w:t>
            </w:r>
          </w:p>
        </w:tc>
        <w:tc>
          <w:tcPr>
            <w:tcW w:w="1068" w:type="pct"/>
            <w:tcBorders>
              <w:top w:val="nil"/>
              <w:left w:val="nil"/>
              <w:bottom w:val="single" w:sz="4" w:space="0" w:color="auto"/>
              <w:right w:val="single" w:sz="4" w:space="0" w:color="auto"/>
            </w:tcBorders>
            <w:shd w:val="clear" w:color="auto" w:fill="F2DBDB" w:themeFill="accent2" w:themeFillTint="33"/>
            <w:noWrap/>
            <w:vAlign w:val="bottom"/>
            <w:hideMark/>
          </w:tcPr>
          <w:p w14:paraId="1545BC86" w14:textId="77777777" w:rsidR="00E25251" w:rsidRPr="00AD2D8C" w:rsidRDefault="00E25251" w:rsidP="00E25251">
            <w:pPr>
              <w:pStyle w:val="Normal1"/>
              <w:rPr>
                <w:sz w:val="24"/>
                <w:szCs w:val="24"/>
              </w:rPr>
            </w:pPr>
            <w:r w:rsidRPr="00AD2D8C">
              <w:rPr>
                <w:sz w:val="24"/>
                <w:szCs w:val="24"/>
              </w:rPr>
              <w:t>1</w:t>
            </w:r>
          </w:p>
        </w:tc>
      </w:tr>
      <w:tr w:rsidR="00E25251" w:rsidRPr="00AD2D8C" w14:paraId="11CD2976" w14:textId="77777777" w:rsidTr="00E25251">
        <w:trPr>
          <w:trHeight w:val="300"/>
        </w:trPr>
        <w:tc>
          <w:tcPr>
            <w:tcW w:w="118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4820E9BA" w14:textId="77777777" w:rsidR="00E25251" w:rsidRPr="00AD2D8C" w:rsidRDefault="00E25251" w:rsidP="00E25251">
            <w:pPr>
              <w:pStyle w:val="Normal1"/>
              <w:rPr>
                <w:sz w:val="24"/>
                <w:szCs w:val="24"/>
              </w:rPr>
            </w:pPr>
            <w:r w:rsidRPr="00AD2D8C">
              <w:rPr>
                <w:sz w:val="24"/>
                <w:szCs w:val="24"/>
              </w:rPr>
              <w:t>2</w:t>
            </w:r>
          </w:p>
        </w:tc>
        <w:tc>
          <w:tcPr>
            <w:tcW w:w="1000" w:type="pct"/>
            <w:tcBorders>
              <w:top w:val="nil"/>
              <w:left w:val="nil"/>
              <w:bottom w:val="single" w:sz="4" w:space="0" w:color="auto"/>
              <w:right w:val="single" w:sz="4" w:space="0" w:color="auto"/>
            </w:tcBorders>
            <w:shd w:val="clear" w:color="auto" w:fill="F2DBDB" w:themeFill="accent2" w:themeFillTint="33"/>
            <w:vAlign w:val="bottom"/>
            <w:hideMark/>
          </w:tcPr>
          <w:p w14:paraId="31B3696D" w14:textId="77777777" w:rsidR="00E25251" w:rsidRPr="00AD2D8C" w:rsidRDefault="00E25251" w:rsidP="00E25251">
            <w:pPr>
              <w:pStyle w:val="Normal1"/>
              <w:rPr>
                <w:sz w:val="24"/>
                <w:szCs w:val="24"/>
              </w:rPr>
            </w:pPr>
            <w:r w:rsidRPr="00AD2D8C">
              <w:rPr>
                <w:sz w:val="24"/>
                <w:szCs w:val="24"/>
              </w:rPr>
              <w:t>11</w:t>
            </w:r>
          </w:p>
        </w:tc>
        <w:tc>
          <w:tcPr>
            <w:tcW w:w="1745" w:type="pct"/>
            <w:tcBorders>
              <w:top w:val="nil"/>
              <w:left w:val="nil"/>
              <w:bottom w:val="single" w:sz="4" w:space="0" w:color="auto"/>
              <w:right w:val="single" w:sz="4" w:space="0" w:color="auto"/>
            </w:tcBorders>
            <w:shd w:val="clear" w:color="auto" w:fill="F2DBDB" w:themeFill="accent2" w:themeFillTint="33"/>
            <w:vAlign w:val="bottom"/>
            <w:hideMark/>
          </w:tcPr>
          <w:p w14:paraId="4AE040CE" w14:textId="77777777" w:rsidR="00E25251" w:rsidRPr="00AD2D8C" w:rsidRDefault="00E25251" w:rsidP="00E25251">
            <w:pPr>
              <w:pStyle w:val="Normal1"/>
              <w:rPr>
                <w:sz w:val="24"/>
                <w:szCs w:val="24"/>
              </w:rPr>
            </w:pPr>
            <w:r w:rsidRPr="00AD2D8C">
              <w:rPr>
                <w:sz w:val="24"/>
                <w:szCs w:val="24"/>
              </w:rPr>
              <w:t>10</w:t>
            </w:r>
          </w:p>
        </w:tc>
        <w:tc>
          <w:tcPr>
            <w:tcW w:w="1068" w:type="pct"/>
            <w:tcBorders>
              <w:top w:val="nil"/>
              <w:left w:val="nil"/>
              <w:bottom w:val="single" w:sz="4" w:space="0" w:color="auto"/>
              <w:right w:val="single" w:sz="4" w:space="0" w:color="auto"/>
            </w:tcBorders>
            <w:shd w:val="clear" w:color="auto" w:fill="F2DBDB" w:themeFill="accent2" w:themeFillTint="33"/>
            <w:noWrap/>
            <w:vAlign w:val="bottom"/>
            <w:hideMark/>
          </w:tcPr>
          <w:p w14:paraId="1823003F" w14:textId="77777777" w:rsidR="00E25251" w:rsidRPr="00AD2D8C" w:rsidRDefault="00E25251" w:rsidP="00E25251">
            <w:pPr>
              <w:pStyle w:val="Normal1"/>
              <w:rPr>
                <w:sz w:val="24"/>
                <w:szCs w:val="24"/>
              </w:rPr>
            </w:pPr>
            <w:r w:rsidRPr="00AD2D8C">
              <w:rPr>
                <w:sz w:val="24"/>
                <w:szCs w:val="24"/>
              </w:rPr>
              <w:t>1</w:t>
            </w:r>
          </w:p>
        </w:tc>
      </w:tr>
      <w:tr w:rsidR="00E25251" w:rsidRPr="00AD2D8C" w14:paraId="0E5ABC3F" w14:textId="77777777" w:rsidTr="00E25251">
        <w:trPr>
          <w:trHeight w:val="300"/>
        </w:trPr>
        <w:tc>
          <w:tcPr>
            <w:tcW w:w="118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06BC4CAB" w14:textId="77777777" w:rsidR="00E25251" w:rsidRPr="00AD2D8C" w:rsidRDefault="00E25251" w:rsidP="00E25251">
            <w:pPr>
              <w:pStyle w:val="Normal1"/>
              <w:rPr>
                <w:sz w:val="24"/>
                <w:szCs w:val="24"/>
              </w:rPr>
            </w:pPr>
            <w:r w:rsidRPr="00AD2D8C">
              <w:rPr>
                <w:sz w:val="24"/>
                <w:szCs w:val="24"/>
              </w:rPr>
              <w:t>3</w:t>
            </w:r>
          </w:p>
        </w:tc>
        <w:tc>
          <w:tcPr>
            <w:tcW w:w="1000" w:type="pct"/>
            <w:tcBorders>
              <w:top w:val="nil"/>
              <w:left w:val="nil"/>
              <w:bottom w:val="single" w:sz="4" w:space="0" w:color="auto"/>
              <w:right w:val="single" w:sz="4" w:space="0" w:color="auto"/>
            </w:tcBorders>
            <w:shd w:val="clear" w:color="auto" w:fill="F2DBDB" w:themeFill="accent2" w:themeFillTint="33"/>
            <w:vAlign w:val="bottom"/>
            <w:hideMark/>
          </w:tcPr>
          <w:p w14:paraId="00D5E376" w14:textId="77777777" w:rsidR="00E25251" w:rsidRPr="00AD2D8C" w:rsidRDefault="00E25251" w:rsidP="00E25251">
            <w:pPr>
              <w:pStyle w:val="Normal1"/>
              <w:rPr>
                <w:sz w:val="24"/>
                <w:szCs w:val="24"/>
              </w:rPr>
            </w:pPr>
            <w:r w:rsidRPr="00AD2D8C">
              <w:rPr>
                <w:sz w:val="24"/>
                <w:szCs w:val="24"/>
              </w:rPr>
              <w:t>11</w:t>
            </w:r>
          </w:p>
        </w:tc>
        <w:tc>
          <w:tcPr>
            <w:tcW w:w="1745" w:type="pct"/>
            <w:tcBorders>
              <w:top w:val="nil"/>
              <w:left w:val="nil"/>
              <w:bottom w:val="single" w:sz="4" w:space="0" w:color="auto"/>
              <w:right w:val="single" w:sz="4" w:space="0" w:color="auto"/>
            </w:tcBorders>
            <w:shd w:val="clear" w:color="auto" w:fill="F2DBDB" w:themeFill="accent2" w:themeFillTint="33"/>
            <w:vAlign w:val="bottom"/>
            <w:hideMark/>
          </w:tcPr>
          <w:p w14:paraId="2883E735" w14:textId="77777777" w:rsidR="00E25251" w:rsidRPr="00AD2D8C" w:rsidRDefault="00E25251" w:rsidP="00E25251">
            <w:pPr>
              <w:pStyle w:val="Normal1"/>
              <w:rPr>
                <w:sz w:val="24"/>
                <w:szCs w:val="24"/>
              </w:rPr>
            </w:pPr>
            <w:r w:rsidRPr="00AD2D8C">
              <w:rPr>
                <w:sz w:val="24"/>
                <w:szCs w:val="24"/>
              </w:rPr>
              <w:t>10</w:t>
            </w:r>
          </w:p>
        </w:tc>
        <w:tc>
          <w:tcPr>
            <w:tcW w:w="1068" w:type="pct"/>
            <w:tcBorders>
              <w:top w:val="nil"/>
              <w:left w:val="nil"/>
              <w:bottom w:val="single" w:sz="4" w:space="0" w:color="auto"/>
              <w:right w:val="single" w:sz="4" w:space="0" w:color="auto"/>
            </w:tcBorders>
            <w:shd w:val="clear" w:color="auto" w:fill="F2DBDB" w:themeFill="accent2" w:themeFillTint="33"/>
            <w:noWrap/>
            <w:vAlign w:val="bottom"/>
            <w:hideMark/>
          </w:tcPr>
          <w:p w14:paraId="67499EB7" w14:textId="77777777" w:rsidR="00E25251" w:rsidRPr="00AD2D8C" w:rsidRDefault="00E25251" w:rsidP="00E25251">
            <w:pPr>
              <w:pStyle w:val="Normal1"/>
              <w:rPr>
                <w:sz w:val="24"/>
                <w:szCs w:val="24"/>
              </w:rPr>
            </w:pPr>
            <w:r w:rsidRPr="00AD2D8C">
              <w:rPr>
                <w:sz w:val="24"/>
                <w:szCs w:val="24"/>
              </w:rPr>
              <w:t>1</w:t>
            </w:r>
          </w:p>
        </w:tc>
      </w:tr>
      <w:tr w:rsidR="00E25251" w:rsidRPr="00AD2D8C" w14:paraId="4BC8AA39" w14:textId="77777777" w:rsidTr="00E25251">
        <w:trPr>
          <w:trHeight w:val="300"/>
        </w:trPr>
        <w:tc>
          <w:tcPr>
            <w:tcW w:w="118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49F46C04" w14:textId="77777777" w:rsidR="00E25251" w:rsidRPr="00AD2D8C" w:rsidRDefault="00E25251" w:rsidP="00E25251">
            <w:pPr>
              <w:pStyle w:val="Normal1"/>
              <w:rPr>
                <w:sz w:val="24"/>
                <w:szCs w:val="24"/>
              </w:rPr>
            </w:pPr>
            <w:r w:rsidRPr="00AD2D8C">
              <w:rPr>
                <w:sz w:val="24"/>
                <w:szCs w:val="24"/>
              </w:rPr>
              <w:t>4</w:t>
            </w:r>
          </w:p>
        </w:tc>
        <w:tc>
          <w:tcPr>
            <w:tcW w:w="1000" w:type="pct"/>
            <w:tcBorders>
              <w:top w:val="nil"/>
              <w:left w:val="nil"/>
              <w:bottom w:val="single" w:sz="4" w:space="0" w:color="auto"/>
              <w:right w:val="single" w:sz="4" w:space="0" w:color="auto"/>
            </w:tcBorders>
            <w:shd w:val="clear" w:color="auto" w:fill="F2DBDB" w:themeFill="accent2" w:themeFillTint="33"/>
            <w:vAlign w:val="bottom"/>
            <w:hideMark/>
          </w:tcPr>
          <w:p w14:paraId="40E0B8F5" w14:textId="77777777" w:rsidR="00E25251" w:rsidRPr="00AD2D8C" w:rsidRDefault="00E25251" w:rsidP="00E25251">
            <w:pPr>
              <w:pStyle w:val="Normal1"/>
              <w:rPr>
                <w:sz w:val="24"/>
                <w:szCs w:val="24"/>
              </w:rPr>
            </w:pPr>
            <w:r w:rsidRPr="00AD2D8C">
              <w:rPr>
                <w:sz w:val="24"/>
                <w:szCs w:val="24"/>
              </w:rPr>
              <w:t>11</w:t>
            </w:r>
          </w:p>
        </w:tc>
        <w:tc>
          <w:tcPr>
            <w:tcW w:w="1745" w:type="pct"/>
            <w:tcBorders>
              <w:top w:val="nil"/>
              <w:left w:val="nil"/>
              <w:bottom w:val="single" w:sz="4" w:space="0" w:color="auto"/>
              <w:right w:val="single" w:sz="4" w:space="0" w:color="auto"/>
            </w:tcBorders>
            <w:shd w:val="clear" w:color="auto" w:fill="F2DBDB" w:themeFill="accent2" w:themeFillTint="33"/>
            <w:vAlign w:val="bottom"/>
            <w:hideMark/>
          </w:tcPr>
          <w:p w14:paraId="0824713D" w14:textId="77777777" w:rsidR="00E25251" w:rsidRPr="00AD2D8C" w:rsidRDefault="00E25251" w:rsidP="00E25251">
            <w:pPr>
              <w:pStyle w:val="Normal1"/>
              <w:rPr>
                <w:sz w:val="24"/>
                <w:szCs w:val="24"/>
              </w:rPr>
            </w:pPr>
            <w:r w:rsidRPr="00AD2D8C">
              <w:rPr>
                <w:sz w:val="24"/>
                <w:szCs w:val="24"/>
              </w:rPr>
              <w:t>10</w:t>
            </w:r>
          </w:p>
        </w:tc>
        <w:tc>
          <w:tcPr>
            <w:tcW w:w="1068" w:type="pct"/>
            <w:tcBorders>
              <w:top w:val="nil"/>
              <w:left w:val="nil"/>
              <w:bottom w:val="single" w:sz="4" w:space="0" w:color="auto"/>
              <w:right w:val="single" w:sz="4" w:space="0" w:color="auto"/>
            </w:tcBorders>
            <w:shd w:val="clear" w:color="auto" w:fill="F2DBDB" w:themeFill="accent2" w:themeFillTint="33"/>
            <w:noWrap/>
            <w:vAlign w:val="bottom"/>
            <w:hideMark/>
          </w:tcPr>
          <w:p w14:paraId="7918E9A7" w14:textId="77777777" w:rsidR="00E25251" w:rsidRPr="00AD2D8C" w:rsidRDefault="00E25251" w:rsidP="00E25251">
            <w:pPr>
              <w:pStyle w:val="Normal1"/>
              <w:rPr>
                <w:sz w:val="24"/>
                <w:szCs w:val="24"/>
              </w:rPr>
            </w:pPr>
            <w:r w:rsidRPr="00AD2D8C">
              <w:rPr>
                <w:sz w:val="24"/>
                <w:szCs w:val="24"/>
              </w:rPr>
              <w:t>1</w:t>
            </w:r>
          </w:p>
        </w:tc>
      </w:tr>
      <w:tr w:rsidR="00E25251" w:rsidRPr="00AD2D8C" w14:paraId="22C3EDE2" w14:textId="77777777" w:rsidTr="00E25251">
        <w:trPr>
          <w:trHeight w:val="300"/>
        </w:trPr>
        <w:tc>
          <w:tcPr>
            <w:tcW w:w="118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6C371E9A" w14:textId="77777777" w:rsidR="00E25251" w:rsidRPr="00AD2D8C" w:rsidRDefault="00E25251" w:rsidP="00E25251">
            <w:pPr>
              <w:pStyle w:val="Normal1"/>
              <w:rPr>
                <w:sz w:val="24"/>
                <w:szCs w:val="24"/>
              </w:rPr>
            </w:pPr>
            <w:r w:rsidRPr="00AD2D8C">
              <w:rPr>
                <w:sz w:val="24"/>
                <w:szCs w:val="24"/>
              </w:rPr>
              <w:t>5</w:t>
            </w:r>
          </w:p>
        </w:tc>
        <w:tc>
          <w:tcPr>
            <w:tcW w:w="1000" w:type="pct"/>
            <w:tcBorders>
              <w:top w:val="nil"/>
              <w:left w:val="nil"/>
              <w:bottom w:val="single" w:sz="4" w:space="0" w:color="auto"/>
              <w:right w:val="single" w:sz="4" w:space="0" w:color="auto"/>
            </w:tcBorders>
            <w:shd w:val="clear" w:color="auto" w:fill="F2DBDB" w:themeFill="accent2" w:themeFillTint="33"/>
            <w:vAlign w:val="bottom"/>
            <w:hideMark/>
          </w:tcPr>
          <w:p w14:paraId="199DE83E" w14:textId="77777777" w:rsidR="00E25251" w:rsidRPr="00AD2D8C" w:rsidRDefault="00E25251" w:rsidP="00E25251">
            <w:pPr>
              <w:pStyle w:val="Normal1"/>
              <w:rPr>
                <w:sz w:val="24"/>
                <w:szCs w:val="24"/>
              </w:rPr>
            </w:pPr>
            <w:r w:rsidRPr="00AD2D8C">
              <w:rPr>
                <w:sz w:val="24"/>
                <w:szCs w:val="24"/>
              </w:rPr>
              <w:t>11</w:t>
            </w:r>
          </w:p>
        </w:tc>
        <w:tc>
          <w:tcPr>
            <w:tcW w:w="1745" w:type="pct"/>
            <w:tcBorders>
              <w:top w:val="nil"/>
              <w:left w:val="nil"/>
              <w:bottom w:val="single" w:sz="4" w:space="0" w:color="auto"/>
              <w:right w:val="single" w:sz="4" w:space="0" w:color="auto"/>
            </w:tcBorders>
            <w:shd w:val="clear" w:color="auto" w:fill="F2DBDB" w:themeFill="accent2" w:themeFillTint="33"/>
            <w:vAlign w:val="bottom"/>
            <w:hideMark/>
          </w:tcPr>
          <w:p w14:paraId="59E35462" w14:textId="77777777" w:rsidR="00E25251" w:rsidRPr="00AD2D8C" w:rsidRDefault="00E25251" w:rsidP="00E25251">
            <w:pPr>
              <w:pStyle w:val="Normal1"/>
              <w:rPr>
                <w:sz w:val="24"/>
                <w:szCs w:val="24"/>
              </w:rPr>
            </w:pPr>
            <w:r w:rsidRPr="00AD2D8C">
              <w:rPr>
                <w:sz w:val="24"/>
                <w:szCs w:val="24"/>
              </w:rPr>
              <w:t>10</w:t>
            </w:r>
          </w:p>
        </w:tc>
        <w:tc>
          <w:tcPr>
            <w:tcW w:w="1068" w:type="pct"/>
            <w:tcBorders>
              <w:top w:val="nil"/>
              <w:left w:val="nil"/>
              <w:bottom w:val="single" w:sz="4" w:space="0" w:color="auto"/>
              <w:right w:val="single" w:sz="4" w:space="0" w:color="auto"/>
            </w:tcBorders>
            <w:shd w:val="clear" w:color="auto" w:fill="F2DBDB" w:themeFill="accent2" w:themeFillTint="33"/>
            <w:noWrap/>
            <w:vAlign w:val="bottom"/>
            <w:hideMark/>
          </w:tcPr>
          <w:p w14:paraId="012926D8" w14:textId="77777777" w:rsidR="00E25251" w:rsidRPr="00AD2D8C" w:rsidRDefault="00E25251" w:rsidP="00E25251">
            <w:pPr>
              <w:pStyle w:val="Normal1"/>
              <w:rPr>
                <w:sz w:val="24"/>
                <w:szCs w:val="24"/>
              </w:rPr>
            </w:pPr>
            <w:r w:rsidRPr="00AD2D8C">
              <w:rPr>
                <w:sz w:val="24"/>
                <w:szCs w:val="24"/>
              </w:rPr>
              <w:t>1</w:t>
            </w:r>
          </w:p>
        </w:tc>
      </w:tr>
      <w:tr w:rsidR="00E25251" w:rsidRPr="00AD2D8C" w14:paraId="1955E8B7" w14:textId="77777777" w:rsidTr="00E25251">
        <w:trPr>
          <w:trHeight w:val="600"/>
        </w:trPr>
        <w:tc>
          <w:tcPr>
            <w:tcW w:w="118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5189C088" w14:textId="77777777" w:rsidR="00E25251" w:rsidRPr="00AD2D8C" w:rsidRDefault="00E25251" w:rsidP="00E25251">
            <w:pPr>
              <w:pStyle w:val="Normal1"/>
              <w:rPr>
                <w:sz w:val="24"/>
                <w:szCs w:val="24"/>
              </w:rPr>
            </w:pPr>
            <w:r w:rsidRPr="00AD2D8C">
              <w:rPr>
                <w:sz w:val="24"/>
                <w:szCs w:val="24"/>
              </w:rPr>
              <w:t> </w:t>
            </w:r>
          </w:p>
        </w:tc>
        <w:tc>
          <w:tcPr>
            <w:tcW w:w="1000" w:type="pct"/>
            <w:tcBorders>
              <w:top w:val="nil"/>
              <w:left w:val="nil"/>
              <w:bottom w:val="single" w:sz="4" w:space="0" w:color="auto"/>
              <w:right w:val="single" w:sz="4" w:space="0" w:color="auto"/>
            </w:tcBorders>
            <w:shd w:val="clear" w:color="auto" w:fill="F2DBDB" w:themeFill="accent2" w:themeFillTint="33"/>
            <w:vAlign w:val="bottom"/>
            <w:hideMark/>
          </w:tcPr>
          <w:p w14:paraId="2CAC070C" w14:textId="77777777" w:rsidR="00E25251" w:rsidRPr="00AD2D8C" w:rsidRDefault="00E25251" w:rsidP="00E25251">
            <w:pPr>
              <w:pStyle w:val="Normal1"/>
              <w:rPr>
                <w:sz w:val="24"/>
                <w:szCs w:val="24"/>
              </w:rPr>
            </w:pPr>
            <w:r w:rsidRPr="00AD2D8C">
              <w:rPr>
                <w:sz w:val="24"/>
                <w:szCs w:val="24"/>
              </w:rPr>
              <w:t> </w:t>
            </w:r>
          </w:p>
        </w:tc>
        <w:tc>
          <w:tcPr>
            <w:tcW w:w="1745" w:type="pct"/>
            <w:tcBorders>
              <w:top w:val="nil"/>
              <w:left w:val="nil"/>
              <w:bottom w:val="single" w:sz="4" w:space="0" w:color="auto"/>
              <w:right w:val="single" w:sz="4" w:space="0" w:color="auto"/>
            </w:tcBorders>
            <w:shd w:val="clear" w:color="auto" w:fill="F2DBDB" w:themeFill="accent2" w:themeFillTint="33"/>
            <w:vAlign w:val="bottom"/>
            <w:hideMark/>
          </w:tcPr>
          <w:p w14:paraId="5E972D3A" w14:textId="77777777" w:rsidR="00E25251" w:rsidRPr="00AD2D8C" w:rsidRDefault="00E25251" w:rsidP="00E25251">
            <w:pPr>
              <w:pStyle w:val="Normal1"/>
              <w:rPr>
                <w:sz w:val="24"/>
                <w:szCs w:val="24"/>
              </w:rPr>
            </w:pPr>
            <w:r w:rsidRPr="00AD2D8C">
              <w:rPr>
                <w:sz w:val="24"/>
                <w:szCs w:val="24"/>
              </w:rPr>
              <w:t xml:space="preserve">Total profit </w:t>
            </w:r>
          </w:p>
        </w:tc>
        <w:tc>
          <w:tcPr>
            <w:tcW w:w="1068" w:type="pct"/>
            <w:tcBorders>
              <w:top w:val="nil"/>
              <w:left w:val="nil"/>
              <w:bottom w:val="single" w:sz="4" w:space="0" w:color="auto"/>
              <w:right w:val="single" w:sz="4" w:space="0" w:color="auto"/>
            </w:tcBorders>
            <w:shd w:val="clear" w:color="auto" w:fill="F2DBDB" w:themeFill="accent2" w:themeFillTint="33"/>
            <w:noWrap/>
            <w:vAlign w:val="bottom"/>
            <w:hideMark/>
          </w:tcPr>
          <w:p w14:paraId="68AEEA0D" w14:textId="77777777" w:rsidR="00E25251" w:rsidRPr="00AD2D8C" w:rsidRDefault="00E25251" w:rsidP="00E25251">
            <w:pPr>
              <w:pStyle w:val="Normal1"/>
              <w:rPr>
                <w:sz w:val="24"/>
                <w:szCs w:val="24"/>
              </w:rPr>
            </w:pPr>
            <w:r w:rsidRPr="00AD2D8C">
              <w:rPr>
                <w:sz w:val="24"/>
                <w:szCs w:val="24"/>
              </w:rPr>
              <w:t>5</w:t>
            </w:r>
          </w:p>
        </w:tc>
      </w:tr>
      <w:tr w:rsidR="00E25251" w:rsidRPr="00AD2D8C" w14:paraId="7EC726A9" w14:textId="77777777" w:rsidTr="00E25251">
        <w:trPr>
          <w:trHeight w:val="447"/>
        </w:trPr>
        <w:tc>
          <w:tcPr>
            <w:tcW w:w="118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0FCD6EDA" w14:textId="77777777" w:rsidR="00E25251" w:rsidRPr="00AD2D8C" w:rsidRDefault="00E25251" w:rsidP="00E25251">
            <w:pPr>
              <w:pStyle w:val="Normal1"/>
              <w:rPr>
                <w:sz w:val="24"/>
                <w:szCs w:val="24"/>
              </w:rPr>
            </w:pPr>
            <w:r w:rsidRPr="00AD2D8C">
              <w:rPr>
                <w:sz w:val="24"/>
                <w:szCs w:val="24"/>
              </w:rPr>
              <w:t xml:space="preserve">Average profit </w:t>
            </w:r>
          </w:p>
        </w:tc>
        <w:tc>
          <w:tcPr>
            <w:tcW w:w="1000" w:type="pct"/>
            <w:tcBorders>
              <w:top w:val="nil"/>
              <w:left w:val="nil"/>
              <w:bottom w:val="single" w:sz="4" w:space="0" w:color="auto"/>
              <w:right w:val="single" w:sz="4" w:space="0" w:color="auto"/>
            </w:tcBorders>
            <w:shd w:val="clear" w:color="auto" w:fill="F2DBDB" w:themeFill="accent2" w:themeFillTint="33"/>
            <w:vAlign w:val="bottom"/>
            <w:hideMark/>
          </w:tcPr>
          <w:p w14:paraId="572267C7" w14:textId="77777777" w:rsidR="00E25251" w:rsidRPr="00AD2D8C" w:rsidRDefault="00E25251" w:rsidP="00E25251">
            <w:pPr>
              <w:pStyle w:val="Normal1"/>
              <w:rPr>
                <w:sz w:val="24"/>
                <w:szCs w:val="24"/>
              </w:rPr>
            </w:pPr>
            <w:r w:rsidRPr="00AD2D8C">
              <w:rPr>
                <w:sz w:val="24"/>
                <w:szCs w:val="24"/>
              </w:rPr>
              <w:t>1</w:t>
            </w:r>
          </w:p>
        </w:tc>
        <w:tc>
          <w:tcPr>
            <w:tcW w:w="1745" w:type="pct"/>
            <w:tcBorders>
              <w:top w:val="nil"/>
              <w:left w:val="nil"/>
              <w:bottom w:val="single" w:sz="4" w:space="0" w:color="auto"/>
              <w:right w:val="single" w:sz="4" w:space="0" w:color="auto"/>
            </w:tcBorders>
            <w:shd w:val="clear" w:color="auto" w:fill="F2DBDB" w:themeFill="accent2" w:themeFillTint="33"/>
            <w:noWrap/>
            <w:vAlign w:val="bottom"/>
            <w:hideMark/>
          </w:tcPr>
          <w:p w14:paraId="5DF41B2D" w14:textId="77777777" w:rsidR="00E25251" w:rsidRPr="00AD2D8C" w:rsidRDefault="00E25251" w:rsidP="00E25251">
            <w:pPr>
              <w:pStyle w:val="Normal1"/>
              <w:rPr>
                <w:sz w:val="24"/>
                <w:szCs w:val="24"/>
              </w:rPr>
            </w:pPr>
            <w:r w:rsidRPr="00AD2D8C">
              <w:rPr>
                <w:sz w:val="24"/>
                <w:szCs w:val="24"/>
              </w:rPr>
              <w:t> </w:t>
            </w:r>
          </w:p>
        </w:tc>
        <w:tc>
          <w:tcPr>
            <w:tcW w:w="1068" w:type="pct"/>
            <w:tcBorders>
              <w:top w:val="nil"/>
              <w:left w:val="nil"/>
              <w:bottom w:val="single" w:sz="4" w:space="0" w:color="auto"/>
              <w:right w:val="single" w:sz="4" w:space="0" w:color="auto"/>
            </w:tcBorders>
            <w:shd w:val="clear" w:color="auto" w:fill="F2DBDB" w:themeFill="accent2" w:themeFillTint="33"/>
            <w:noWrap/>
            <w:vAlign w:val="bottom"/>
            <w:hideMark/>
          </w:tcPr>
          <w:p w14:paraId="78C37E09" w14:textId="77777777" w:rsidR="00E25251" w:rsidRPr="00AD2D8C" w:rsidRDefault="00E25251" w:rsidP="00E25251">
            <w:pPr>
              <w:pStyle w:val="Normal1"/>
              <w:rPr>
                <w:sz w:val="24"/>
                <w:szCs w:val="24"/>
              </w:rPr>
            </w:pPr>
            <w:r w:rsidRPr="00AD2D8C">
              <w:rPr>
                <w:sz w:val="24"/>
                <w:szCs w:val="24"/>
              </w:rPr>
              <w:t> </w:t>
            </w:r>
          </w:p>
        </w:tc>
      </w:tr>
      <w:tr w:rsidR="00E25251" w:rsidRPr="00AD2D8C" w14:paraId="4455329D" w14:textId="77777777" w:rsidTr="00E25251">
        <w:trPr>
          <w:trHeight w:val="413"/>
        </w:trPr>
        <w:tc>
          <w:tcPr>
            <w:tcW w:w="1187" w:type="pct"/>
            <w:tcBorders>
              <w:top w:val="nil"/>
              <w:left w:val="single" w:sz="4" w:space="0" w:color="auto"/>
              <w:bottom w:val="single" w:sz="4" w:space="0" w:color="auto"/>
              <w:right w:val="single" w:sz="4" w:space="0" w:color="auto"/>
            </w:tcBorders>
            <w:shd w:val="clear" w:color="auto" w:fill="F2DBDB" w:themeFill="accent2" w:themeFillTint="33"/>
            <w:vAlign w:val="bottom"/>
            <w:hideMark/>
          </w:tcPr>
          <w:p w14:paraId="39232A4A" w14:textId="77777777" w:rsidR="00E25251" w:rsidRPr="00AD2D8C" w:rsidRDefault="00E25251" w:rsidP="00E25251">
            <w:pPr>
              <w:pStyle w:val="Normal1"/>
              <w:rPr>
                <w:sz w:val="24"/>
                <w:szCs w:val="24"/>
              </w:rPr>
            </w:pPr>
            <w:r w:rsidRPr="00AD2D8C">
              <w:rPr>
                <w:sz w:val="24"/>
                <w:szCs w:val="24"/>
              </w:rPr>
              <w:t>ARR</w:t>
            </w:r>
          </w:p>
        </w:tc>
        <w:tc>
          <w:tcPr>
            <w:tcW w:w="1000" w:type="pct"/>
            <w:tcBorders>
              <w:top w:val="nil"/>
              <w:left w:val="nil"/>
              <w:bottom w:val="single" w:sz="4" w:space="0" w:color="auto"/>
              <w:right w:val="single" w:sz="4" w:space="0" w:color="auto"/>
            </w:tcBorders>
            <w:shd w:val="clear" w:color="auto" w:fill="F2DBDB" w:themeFill="accent2" w:themeFillTint="33"/>
            <w:vAlign w:val="bottom"/>
            <w:hideMark/>
          </w:tcPr>
          <w:p w14:paraId="151A2D54" w14:textId="77777777" w:rsidR="00E25251" w:rsidRPr="00AD2D8C" w:rsidRDefault="00E25251" w:rsidP="00E25251">
            <w:pPr>
              <w:pStyle w:val="Normal1"/>
              <w:rPr>
                <w:sz w:val="24"/>
                <w:szCs w:val="24"/>
              </w:rPr>
            </w:pPr>
            <w:r w:rsidRPr="00AD2D8C">
              <w:rPr>
                <w:sz w:val="24"/>
                <w:szCs w:val="24"/>
              </w:rPr>
              <w:t>2</w:t>
            </w:r>
          </w:p>
        </w:tc>
        <w:tc>
          <w:tcPr>
            <w:tcW w:w="1745" w:type="pct"/>
            <w:tcBorders>
              <w:top w:val="nil"/>
              <w:left w:val="nil"/>
              <w:bottom w:val="single" w:sz="4" w:space="0" w:color="auto"/>
              <w:right w:val="single" w:sz="4" w:space="0" w:color="auto"/>
            </w:tcBorders>
            <w:shd w:val="clear" w:color="auto" w:fill="F2DBDB" w:themeFill="accent2" w:themeFillTint="33"/>
            <w:noWrap/>
            <w:vAlign w:val="bottom"/>
            <w:hideMark/>
          </w:tcPr>
          <w:p w14:paraId="2849BE31" w14:textId="77777777" w:rsidR="00E25251" w:rsidRPr="00AD2D8C" w:rsidRDefault="00E25251" w:rsidP="00E25251">
            <w:pPr>
              <w:pStyle w:val="Normal1"/>
              <w:rPr>
                <w:sz w:val="24"/>
                <w:szCs w:val="24"/>
              </w:rPr>
            </w:pPr>
            <w:r w:rsidRPr="00AD2D8C">
              <w:rPr>
                <w:sz w:val="24"/>
                <w:szCs w:val="24"/>
              </w:rPr>
              <w:t> </w:t>
            </w:r>
          </w:p>
        </w:tc>
        <w:tc>
          <w:tcPr>
            <w:tcW w:w="1068" w:type="pct"/>
            <w:tcBorders>
              <w:top w:val="nil"/>
              <w:left w:val="nil"/>
              <w:bottom w:val="single" w:sz="4" w:space="0" w:color="auto"/>
              <w:right w:val="single" w:sz="4" w:space="0" w:color="auto"/>
            </w:tcBorders>
            <w:shd w:val="clear" w:color="auto" w:fill="F2DBDB" w:themeFill="accent2" w:themeFillTint="33"/>
            <w:noWrap/>
            <w:vAlign w:val="bottom"/>
            <w:hideMark/>
          </w:tcPr>
          <w:p w14:paraId="30122D00" w14:textId="77777777" w:rsidR="00E25251" w:rsidRPr="00AD2D8C" w:rsidRDefault="00E25251" w:rsidP="00E25251">
            <w:pPr>
              <w:pStyle w:val="Normal1"/>
              <w:rPr>
                <w:sz w:val="24"/>
                <w:szCs w:val="24"/>
              </w:rPr>
            </w:pPr>
            <w:r w:rsidRPr="00AD2D8C">
              <w:rPr>
                <w:sz w:val="24"/>
                <w:szCs w:val="24"/>
              </w:rPr>
              <w:t> </w:t>
            </w:r>
          </w:p>
        </w:tc>
      </w:tr>
    </w:tbl>
    <w:p w14:paraId="1383942B" w14:textId="77777777" w:rsidR="00BB3348" w:rsidRPr="00AD2D8C" w:rsidRDefault="00BB3348" w:rsidP="00BC2008">
      <w:pPr>
        <w:rPr>
          <w:rFonts w:ascii="Arial" w:hAnsi="Arial" w:cs="Arial"/>
        </w:rP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2DBDB" w:themeFill="accent2" w:themeFillTint="33"/>
        <w:tblCellMar>
          <w:left w:w="0" w:type="dxa"/>
          <w:right w:w="0" w:type="dxa"/>
        </w:tblCellMar>
        <w:tblLook w:val="04A0" w:firstRow="1" w:lastRow="0" w:firstColumn="1" w:lastColumn="0" w:noHBand="0" w:noVBand="1"/>
      </w:tblPr>
      <w:tblGrid>
        <w:gridCol w:w="2430"/>
        <w:gridCol w:w="2016"/>
        <w:gridCol w:w="2955"/>
        <w:gridCol w:w="1949"/>
      </w:tblGrid>
      <w:tr w:rsidR="00E25251" w:rsidRPr="00AD2D8C" w14:paraId="5DE86EC7" w14:textId="77777777" w:rsidTr="00E25251">
        <w:trPr>
          <w:trHeight w:val="542"/>
          <w:jc w:val="center"/>
        </w:trPr>
        <w:tc>
          <w:tcPr>
            <w:tcW w:w="1300" w:type="pct"/>
            <w:shd w:val="clear" w:color="auto" w:fill="F2DBDB" w:themeFill="accent2" w:themeFillTint="33"/>
            <w:tcMar>
              <w:top w:w="15" w:type="dxa"/>
              <w:left w:w="15" w:type="dxa"/>
              <w:bottom w:w="0" w:type="dxa"/>
              <w:right w:w="15" w:type="dxa"/>
            </w:tcMar>
            <w:vAlign w:val="center"/>
            <w:hideMark/>
          </w:tcPr>
          <w:p w14:paraId="39D7F503" w14:textId="77777777" w:rsidR="00E25251" w:rsidRPr="00AD2D8C" w:rsidRDefault="00E25251" w:rsidP="00E25251">
            <w:pPr>
              <w:pStyle w:val="NoSpacing"/>
              <w:rPr>
                <w:rFonts w:ascii="Arial" w:hAnsi="Arial" w:cs="Arial"/>
              </w:rPr>
            </w:pPr>
            <w:r w:rsidRPr="00AD2D8C">
              <w:rPr>
                <w:rFonts w:ascii="Arial" w:hAnsi="Arial" w:cs="Arial"/>
              </w:rPr>
              <w:t>Year</w:t>
            </w:r>
          </w:p>
        </w:tc>
        <w:tc>
          <w:tcPr>
            <w:tcW w:w="1078" w:type="pct"/>
            <w:shd w:val="clear" w:color="auto" w:fill="F2DBDB" w:themeFill="accent2" w:themeFillTint="33"/>
            <w:tcMar>
              <w:top w:w="15" w:type="dxa"/>
              <w:left w:w="15" w:type="dxa"/>
              <w:bottom w:w="0" w:type="dxa"/>
              <w:right w:w="15" w:type="dxa"/>
            </w:tcMar>
            <w:vAlign w:val="center"/>
            <w:hideMark/>
          </w:tcPr>
          <w:p w14:paraId="2CDF4131" w14:textId="77777777" w:rsidR="00E25251" w:rsidRPr="00AD2D8C" w:rsidRDefault="00E25251" w:rsidP="00E25251">
            <w:pPr>
              <w:pStyle w:val="NoSpacing"/>
              <w:rPr>
                <w:rFonts w:ascii="Arial" w:hAnsi="Arial" w:cs="Arial"/>
              </w:rPr>
            </w:pPr>
            <w:r w:rsidRPr="00AD2D8C">
              <w:rPr>
                <w:rFonts w:ascii="Arial" w:hAnsi="Arial" w:cs="Arial"/>
              </w:rPr>
              <w:t>Cash Inflow (£m)</w:t>
            </w:r>
          </w:p>
        </w:tc>
        <w:tc>
          <w:tcPr>
            <w:tcW w:w="1580" w:type="pct"/>
            <w:shd w:val="clear" w:color="auto" w:fill="F2DBDB" w:themeFill="accent2" w:themeFillTint="33"/>
            <w:tcMar>
              <w:top w:w="15" w:type="dxa"/>
              <w:left w:w="15" w:type="dxa"/>
              <w:bottom w:w="0" w:type="dxa"/>
              <w:right w:w="15" w:type="dxa"/>
            </w:tcMar>
            <w:vAlign w:val="center"/>
            <w:hideMark/>
          </w:tcPr>
          <w:p w14:paraId="0BD4CB1F" w14:textId="77777777" w:rsidR="00E25251" w:rsidRPr="00AD2D8C" w:rsidRDefault="00E25251" w:rsidP="00E25251">
            <w:pPr>
              <w:pStyle w:val="NoSpacing"/>
              <w:rPr>
                <w:rFonts w:ascii="Arial" w:hAnsi="Arial" w:cs="Arial"/>
              </w:rPr>
            </w:pPr>
            <w:r w:rsidRPr="00AD2D8C">
              <w:rPr>
                <w:rFonts w:ascii="Arial" w:hAnsi="Arial" w:cs="Arial"/>
              </w:rPr>
              <w:t>Depreciation (£m)</w:t>
            </w:r>
          </w:p>
        </w:tc>
        <w:tc>
          <w:tcPr>
            <w:tcW w:w="1042" w:type="pct"/>
            <w:shd w:val="clear" w:color="auto" w:fill="F2DBDB" w:themeFill="accent2" w:themeFillTint="33"/>
            <w:tcMar>
              <w:top w:w="15" w:type="dxa"/>
              <w:left w:w="15" w:type="dxa"/>
              <w:bottom w:w="0" w:type="dxa"/>
              <w:right w:w="15" w:type="dxa"/>
            </w:tcMar>
            <w:vAlign w:val="center"/>
            <w:hideMark/>
          </w:tcPr>
          <w:p w14:paraId="7D812153" w14:textId="77777777" w:rsidR="00E25251" w:rsidRPr="00AD2D8C" w:rsidRDefault="00E25251" w:rsidP="00E25251">
            <w:pPr>
              <w:pStyle w:val="NoSpacing"/>
              <w:rPr>
                <w:rFonts w:ascii="Arial" w:hAnsi="Arial" w:cs="Arial"/>
              </w:rPr>
            </w:pPr>
            <w:r w:rsidRPr="00AD2D8C">
              <w:rPr>
                <w:rFonts w:ascii="Arial" w:hAnsi="Arial" w:cs="Arial"/>
              </w:rPr>
              <w:t>Profit</w:t>
            </w:r>
          </w:p>
        </w:tc>
      </w:tr>
      <w:tr w:rsidR="00E25251" w:rsidRPr="00AD2D8C" w14:paraId="4C48FD79" w14:textId="77777777" w:rsidTr="00E25251">
        <w:trPr>
          <w:trHeight w:val="300"/>
          <w:jc w:val="center"/>
        </w:trPr>
        <w:tc>
          <w:tcPr>
            <w:tcW w:w="1300" w:type="pct"/>
            <w:shd w:val="clear" w:color="auto" w:fill="F2DBDB" w:themeFill="accent2" w:themeFillTint="33"/>
            <w:tcMar>
              <w:top w:w="15" w:type="dxa"/>
              <w:left w:w="15" w:type="dxa"/>
              <w:bottom w:w="0" w:type="dxa"/>
              <w:right w:w="15" w:type="dxa"/>
            </w:tcMar>
            <w:vAlign w:val="bottom"/>
            <w:hideMark/>
          </w:tcPr>
          <w:p w14:paraId="38EEAB46" w14:textId="77777777" w:rsidR="00E25251" w:rsidRPr="00AD2D8C" w:rsidRDefault="00E25251" w:rsidP="00E25251">
            <w:pPr>
              <w:pStyle w:val="NoSpacing"/>
              <w:rPr>
                <w:rFonts w:ascii="Arial" w:hAnsi="Arial" w:cs="Arial"/>
              </w:rPr>
            </w:pPr>
            <w:r w:rsidRPr="00AD2D8C">
              <w:rPr>
                <w:rFonts w:ascii="Arial" w:hAnsi="Arial" w:cs="Arial"/>
              </w:rPr>
              <w:t>1</w:t>
            </w:r>
          </w:p>
        </w:tc>
        <w:tc>
          <w:tcPr>
            <w:tcW w:w="1078" w:type="pct"/>
            <w:shd w:val="clear" w:color="auto" w:fill="F2DBDB" w:themeFill="accent2" w:themeFillTint="33"/>
            <w:tcMar>
              <w:top w:w="15" w:type="dxa"/>
              <w:left w:w="15" w:type="dxa"/>
              <w:bottom w:w="0" w:type="dxa"/>
              <w:right w:w="15" w:type="dxa"/>
            </w:tcMar>
            <w:vAlign w:val="bottom"/>
            <w:hideMark/>
          </w:tcPr>
          <w:p w14:paraId="372D743F" w14:textId="77777777" w:rsidR="00E25251" w:rsidRPr="00AD2D8C" w:rsidRDefault="00E25251" w:rsidP="00E25251">
            <w:pPr>
              <w:pStyle w:val="NoSpacing"/>
              <w:rPr>
                <w:rFonts w:ascii="Arial" w:hAnsi="Arial" w:cs="Arial"/>
              </w:rPr>
            </w:pPr>
            <w:r w:rsidRPr="00AD2D8C">
              <w:rPr>
                <w:rFonts w:ascii="Arial" w:hAnsi="Arial" w:cs="Arial"/>
              </w:rPr>
              <w:t>5</w:t>
            </w:r>
          </w:p>
        </w:tc>
        <w:tc>
          <w:tcPr>
            <w:tcW w:w="1580" w:type="pct"/>
            <w:shd w:val="clear" w:color="auto" w:fill="F2DBDB" w:themeFill="accent2" w:themeFillTint="33"/>
            <w:tcMar>
              <w:top w:w="15" w:type="dxa"/>
              <w:left w:w="15" w:type="dxa"/>
              <w:bottom w:w="0" w:type="dxa"/>
              <w:right w:w="15" w:type="dxa"/>
            </w:tcMar>
            <w:vAlign w:val="bottom"/>
            <w:hideMark/>
          </w:tcPr>
          <w:p w14:paraId="65D16A3A" w14:textId="77777777" w:rsidR="00E25251" w:rsidRPr="00AD2D8C" w:rsidRDefault="00E25251" w:rsidP="00E25251">
            <w:pPr>
              <w:pStyle w:val="NoSpacing"/>
              <w:rPr>
                <w:rFonts w:ascii="Arial" w:hAnsi="Arial" w:cs="Arial"/>
              </w:rPr>
            </w:pPr>
            <w:r w:rsidRPr="00AD2D8C">
              <w:rPr>
                <w:rFonts w:ascii="Arial" w:hAnsi="Arial" w:cs="Arial"/>
              </w:rPr>
              <w:t>10</w:t>
            </w:r>
          </w:p>
        </w:tc>
        <w:tc>
          <w:tcPr>
            <w:tcW w:w="1042" w:type="pct"/>
            <w:shd w:val="clear" w:color="auto" w:fill="F2DBDB" w:themeFill="accent2" w:themeFillTint="33"/>
            <w:noWrap/>
            <w:tcMar>
              <w:top w:w="15" w:type="dxa"/>
              <w:left w:w="15" w:type="dxa"/>
              <w:bottom w:w="0" w:type="dxa"/>
              <w:right w:w="15" w:type="dxa"/>
            </w:tcMar>
            <w:vAlign w:val="bottom"/>
            <w:hideMark/>
          </w:tcPr>
          <w:p w14:paraId="2DE52F01" w14:textId="77777777" w:rsidR="00E25251" w:rsidRPr="00AD2D8C" w:rsidRDefault="00E25251" w:rsidP="00E25251">
            <w:pPr>
              <w:pStyle w:val="NoSpacing"/>
              <w:rPr>
                <w:rFonts w:ascii="Arial" w:hAnsi="Arial" w:cs="Arial"/>
              </w:rPr>
            </w:pPr>
            <w:r w:rsidRPr="00AD2D8C">
              <w:rPr>
                <w:rFonts w:ascii="Arial" w:hAnsi="Arial" w:cs="Arial"/>
              </w:rPr>
              <w:t>-5</w:t>
            </w:r>
          </w:p>
        </w:tc>
      </w:tr>
      <w:tr w:rsidR="00E25251" w:rsidRPr="00AD2D8C" w14:paraId="649D215A" w14:textId="77777777" w:rsidTr="00E25251">
        <w:trPr>
          <w:trHeight w:val="300"/>
          <w:jc w:val="center"/>
        </w:trPr>
        <w:tc>
          <w:tcPr>
            <w:tcW w:w="1300" w:type="pct"/>
            <w:shd w:val="clear" w:color="auto" w:fill="F2DBDB" w:themeFill="accent2" w:themeFillTint="33"/>
            <w:tcMar>
              <w:top w:w="15" w:type="dxa"/>
              <w:left w:w="15" w:type="dxa"/>
              <w:bottom w:w="0" w:type="dxa"/>
              <w:right w:w="15" w:type="dxa"/>
            </w:tcMar>
            <w:vAlign w:val="bottom"/>
            <w:hideMark/>
          </w:tcPr>
          <w:p w14:paraId="2730E912" w14:textId="77777777" w:rsidR="00E25251" w:rsidRPr="00AD2D8C" w:rsidRDefault="00E25251" w:rsidP="00E25251">
            <w:pPr>
              <w:pStyle w:val="NoSpacing"/>
              <w:rPr>
                <w:rFonts w:ascii="Arial" w:hAnsi="Arial" w:cs="Arial"/>
              </w:rPr>
            </w:pPr>
            <w:r w:rsidRPr="00AD2D8C">
              <w:rPr>
                <w:rFonts w:ascii="Arial" w:hAnsi="Arial" w:cs="Arial"/>
              </w:rPr>
              <w:t>2</w:t>
            </w:r>
          </w:p>
        </w:tc>
        <w:tc>
          <w:tcPr>
            <w:tcW w:w="1078" w:type="pct"/>
            <w:shd w:val="clear" w:color="auto" w:fill="F2DBDB" w:themeFill="accent2" w:themeFillTint="33"/>
            <w:tcMar>
              <w:top w:w="15" w:type="dxa"/>
              <w:left w:w="15" w:type="dxa"/>
              <w:bottom w:w="0" w:type="dxa"/>
              <w:right w:w="15" w:type="dxa"/>
            </w:tcMar>
            <w:vAlign w:val="bottom"/>
            <w:hideMark/>
          </w:tcPr>
          <w:p w14:paraId="1A6A106A" w14:textId="77777777" w:rsidR="00E25251" w:rsidRPr="00AD2D8C" w:rsidRDefault="00E25251" w:rsidP="00E25251">
            <w:pPr>
              <w:pStyle w:val="NoSpacing"/>
              <w:rPr>
                <w:rFonts w:ascii="Arial" w:hAnsi="Arial" w:cs="Arial"/>
              </w:rPr>
            </w:pPr>
            <w:r w:rsidRPr="00AD2D8C">
              <w:rPr>
                <w:rFonts w:ascii="Arial" w:hAnsi="Arial" w:cs="Arial"/>
              </w:rPr>
              <w:t>10</w:t>
            </w:r>
          </w:p>
        </w:tc>
        <w:tc>
          <w:tcPr>
            <w:tcW w:w="1580" w:type="pct"/>
            <w:shd w:val="clear" w:color="auto" w:fill="F2DBDB" w:themeFill="accent2" w:themeFillTint="33"/>
            <w:tcMar>
              <w:top w:w="15" w:type="dxa"/>
              <w:left w:w="15" w:type="dxa"/>
              <w:bottom w:w="0" w:type="dxa"/>
              <w:right w:w="15" w:type="dxa"/>
            </w:tcMar>
            <w:vAlign w:val="bottom"/>
            <w:hideMark/>
          </w:tcPr>
          <w:p w14:paraId="720460D0" w14:textId="77777777" w:rsidR="00E25251" w:rsidRPr="00AD2D8C" w:rsidRDefault="00E25251" w:rsidP="00E25251">
            <w:pPr>
              <w:pStyle w:val="NoSpacing"/>
              <w:rPr>
                <w:rFonts w:ascii="Arial" w:hAnsi="Arial" w:cs="Arial"/>
              </w:rPr>
            </w:pPr>
            <w:r w:rsidRPr="00AD2D8C">
              <w:rPr>
                <w:rFonts w:ascii="Arial" w:hAnsi="Arial" w:cs="Arial"/>
              </w:rPr>
              <w:t>10</w:t>
            </w:r>
          </w:p>
        </w:tc>
        <w:tc>
          <w:tcPr>
            <w:tcW w:w="1042" w:type="pct"/>
            <w:shd w:val="clear" w:color="auto" w:fill="F2DBDB" w:themeFill="accent2" w:themeFillTint="33"/>
            <w:noWrap/>
            <w:tcMar>
              <w:top w:w="15" w:type="dxa"/>
              <w:left w:w="15" w:type="dxa"/>
              <w:bottom w:w="0" w:type="dxa"/>
              <w:right w:w="15" w:type="dxa"/>
            </w:tcMar>
            <w:vAlign w:val="bottom"/>
            <w:hideMark/>
          </w:tcPr>
          <w:p w14:paraId="2D02EF25" w14:textId="77777777" w:rsidR="00E25251" w:rsidRPr="00AD2D8C" w:rsidRDefault="00E25251" w:rsidP="00E25251">
            <w:pPr>
              <w:pStyle w:val="NoSpacing"/>
              <w:rPr>
                <w:rFonts w:ascii="Arial" w:hAnsi="Arial" w:cs="Arial"/>
              </w:rPr>
            </w:pPr>
            <w:r w:rsidRPr="00AD2D8C">
              <w:rPr>
                <w:rFonts w:ascii="Arial" w:hAnsi="Arial" w:cs="Arial"/>
              </w:rPr>
              <w:t>0</w:t>
            </w:r>
          </w:p>
        </w:tc>
      </w:tr>
      <w:tr w:rsidR="00E25251" w:rsidRPr="00AD2D8C" w14:paraId="653B4020" w14:textId="77777777" w:rsidTr="00E25251">
        <w:trPr>
          <w:trHeight w:val="300"/>
          <w:jc w:val="center"/>
        </w:trPr>
        <w:tc>
          <w:tcPr>
            <w:tcW w:w="1300" w:type="pct"/>
            <w:shd w:val="clear" w:color="auto" w:fill="F2DBDB" w:themeFill="accent2" w:themeFillTint="33"/>
            <w:tcMar>
              <w:top w:w="15" w:type="dxa"/>
              <w:left w:w="15" w:type="dxa"/>
              <w:bottom w:w="0" w:type="dxa"/>
              <w:right w:w="15" w:type="dxa"/>
            </w:tcMar>
            <w:vAlign w:val="bottom"/>
            <w:hideMark/>
          </w:tcPr>
          <w:p w14:paraId="7B155B66" w14:textId="77777777" w:rsidR="00E25251" w:rsidRPr="00AD2D8C" w:rsidRDefault="00E25251" w:rsidP="00E25251">
            <w:pPr>
              <w:pStyle w:val="NoSpacing"/>
              <w:rPr>
                <w:rFonts w:ascii="Arial" w:hAnsi="Arial" w:cs="Arial"/>
              </w:rPr>
            </w:pPr>
            <w:r w:rsidRPr="00AD2D8C">
              <w:rPr>
                <w:rFonts w:ascii="Arial" w:hAnsi="Arial" w:cs="Arial"/>
              </w:rPr>
              <w:t>3</w:t>
            </w:r>
          </w:p>
        </w:tc>
        <w:tc>
          <w:tcPr>
            <w:tcW w:w="1078" w:type="pct"/>
            <w:shd w:val="clear" w:color="auto" w:fill="F2DBDB" w:themeFill="accent2" w:themeFillTint="33"/>
            <w:tcMar>
              <w:top w:w="15" w:type="dxa"/>
              <w:left w:w="15" w:type="dxa"/>
              <w:bottom w:w="0" w:type="dxa"/>
              <w:right w:w="15" w:type="dxa"/>
            </w:tcMar>
            <w:vAlign w:val="bottom"/>
            <w:hideMark/>
          </w:tcPr>
          <w:p w14:paraId="7D6052DC" w14:textId="77777777" w:rsidR="00E25251" w:rsidRPr="00AD2D8C" w:rsidRDefault="00E25251" w:rsidP="00E25251">
            <w:pPr>
              <w:pStyle w:val="NoSpacing"/>
              <w:rPr>
                <w:rFonts w:ascii="Arial" w:hAnsi="Arial" w:cs="Arial"/>
              </w:rPr>
            </w:pPr>
            <w:r w:rsidRPr="00AD2D8C">
              <w:rPr>
                <w:rFonts w:ascii="Arial" w:hAnsi="Arial" w:cs="Arial"/>
              </w:rPr>
              <w:t>20</w:t>
            </w:r>
          </w:p>
        </w:tc>
        <w:tc>
          <w:tcPr>
            <w:tcW w:w="1580" w:type="pct"/>
            <w:shd w:val="clear" w:color="auto" w:fill="F2DBDB" w:themeFill="accent2" w:themeFillTint="33"/>
            <w:tcMar>
              <w:top w:w="15" w:type="dxa"/>
              <w:left w:w="15" w:type="dxa"/>
              <w:bottom w:w="0" w:type="dxa"/>
              <w:right w:w="15" w:type="dxa"/>
            </w:tcMar>
            <w:vAlign w:val="bottom"/>
            <w:hideMark/>
          </w:tcPr>
          <w:p w14:paraId="7357B708" w14:textId="77777777" w:rsidR="00E25251" w:rsidRPr="00AD2D8C" w:rsidRDefault="00E25251" w:rsidP="00E25251">
            <w:pPr>
              <w:pStyle w:val="NoSpacing"/>
              <w:rPr>
                <w:rFonts w:ascii="Arial" w:hAnsi="Arial" w:cs="Arial"/>
              </w:rPr>
            </w:pPr>
            <w:r w:rsidRPr="00AD2D8C">
              <w:rPr>
                <w:rFonts w:ascii="Arial" w:hAnsi="Arial" w:cs="Arial"/>
              </w:rPr>
              <w:t>10</w:t>
            </w:r>
          </w:p>
        </w:tc>
        <w:tc>
          <w:tcPr>
            <w:tcW w:w="1042" w:type="pct"/>
            <w:shd w:val="clear" w:color="auto" w:fill="F2DBDB" w:themeFill="accent2" w:themeFillTint="33"/>
            <w:noWrap/>
            <w:tcMar>
              <w:top w:w="15" w:type="dxa"/>
              <w:left w:w="15" w:type="dxa"/>
              <w:bottom w:w="0" w:type="dxa"/>
              <w:right w:w="15" w:type="dxa"/>
            </w:tcMar>
            <w:vAlign w:val="bottom"/>
            <w:hideMark/>
          </w:tcPr>
          <w:p w14:paraId="0715AA84" w14:textId="77777777" w:rsidR="00E25251" w:rsidRPr="00AD2D8C" w:rsidRDefault="00E25251" w:rsidP="00E25251">
            <w:pPr>
              <w:pStyle w:val="NoSpacing"/>
              <w:rPr>
                <w:rFonts w:ascii="Arial" w:hAnsi="Arial" w:cs="Arial"/>
              </w:rPr>
            </w:pPr>
            <w:r w:rsidRPr="00AD2D8C">
              <w:rPr>
                <w:rFonts w:ascii="Arial" w:hAnsi="Arial" w:cs="Arial"/>
              </w:rPr>
              <w:t>10</w:t>
            </w:r>
          </w:p>
        </w:tc>
      </w:tr>
      <w:tr w:rsidR="00E25251" w:rsidRPr="00AD2D8C" w14:paraId="73760478" w14:textId="77777777" w:rsidTr="00E25251">
        <w:trPr>
          <w:trHeight w:val="300"/>
          <w:jc w:val="center"/>
        </w:trPr>
        <w:tc>
          <w:tcPr>
            <w:tcW w:w="1300" w:type="pct"/>
            <w:shd w:val="clear" w:color="auto" w:fill="F2DBDB" w:themeFill="accent2" w:themeFillTint="33"/>
            <w:tcMar>
              <w:top w:w="15" w:type="dxa"/>
              <w:left w:w="15" w:type="dxa"/>
              <w:bottom w:w="0" w:type="dxa"/>
              <w:right w:w="15" w:type="dxa"/>
            </w:tcMar>
            <w:vAlign w:val="bottom"/>
            <w:hideMark/>
          </w:tcPr>
          <w:p w14:paraId="2D17F1FB" w14:textId="77777777" w:rsidR="00E25251" w:rsidRPr="00AD2D8C" w:rsidRDefault="00E25251" w:rsidP="00E25251">
            <w:pPr>
              <w:pStyle w:val="NoSpacing"/>
              <w:rPr>
                <w:rFonts w:ascii="Arial" w:hAnsi="Arial" w:cs="Arial"/>
              </w:rPr>
            </w:pPr>
            <w:r w:rsidRPr="00AD2D8C">
              <w:rPr>
                <w:rFonts w:ascii="Arial" w:hAnsi="Arial" w:cs="Arial"/>
              </w:rPr>
              <w:t>4</w:t>
            </w:r>
          </w:p>
        </w:tc>
        <w:tc>
          <w:tcPr>
            <w:tcW w:w="1078" w:type="pct"/>
            <w:shd w:val="clear" w:color="auto" w:fill="F2DBDB" w:themeFill="accent2" w:themeFillTint="33"/>
            <w:tcMar>
              <w:top w:w="15" w:type="dxa"/>
              <w:left w:w="15" w:type="dxa"/>
              <w:bottom w:w="0" w:type="dxa"/>
              <w:right w:w="15" w:type="dxa"/>
            </w:tcMar>
            <w:vAlign w:val="bottom"/>
            <w:hideMark/>
          </w:tcPr>
          <w:p w14:paraId="0AAAE24F" w14:textId="77777777" w:rsidR="00E25251" w:rsidRPr="00AD2D8C" w:rsidRDefault="00E25251" w:rsidP="00E25251">
            <w:pPr>
              <w:pStyle w:val="NoSpacing"/>
              <w:rPr>
                <w:rFonts w:ascii="Arial" w:hAnsi="Arial" w:cs="Arial"/>
              </w:rPr>
            </w:pPr>
            <w:r w:rsidRPr="00AD2D8C">
              <w:rPr>
                <w:rFonts w:ascii="Arial" w:hAnsi="Arial" w:cs="Arial"/>
              </w:rPr>
              <w:t>25</w:t>
            </w:r>
          </w:p>
        </w:tc>
        <w:tc>
          <w:tcPr>
            <w:tcW w:w="1580" w:type="pct"/>
            <w:shd w:val="clear" w:color="auto" w:fill="F2DBDB" w:themeFill="accent2" w:themeFillTint="33"/>
            <w:tcMar>
              <w:top w:w="15" w:type="dxa"/>
              <w:left w:w="15" w:type="dxa"/>
              <w:bottom w:w="0" w:type="dxa"/>
              <w:right w:w="15" w:type="dxa"/>
            </w:tcMar>
            <w:vAlign w:val="bottom"/>
            <w:hideMark/>
          </w:tcPr>
          <w:p w14:paraId="58B8A60C" w14:textId="77777777" w:rsidR="00E25251" w:rsidRPr="00AD2D8C" w:rsidRDefault="00E25251" w:rsidP="00E25251">
            <w:pPr>
              <w:pStyle w:val="NoSpacing"/>
              <w:rPr>
                <w:rFonts w:ascii="Arial" w:hAnsi="Arial" w:cs="Arial"/>
              </w:rPr>
            </w:pPr>
            <w:r w:rsidRPr="00AD2D8C">
              <w:rPr>
                <w:rFonts w:ascii="Arial" w:hAnsi="Arial" w:cs="Arial"/>
              </w:rPr>
              <w:t>10</w:t>
            </w:r>
          </w:p>
        </w:tc>
        <w:tc>
          <w:tcPr>
            <w:tcW w:w="1042" w:type="pct"/>
            <w:shd w:val="clear" w:color="auto" w:fill="F2DBDB" w:themeFill="accent2" w:themeFillTint="33"/>
            <w:noWrap/>
            <w:tcMar>
              <w:top w:w="15" w:type="dxa"/>
              <w:left w:w="15" w:type="dxa"/>
              <w:bottom w:w="0" w:type="dxa"/>
              <w:right w:w="15" w:type="dxa"/>
            </w:tcMar>
            <w:vAlign w:val="bottom"/>
            <w:hideMark/>
          </w:tcPr>
          <w:p w14:paraId="3EC700C9" w14:textId="77777777" w:rsidR="00E25251" w:rsidRPr="00AD2D8C" w:rsidRDefault="00E25251" w:rsidP="00E25251">
            <w:pPr>
              <w:pStyle w:val="NoSpacing"/>
              <w:rPr>
                <w:rFonts w:ascii="Arial" w:hAnsi="Arial" w:cs="Arial"/>
              </w:rPr>
            </w:pPr>
            <w:r w:rsidRPr="00AD2D8C">
              <w:rPr>
                <w:rFonts w:ascii="Arial" w:hAnsi="Arial" w:cs="Arial"/>
              </w:rPr>
              <w:t>15</w:t>
            </w:r>
          </w:p>
        </w:tc>
      </w:tr>
      <w:tr w:rsidR="00E25251" w:rsidRPr="00AD2D8C" w14:paraId="3F13BB61" w14:textId="77777777" w:rsidTr="00E25251">
        <w:trPr>
          <w:trHeight w:val="300"/>
          <w:jc w:val="center"/>
        </w:trPr>
        <w:tc>
          <w:tcPr>
            <w:tcW w:w="1300" w:type="pct"/>
            <w:shd w:val="clear" w:color="auto" w:fill="F2DBDB" w:themeFill="accent2" w:themeFillTint="33"/>
            <w:tcMar>
              <w:top w:w="15" w:type="dxa"/>
              <w:left w:w="15" w:type="dxa"/>
              <w:bottom w:w="0" w:type="dxa"/>
              <w:right w:w="15" w:type="dxa"/>
            </w:tcMar>
            <w:vAlign w:val="bottom"/>
            <w:hideMark/>
          </w:tcPr>
          <w:p w14:paraId="11966D8D" w14:textId="77777777" w:rsidR="00E25251" w:rsidRPr="00AD2D8C" w:rsidRDefault="00E25251" w:rsidP="00E25251">
            <w:pPr>
              <w:pStyle w:val="NoSpacing"/>
              <w:rPr>
                <w:rFonts w:ascii="Arial" w:hAnsi="Arial" w:cs="Arial"/>
              </w:rPr>
            </w:pPr>
            <w:r w:rsidRPr="00AD2D8C">
              <w:rPr>
                <w:rFonts w:ascii="Arial" w:hAnsi="Arial" w:cs="Arial"/>
              </w:rPr>
              <w:t>5</w:t>
            </w:r>
          </w:p>
        </w:tc>
        <w:tc>
          <w:tcPr>
            <w:tcW w:w="1078" w:type="pct"/>
            <w:shd w:val="clear" w:color="auto" w:fill="F2DBDB" w:themeFill="accent2" w:themeFillTint="33"/>
            <w:tcMar>
              <w:top w:w="15" w:type="dxa"/>
              <w:left w:w="15" w:type="dxa"/>
              <w:bottom w:w="0" w:type="dxa"/>
              <w:right w:w="15" w:type="dxa"/>
            </w:tcMar>
            <w:vAlign w:val="bottom"/>
            <w:hideMark/>
          </w:tcPr>
          <w:p w14:paraId="52F57ABC" w14:textId="77777777" w:rsidR="00E25251" w:rsidRPr="00AD2D8C" w:rsidRDefault="00E25251" w:rsidP="00E25251">
            <w:pPr>
              <w:pStyle w:val="NoSpacing"/>
              <w:rPr>
                <w:rFonts w:ascii="Arial" w:hAnsi="Arial" w:cs="Arial"/>
              </w:rPr>
            </w:pPr>
            <w:r w:rsidRPr="00AD2D8C">
              <w:rPr>
                <w:rFonts w:ascii="Arial" w:hAnsi="Arial" w:cs="Arial"/>
              </w:rPr>
              <w:t>5</w:t>
            </w:r>
          </w:p>
        </w:tc>
        <w:tc>
          <w:tcPr>
            <w:tcW w:w="1580" w:type="pct"/>
            <w:shd w:val="clear" w:color="auto" w:fill="F2DBDB" w:themeFill="accent2" w:themeFillTint="33"/>
            <w:tcMar>
              <w:top w:w="15" w:type="dxa"/>
              <w:left w:w="15" w:type="dxa"/>
              <w:bottom w:w="0" w:type="dxa"/>
              <w:right w:w="15" w:type="dxa"/>
            </w:tcMar>
            <w:vAlign w:val="bottom"/>
            <w:hideMark/>
          </w:tcPr>
          <w:p w14:paraId="2E726733" w14:textId="77777777" w:rsidR="00E25251" w:rsidRPr="00AD2D8C" w:rsidRDefault="00E25251" w:rsidP="00E25251">
            <w:pPr>
              <w:pStyle w:val="NoSpacing"/>
              <w:rPr>
                <w:rFonts w:ascii="Arial" w:hAnsi="Arial" w:cs="Arial"/>
              </w:rPr>
            </w:pPr>
            <w:r w:rsidRPr="00AD2D8C">
              <w:rPr>
                <w:rFonts w:ascii="Arial" w:hAnsi="Arial" w:cs="Arial"/>
              </w:rPr>
              <w:t>10</w:t>
            </w:r>
          </w:p>
        </w:tc>
        <w:tc>
          <w:tcPr>
            <w:tcW w:w="1042" w:type="pct"/>
            <w:shd w:val="clear" w:color="auto" w:fill="F2DBDB" w:themeFill="accent2" w:themeFillTint="33"/>
            <w:noWrap/>
            <w:tcMar>
              <w:top w:w="15" w:type="dxa"/>
              <w:left w:w="15" w:type="dxa"/>
              <w:bottom w:w="0" w:type="dxa"/>
              <w:right w:w="15" w:type="dxa"/>
            </w:tcMar>
            <w:vAlign w:val="bottom"/>
            <w:hideMark/>
          </w:tcPr>
          <w:p w14:paraId="75EDCE64" w14:textId="77777777" w:rsidR="00E25251" w:rsidRPr="00AD2D8C" w:rsidRDefault="00E25251" w:rsidP="00E25251">
            <w:pPr>
              <w:pStyle w:val="NoSpacing"/>
              <w:rPr>
                <w:rFonts w:ascii="Arial" w:hAnsi="Arial" w:cs="Arial"/>
              </w:rPr>
            </w:pPr>
            <w:r w:rsidRPr="00AD2D8C">
              <w:rPr>
                <w:rFonts w:ascii="Arial" w:hAnsi="Arial" w:cs="Arial"/>
              </w:rPr>
              <w:t>-5</w:t>
            </w:r>
          </w:p>
        </w:tc>
      </w:tr>
      <w:tr w:rsidR="00E25251" w:rsidRPr="00AD2D8C" w14:paraId="0E52FAD3" w14:textId="77777777" w:rsidTr="00E25251">
        <w:trPr>
          <w:trHeight w:val="256"/>
          <w:jc w:val="center"/>
        </w:trPr>
        <w:tc>
          <w:tcPr>
            <w:tcW w:w="1300" w:type="pct"/>
            <w:shd w:val="clear" w:color="auto" w:fill="F2DBDB" w:themeFill="accent2" w:themeFillTint="33"/>
            <w:tcMar>
              <w:top w:w="15" w:type="dxa"/>
              <w:left w:w="15" w:type="dxa"/>
              <w:bottom w:w="0" w:type="dxa"/>
              <w:right w:w="15" w:type="dxa"/>
            </w:tcMar>
            <w:vAlign w:val="bottom"/>
            <w:hideMark/>
          </w:tcPr>
          <w:p w14:paraId="73084509" w14:textId="77777777" w:rsidR="00E25251" w:rsidRPr="00AD2D8C" w:rsidRDefault="00E25251" w:rsidP="00E25251">
            <w:pPr>
              <w:pStyle w:val="NoSpacing"/>
              <w:rPr>
                <w:rFonts w:ascii="Arial" w:hAnsi="Arial" w:cs="Arial"/>
              </w:rPr>
            </w:pPr>
            <w:r w:rsidRPr="00AD2D8C">
              <w:rPr>
                <w:rFonts w:ascii="Arial" w:hAnsi="Arial" w:cs="Arial"/>
              </w:rPr>
              <w:t> </w:t>
            </w:r>
          </w:p>
        </w:tc>
        <w:tc>
          <w:tcPr>
            <w:tcW w:w="1078" w:type="pct"/>
            <w:shd w:val="clear" w:color="auto" w:fill="F2DBDB" w:themeFill="accent2" w:themeFillTint="33"/>
            <w:noWrap/>
            <w:tcMar>
              <w:top w:w="15" w:type="dxa"/>
              <w:left w:w="15" w:type="dxa"/>
              <w:bottom w:w="0" w:type="dxa"/>
              <w:right w:w="15" w:type="dxa"/>
            </w:tcMar>
            <w:vAlign w:val="bottom"/>
            <w:hideMark/>
          </w:tcPr>
          <w:p w14:paraId="1F4D7171" w14:textId="77777777" w:rsidR="00E25251" w:rsidRPr="00AD2D8C" w:rsidRDefault="00E25251" w:rsidP="00E25251">
            <w:pPr>
              <w:pStyle w:val="NoSpacing"/>
              <w:rPr>
                <w:rFonts w:ascii="Arial" w:hAnsi="Arial" w:cs="Arial"/>
              </w:rPr>
            </w:pPr>
            <w:r w:rsidRPr="00AD2D8C">
              <w:rPr>
                <w:rFonts w:ascii="Arial" w:hAnsi="Arial" w:cs="Arial"/>
              </w:rPr>
              <w:t> </w:t>
            </w:r>
          </w:p>
        </w:tc>
        <w:tc>
          <w:tcPr>
            <w:tcW w:w="1580" w:type="pct"/>
            <w:shd w:val="clear" w:color="auto" w:fill="F2DBDB" w:themeFill="accent2" w:themeFillTint="33"/>
            <w:tcMar>
              <w:top w:w="15" w:type="dxa"/>
              <w:left w:w="15" w:type="dxa"/>
              <w:bottom w:w="0" w:type="dxa"/>
              <w:right w:w="15" w:type="dxa"/>
            </w:tcMar>
            <w:vAlign w:val="bottom"/>
            <w:hideMark/>
          </w:tcPr>
          <w:p w14:paraId="7905C999" w14:textId="77777777" w:rsidR="00E25251" w:rsidRPr="00AD2D8C" w:rsidRDefault="00E25251" w:rsidP="00E25251">
            <w:pPr>
              <w:pStyle w:val="NoSpacing"/>
              <w:rPr>
                <w:rFonts w:ascii="Arial" w:hAnsi="Arial" w:cs="Arial"/>
              </w:rPr>
            </w:pPr>
            <w:r w:rsidRPr="00AD2D8C">
              <w:rPr>
                <w:rFonts w:ascii="Arial" w:hAnsi="Arial" w:cs="Arial"/>
              </w:rPr>
              <w:t xml:space="preserve">Total profit </w:t>
            </w:r>
          </w:p>
        </w:tc>
        <w:tc>
          <w:tcPr>
            <w:tcW w:w="1042" w:type="pct"/>
            <w:shd w:val="clear" w:color="auto" w:fill="F2DBDB" w:themeFill="accent2" w:themeFillTint="33"/>
            <w:noWrap/>
            <w:tcMar>
              <w:top w:w="15" w:type="dxa"/>
              <w:left w:w="15" w:type="dxa"/>
              <w:bottom w:w="0" w:type="dxa"/>
              <w:right w:w="15" w:type="dxa"/>
            </w:tcMar>
            <w:vAlign w:val="bottom"/>
            <w:hideMark/>
          </w:tcPr>
          <w:p w14:paraId="6E13F2B5" w14:textId="77777777" w:rsidR="00E25251" w:rsidRPr="00AD2D8C" w:rsidRDefault="00E25251" w:rsidP="00E25251">
            <w:pPr>
              <w:pStyle w:val="NoSpacing"/>
              <w:rPr>
                <w:rFonts w:ascii="Arial" w:hAnsi="Arial" w:cs="Arial"/>
              </w:rPr>
            </w:pPr>
            <w:r w:rsidRPr="00AD2D8C">
              <w:rPr>
                <w:rFonts w:ascii="Arial" w:hAnsi="Arial" w:cs="Arial"/>
              </w:rPr>
              <w:t>15</w:t>
            </w:r>
          </w:p>
        </w:tc>
      </w:tr>
      <w:tr w:rsidR="00E25251" w:rsidRPr="00AD2D8C" w14:paraId="7B022517" w14:textId="77777777" w:rsidTr="00E25251">
        <w:trPr>
          <w:trHeight w:val="246"/>
          <w:jc w:val="center"/>
        </w:trPr>
        <w:tc>
          <w:tcPr>
            <w:tcW w:w="1300" w:type="pct"/>
            <w:shd w:val="clear" w:color="auto" w:fill="F2DBDB" w:themeFill="accent2" w:themeFillTint="33"/>
            <w:tcMar>
              <w:top w:w="15" w:type="dxa"/>
              <w:left w:w="15" w:type="dxa"/>
              <w:bottom w:w="0" w:type="dxa"/>
              <w:right w:w="15" w:type="dxa"/>
            </w:tcMar>
            <w:vAlign w:val="bottom"/>
            <w:hideMark/>
          </w:tcPr>
          <w:p w14:paraId="206D27E0" w14:textId="77777777" w:rsidR="00E25251" w:rsidRPr="00AD2D8C" w:rsidRDefault="00E25251" w:rsidP="00E25251">
            <w:pPr>
              <w:pStyle w:val="NoSpacing"/>
              <w:jc w:val="center"/>
              <w:rPr>
                <w:rFonts w:ascii="Arial" w:hAnsi="Arial" w:cs="Arial"/>
              </w:rPr>
            </w:pPr>
            <w:r w:rsidRPr="00AD2D8C">
              <w:rPr>
                <w:rFonts w:ascii="Arial" w:hAnsi="Arial" w:cs="Arial"/>
              </w:rPr>
              <w:t>Average profit</w:t>
            </w:r>
          </w:p>
        </w:tc>
        <w:tc>
          <w:tcPr>
            <w:tcW w:w="1078" w:type="pct"/>
            <w:shd w:val="clear" w:color="auto" w:fill="F2DBDB" w:themeFill="accent2" w:themeFillTint="33"/>
            <w:noWrap/>
            <w:tcMar>
              <w:top w:w="15" w:type="dxa"/>
              <w:left w:w="15" w:type="dxa"/>
              <w:bottom w:w="0" w:type="dxa"/>
              <w:right w:w="15" w:type="dxa"/>
            </w:tcMar>
            <w:vAlign w:val="bottom"/>
            <w:hideMark/>
          </w:tcPr>
          <w:p w14:paraId="169F9132" w14:textId="77777777" w:rsidR="00E25251" w:rsidRPr="00AD2D8C" w:rsidRDefault="00E25251" w:rsidP="00E25251">
            <w:pPr>
              <w:pStyle w:val="NoSpacing"/>
              <w:jc w:val="center"/>
              <w:rPr>
                <w:rFonts w:ascii="Arial" w:hAnsi="Arial" w:cs="Arial"/>
              </w:rPr>
            </w:pPr>
            <w:r w:rsidRPr="00AD2D8C">
              <w:rPr>
                <w:rFonts w:ascii="Arial" w:hAnsi="Arial" w:cs="Arial"/>
              </w:rPr>
              <w:t>3</w:t>
            </w:r>
          </w:p>
        </w:tc>
        <w:tc>
          <w:tcPr>
            <w:tcW w:w="1580" w:type="pct"/>
            <w:shd w:val="clear" w:color="auto" w:fill="F2DBDB" w:themeFill="accent2" w:themeFillTint="33"/>
            <w:noWrap/>
            <w:tcMar>
              <w:top w:w="15" w:type="dxa"/>
              <w:left w:w="15" w:type="dxa"/>
              <w:bottom w:w="0" w:type="dxa"/>
              <w:right w:w="15" w:type="dxa"/>
            </w:tcMar>
            <w:vAlign w:val="bottom"/>
            <w:hideMark/>
          </w:tcPr>
          <w:p w14:paraId="0291F652" w14:textId="77777777" w:rsidR="00E25251" w:rsidRPr="00AD2D8C" w:rsidRDefault="00E25251" w:rsidP="00E25251">
            <w:pPr>
              <w:pStyle w:val="NoSpacing"/>
              <w:jc w:val="center"/>
              <w:rPr>
                <w:rFonts w:ascii="Arial" w:hAnsi="Arial" w:cs="Arial"/>
              </w:rPr>
            </w:pPr>
          </w:p>
        </w:tc>
        <w:tc>
          <w:tcPr>
            <w:tcW w:w="1042" w:type="pct"/>
            <w:shd w:val="clear" w:color="auto" w:fill="F2DBDB" w:themeFill="accent2" w:themeFillTint="33"/>
            <w:noWrap/>
            <w:tcMar>
              <w:top w:w="15" w:type="dxa"/>
              <w:left w:w="15" w:type="dxa"/>
              <w:bottom w:w="0" w:type="dxa"/>
              <w:right w:w="15" w:type="dxa"/>
            </w:tcMar>
            <w:vAlign w:val="bottom"/>
            <w:hideMark/>
          </w:tcPr>
          <w:p w14:paraId="34A36262" w14:textId="77777777" w:rsidR="00E25251" w:rsidRPr="00AD2D8C" w:rsidRDefault="00E25251" w:rsidP="00E25251">
            <w:pPr>
              <w:pStyle w:val="NoSpacing"/>
              <w:jc w:val="center"/>
              <w:rPr>
                <w:rFonts w:ascii="Arial" w:hAnsi="Arial" w:cs="Arial"/>
              </w:rPr>
            </w:pPr>
          </w:p>
        </w:tc>
      </w:tr>
      <w:tr w:rsidR="00E25251" w:rsidRPr="00AD2D8C" w14:paraId="4724171E" w14:textId="77777777" w:rsidTr="00E25251">
        <w:trPr>
          <w:trHeight w:val="266"/>
          <w:jc w:val="center"/>
        </w:trPr>
        <w:tc>
          <w:tcPr>
            <w:tcW w:w="1300" w:type="pct"/>
            <w:shd w:val="clear" w:color="auto" w:fill="F2DBDB" w:themeFill="accent2" w:themeFillTint="33"/>
            <w:tcMar>
              <w:top w:w="15" w:type="dxa"/>
              <w:left w:w="15" w:type="dxa"/>
              <w:bottom w:w="0" w:type="dxa"/>
              <w:right w:w="15" w:type="dxa"/>
            </w:tcMar>
            <w:vAlign w:val="bottom"/>
            <w:hideMark/>
          </w:tcPr>
          <w:p w14:paraId="1C55CBE2" w14:textId="77777777" w:rsidR="00E25251" w:rsidRPr="00AD2D8C" w:rsidRDefault="00E25251" w:rsidP="00E25251">
            <w:pPr>
              <w:pStyle w:val="NoSpacing"/>
              <w:jc w:val="center"/>
              <w:rPr>
                <w:rFonts w:ascii="Arial" w:hAnsi="Arial" w:cs="Arial"/>
              </w:rPr>
            </w:pPr>
            <w:r w:rsidRPr="00AD2D8C">
              <w:rPr>
                <w:rFonts w:ascii="Arial" w:hAnsi="Arial" w:cs="Arial"/>
              </w:rPr>
              <w:lastRenderedPageBreak/>
              <w:t>ARR</w:t>
            </w:r>
          </w:p>
        </w:tc>
        <w:tc>
          <w:tcPr>
            <w:tcW w:w="1078" w:type="pct"/>
            <w:shd w:val="clear" w:color="auto" w:fill="F2DBDB" w:themeFill="accent2" w:themeFillTint="33"/>
            <w:noWrap/>
            <w:tcMar>
              <w:top w:w="15" w:type="dxa"/>
              <w:left w:w="15" w:type="dxa"/>
              <w:bottom w:w="0" w:type="dxa"/>
              <w:right w:w="15" w:type="dxa"/>
            </w:tcMar>
            <w:vAlign w:val="bottom"/>
            <w:hideMark/>
          </w:tcPr>
          <w:p w14:paraId="227B5F91" w14:textId="77777777" w:rsidR="00E25251" w:rsidRPr="00AD2D8C" w:rsidRDefault="00E25251" w:rsidP="00E25251">
            <w:pPr>
              <w:pStyle w:val="NoSpacing"/>
              <w:jc w:val="center"/>
              <w:rPr>
                <w:rFonts w:ascii="Arial" w:hAnsi="Arial" w:cs="Arial"/>
              </w:rPr>
            </w:pPr>
            <w:r w:rsidRPr="00AD2D8C">
              <w:rPr>
                <w:rFonts w:ascii="Arial" w:hAnsi="Arial" w:cs="Arial"/>
              </w:rPr>
              <w:t>6</w:t>
            </w:r>
          </w:p>
        </w:tc>
        <w:tc>
          <w:tcPr>
            <w:tcW w:w="1580" w:type="pct"/>
            <w:shd w:val="clear" w:color="auto" w:fill="F2DBDB" w:themeFill="accent2" w:themeFillTint="33"/>
            <w:noWrap/>
            <w:tcMar>
              <w:top w:w="15" w:type="dxa"/>
              <w:left w:w="15" w:type="dxa"/>
              <w:bottom w:w="0" w:type="dxa"/>
              <w:right w:w="15" w:type="dxa"/>
            </w:tcMar>
            <w:vAlign w:val="bottom"/>
            <w:hideMark/>
          </w:tcPr>
          <w:p w14:paraId="720DF592" w14:textId="77777777" w:rsidR="00E25251" w:rsidRPr="00AD2D8C" w:rsidRDefault="00E25251" w:rsidP="00E25251">
            <w:pPr>
              <w:pStyle w:val="NoSpacing"/>
              <w:jc w:val="center"/>
              <w:rPr>
                <w:rFonts w:ascii="Arial" w:hAnsi="Arial" w:cs="Arial"/>
              </w:rPr>
            </w:pPr>
          </w:p>
        </w:tc>
        <w:tc>
          <w:tcPr>
            <w:tcW w:w="1042" w:type="pct"/>
            <w:shd w:val="clear" w:color="auto" w:fill="F2DBDB" w:themeFill="accent2" w:themeFillTint="33"/>
            <w:noWrap/>
            <w:tcMar>
              <w:top w:w="15" w:type="dxa"/>
              <w:left w:w="15" w:type="dxa"/>
              <w:bottom w:w="0" w:type="dxa"/>
              <w:right w:w="15" w:type="dxa"/>
            </w:tcMar>
            <w:vAlign w:val="bottom"/>
            <w:hideMark/>
          </w:tcPr>
          <w:p w14:paraId="1C92CF36" w14:textId="77777777" w:rsidR="00E25251" w:rsidRPr="00AD2D8C" w:rsidRDefault="00E25251" w:rsidP="00E25251">
            <w:pPr>
              <w:pStyle w:val="NoSpacing"/>
              <w:jc w:val="center"/>
              <w:rPr>
                <w:rFonts w:ascii="Arial" w:hAnsi="Arial" w:cs="Arial"/>
              </w:rPr>
            </w:pPr>
          </w:p>
        </w:tc>
      </w:tr>
    </w:tbl>
    <w:p w14:paraId="4E97C532" w14:textId="77777777" w:rsidR="00BB3348" w:rsidRPr="00AD2D8C" w:rsidRDefault="00E25251">
      <w:pPr>
        <w:spacing w:line="240" w:lineRule="auto"/>
        <w:jc w:val="left"/>
        <w:rPr>
          <w:rFonts w:ascii="Arial" w:hAnsi="Arial" w:cs="Arial"/>
        </w:rPr>
      </w:pPr>
      <w:r w:rsidRPr="00AD2D8C">
        <w:rPr>
          <w:rFonts w:ascii="Arial" w:hAnsi="Arial" w:cs="Arial"/>
        </w:rPr>
        <w:t xml:space="preserve"> </w:t>
      </w:r>
      <w:r w:rsidR="00BB3348" w:rsidRPr="00AD2D8C">
        <w:rPr>
          <w:rFonts w:ascii="Arial" w:hAnsi="Arial" w:cs="Arial"/>
        </w:rPr>
        <w:br w:type="page"/>
      </w:r>
    </w:p>
    <w:p w14:paraId="2F74ED33" w14:textId="77777777" w:rsidR="00BB3348" w:rsidRPr="00AD2D8C" w:rsidRDefault="00BB3348" w:rsidP="00BC2008">
      <w:pPr>
        <w:rPr>
          <w:rFonts w:ascii="Arial" w:hAnsi="Arial" w:cs="Arial"/>
        </w:rPr>
      </w:pPr>
      <w:r w:rsidRPr="00AD2D8C">
        <w:rPr>
          <w:rFonts w:ascii="Arial" w:hAnsi="Arial" w:cs="Arial"/>
          <w:noProof/>
          <w:lang w:val="en-US"/>
        </w:rPr>
        <w:lastRenderedPageBreak/>
        <w:drawing>
          <wp:inline distT="0" distB="0" distL="0" distR="0" wp14:anchorId="675C6D2E" wp14:editId="5FD56ABB">
            <wp:extent cx="5943600" cy="2014855"/>
            <wp:effectExtent l="0" t="0" r="0" b="4445"/>
            <wp:docPr id="5929459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2014855"/>
                    </a:xfrm>
                    <a:prstGeom prst="rect">
                      <a:avLst/>
                    </a:prstGeom>
                    <a:noFill/>
                    <a:ln>
                      <a:noFill/>
                    </a:ln>
                  </pic:spPr>
                </pic:pic>
              </a:graphicData>
            </a:graphic>
          </wp:inline>
        </w:drawing>
      </w:r>
    </w:p>
    <w:p w14:paraId="33BC95CB" w14:textId="77777777" w:rsidR="00BB3348" w:rsidRPr="00AD2D8C" w:rsidRDefault="00BB3348">
      <w:pPr>
        <w:spacing w:line="240" w:lineRule="auto"/>
        <w:jc w:val="left"/>
        <w:rPr>
          <w:rFonts w:ascii="Arial" w:hAnsi="Arial" w:cs="Arial"/>
        </w:rPr>
      </w:pPr>
      <w:r w:rsidRPr="00AD2D8C">
        <w:rPr>
          <w:rFonts w:ascii="Arial" w:hAnsi="Arial" w:cs="Arial"/>
        </w:rPr>
        <w:br w:type="page"/>
      </w:r>
    </w:p>
    <w:p w14:paraId="64CB6589" w14:textId="77777777" w:rsidR="00F17F93" w:rsidRPr="00AD2D8C" w:rsidRDefault="00BB3348" w:rsidP="00BC2008">
      <w:pPr>
        <w:rPr>
          <w:rFonts w:ascii="Arial" w:hAnsi="Arial" w:cs="Arial"/>
        </w:rPr>
      </w:pPr>
      <w:r w:rsidRPr="00AD2D8C">
        <w:rPr>
          <w:rFonts w:ascii="Arial" w:hAnsi="Arial" w:cs="Arial"/>
          <w:noProof/>
          <w:lang w:val="en-US"/>
        </w:rPr>
        <w:lastRenderedPageBreak/>
        <w:drawing>
          <wp:inline distT="0" distB="0" distL="0" distR="0" wp14:anchorId="196C6CCA" wp14:editId="6F964797">
            <wp:extent cx="5943600" cy="1846580"/>
            <wp:effectExtent l="0" t="0" r="0" b="1270"/>
            <wp:docPr id="17394044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1846580"/>
                    </a:xfrm>
                    <a:prstGeom prst="rect">
                      <a:avLst/>
                    </a:prstGeom>
                    <a:noFill/>
                    <a:ln>
                      <a:noFill/>
                    </a:ln>
                  </pic:spPr>
                </pic:pic>
              </a:graphicData>
            </a:graphic>
          </wp:inline>
        </w:drawing>
      </w:r>
    </w:p>
    <w:p w14:paraId="6A031BF9" w14:textId="77777777" w:rsidR="0061125D" w:rsidRPr="00AD2D8C" w:rsidRDefault="0061125D" w:rsidP="00C47D5E">
      <w:pPr>
        <w:rPr>
          <w:rFonts w:ascii="Arial" w:hAnsi="Arial" w:cs="Arial"/>
        </w:rPr>
      </w:pPr>
    </w:p>
    <w:p w14:paraId="14550C2E" w14:textId="77777777" w:rsidR="00AD2D8C" w:rsidRPr="00AD2D8C" w:rsidRDefault="00AD2D8C">
      <w:pPr>
        <w:rPr>
          <w:rFonts w:ascii="Arial" w:hAnsi="Arial" w:cs="Arial"/>
        </w:rPr>
      </w:pPr>
    </w:p>
    <w:sectPr w:rsidR="00AD2D8C" w:rsidRPr="00AD2D8C" w:rsidSect="0062414A">
      <w:foot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ACB5E0" w14:textId="77777777" w:rsidR="00C65665" w:rsidRDefault="00C65665">
      <w:pPr>
        <w:spacing w:line="240" w:lineRule="auto"/>
      </w:pPr>
      <w:r>
        <w:separator/>
      </w:r>
    </w:p>
  </w:endnote>
  <w:endnote w:type="continuationSeparator" w:id="0">
    <w:p w14:paraId="0B11120D" w14:textId="77777777" w:rsidR="00C65665" w:rsidRDefault="00C656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Book Antiqua">
    <w:panose1 w:val="02040602050305030304"/>
    <w:charset w:val="00"/>
    <w:family w:val="roman"/>
    <w:pitch w:val="variable"/>
    <w:sig w:usb0="00000287" w:usb1="00000000" w:usb2="00000000" w:usb3="00000000" w:csb0="0000009F" w:csb1="00000000"/>
  </w:font>
  <w:font w:name="Mangal">
    <w:panose1 w:val="00000400000000000000"/>
    <w:charset w:val="00"/>
    <w:family w:val="roman"/>
    <w:pitch w:val="variable"/>
    <w:sig w:usb0="00008003" w:usb1="00000000" w:usb2="00000000" w:usb3="00000000" w:csb0="00000001" w:csb1="00000000"/>
  </w:font>
  <w:font w:name="Lucida Sans">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6BA23" w14:textId="77777777" w:rsidR="008A5400" w:rsidRDefault="005D13EF">
    <w:pPr>
      <w:pStyle w:val="Footer"/>
    </w:pPr>
    <w:r>
      <w:fldChar w:fldCharType="begin"/>
    </w:r>
    <w:r w:rsidR="00702EF3">
      <w:instrText xml:space="preserve"> PAGE   \* MERGEFORMAT </w:instrText>
    </w:r>
    <w:r>
      <w:fldChar w:fldCharType="separate"/>
    </w:r>
    <w:r w:rsidR="007E0E80">
      <w:rPr>
        <w:noProof/>
      </w:rPr>
      <w:t>3</w:t>
    </w:r>
    <w:r>
      <w:fldChar w:fldCharType="end"/>
    </w:r>
  </w:p>
  <w:p w14:paraId="0F9F877E" w14:textId="77777777" w:rsidR="008A5400" w:rsidRDefault="008A5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07841" w14:textId="77777777" w:rsidR="00C65665" w:rsidRDefault="00C65665">
      <w:r>
        <w:separator/>
      </w:r>
    </w:p>
  </w:footnote>
  <w:footnote w:type="continuationSeparator" w:id="0">
    <w:p w14:paraId="14AE7B95" w14:textId="77777777" w:rsidR="00C65665" w:rsidRDefault="00C656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06766"/>
    <w:multiLevelType w:val="hybridMultilevel"/>
    <w:tmpl w:val="F1C6E926"/>
    <w:lvl w:ilvl="0" w:tplc="FF9453A2">
      <w:start w:val="1"/>
      <w:numFmt w:val="bullet"/>
      <w:lvlText w:val="•"/>
      <w:lvlJc w:val="left"/>
      <w:pPr>
        <w:tabs>
          <w:tab w:val="num" w:pos="720"/>
        </w:tabs>
        <w:ind w:left="720" w:hanging="360"/>
      </w:pPr>
      <w:rPr>
        <w:rFonts w:ascii="Arial" w:hAnsi="Arial" w:hint="default"/>
      </w:rPr>
    </w:lvl>
    <w:lvl w:ilvl="1" w:tplc="021431C8" w:tentative="1">
      <w:start w:val="1"/>
      <w:numFmt w:val="bullet"/>
      <w:lvlText w:val="•"/>
      <w:lvlJc w:val="left"/>
      <w:pPr>
        <w:tabs>
          <w:tab w:val="num" w:pos="1440"/>
        </w:tabs>
        <w:ind w:left="1440" w:hanging="360"/>
      </w:pPr>
      <w:rPr>
        <w:rFonts w:ascii="Arial" w:hAnsi="Arial" w:hint="default"/>
      </w:rPr>
    </w:lvl>
    <w:lvl w:ilvl="2" w:tplc="3B383952" w:tentative="1">
      <w:start w:val="1"/>
      <w:numFmt w:val="bullet"/>
      <w:lvlText w:val="•"/>
      <w:lvlJc w:val="left"/>
      <w:pPr>
        <w:tabs>
          <w:tab w:val="num" w:pos="2160"/>
        </w:tabs>
        <w:ind w:left="2160" w:hanging="360"/>
      </w:pPr>
      <w:rPr>
        <w:rFonts w:ascii="Arial" w:hAnsi="Arial" w:hint="default"/>
      </w:rPr>
    </w:lvl>
    <w:lvl w:ilvl="3" w:tplc="60AE6F94" w:tentative="1">
      <w:start w:val="1"/>
      <w:numFmt w:val="bullet"/>
      <w:lvlText w:val="•"/>
      <w:lvlJc w:val="left"/>
      <w:pPr>
        <w:tabs>
          <w:tab w:val="num" w:pos="2880"/>
        </w:tabs>
        <w:ind w:left="2880" w:hanging="360"/>
      </w:pPr>
      <w:rPr>
        <w:rFonts w:ascii="Arial" w:hAnsi="Arial" w:hint="default"/>
      </w:rPr>
    </w:lvl>
    <w:lvl w:ilvl="4" w:tplc="FB34C29A" w:tentative="1">
      <w:start w:val="1"/>
      <w:numFmt w:val="bullet"/>
      <w:lvlText w:val="•"/>
      <w:lvlJc w:val="left"/>
      <w:pPr>
        <w:tabs>
          <w:tab w:val="num" w:pos="3600"/>
        </w:tabs>
        <w:ind w:left="3600" w:hanging="360"/>
      </w:pPr>
      <w:rPr>
        <w:rFonts w:ascii="Arial" w:hAnsi="Arial" w:hint="default"/>
      </w:rPr>
    </w:lvl>
    <w:lvl w:ilvl="5" w:tplc="2B56D602" w:tentative="1">
      <w:start w:val="1"/>
      <w:numFmt w:val="bullet"/>
      <w:lvlText w:val="•"/>
      <w:lvlJc w:val="left"/>
      <w:pPr>
        <w:tabs>
          <w:tab w:val="num" w:pos="4320"/>
        </w:tabs>
        <w:ind w:left="4320" w:hanging="360"/>
      </w:pPr>
      <w:rPr>
        <w:rFonts w:ascii="Arial" w:hAnsi="Arial" w:hint="default"/>
      </w:rPr>
    </w:lvl>
    <w:lvl w:ilvl="6" w:tplc="B89CB6D0" w:tentative="1">
      <w:start w:val="1"/>
      <w:numFmt w:val="bullet"/>
      <w:lvlText w:val="•"/>
      <w:lvlJc w:val="left"/>
      <w:pPr>
        <w:tabs>
          <w:tab w:val="num" w:pos="5040"/>
        </w:tabs>
        <w:ind w:left="5040" w:hanging="360"/>
      </w:pPr>
      <w:rPr>
        <w:rFonts w:ascii="Arial" w:hAnsi="Arial" w:hint="default"/>
      </w:rPr>
    </w:lvl>
    <w:lvl w:ilvl="7" w:tplc="BBAE8D74" w:tentative="1">
      <w:start w:val="1"/>
      <w:numFmt w:val="bullet"/>
      <w:lvlText w:val="•"/>
      <w:lvlJc w:val="left"/>
      <w:pPr>
        <w:tabs>
          <w:tab w:val="num" w:pos="5760"/>
        </w:tabs>
        <w:ind w:left="5760" w:hanging="360"/>
      </w:pPr>
      <w:rPr>
        <w:rFonts w:ascii="Arial" w:hAnsi="Arial" w:hint="default"/>
      </w:rPr>
    </w:lvl>
    <w:lvl w:ilvl="8" w:tplc="428204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AA6D71"/>
    <w:multiLevelType w:val="hybridMultilevel"/>
    <w:tmpl w:val="B6DE015A"/>
    <w:lvl w:ilvl="0" w:tplc="3A7AA78A">
      <w:start w:val="1"/>
      <w:numFmt w:val="bullet"/>
      <w:lvlText w:val="•"/>
      <w:lvlJc w:val="left"/>
      <w:pPr>
        <w:tabs>
          <w:tab w:val="num" w:pos="720"/>
        </w:tabs>
        <w:ind w:left="720" w:hanging="360"/>
      </w:pPr>
      <w:rPr>
        <w:rFonts w:ascii="Arial" w:hAnsi="Arial" w:hint="default"/>
      </w:rPr>
    </w:lvl>
    <w:lvl w:ilvl="1" w:tplc="0A64F46E">
      <w:start w:val="1"/>
      <w:numFmt w:val="bullet"/>
      <w:lvlText w:val="•"/>
      <w:lvlJc w:val="left"/>
      <w:pPr>
        <w:tabs>
          <w:tab w:val="num" w:pos="1440"/>
        </w:tabs>
        <w:ind w:left="1440" w:hanging="360"/>
      </w:pPr>
      <w:rPr>
        <w:rFonts w:ascii="Arial" w:hAnsi="Arial" w:hint="default"/>
      </w:rPr>
    </w:lvl>
    <w:lvl w:ilvl="2" w:tplc="A204114E" w:tentative="1">
      <w:start w:val="1"/>
      <w:numFmt w:val="bullet"/>
      <w:lvlText w:val="•"/>
      <w:lvlJc w:val="left"/>
      <w:pPr>
        <w:tabs>
          <w:tab w:val="num" w:pos="2160"/>
        </w:tabs>
        <w:ind w:left="2160" w:hanging="360"/>
      </w:pPr>
      <w:rPr>
        <w:rFonts w:ascii="Arial" w:hAnsi="Arial" w:hint="default"/>
      </w:rPr>
    </w:lvl>
    <w:lvl w:ilvl="3" w:tplc="325665DC" w:tentative="1">
      <w:start w:val="1"/>
      <w:numFmt w:val="bullet"/>
      <w:lvlText w:val="•"/>
      <w:lvlJc w:val="left"/>
      <w:pPr>
        <w:tabs>
          <w:tab w:val="num" w:pos="2880"/>
        </w:tabs>
        <w:ind w:left="2880" w:hanging="360"/>
      </w:pPr>
      <w:rPr>
        <w:rFonts w:ascii="Arial" w:hAnsi="Arial" w:hint="default"/>
      </w:rPr>
    </w:lvl>
    <w:lvl w:ilvl="4" w:tplc="240EB88A" w:tentative="1">
      <w:start w:val="1"/>
      <w:numFmt w:val="bullet"/>
      <w:lvlText w:val="•"/>
      <w:lvlJc w:val="left"/>
      <w:pPr>
        <w:tabs>
          <w:tab w:val="num" w:pos="3600"/>
        </w:tabs>
        <w:ind w:left="3600" w:hanging="360"/>
      </w:pPr>
      <w:rPr>
        <w:rFonts w:ascii="Arial" w:hAnsi="Arial" w:hint="default"/>
      </w:rPr>
    </w:lvl>
    <w:lvl w:ilvl="5" w:tplc="030EA152" w:tentative="1">
      <w:start w:val="1"/>
      <w:numFmt w:val="bullet"/>
      <w:lvlText w:val="•"/>
      <w:lvlJc w:val="left"/>
      <w:pPr>
        <w:tabs>
          <w:tab w:val="num" w:pos="4320"/>
        </w:tabs>
        <w:ind w:left="4320" w:hanging="360"/>
      </w:pPr>
      <w:rPr>
        <w:rFonts w:ascii="Arial" w:hAnsi="Arial" w:hint="default"/>
      </w:rPr>
    </w:lvl>
    <w:lvl w:ilvl="6" w:tplc="4A60B934" w:tentative="1">
      <w:start w:val="1"/>
      <w:numFmt w:val="bullet"/>
      <w:lvlText w:val="•"/>
      <w:lvlJc w:val="left"/>
      <w:pPr>
        <w:tabs>
          <w:tab w:val="num" w:pos="5040"/>
        </w:tabs>
        <w:ind w:left="5040" w:hanging="360"/>
      </w:pPr>
      <w:rPr>
        <w:rFonts w:ascii="Arial" w:hAnsi="Arial" w:hint="default"/>
      </w:rPr>
    </w:lvl>
    <w:lvl w:ilvl="7" w:tplc="A616295A" w:tentative="1">
      <w:start w:val="1"/>
      <w:numFmt w:val="bullet"/>
      <w:lvlText w:val="•"/>
      <w:lvlJc w:val="left"/>
      <w:pPr>
        <w:tabs>
          <w:tab w:val="num" w:pos="5760"/>
        </w:tabs>
        <w:ind w:left="5760" w:hanging="360"/>
      </w:pPr>
      <w:rPr>
        <w:rFonts w:ascii="Arial" w:hAnsi="Arial" w:hint="default"/>
      </w:rPr>
    </w:lvl>
    <w:lvl w:ilvl="8" w:tplc="D32E1A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E3586B"/>
    <w:multiLevelType w:val="hybridMultilevel"/>
    <w:tmpl w:val="8AF6AAE0"/>
    <w:lvl w:ilvl="0" w:tplc="FB34937A">
      <w:start w:val="1"/>
      <w:numFmt w:val="bullet"/>
      <w:lvlText w:val="•"/>
      <w:lvlJc w:val="left"/>
      <w:pPr>
        <w:tabs>
          <w:tab w:val="num" w:pos="720"/>
        </w:tabs>
        <w:ind w:left="720" w:hanging="360"/>
      </w:pPr>
      <w:rPr>
        <w:rFonts w:ascii="Arial" w:hAnsi="Arial" w:hint="default"/>
      </w:rPr>
    </w:lvl>
    <w:lvl w:ilvl="1" w:tplc="406857FC">
      <w:start w:val="1"/>
      <w:numFmt w:val="bullet"/>
      <w:lvlText w:val="•"/>
      <w:lvlJc w:val="left"/>
      <w:pPr>
        <w:tabs>
          <w:tab w:val="num" w:pos="1440"/>
        </w:tabs>
        <w:ind w:left="1440" w:hanging="360"/>
      </w:pPr>
      <w:rPr>
        <w:rFonts w:ascii="Arial" w:hAnsi="Arial" w:hint="default"/>
      </w:rPr>
    </w:lvl>
    <w:lvl w:ilvl="2" w:tplc="CB12E852" w:tentative="1">
      <w:start w:val="1"/>
      <w:numFmt w:val="bullet"/>
      <w:lvlText w:val="•"/>
      <w:lvlJc w:val="left"/>
      <w:pPr>
        <w:tabs>
          <w:tab w:val="num" w:pos="2160"/>
        </w:tabs>
        <w:ind w:left="2160" w:hanging="360"/>
      </w:pPr>
      <w:rPr>
        <w:rFonts w:ascii="Arial" w:hAnsi="Arial" w:hint="default"/>
      </w:rPr>
    </w:lvl>
    <w:lvl w:ilvl="3" w:tplc="3154DAE0" w:tentative="1">
      <w:start w:val="1"/>
      <w:numFmt w:val="bullet"/>
      <w:lvlText w:val="•"/>
      <w:lvlJc w:val="left"/>
      <w:pPr>
        <w:tabs>
          <w:tab w:val="num" w:pos="2880"/>
        </w:tabs>
        <w:ind w:left="2880" w:hanging="360"/>
      </w:pPr>
      <w:rPr>
        <w:rFonts w:ascii="Arial" w:hAnsi="Arial" w:hint="default"/>
      </w:rPr>
    </w:lvl>
    <w:lvl w:ilvl="4" w:tplc="61FC71F2" w:tentative="1">
      <w:start w:val="1"/>
      <w:numFmt w:val="bullet"/>
      <w:lvlText w:val="•"/>
      <w:lvlJc w:val="left"/>
      <w:pPr>
        <w:tabs>
          <w:tab w:val="num" w:pos="3600"/>
        </w:tabs>
        <w:ind w:left="3600" w:hanging="360"/>
      </w:pPr>
      <w:rPr>
        <w:rFonts w:ascii="Arial" w:hAnsi="Arial" w:hint="default"/>
      </w:rPr>
    </w:lvl>
    <w:lvl w:ilvl="5" w:tplc="D4D8E9B2" w:tentative="1">
      <w:start w:val="1"/>
      <w:numFmt w:val="bullet"/>
      <w:lvlText w:val="•"/>
      <w:lvlJc w:val="left"/>
      <w:pPr>
        <w:tabs>
          <w:tab w:val="num" w:pos="4320"/>
        </w:tabs>
        <w:ind w:left="4320" w:hanging="360"/>
      </w:pPr>
      <w:rPr>
        <w:rFonts w:ascii="Arial" w:hAnsi="Arial" w:hint="default"/>
      </w:rPr>
    </w:lvl>
    <w:lvl w:ilvl="6" w:tplc="FE7A3432" w:tentative="1">
      <w:start w:val="1"/>
      <w:numFmt w:val="bullet"/>
      <w:lvlText w:val="•"/>
      <w:lvlJc w:val="left"/>
      <w:pPr>
        <w:tabs>
          <w:tab w:val="num" w:pos="5040"/>
        </w:tabs>
        <w:ind w:left="5040" w:hanging="360"/>
      </w:pPr>
      <w:rPr>
        <w:rFonts w:ascii="Arial" w:hAnsi="Arial" w:hint="default"/>
      </w:rPr>
    </w:lvl>
    <w:lvl w:ilvl="7" w:tplc="BCAC93B2" w:tentative="1">
      <w:start w:val="1"/>
      <w:numFmt w:val="bullet"/>
      <w:lvlText w:val="•"/>
      <w:lvlJc w:val="left"/>
      <w:pPr>
        <w:tabs>
          <w:tab w:val="num" w:pos="5760"/>
        </w:tabs>
        <w:ind w:left="5760" w:hanging="360"/>
      </w:pPr>
      <w:rPr>
        <w:rFonts w:ascii="Arial" w:hAnsi="Arial" w:hint="default"/>
      </w:rPr>
    </w:lvl>
    <w:lvl w:ilvl="8" w:tplc="AC581F8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F4557E4"/>
    <w:multiLevelType w:val="hybridMultilevel"/>
    <w:tmpl w:val="FDE4DF80"/>
    <w:lvl w:ilvl="0" w:tplc="D2047C6E">
      <w:start w:val="1"/>
      <w:numFmt w:val="bullet"/>
      <w:lvlText w:val="•"/>
      <w:lvlJc w:val="left"/>
      <w:pPr>
        <w:tabs>
          <w:tab w:val="num" w:pos="720"/>
        </w:tabs>
        <w:ind w:left="720" w:hanging="360"/>
      </w:pPr>
      <w:rPr>
        <w:rFonts w:ascii="Arial" w:hAnsi="Arial" w:hint="default"/>
      </w:rPr>
    </w:lvl>
    <w:lvl w:ilvl="1" w:tplc="26248218" w:tentative="1">
      <w:start w:val="1"/>
      <w:numFmt w:val="bullet"/>
      <w:lvlText w:val="•"/>
      <w:lvlJc w:val="left"/>
      <w:pPr>
        <w:tabs>
          <w:tab w:val="num" w:pos="1440"/>
        </w:tabs>
        <w:ind w:left="1440" w:hanging="360"/>
      </w:pPr>
      <w:rPr>
        <w:rFonts w:ascii="Arial" w:hAnsi="Arial" w:hint="default"/>
      </w:rPr>
    </w:lvl>
    <w:lvl w:ilvl="2" w:tplc="663CA692" w:tentative="1">
      <w:start w:val="1"/>
      <w:numFmt w:val="bullet"/>
      <w:lvlText w:val="•"/>
      <w:lvlJc w:val="left"/>
      <w:pPr>
        <w:tabs>
          <w:tab w:val="num" w:pos="2160"/>
        </w:tabs>
        <w:ind w:left="2160" w:hanging="360"/>
      </w:pPr>
      <w:rPr>
        <w:rFonts w:ascii="Arial" w:hAnsi="Arial" w:hint="default"/>
      </w:rPr>
    </w:lvl>
    <w:lvl w:ilvl="3" w:tplc="C4D0E50E" w:tentative="1">
      <w:start w:val="1"/>
      <w:numFmt w:val="bullet"/>
      <w:lvlText w:val="•"/>
      <w:lvlJc w:val="left"/>
      <w:pPr>
        <w:tabs>
          <w:tab w:val="num" w:pos="2880"/>
        </w:tabs>
        <w:ind w:left="2880" w:hanging="360"/>
      </w:pPr>
      <w:rPr>
        <w:rFonts w:ascii="Arial" w:hAnsi="Arial" w:hint="default"/>
      </w:rPr>
    </w:lvl>
    <w:lvl w:ilvl="4" w:tplc="FFC605C8" w:tentative="1">
      <w:start w:val="1"/>
      <w:numFmt w:val="bullet"/>
      <w:lvlText w:val="•"/>
      <w:lvlJc w:val="left"/>
      <w:pPr>
        <w:tabs>
          <w:tab w:val="num" w:pos="3600"/>
        </w:tabs>
        <w:ind w:left="3600" w:hanging="360"/>
      </w:pPr>
      <w:rPr>
        <w:rFonts w:ascii="Arial" w:hAnsi="Arial" w:hint="default"/>
      </w:rPr>
    </w:lvl>
    <w:lvl w:ilvl="5" w:tplc="2EC00A52" w:tentative="1">
      <w:start w:val="1"/>
      <w:numFmt w:val="bullet"/>
      <w:lvlText w:val="•"/>
      <w:lvlJc w:val="left"/>
      <w:pPr>
        <w:tabs>
          <w:tab w:val="num" w:pos="4320"/>
        </w:tabs>
        <w:ind w:left="4320" w:hanging="360"/>
      </w:pPr>
      <w:rPr>
        <w:rFonts w:ascii="Arial" w:hAnsi="Arial" w:hint="default"/>
      </w:rPr>
    </w:lvl>
    <w:lvl w:ilvl="6" w:tplc="35E64B38" w:tentative="1">
      <w:start w:val="1"/>
      <w:numFmt w:val="bullet"/>
      <w:lvlText w:val="•"/>
      <w:lvlJc w:val="left"/>
      <w:pPr>
        <w:tabs>
          <w:tab w:val="num" w:pos="5040"/>
        </w:tabs>
        <w:ind w:left="5040" w:hanging="360"/>
      </w:pPr>
      <w:rPr>
        <w:rFonts w:ascii="Arial" w:hAnsi="Arial" w:hint="default"/>
      </w:rPr>
    </w:lvl>
    <w:lvl w:ilvl="7" w:tplc="30408F40" w:tentative="1">
      <w:start w:val="1"/>
      <w:numFmt w:val="bullet"/>
      <w:lvlText w:val="•"/>
      <w:lvlJc w:val="left"/>
      <w:pPr>
        <w:tabs>
          <w:tab w:val="num" w:pos="5760"/>
        </w:tabs>
        <w:ind w:left="5760" w:hanging="360"/>
      </w:pPr>
      <w:rPr>
        <w:rFonts w:ascii="Arial" w:hAnsi="Arial" w:hint="default"/>
      </w:rPr>
    </w:lvl>
    <w:lvl w:ilvl="8" w:tplc="02721A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CB3273"/>
    <w:multiLevelType w:val="hybridMultilevel"/>
    <w:tmpl w:val="2D48883C"/>
    <w:lvl w:ilvl="0" w:tplc="0354F6E4">
      <w:start w:val="1"/>
      <w:numFmt w:val="bullet"/>
      <w:lvlText w:val="•"/>
      <w:lvlJc w:val="left"/>
      <w:pPr>
        <w:tabs>
          <w:tab w:val="num" w:pos="720"/>
        </w:tabs>
        <w:ind w:left="720" w:hanging="360"/>
      </w:pPr>
      <w:rPr>
        <w:rFonts w:ascii="Arial" w:hAnsi="Arial" w:hint="default"/>
      </w:rPr>
    </w:lvl>
    <w:lvl w:ilvl="1" w:tplc="1D14EB96" w:tentative="1">
      <w:start w:val="1"/>
      <w:numFmt w:val="bullet"/>
      <w:lvlText w:val="•"/>
      <w:lvlJc w:val="left"/>
      <w:pPr>
        <w:tabs>
          <w:tab w:val="num" w:pos="1440"/>
        </w:tabs>
        <w:ind w:left="1440" w:hanging="360"/>
      </w:pPr>
      <w:rPr>
        <w:rFonts w:ascii="Arial" w:hAnsi="Arial" w:hint="default"/>
      </w:rPr>
    </w:lvl>
    <w:lvl w:ilvl="2" w:tplc="564861AE" w:tentative="1">
      <w:start w:val="1"/>
      <w:numFmt w:val="bullet"/>
      <w:lvlText w:val="•"/>
      <w:lvlJc w:val="left"/>
      <w:pPr>
        <w:tabs>
          <w:tab w:val="num" w:pos="2160"/>
        </w:tabs>
        <w:ind w:left="2160" w:hanging="360"/>
      </w:pPr>
      <w:rPr>
        <w:rFonts w:ascii="Arial" w:hAnsi="Arial" w:hint="default"/>
      </w:rPr>
    </w:lvl>
    <w:lvl w:ilvl="3" w:tplc="DD742D2C" w:tentative="1">
      <w:start w:val="1"/>
      <w:numFmt w:val="bullet"/>
      <w:lvlText w:val="•"/>
      <w:lvlJc w:val="left"/>
      <w:pPr>
        <w:tabs>
          <w:tab w:val="num" w:pos="2880"/>
        </w:tabs>
        <w:ind w:left="2880" w:hanging="360"/>
      </w:pPr>
      <w:rPr>
        <w:rFonts w:ascii="Arial" w:hAnsi="Arial" w:hint="default"/>
      </w:rPr>
    </w:lvl>
    <w:lvl w:ilvl="4" w:tplc="62C4818C" w:tentative="1">
      <w:start w:val="1"/>
      <w:numFmt w:val="bullet"/>
      <w:lvlText w:val="•"/>
      <w:lvlJc w:val="left"/>
      <w:pPr>
        <w:tabs>
          <w:tab w:val="num" w:pos="3600"/>
        </w:tabs>
        <w:ind w:left="3600" w:hanging="360"/>
      </w:pPr>
      <w:rPr>
        <w:rFonts w:ascii="Arial" w:hAnsi="Arial" w:hint="default"/>
      </w:rPr>
    </w:lvl>
    <w:lvl w:ilvl="5" w:tplc="64FEE558" w:tentative="1">
      <w:start w:val="1"/>
      <w:numFmt w:val="bullet"/>
      <w:lvlText w:val="•"/>
      <w:lvlJc w:val="left"/>
      <w:pPr>
        <w:tabs>
          <w:tab w:val="num" w:pos="4320"/>
        </w:tabs>
        <w:ind w:left="4320" w:hanging="360"/>
      </w:pPr>
      <w:rPr>
        <w:rFonts w:ascii="Arial" w:hAnsi="Arial" w:hint="default"/>
      </w:rPr>
    </w:lvl>
    <w:lvl w:ilvl="6" w:tplc="FDC046D0" w:tentative="1">
      <w:start w:val="1"/>
      <w:numFmt w:val="bullet"/>
      <w:lvlText w:val="•"/>
      <w:lvlJc w:val="left"/>
      <w:pPr>
        <w:tabs>
          <w:tab w:val="num" w:pos="5040"/>
        </w:tabs>
        <w:ind w:left="5040" w:hanging="360"/>
      </w:pPr>
      <w:rPr>
        <w:rFonts w:ascii="Arial" w:hAnsi="Arial" w:hint="default"/>
      </w:rPr>
    </w:lvl>
    <w:lvl w:ilvl="7" w:tplc="EE921FDC" w:tentative="1">
      <w:start w:val="1"/>
      <w:numFmt w:val="bullet"/>
      <w:lvlText w:val="•"/>
      <w:lvlJc w:val="left"/>
      <w:pPr>
        <w:tabs>
          <w:tab w:val="num" w:pos="5760"/>
        </w:tabs>
        <w:ind w:left="5760" w:hanging="360"/>
      </w:pPr>
      <w:rPr>
        <w:rFonts w:ascii="Arial" w:hAnsi="Arial" w:hint="default"/>
      </w:rPr>
    </w:lvl>
    <w:lvl w:ilvl="8" w:tplc="BFA47B7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7D55D0D"/>
    <w:multiLevelType w:val="hybridMultilevel"/>
    <w:tmpl w:val="1FC640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3DA73CE"/>
    <w:multiLevelType w:val="hybridMultilevel"/>
    <w:tmpl w:val="CB144D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A1306F4"/>
    <w:multiLevelType w:val="hybridMultilevel"/>
    <w:tmpl w:val="EA704CA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4A927629"/>
    <w:multiLevelType w:val="hybridMultilevel"/>
    <w:tmpl w:val="BF3269CE"/>
    <w:lvl w:ilvl="0" w:tplc="664E3F2C">
      <w:start w:val="1"/>
      <w:numFmt w:val="bullet"/>
      <w:lvlText w:val="•"/>
      <w:lvlJc w:val="left"/>
      <w:pPr>
        <w:tabs>
          <w:tab w:val="num" w:pos="720"/>
        </w:tabs>
        <w:ind w:left="720" w:hanging="360"/>
      </w:pPr>
      <w:rPr>
        <w:rFonts w:ascii="Arial" w:hAnsi="Arial" w:hint="default"/>
      </w:rPr>
    </w:lvl>
    <w:lvl w:ilvl="1" w:tplc="07B8573A">
      <w:start w:val="1"/>
      <w:numFmt w:val="bullet"/>
      <w:lvlText w:val="•"/>
      <w:lvlJc w:val="left"/>
      <w:pPr>
        <w:tabs>
          <w:tab w:val="num" w:pos="1440"/>
        </w:tabs>
        <w:ind w:left="1440" w:hanging="360"/>
      </w:pPr>
      <w:rPr>
        <w:rFonts w:ascii="Arial" w:hAnsi="Arial" w:hint="default"/>
      </w:rPr>
    </w:lvl>
    <w:lvl w:ilvl="2" w:tplc="C3867FBA" w:tentative="1">
      <w:start w:val="1"/>
      <w:numFmt w:val="bullet"/>
      <w:lvlText w:val="•"/>
      <w:lvlJc w:val="left"/>
      <w:pPr>
        <w:tabs>
          <w:tab w:val="num" w:pos="2160"/>
        </w:tabs>
        <w:ind w:left="2160" w:hanging="360"/>
      </w:pPr>
      <w:rPr>
        <w:rFonts w:ascii="Arial" w:hAnsi="Arial" w:hint="default"/>
      </w:rPr>
    </w:lvl>
    <w:lvl w:ilvl="3" w:tplc="92B498E8" w:tentative="1">
      <w:start w:val="1"/>
      <w:numFmt w:val="bullet"/>
      <w:lvlText w:val="•"/>
      <w:lvlJc w:val="left"/>
      <w:pPr>
        <w:tabs>
          <w:tab w:val="num" w:pos="2880"/>
        </w:tabs>
        <w:ind w:left="2880" w:hanging="360"/>
      </w:pPr>
      <w:rPr>
        <w:rFonts w:ascii="Arial" w:hAnsi="Arial" w:hint="default"/>
      </w:rPr>
    </w:lvl>
    <w:lvl w:ilvl="4" w:tplc="A3429D3E" w:tentative="1">
      <w:start w:val="1"/>
      <w:numFmt w:val="bullet"/>
      <w:lvlText w:val="•"/>
      <w:lvlJc w:val="left"/>
      <w:pPr>
        <w:tabs>
          <w:tab w:val="num" w:pos="3600"/>
        </w:tabs>
        <w:ind w:left="3600" w:hanging="360"/>
      </w:pPr>
      <w:rPr>
        <w:rFonts w:ascii="Arial" w:hAnsi="Arial" w:hint="default"/>
      </w:rPr>
    </w:lvl>
    <w:lvl w:ilvl="5" w:tplc="CA607BB2" w:tentative="1">
      <w:start w:val="1"/>
      <w:numFmt w:val="bullet"/>
      <w:lvlText w:val="•"/>
      <w:lvlJc w:val="left"/>
      <w:pPr>
        <w:tabs>
          <w:tab w:val="num" w:pos="4320"/>
        </w:tabs>
        <w:ind w:left="4320" w:hanging="360"/>
      </w:pPr>
      <w:rPr>
        <w:rFonts w:ascii="Arial" w:hAnsi="Arial" w:hint="default"/>
      </w:rPr>
    </w:lvl>
    <w:lvl w:ilvl="6" w:tplc="BB6CAE9E" w:tentative="1">
      <w:start w:val="1"/>
      <w:numFmt w:val="bullet"/>
      <w:lvlText w:val="•"/>
      <w:lvlJc w:val="left"/>
      <w:pPr>
        <w:tabs>
          <w:tab w:val="num" w:pos="5040"/>
        </w:tabs>
        <w:ind w:left="5040" w:hanging="360"/>
      </w:pPr>
      <w:rPr>
        <w:rFonts w:ascii="Arial" w:hAnsi="Arial" w:hint="default"/>
      </w:rPr>
    </w:lvl>
    <w:lvl w:ilvl="7" w:tplc="758CE6EA" w:tentative="1">
      <w:start w:val="1"/>
      <w:numFmt w:val="bullet"/>
      <w:lvlText w:val="•"/>
      <w:lvlJc w:val="left"/>
      <w:pPr>
        <w:tabs>
          <w:tab w:val="num" w:pos="5760"/>
        </w:tabs>
        <w:ind w:left="5760" w:hanging="360"/>
      </w:pPr>
      <w:rPr>
        <w:rFonts w:ascii="Arial" w:hAnsi="Arial" w:hint="default"/>
      </w:rPr>
    </w:lvl>
    <w:lvl w:ilvl="8" w:tplc="2B048C0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B030565"/>
    <w:multiLevelType w:val="hybridMultilevel"/>
    <w:tmpl w:val="4826471A"/>
    <w:lvl w:ilvl="0" w:tplc="304070F8">
      <w:start w:val="1"/>
      <w:numFmt w:val="bullet"/>
      <w:lvlText w:val="•"/>
      <w:lvlJc w:val="left"/>
      <w:pPr>
        <w:tabs>
          <w:tab w:val="num" w:pos="720"/>
        </w:tabs>
        <w:ind w:left="720" w:hanging="360"/>
      </w:pPr>
      <w:rPr>
        <w:rFonts w:ascii="Arial" w:hAnsi="Arial" w:hint="default"/>
      </w:rPr>
    </w:lvl>
    <w:lvl w:ilvl="1" w:tplc="7C80C8DA" w:tentative="1">
      <w:start w:val="1"/>
      <w:numFmt w:val="bullet"/>
      <w:lvlText w:val="•"/>
      <w:lvlJc w:val="left"/>
      <w:pPr>
        <w:tabs>
          <w:tab w:val="num" w:pos="1440"/>
        </w:tabs>
        <w:ind w:left="1440" w:hanging="360"/>
      </w:pPr>
      <w:rPr>
        <w:rFonts w:ascii="Arial" w:hAnsi="Arial" w:hint="default"/>
      </w:rPr>
    </w:lvl>
    <w:lvl w:ilvl="2" w:tplc="CEAE98D2" w:tentative="1">
      <w:start w:val="1"/>
      <w:numFmt w:val="bullet"/>
      <w:lvlText w:val="•"/>
      <w:lvlJc w:val="left"/>
      <w:pPr>
        <w:tabs>
          <w:tab w:val="num" w:pos="2160"/>
        </w:tabs>
        <w:ind w:left="2160" w:hanging="360"/>
      </w:pPr>
      <w:rPr>
        <w:rFonts w:ascii="Arial" w:hAnsi="Arial" w:hint="default"/>
      </w:rPr>
    </w:lvl>
    <w:lvl w:ilvl="3" w:tplc="24EAA228" w:tentative="1">
      <w:start w:val="1"/>
      <w:numFmt w:val="bullet"/>
      <w:lvlText w:val="•"/>
      <w:lvlJc w:val="left"/>
      <w:pPr>
        <w:tabs>
          <w:tab w:val="num" w:pos="2880"/>
        </w:tabs>
        <w:ind w:left="2880" w:hanging="360"/>
      </w:pPr>
      <w:rPr>
        <w:rFonts w:ascii="Arial" w:hAnsi="Arial" w:hint="default"/>
      </w:rPr>
    </w:lvl>
    <w:lvl w:ilvl="4" w:tplc="64DCE954" w:tentative="1">
      <w:start w:val="1"/>
      <w:numFmt w:val="bullet"/>
      <w:lvlText w:val="•"/>
      <w:lvlJc w:val="left"/>
      <w:pPr>
        <w:tabs>
          <w:tab w:val="num" w:pos="3600"/>
        </w:tabs>
        <w:ind w:left="3600" w:hanging="360"/>
      </w:pPr>
      <w:rPr>
        <w:rFonts w:ascii="Arial" w:hAnsi="Arial" w:hint="default"/>
      </w:rPr>
    </w:lvl>
    <w:lvl w:ilvl="5" w:tplc="E30ABAAC" w:tentative="1">
      <w:start w:val="1"/>
      <w:numFmt w:val="bullet"/>
      <w:lvlText w:val="•"/>
      <w:lvlJc w:val="left"/>
      <w:pPr>
        <w:tabs>
          <w:tab w:val="num" w:pos="4320"/>
        </w:tabs>
        <w:ind w:left="4320" w:hanging="360"/>
      </w:pPr>
      <w:rPr>
        <w:rFonts w:ascii="Arial" w:hAnsi="Arial" w:hint="default"/>
      </w:rPr>
    </w:lvl>
    <w:lvl w:ilvl="6" w:tplc="E85A4482" w:tentative="1">
      <w:start w:val="1"/>
      <w:numFmt w:val="bullet"/>
      <w:lvlText w:val="•"/>
      <w:lvlJc w:val="left"/>
      <w:pPr>
        <w:tabs>
          <w:tab w:val="num" w:pos="5040"/>
        </w:tabs>
        <w:ind w:left="5040" w:hanging="360"/>
      </w:pPr>
      <w:rPr>
        <w:rFonts w:ascii="Arial" w:hAnsi="Arial" w:hint="default"/>
      </w:rPr>
    </w:lvl>
    <w:lvl w:ilvl="7" w:tplc="B3740F98" w:tentative="1">
      <w:start w:val="1"/>
      <w:numFmt w:val="bullet"/>
      <w:lvlText w:val="•"/>
      <w:lvlJc w:val="left"/>
      <w:pPr>
        <w:tabs>
          <w:tab w:val="num" w:pos="5760"/>
        </w:tabs>
        <w:ind w:left="5760" w:hanging="360"/>
      </w:pPr>
      <w:rPr>
        <w:rFonts w:ascii="Arial" w:hAnsi="Arial" w:hint="default"/>
      </w:rPr>
    </w:lvl>
    <w:lvl w:ilvl="8" w:tplc="A0D2236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6F829AC"/>
    <w:multiLevelType w:val="hybridMultilevel"/>
    <w:tmpl w:val="B9D48596"/>
    <w:lvl w:ilvl="0" w:tplc="550E844E">
      <w:start w:val="1"/>
      <w:numFmt w:val="bullet"/>
      <w:lvlText w:val="•"/>
      <w:lvlJc w:val="left"/>
      <w:pPr>
        <w:tabs>
          <w:tab w:val="num" w:pos="720"/>
        </w:tabs>
        <w:ind w:left="720" w:hanging="360"/>
      </w:pPr>
      <w:rPr>
        <w:rFonts w:ascii="Arial" w:hAnsi="Arial" w:hint="default"/>
      </w:rPr>
    </w:lvl>
    <w:lvl w:ilvl="1" w:tplc="3D36CB0C" w:tentative="1">
      <w:start w:val="1"/>
      <w:numFmt w:val="bullet"/>
      <w:lvlText w:val="•"/>
      <w:lvlJc w:val="left"/>
      <w:pPr>
        <w:tabs>
          <w:tab w:val="num" w:pos="1440"/>
        </w:tabs>
        <w:ind w:left="1440" w:hanging="360"/>
      </w:pPr>
      <w:rPr>
        <w:rFonts w:ascii="Arial" w:hAnsi="Arial" w:hint="default"/>
      </w:rPr>
    </w:lvl>
    <w:lvl w:ilvl="2" w:tplc="1478A3E2" w:tentative="1">
      <w:start w:val="1"/>
      <w:numFmt w:val="bullet"/>
      <w:lvlText w:val="•"/>
      <w:lvlJc w:val="left"/>
      <w:pPr>
        <w:tabs>
          <w:tab w:val="num" w:pos="2160"/>
        </w:tabs>
        <w:ind w:left="2160" w:hanging="360"/>
      </w:pPr>
      <w:rPr>
        <w:rFonts w:ascii="Arial" w:hAnsi="Arial" w:hint="default"/>
      </w:rPr>
    </w:lvl>
    <w:lvl w:ilvl="3" w:tplc="84A0831A" w:tentative="1">
      <w:start w:val="1"/>
      <w:numFmt w:val="bullet"/>
      <w:lvlText w:val="•"/>
      <w:lvlJc w:val="left"/>
      <w:pPr>
        <w:tabs>
          <w:tab w:val="num" w:pos="2880"/>
        </w:tabs>
        <w:ind w:left="2880" w:hanging="360"/>
      </w:pPr>
      <w:rPr>
        <w:rFonts w:ascii="Arial" w:hAnsi="Arial" w:hint="default"/>
      </w:rPr>
    </w:lvl>
    <w:lvl w:ilvl="4" w:tplc="022EDB46" w:tentative="1">
      <w:start w:val="1"/>
      <w:numFmt w:val="bullet"/>
      <w:lvlText w:val="•"/>
      <w:lvlJc w:val="left"/>
      <w:pPr>
        <w:tabs>
          <w:tab w:val="num" w:pos="3600"/>
        </w:tabs>
        <w:ind w:left="3600" w:hanging="360"/>
      </w:pPr>
      <w:rPr>
        <w:rFonts w:ascii="Arial" w:hAnsi="Arial" w:hint="default"/>
      </w:rPr>
    </w:lvl>
    <w:lvl w:ilvl="5" w:tplc="CA7A5F80" w:tentative="1">
      <w:start w:val="1"/>
      <w:numFmt w:val="bullet"/>
      <w:lvlText w:val="•"/>
      <w:lvlJc w:val="left"/>
      <w:pPr>
        <w:tabs>
          <w:tab w:val="num" w:pos="4320"/>
        </w:tabs>
        <w:ind w:left="4320" w:hanging="360"/>
      </w:pPr>
      <w:rPr>
        <w:rFonts w:ascii="Arial" w:hAnsi="Arial" w:hint="default"/>
      </w:rPr>
    </w:lvl>
    <w:lvl w:ilvl="6" w:tplc="2B167204" w:tentative="1">
      <w:start w:val="1"/>
      <w:numFmt w:val="bullet"/>
      <w:lvlText w:val="•"/>
      <w:lvlJc w:val="left"/>
      <w:pPr>
        <w:tabs>
          <w:tab w:val="num" w:pos="5040"/>
        </w:tabs>
        <w:ind w:left="5040" w:hanging="360"/>
      </w:pPr>
      <w:rPr>
        <w:rFonts w:ascii="Arial" w:hAnsi="Arial" w:hint="default"/>
      </w:rPr>
    </w:lvl>
    <w:lvl w:ilvl="7" w:tplc="9AF8B6D6" w:tentative="1">
      <w:start w:val="1"/>
      <w:numFmt w:val="bullet"/>
      <w:lvlText w:val="•"/>
      <w:lvlJc w:val="left"/>
      <w:pPr>
        <w:tabs>
          <w:tab w:val="num" w:pos="5760"/>
        </w:tabs>
        <w:ind w:left="5760" w:hanging="360"/>
      </w:pPr>
      <w:rPr>
        <w:rFonts w:ascii="Arial" w:hAnsi="Arial" w:hint="default"/>
      </w:rPr>
    </w:lvl>
    <w:lvl w:ilvl="8" w:tplc="C8AAD3F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8405060"/>
    <w:multiLevelType w:val="hybridMultilevel"/>
    <w:tmpl w:val="7BF612FA"/>
    <w:lvl w:ilvl="0" w:tplc="6584ED08">
      <w:start w:val="1"/>
      <w:numFmt w:val="bullet"/>
      <w:lvlText w:val="•"/>
      <w:lvlJc w:val="left"/>
      <w:pPr>
        <w:tabs>
          <w:tab w:val="num" w:pos="720"/>
        </w:tabs>
        <w:ind w:left="720" w:hanging="360"/>
      </w:pPr>
      <w:rPr>
        <w:rFonts w:ascii="Arial" w:hAnsi="Arial" w:hint="default"/>
      </w:rPr>
    </w:lvl>
    <w:lvl w:ilvl="1" w:tplc="D8E20F98" w:tentative="1">
      <w:start w:val="1"/>
      <w:numFmt w:val="bullet"/>
      <w:lvlText w:val="•"/>
      <w:lvlJc w:val="left"/>
      <w:pPr>
        <w:tabs>
          <w:tab w:val="num" w:pos="1440"/>
        </w:tabs>
        <w:ind w:left="1440" w:hanging="360"/>
      </w:pPr>
      <w:rPr>
        <w:rFonts w:ascii="Arial" w:hAnsi="Arial" w:hint="default"/>
      </w:rPr>
    </w:lvl>
    <w:lvl w:ilvl="2" w:tplc="7730D5E2" w:tentative="1">
      <w:start w:val="1"/>
      <w:numFmt w:val="bullet"/>
      <w:lvlText w:val="•"/>
      <w:lvlJc w:val="left"/>
      <w:pPr>
        <w:tabs>
          <w:tab w:val="num" w:pos="2160"/>
        </w:tabs>
        <w:ind w:left="2160" w:hanging="360"/>
      </w:pPr>
      <w:rPr>
        <w:rFonts w:ascii="Arial" w:hAnsi="Arial" w:hint="default"/>
      </w:rPr>
    </w:lvl>
    <w:lvl w:ilvl="3" w:tplc="FFE46D8C" w:tentative="1">
      <w:start w:val="1"/>
      <w:numFmt w:val="bullet"/>
      <w:lvlText w:val="•"/>
      <w:lvlJc w:val="left"/>
      <w:pPr>
        <w:tabs>
          <w:tab w:val="num" w:pos="2880"/>
        </w:tabs>
        <w:ind w:left="2880" w:hanging="360"/>
      </w:pPr>
      <w:rPr>
        <w:rFonts w:ascii="Arial" w:hAnsi="Arial" w:hint="default"/>
      </w:rPr>
    </w:lvl>
    <w:lvl w:ilvl="4" w:tplc="F9641F86" w:tentative="1">
      <w:start w:val="1"/>
      <w:numFmt w:val="bullet"/>
      <w:lvlText w:val="•"/>
      <w:lvlJc w:val="left"/>
      <w:pPr>
        <w:tabs>
          <w:tab w:val="num" w:pos="3600"/>
        </w:tabs>
        <w:ind w:left="3600" w:hanging="360"/>
      </w:pPr>
      <w:rPr>
        <w:rFonts w:ascii="Arial" w:hAnsi="Arial" w:hint="default"/>
      </w:rPr>
    </w:lvl>
    <w:lvl w:ilvl="5" w:tplc="BF280146" w:tentative="1">
      <w:start w:val="1"/>
      <w:numFmt w:val="bullet"/>
      <w:lvlText w:val="•"/>
      <w:lvlJc w:val="left"/>
      <w:pPr>
        <w:tabs>
          <w:tab w:val="num" w:pos="4320"/>
        </w:tabs>
        <w:ind w:left="4320" w:hanging="360"/>
      </w:pPr>
      <w:rPr>
        <w:rFonts w:ascii="Arial" w:hAnsi="Arial" w:hint="default"/>
      </w:rPr>
    </w:lvl>
    <w:lvl w:ilvl="6" w:tplc="591AA5FC" w:tentative="1">
      <w:start w:val="1"/>
      <w:numFmt w:val="bullet"/>
      <w:lvlText w:val="•"/>
      <w:lvlJc w:val="left"/>
      <w:pPr>
        <w:tabs>
          <w:tab w:val="num" w:pos="5040"/>
        </w:tabs>
        <w:ind w:left="5040" w:hanging="360"/>
      </w:pPr>
      <w:rPr>
        <w:rFonts w:ascii="Arial" w:hAnsi="Arial" w:hint="default"/>
      </w:rPr>
    </w:lvl>
    <w:lvl w:ilvl="7" w:tplc="554CBA0C" w:tentative="1">
      <w:start w:val="1"/>
      <w:numFmt w:val="bullet"/>
      <w:lvlText w:val="•"/>
      <w:lvlJc w:val="left"/>
      <w:pPr>
        <w:tabs>
          <w:tab w:val="num" w:pos="5760"/>
        </w:tabs>
        <w:ind w:left="5760" w:hanging="360"/>
      </w:pPr>
      <w:rPr>
        <w:rFonts w:ascii="Arial" w:hAnsi="Arial" w:hint="default"/>
      </w:rPr>
    </w:lvl>
    <w:lvl w:ilvl="8" w:tplc="02D4BDA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C7836B8"/>
    <w:multiLevelType w:val="hybridMultilevel"/>
    <w:tmpl w:val="03588C64"/>
    <w:lvl w:ilvl="0" w:tplc="77321BB4">
      <w:start w:val="1"/>
      <w:numFmt w:val="bullet"/>
      <w:lvlText w:val="•"/>
      <w:lvlJc w:val="left"/>
      <w:pPr>
        <w:tabs>
          <w:tab w:val="num" w:pos="720"/>
        </w:tabs>
        <w:ind w:left="720" w:hanging="360"/>
      </w:pPr>
      <w:rPr>
        <w:rFonts w:ascii="Arial" w:hAnsi="Arial" w:hint="default"/>
      </w:rPr>
    </w:lvl>
    <w:lvl w:ilvl="1" w:tplc="36907CC0">
      <w:start w:val="1"/>
      <w:numFmt w:val="bullet"/>
      <w:lvlText w:val="•"/>
      <w:lvlJc w:val="left"/>
      <w:pPr>
        <w:tabs>
          <w:tab w:val="num" w:pos="1440"/>
        </w:tabs>
        <w:ind w:left="1440" w:hanging="360"/>
      </w:pPr>
      <w:rPr>
        <w:rFonts w:ascii="Arial" w:hAnsi="Arial" w:hint="default"/>
      </w:rPr>
    </w:lvl>
    <w:lvl w:ilvl="2" w:tplc="62E8DB3C" w:tentative="1">
      <w:start w:val="1"/>
      <w:numFmt w:val="bullet"/>
      <w:lvlText w:val="•"/>
      <w:lvlJc w:val="left"/>
      <w:pPr>
        <w:tabs>
          <w:tab w:val="num" w:pos="2160"/>
        </w:tabs>
        <w:ind w:left="2160" w:hanging="360"/>
      </w:pPr>
      <w:rPr>
        <w:rFonts w:ascii="Arial" w:hAnsi="Arial" w:hint="default"/>
      </w:rPr>
    </w:lvl>
    <w:lvl w:ilvl="3" w:tplc="4C7ECE08" w:tentative="1">
      <w:start w:val="1"/>
      <w:numFmt w:val="bullet"/>
      <w:lvlText w:val="•"/>
      <w:lvlJc w:val="left"/>
      <w:pPr>
        <w:tabs>
          <w:tab w:val="num" w:pos="2880"/>
        </w:tabs>
        <w:ind w:left="2880" w:hanging="360"/>
      </w:pPr>
      <w:rPr>
        <w:rFonts w:ascii="Arial" w:hAnsi="Arial" w:hint="default"/>
      </w:rPr>
    </w:lvl>
    <w:lvl w:ilvl="4" w:tplc="C8B8DB02" w:tentative="1">
      <w:start w:val="1"/>
      <w:numFmt w:val="bullet"/>
      <w:lvlText w:val="•"/>
      <w:lvlJc w:val="left"/>
      <w:pPr>
        <w:tabs>
          <w:tab w:val="num" w:pos="3600"/>
        </w:tabs>
        <w:ind w:left="3600" w:hanging="360"/>
      </w:pPr>
      <w:rPr>
        <w:rFonts w:ascii="Arial" w:hAnsi="Arial" w:hint="default"/>
      </w:rPr>
    </w:lvl>
    <w:lvl w:ilvl="5" w:tplc="706078CE" w:tentative="1">
      <w:start w:val="1"/>
      <w:numFmt w:val="bullet"/>
      <w:lvlText w:val="•"/>
      <w:lvlJc w:val="left"/>
      <w:pPr>
        <w:tabs>
          <w:tab w:val="num" w:pos="4320"/>
        </w:tabs>
        <w:ind w:left="4320" w:hanging="360"/>
      </w:pPr>
      <w:rPr>
        <w:rFonts w:ascii="Arial" w:hAnsi="Arial" w:hint="default"/>
      </w:rPr>
    </w:lvl>
    <w:lvl w:ilvl="6" w:tplc="199CDBB4" w:tentative="1">
      <w:start w:val="1"/>
      <w:numFmt w:val="bullet"/>
      <w:lvlText w:val="•"/>
      <w:lvlJc w:val="left"/>
      <w:pPr>
        <w:tabs>
          <w:tab w:val="num" w:pos="5040"/>
        </w:tabs>
        <w:ind w:left="5040" w:hanging="360"/>
      </w:pPr>
      <w:rPr>
        <w:rFonts w:ascii="Arial" w:hAnsi="Arial" w:hint="default"/>
      </w:rPr>
    </w:lvl>
    <w:lvl w:ilvl="7" w:tplc="368869C4" w:tentative="1">
      <w:start w:val="1"/>
      <w:numFmt w:val="bullet"/>
      <w:lvlText w:val="•"/>
      <w:lvlJc w:val="left"/>
      <w:pPr>
        <w:tabs>
          <w:tab w:val="num" w:pos="5760"/>
        </w:tabs>
        <w:ind w:left="5760" w:hanging="360"/>
      </w:pPr>
      <w:rPr>
        <w:rFonts w:ascii="Arial" w:hAnsi="Arial" w:hint="default"/>
      </w:rPr>
    </w:lvl>
    <w:lvl w:ilvl="8" w:tplc="FEE65E1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D5F4BD4"/>
    <w:multiLevelType w:val="hybridMultilevel"/>
    <w:tmpl w:val="8CD8A7A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6E712B46"/>
    <w:multiLevelType w:val="hybridMultilevel"/>
    <w:tmpl w:val="9B30E9C6"/>
    <w:lvl w:ilvl="0" w:tplc="1504812A">
      <w:start w:val="1"/>
      <w:numFmt w:val="bullet"/>
      <w:lvlText w:val="•"/>
      <w:lvlJc w:val="left"/>
      <w:pPr>
        <w:tabs>
          <w:tab w:val="num" w:pos="720"/>
        </w:tabs>
        <w:ind w:left="720" w:hanging="360"/>
      </w:pPr>
      <w:rPr>
        <w:rFonts w:ascii="Arial" w:hAnsi="Arial" w:hint="default"/>
      </w:rPr>
    </w:lvl>
    <w:lvl w:ilvl="1" w:tplc="AB1E1A96" w:tentative="1">
      <w:start w:val="1"/>
      <w:numFmt w:val="bullet"/>
      <w:lvlText w:val="•"/>
      <w:lvlJc w:val="left"/>
      <w:pPr>
        <w:tabs>
          <w:tab w:val="num" w:pos="1440"/>
        </w:tabs>
        <w:ind w:left="1440" w:hanging="360"/>
      </w:pPr>
      <w:rPr>
        <w:rFonts w:ascii="Arial" w:hAnsi="Arial" w:hint="default"/>
      </w:rPr>
    </w:lvl>
    <w:lvl w:ilvl="2" w:tplc="3576781A" w:tentative="1">
      <w:start w:val="1"/>
      <w:numFmt w:val="bullet"/>
      <w:lvlText w:val="•"/>
      <w:lvlJc w:val="left"/>
      <w:pPr>
        <w:tabs>
          <w:tab w:val="num" w:pos="2160"/>
        </w:tabs>
        <w:ind w:left="2160" w:hanging="360"/>
      </w:pPr>
      <w:rPr>
        <w:rFonts w:ascii="Arial" w:hAnsi="Arial" w:hint="default"/>
      </w:rPr>
    </w:lvl>
    <w:lvl w:ilvl="3" w:tplc="1BFE5876" w:tentative="1">
      <w:start w:val="1"/>
      <w:numFmt w:val="bullet"/>
      <w:lvlText w:val="•"/>
      <w:lvlJc w:val="left"/>
      <w:pPr>
        <w:tabs>
          <w:tab w:val="num" w:pos="2880"/>
        </w:tabs>
        <w:ind w:left="2880" w:hanging="360"/>
      </w:pPr>
      <w:rPr>
        <w:rFonts w:ascii="Arial" w:hAnsi="Arial" w:hint="default"/>
      </w:rPr>
    </w:lvl>
    <w:lvl w:ilvl="4" w:tplc="21CE4710" w:tentative="1">
      <w:start w:val="1"/>
      <w:numFmt w:val="bullet"/>
      <w:lvlText w:val="•"/>
      <w:lvlJc w:val="left"/>
      <w:pPr>
        <w:tabs>
          <w:tab w:val="num" w:pos="3600"/>
        </w:tabs>
        <w:ind w:left="3600" w:hanging="360"/>
      </w:pPr>
      <w:rPr>
        <w:rFonts w:ascii="Arial" w:hAnsi="Arial" w:hint="default"/>
      </w:rPr>
    </w:lvl>
    <w:lvl w:ilvl="5" w:tplc="B74ED748" w:tentative="1">
      <w:start w:val="1"/>
      <w:numFmt w:val="bullet"/>
      <w:lvlText w:val="•"/>
      <w:lvlJc w:val="left"/>
      <w:pPr>
        <w:tabs>
          <w:tab w:val="num" w:pos="4320"/>
        </w:tabs>
        <w:ind w:left="4320" w:hanging="360"/>
      </w:pPr>
      <w:rPr>
        <w:rFonts w:ascii="Arial" w:hAnsi="Arial" w:hint="default"/>
      </w:rPr>
    </w:lvl>
    <w:lvl w:ilvl="6" w:tplc="959E6052" w:tentative="1">
      <w:start w:val="1"/>
      <w:numFmt w:val="bullet"/>
      <w:lvlText w:val="•"/>
      <w:lvlJc w:val="left"/>
      <w:pPr>
        <w:tabs>
          <w:tab w:val="num" w:pos="5040"/>
        </w:tabs>
        <w:ind w:left="5040" w:hanging="360"/>
      </w:pPr>
      <w:rPr>
        <w:rFonts w:ascii="Arial" w:hAnsi="Arial" w:hint="default"/>
      </w:rPr>
    </w:lvl>
    <w:lvl w:ilvl="7" w:tplc="A3ACA3FA" w:tentative="1">
      <w:start w:val="1"/>
      <w:numFmt w:val="bullet"/>
      <w:lvlText w:val="•"/>
      <w:lvlJc w:val="left"/>
      <w:pPr>
        <w:tabs>
          <w:tab w:val="num" w:pos="5760"/>
        </w:tabs>
        <w:ind w:left="5760" w:hanging="360"/>
      </w:pPr>
      <w:rPr>
        <w:rFonts w:ascii="Arial" w:hAnsi="Arial" w:hint="default"/>
      </w:rPr>
    </w:lvl>
    <w:lvl w:ilvl="8" w:tplc="2EA8407C" w:tentative="1">
      <w:start w:val="1"/>
      <w:numFmt w:val="bullet"/>
      <w:lvlText w:val="•"/>
      <w:lvlJc w:val="left"/>
      <w:pPr>
        <w:tabs>
          <w:tab w:val="num" w:pos="6480"/>
        </w:tabs>
        <w:ind w:left="6480" w:hanging="360"/>
      </w:pPr>
      <w:rPr>
        <w:rFonts w:ascii="Arial" w:hAnsi="Arial" w:hint="default"/>
      </w:rPr>
    </w:lvl>
  </w:abstractNum>
  <w:num w:numId="1" w16cid:durableId="489180609">
    <w:abstractNumId w:val="7"/>
  </w:num>
  <w:num w:numId="2" w16cid:durableId="2067873295">
    <w:abstractNumId w:val="13"/>
  </w:num>
  <w:num w:numId="3" w16cid:durableId="1447189150">
    <w:abstractNumId w:val="6"/>
  </w:num>
  <w:num w:numId="4" w16cid:durableId="2019497226">
    <w:abstractNumId w:val="4"/>
  </w:num>
  <w:num w:numId="5" w16cid:durableId="386952500">
    <w:abstractNumId w:val="0"/>
  </w:num>
  <w:num w:numId="6" w16cid:durableId="337268145">
    <w:abstractNumId w:val="11"/>
  </w:num>
  <w:num w:numId="7" w16cid:durableId="1858544069">
    <w:abstractNumId w:val="12"/>
  </w:num>
  <w:num w:numId="8" w16cid:durableId="708379396">
    <w:abstractNumId w:val="1"/>
  </w:num>
  <w:num w:numId="9" w16cid:durableId="1198201209">
    <w:abstractNumId w:val="3"/>
  </w:num>
  <w:num w:numId="10" w16cid:durableId="1245577541">
    <w:abstractNumId w:val="14"/>
  </w:num>
  <w:num w:numId="11" w16cid:durableId="1512723359">
    <w:abstractNumId w:val="10"/>
  </w:num>
  <w:num w:numId="12" w16cid:durableId="1257786928">
    <w:abstractNumId w:val="8"/>
  </w:num>
  <w:num w:numId="13" w16cid:durableId="2065830508">
    <w:abstractNumId w:val="2"/>
  </w:num>
  <w:num w:numId="14" w16cid:durableId="813251521">
    <w:abstractNumId w:val="9"/>
  </w:num>
  <w:num w:numId="15" w16cid:durableId="17035586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24"/>
    <w:rsid w:val="000003E0"/>
    <w:rsid w:val="000005A8"/>
    <w:rsid w:val="0000090F"/>
    <w:rsid w:val="00000918"/>
    <w:rsid w:val="00000C36"/>
    <w:rsid w:val="00000DE7"/>
    <w:rsid w:val="00000E3D"/>
    <w:rsid w:val="00000E83"/>
    <w:rsid w:val="0000103C"/>
    <w:rsid w:val="000013DA"/>
    <w:rsid w:val="00001484"/>
    <w:rsid w:val="00001618"/>
    <w:rsid w:val="0000167E"/>
    <w:rsid w:val="0000179B"/>
    <w:rsid w:val="000017A9"/>
    <w:rsid w:val="000019BD"/>
    <w:rsid w:val="000019CC"/>
    <w:rsid w:val="000019F4"/>
    <w:rsid w:val="00001C11"/>
    <w:rsid w:val="00001D4C"/>
    <w:rsid w:val="00001EB7"/>
    <w:rsid w:val="000022D8"/>
    <w:rsid w:val="000023FE"/>
    <w:rsid w:val="0000260F"/>
    <w:rsid w:val="00002677"/>
    <w:rsid w:val="00002723"/>
    <w:rsid w:val="00002D52"/>
    <w:rsid w:val="00002EBD"/>
    <w:rsid w:val="00002EC9"/>
    <w:rsid w:val="00003099"/>
    <w:rsid w:val="000033E1"/>
    <w:rsid w:val="0000344F"/>
    <w:rsid w:val="00003687"/>
    <w:rsid w:val="000036EC"/>
    <w:rsid w:val="00003998"/>
    <w:rsid w:val="00003A0A"/>
    <w:rsid w:val="00003C9F"/>
    <w:rsid w:val="000040F2"/>
    <w:rsid w:val="00004206"/>
    <w:rsid w:val="000045D7"/>
    <w:rsid w:val="00004610"/>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02F"/>
    <w:rsid w:val="00007061"/>
    <w:rsid w:val="00007205"/>
    <w:rsid w:val="000073BD"/>
    <w:rsid w:val="00007409"/>
    <w:rsid w:val="00007940"/>
    <w:rsid w:val="00007BB1"/>
    <w:rsid w:val="00007F8A"/>
    <w:rsid w:val="00010107"/>
    <w:rsid w:val="00010344"/>
    <w:rsid w:val="00010448"/>
    <w:rsid w:val="00010460"/>
    <w:rsid w:val="00010878"/>
    <w:rsid w:val="00010AFA"/>
    <w:rsid w:val="00010E6D"/>
    <w:rsid w:val="000110EF"/>
    <w:rsid w:val="00011226"/>
    <w:rsid w:val="00011857"/>
    <w:rsid w:val="00011997"/>
    <w:rsid w:val="00011C9A"/>
    <w:rsid w:val="00011CB5"/>
    <w:rsid w:val="00011D84"/>
    <w:rsid w:val="00011F54"/>
    <w:rsid w:val="00012034"/>
    <w:rsid w:val="00012070"/>
    <w:rsid w:val="00012189"/>
    <w:rsid w:val="0001228C"/>
    <w:rsid w:val="000122A8"/>
    <w:rsid w:val="000125CD"/>
    <w:rsid w:val="00012AF8"/>
    <w:rsid w:val="00012C7D"/>
    <w:rsid w:val="00012EFD"/>
    <w:rsid w:val="00013888"/>
    <w:rsid w:val="00013E6E"/>
    <w:rsid w:val="00014339"/>
    <w:rsid w:val="000144AF"/>
    <w:rsid w:val="000145B4"/>
    <w:rsid w:val="000148D3"/>
    <w:rsid w:val="00014B7E"/>
    <w:rsid w:val="00014BD0"/>
    <w:rsid w:val="00014E41"/>
    <w:rsid w:val="00014F88"/>
    <w:rsid w:val="000151B9"/>
    <w:rsid w:val="000154AA"/>
    <w:rsid w:val="0001553A"/>
    <w:rsid w:val="00015543"/>
    <w:rsid w:val="000158D3"/>
    <w:rsid w:val="00015AE6"/>
    <w:rsid w:val="00015B8E"/>
    <w:rsid w:val="00015FE4"/>
    <w:rsid w:val="000160E4"/>
    <w:rsid w:val="00016222"/>
    <w:rsid w:val="00016246"/>
    <w:rsid w:val="00016595"/>
    <w:rsid w:val="000166CA"/>
    <w:rsid w:val="00016883"/>
    <w:rsid w:val="00016CBF"/>
    <w:rsid w:val="00017166"/>
    <w:rsid w:val="00017209"/>
    <w:rsid w:val="000173B5"/>
    <w:rsid w:val="00017818"/>
    <w:rsid w:val="00017892"/>
    <w:rsid w:val="00017924"/>
    <w:rsid w:val="0001792A"/>
    <w:rsid w:val="000179B8"/>
    <w:rsid w:val="00017B5A"/>
    <w:rsid w:val="00017BE0"/>
    <w:rsid w:val="00017DDD"/>
    <w:rsid w:val="00017F6F"/>
    <w:rsid w:val="00020456"/>
    <w:rsid w:val="0002046B"/>
    <w:rsid w:val="0002052B"/>
    <w:rsid w:val="0002062B"/>
    <w:rsid w:val="00020634"/>
    <w:rsid w:val="000207C9"/>
    <w:rsid w:val="00020917"/>
    <w:rsid w:val="00020AB5"/>
    <w:rsid w:val="00020ADC"/>
    <w:rsid w:val="000210C2"/>
    <w:rsid w:val="000210EE"/>
    <w:rsid w:val="00021117"/>
    <w:rsid w:val="000216B3"/>
    <w:rsid w:val="00021FBD"/>
    <w:rsid w:val="000220A6"/>
    <w:rsid w:val="000224A6"/>
    <w:rsid w:val="000224B7"/>
    <w:rsid w:val="000225AC"/>
    <w:rsid w:val="0002284B"/>
    <w:rsid w:val="00022B61"/>
    <w:rsid w:val="00022BCC"/>
    <w:rsid w:val="00022FD9"/>
    <w:rsid w:val="00023098"/>
    <w:rsid w:val="00023304"/>
    <w:rsid w:val="000234D1"/>
    <w:rsid w:val="0002357D"/>
    <w:rsid w:val="00023640"/>
    <w:rsid w:val="00023A7E"/>
    <w:rsid w:val="00023C50"/>
    <w:rsid w:val="00023FAB"/>
    <w:rsid w:val="00024064"/>
    <w:rsid w:val="00024689"/>
    <w:rsid w:val="000247AD"/>
    <w:rsid w:val="000249E3"/>
    <w:rsid w:val="00024ABA"/>
    <w:rsid w:val="00024D4F"/>
    <w:rsid w:val="000254B4"/>
    <w:rsid w:val="00025540"/>
    <w:rsid w:val="0002557C"/>
    <w:rsid w:val="000255A1"/>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424"/>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935"/>
    <w:rsid w:val="00030A8E"/>
    <w:rsid w:val="00031131"/>
    <w:rsid w:val="00031176"/>
    <w:rsid w:val="000311A9"/>
    <w:rsid w:val="000312B1"/>
    <w:rsid w:val="00031E63"/>
    <w:rsid w:val="00031F12"/>
    <w:rsid w:val="00032150"/>
    <w:rsid w:val="000321D5"/>
    <w:rsid w:val="000322D8"/>
    <w:rsid w:val="000322FD"/>
    <w:rsid w:val="00032998"/>
    <w:rsid w:val="00032A42"/>
    <w:rsid w:val="00033430"/>
    <w:rsid w:val="00033526"/>
    <w:rsid w:val="0003360D"/>
    <w:rsid w:val="00033B05"/>
    <w:rsid w:val="00033B2B"/>
    <w:rsid w:val="00033D32"/>
    <w:rsid w:val="00033E99"/>
    <w:rsid w:val="00033EE0"/>
    <w:rsid w:val="00033FF0"/>
    <w:rsid w:val="000340A2"/>
    <w:rsid w:val="00034615"/>
    <w:rsid w:val="000346D0"/>
    <w:rsid w:val="000346E3"/>
    <w:rsid w:val="0003474B"/>
    <w:rsid w:val="000347D2"/>
    <w:rsid w:val="0003488A"/>
    <w:rsid w:val="0003499E"/>
    <w:rsid w:val="00034B44"/>
    <w:rsid w:val="00035317"/>
    <w:rsid w:val="0003544D"/>
    <w:rsid w:val="00035531"/>
    <w:rsid w:val="0003569C"/>
    <w:rsid w:val="00035787"/>
    <w:rsid w:val="00035A69"/>
    <w:rsid w:val="00035C63"/>
    <w:rsid w:val="00035CE6"/>
    <w:rsid w:val="00035E3D"/>
    <w:rsid w:val="0003617B"/>
    <w:rsid w:val="000362D1"/>
    <w:rsid w:val="000363DC"/>
    <w:rsid w:val="00036634"/>
    <w:rsid w:val="000367BC"/>
    <w:rsid w:val="00036981"/>
    <w:rsid w:val="00036A23"/>
    <w:rsid w:val="00036EF0"/>
    <w:rsid w:val="00036FCF"/>
    <w:rsid w:val="000372E4"/>
    <w:rsid w:val="00037470"/>
    <w:rsid w:val="000376D1"/>
    <w:rsid w:val="00037A8E"/>
    <w:rsid w:val="00037ADC"/>
    <w:rsid w:val="00037B65"/>
    <w:rsid w:val="00037E66"/>
    <w:rsid w:val="00037E8B"/>
    <w:rsid w:val="0004013B"/>
    <w:rsid w:val="000401AC"/>
    <w:rsid w:val="000404F0"/>
    <w:rsid w:val="00040BF2"/>
    <w:rsid w:val="00040CD3"/>
    <w:rsid w:val="00040EA1"/>
    <w:rsid w:val="00040EC2"/>
    <w:rsid w:val="00040F82"/>
    <w:rsid w:val="000415CF"/>
    <w:rsid w:val="0004183F"/>
    <w:rsid w:val="00041C84"/>
    <w:rsid w:val="00041F3E"/>
    <w:rsid w:val="0004228D"/>
    <w:rsid w:val="000422D6"/>
    <w:rsid w:val="0004247A"/>
    <w:rsid w:val="00042AA4"/>
    <w:rsid w:val="00042ACA"/>
    <w:rsid w:val="00042CAC"/>
    <w:rsid w:val="00042CD0"/>
    <w:rsid w:val="00042F52"/>
    <w:rsid w:val="0004322C"/>
    <w:rsid w:val="00043532"/>
    <w:rsid w:val="00043794"/>
    <w:rsid w:val="00043859"/>
    <w:rsid w:val="0004385A"/>
    <w:rsid w:val="00043C81"/>
    <w:rsid w:val="00043E73"/>
    <w:rsid w:val="0004401B"/>
    <w:rsid w:val="00044740"/>
    <w:rsid w:val="000447AF"/>
    <w:rsid w:val="000447DC"/>
    <w:rsid w:val="00044932"/>
    <w:rsid w:val="00044A77"/>
    <w:rsid w:val="00044C35"/>
    <w:rsid w:val="00044E32"/>
    <w:rsid w:val="000452E9"/>
    <w:rsid w:val="0004552B"/>
    <w:rsid w:val="000455A8"/>
    <w:rsid w:val="00045969"/>
    <w:rsid w:val="00045B42"/>
    <w:rsid w:val="00045BE1"/>
    <w:rsid w:val="00045CAE"/>
    <w:rsid w:val="00045EA4"/>
    <w:rsid w:val="000460D8"/>
    <w:rsid w:val="00046300"/>
    <w:rsid w:val="0004662E"/>
    <w:rsid w:val="00046CC4"/>
    <w:rsid w:val="000471ED"/>
    <w:rsid w:val="000471FD"/>
    <w:rsid w:val="000475BD"/>
    <w:rsid w:val="000475FC"/>
    <w:rsid w:val="0004771D"/>
    <w:rsid w:val="00047860"/>
    <w:rsid w:val="00047893"/>
    <w:rsid w:val="00047B6D"/>
    <w:rsid w:val="00047CB5"/>
    <w:rsid w:val="00047CE6"/>
    <w:rsid w:val="00047E92"/>
    <w:rsid w:val="00047EC1"/>
    <w:rsid w:val="0005001E"/>
    <w:rsid w:val="00050084"/>
    <w:rsid w:val="000500EA"/>
    <w:rsid w:val="000502B7"/>
    <w:rsid w:val="000502FF"/>
    <w:rsid w:val="00050705"/>
    <w:rsid w:val="000509F4"/>
    <w:rsid w:val="00050B09"/>
    <w:rsid w:val="0005117E"/>
    <w:rsid w:val="0005149B"/>
    <w:rsid w:val="000514FC"/>
    <w:rsid w:val="000517DA"/>
    <w:rsid w:val="00051856"/>
    <w:rsid w:val="00051B11"/>
    <w:rsid w:val="00051CC5"/>
    <w:rsid w:val="00051F0C"/>
    <w:rsid w:val="000521C8"/>
    <w:rsid w:val="000522E6"/>
    <w:rsid w:val="0005233D"/>
    <w:rsid w:val="0005276A"/>
    <w:rsid w:val="00052974"/>
    <w:rsid w:val="00052AB2"/>
    <w:rsid w:val="00053168"/>
    <w:rsid w:val="0005322E"/>
    <w:rsid w:val="00053789"/>
    <w:rsid w:val="00053A4F"/>
    <w:rsid w:val="00053A90"/>
    <w:rsid w:val="00053BAA"/>
    <w:rsid w:val="00053DF8"/>
    <w:rsid w:val="00053E08"/>
    <w:rsid w:val="00053EAC"/>
    <w:rsid w:val="000543B8"/>
    <w:rsid w:val="00054596"/>
    <w:rsid w:val="000545CF"/>
    <w:rsid w:val="000547D9"/>
    <w:rsid w:val="00054801"/>
    <w:rsid w:val="000548DB"/>
    <w:rsid w:val="00054A41"/>
    <w:rsid w:val="00054BE5"/>
    <w:rsid w:val="00054F11"/>
    <w:rsid w:val="00054F9E"/>
    <w:rsid w:val="000551B8"/>
    <w:rsid w:val="00055220"/>
    <w:rsid w:val="000553A4"/>
    <w:rsid w:val="00055603"/>
    <w:rsid w:val="000559C8"/>
    <w:rsid w:val="00055C25"/>
    <w:rsid w:val="00055DA9"/>
    <w:rsid w:val="00055F75"/>
    <w:rsid w:val="00056627"/>
    <w:rsid w:val="0005698A"/>
    <w:rsid w:val="000569AF"/>
    <w:rsid w:val="00056B86"/>
    <w:rsid w:val="00056C38"/>
    <w:rsid w:val="00056F41"/>
    <w:rsid w:val="00057108"/>
    <w:rsid w:val="00057124"/>
    <w:rsid w:val="0005719F"/>
    <w:rsid w:val="000573D2"/>
    <w:rsid w:val="00057401"/>
    <w:rsid w:val="0005740A"/>
    <w:rsid w:val="000574A7"/>
    <w:rsid w:val="000574AC"/>
    <w:rsid w:val="000574DF"/>
    <w:rsid w:val="000576BA"/>
    <w:rsid w:val="00057812"/>
    <w:rsid w:val="00057B15"/>
    <w:rsid w:val="00057B79"/>
    <w:rsid w:val="00057CA5"/>
    <w:rsid w:val="00057DB1"/>
    <w:rsid w:val="00057E1F"/>
    <w:rsid w:val="000602CF"/>
    <w:rsid w:val="000603B4"/>
    <w:rsid w:val="000603E0"/>
    <w:rsid w:val="0006062F"/>
    <w:rsid w:val="000608B1"/>
    <w:rsid w:val="00060B22"/>
    <w:rsid w:val="00060DB5"/>
    <w:rsid w:val="00060EC3"/>
    <w:rsid w:val="0006109B"/>
    <w:rsid w:val="000611B1"/>
    <w:rsid w:val="00061865"/>
    <w:rsid w:val="0006212B"/>
    <w:rsid w:val="0006229F"/>
    <w:rsid w:val="0006235F"/>
    <w:rsid w:val="0006247E"/>
    <w:rsid w:val="0006249B"/>
    <w:rsid w:val="000629C5"/>
    <w:rsid w:val="00062B26"/>
    <w:rsid w:val="00062D57"/>
    <w:rsid w:val="00062FA9"/>
    <w:rsid w:val="000632A9"/>
    <w:rsid w:val="00063678"/>
    <w:rsid w:val="0006368C"/>
    <w:rsid w:val="00063853"/>
    <w:rsid w:val="0006386A"/>
    <w:rsid w:val="000639F6"/>
    <w:rsid w:val="00063A70"/>
    <w:rsid w:val="00063FAB"/>
    <w:rsid w:val="0006442D"/>
    <w:rsid w:val="00064469"/>
    <w:rsid w:val="0006464F"/>
    <w:rsid w:val="00064A83"/>
    <w:rsid w:val="00064B02"/>
    <w:rsid w:val="00064BD4"/>
    <w:rsid w:val="00064C99"/>
    <w:rsid w:val="00064D92"/>
    <w:rsid w:val="00064F39"/>
    <w:rsid w:val="00064FB2"/>
    <w:rsid w:val="000650B6"/>
    <w:rsid w:val="00065355"/>
    <w:rsid w:val="000654FF"/>
    <w:rsid w:val="00065529"/>
    <w:rsid w:val="00065659"/>
    <w:rsid w:val="000656AF"/>
    <w:rsid w:val="00065781"/>
    <w:rsid w:val="000657C9"/>
    <w:rsid w:val="00065A49"/>
    <w:rsid w:val="00065B95"/>
    <w:rsid w:val="0006604E"/>
    <w:rsid w:val="0006617B"/>
    <w:rsid w:val="0006629D"/>
    <w:rsid w:val="000662DA"/>
    <w:rsid w:val="000663E5"/>
    <w:rsid w:val="000666F5"/>
    <w:rsid w:val="00066BBE"/>
    <w:rsid w:val="00066BE7"/>
    <w:rsid w:val="00066C72"/>
    <w:rsid w:val="00066E63"/>
    <w:rsid w:val="00066F93"/>
    <w:rsid w:val="000671CB"/>
    <w:rsid w:val="0006735C"/>
    <w:rsid w:val="000673D2"/>
    <w:rsid w:val="000673DC"/>
    <w:rsid w:val="0006758C"/>
    <w:rsid w:val="000677B0"/>
    <w:rsid w:val="000677CB"/>
    <w:rsid w:val="000677D7"/>
    <w:rsid w:val="00067AAC"/>
    <w:rsid w:val="00067BB7"/>
    <w:rsid w:val="00067C49"/>
    <w:rsid w:val="00067F8E"/>
    <w:rsid w:val="00070007"/>
    <w:rsid w:val="00070154"/>
    <w:rsid w:val="00070241"/>
    <w:rsid w:val="000705A2"/>
    <w:rsid w:val="0007062F"/>
    <w:rsid w:val="000708B7"/>
    <w:rsid w:val="0007100E"/>
    <w:rsid w:val="00071020"/>
    <w:rsid w:val="0007103A"/>
    <w:rsid w:val="00071053"/>
    <w:rsid w:val="00071191"/>
    <w:rsid w:val="000712D5"/>
    <w:rsid w:val="000717B8"/>
    <w:rsid w:val="00071810"/>
    <w:rsid w:val="000718FB"/>
    <w:rsid w:val="00071961"/>
    <w:rsid w:val="00071BD8"/>
    <w:rsid w:val="00071C48"/>
    <w:rsid w:val="00071D6A"/>
    <w:rsid w:val="00071F35"/>
    <w:rsid w:val="00071F6D"/>
    <w:rsid w:val="00071F9A"/>
    <w:rsid w:val="0007204D"/>
    <w:rsid w:val="00072064"/>
    <w:rsid w:val="000721F6"/>
    <w:rsid w:val="000722AC"/>
    <w:rsid w:val="00072383"/>
    <w:rsid w:val="0007238B"/>
    <w:rsid w:val="00072503"/>
    <w:rsid w:val="000725A0"/>
    <w:rsid w:val="0007273F"/>
    <w:rsid w:val="000729FF"/>
    <w:rsid w:val="00072A84"/>
    <w:rsid w:val="00072AB6"/>
    <w:rsid w:val="00072C18"/>
    <w:rsid w:val="00072FE8"/>
    <w:rsid w:val="00073285"/>
    <w:rsid w:val="00073296"/>
    <w:rsid w:val="00073356"/>
    <w:rsid w:val="00073866"/>
    <w:rsid w:val="00073E16"/>
    <w:rsid w:val="00073E5A"/>
    <w:rsid w:val="0007401A"/>
    <w:rsid w:val="000743D6"/>
    <w:rsid w:val="000747D5"/>
    <w:rsid w:val="00074A69"/>
    <w:rsid w:val="00074B09"/>
    <w:rsid w:val="00074B1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59"/>
    <w:rsid w:val="000800F3"/>
    <w:rsid w:val="000802A8"/>
    <w:rsid w:val="0008036A"/>
    <w:rsid w:val="0008037B"/>
    <w:rsid w:val="00080439"/>
    <w:rsid w:val="00080469"/>
    <w:rsid w:val="00080A1D"/>
    <w:rsid w:val="00080A27"/>
    <w:rsid w:val="00080A6E"/>
    <w:rsid w:val="00080D8E"/>
    <w:rsid w:val="00080E57"/>
    <w:rsid w:val="00080F13"/>
    <w:rsid w:val="00081232"/>
    <w:rsid w:val="000813A7"/>
    <w:rsid w:val="0008159A"/>
    <w:rsid w:val="00081A4A"/>
    <w:rsid w:val="00081AF4"/>
    <w:rsid w:val="00081B5D"/>
    <w:rsid w:val="00081F02"/>
    <w:rsid w:val="00082023"/>
    <w:rsid w:val="00082363"/>
    <w:rsid w:val="00082775"/>
    <w:rsid w:val="00082B85"/>
    <w:rsid w:val="00082DE7"/>
    <w:rsid w:val="00082E4A"/>
    <w:rsid w:val="00083180"/>
    <w:rsid w:val="000831C7"/>
    <w:rsid w:val="0008332F"/>
    <w:rsid w:val="0008379B"/>
    <w:rsid w:val="0008382D"/>
    <w:rsid w:val="000840D4"/>
    <w:rsid w:val="00084156"/>
    <w:rsid w:val="0008423B"/>
    <w:rsid w:val="000846C2"/>
    <w:rsid w:val="0008477A"/>
    <w:rsid w:val="0008485E"/>
    <w:rsid w:val="00084A0D"/>
    <w:rsid w:val="00084A1B"/>
    <w:rsid w:val="00084B9D"/>
    <w:rsid w:val="00084BF3"/>
    <w:rsid w:val="00084CE7"/>
    <w:rsid w:val="00084D51"/>
    <w:rsid w:val="00084E55"/>
    <w:rsid w:val="00084F11"/>
    <w:rsid w:val="00084F50"/>
    <w:rsid w:val="00084FF6"/>
    <w:rsid w:val="000850AE"/>
    <w:rsid w:val="00085330"/>
    <w:rsid w:val="00085588"/>
    <w:rsid w:val="00085666"/>
    <w:rsid w:val="00085736"/>
    <w:rsid w:val="00085900"/>
    <w:rsid w:val="00085AEC"/>
    <w:rsid w:val="00085B16"/>
    <w:rsid w:val="00085F56"/>
    <w:rsid w:val="000861AA"/>
    <w:rsid w:val="000861E1"/>
    <w:rsid w:val="00086812"/>
    <w:rsid w:val="00086993"/>
    <w:rsid w:val="00086A33"/>
    <w:rsid w:val="00086A93"/>
    <w:rsid w:val="00086C5D"/>
    <w:rsid w:val="00087038"/>
    <w:rsid w:val="0008714F"/>
    <w:rsid w:val="000871CC"/>
    <w:rsid w:val="00087553"/>
    <w:rsid w:val="00087791"/>
    <w:rsid w:val="00087923"/>
    <w:rsid w:val="000879E9"/>
    <w:rsid w:val="00087C0F"/>
    <w:rsid w:val="00087F90"/>
    <w:rsid w:val="0009006E"/>
    <w:rsid w:val="000904D4"/>
    <w:rsid w:val="00090898"/>
    <w:rsid w:val="00090A78"/>
    <w:rsid w:val="00090E32"/>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AE2"/>
    <w:rsid w:val="00092AE9"/>
    <w:rsid w:val="00092B20"/>
    <w:rsid w:val="0009323A"/>
    <w:rsid w:val="000933DD"/>
    <w:rsid w:val="0009391E"/>
    <w:rsid w:val="0009397B"/>
    <w:rsid w:val="00093C0B"/>
    <w:rsid w:val="00093F26"/>
    <w:rsid w:val="00094021"/>
    <w:rsid w:val="000940E7"/>
    <w:rsid w:val="000944B2"/>
    <w:rsid w:val="000949C0"/>
    <w:rsid w:val="00094B2C"/>
    <w:rsid w:val="00094E30"/>
    <w:rsid w:val="0009526E"/>
    <w:rsid w:val="00095294"/>
    <w:rsid w:val="000952D6"/>
    <w:rsid w:val="000957F8"/>
    <w:rsid w:val="000958A3"/>
    <w:rsid w:val="000959A5"/>
    <w:rsid w:val="00096496"/>
    <w:rsid w:val="0009656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259"/>
    <w:rsid w:val="000A0307"/>
    <w:rsid w:val="000A0324"/>
    <w:rsid w:val="000A05DF"/>
    <w:rsid w:val="000A105D"/>
    <w:rsid w:val="000A1172"/>
    <w:rsid w:val="000A11DC"/>
    <w:rsid w:val="000A129C"/>
    <w:rsid w:val="000A1311"/>
    <w:rsid w:val="000A13E9"/>
    <w:rsid w:val="000A13F9"/>
    <w:rsid w:val="000A161C"/>
    <w:rsid w:val="000A16C0"/>
    <w:rsid w:val="000A19D0"/>
    <w:rsid w:val="000A1A27"/>
    <w:rsid w:val="000A1A41"/>
    <w:rsid w:val="000A1BE9"/>
    <w:rsid w:val="000A1D31"/>
    <w:rsid w:val="000A1FB2"/>
    <w:rsid w:val="000A20F4"/>
    <w:rsid w:val="000A2242"/>
    <w:rsid w:val="000A237D"/>
    <w:rsid w:val="000A23AE"/>
    <w:rsid w:val="000A28A4"/>
    <w:rsid w:val="000A2B50"/>
    <w:rsid w:val="000A2CA7"/>
    <w:rsid w:val="000A2E4F"/>
    <w:rsid w:val="000A30D0"/>
    <w:rsid w:val="000A317E"/>
    <w:rsid w:val="000A325A"/>
    <w:rsid w:val="000A32CD"/>
    <w:rsid w:val="000A3587"/>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5F"/>
    <w:rsid w:val="000A51C6"/>
    <w:rsid w:val="000A540E"/>
    <w:rsid w:val="000A570B"/>
    <w:rsid w:val="000A5C1D"/>
    <w:rsid w:val="000A5C9D"/>
    <w:rsid w:val="000A6A65"/>
    <w:rsid w:val="000A6CA1"/>
    <w:rsid w:val="000A6D90"/>
    <w:rsid w:val="000A6E0C"/>
    <w:rsid w:val="000A6F7C"/>
    <w:rsid w:val="000A7082"/>
    <w:rsid w:val="000A7601"/>
    <w:rsid w:val="000A7778"/>
    <w:rsid w:val="000A79D8"/>
    <w:rsid w:val="000A7A07"/>
    <w:rsid w:val="000A7B2F"/>
    <w:rsid w:val="000A7C87"/>
    <w:rsid w:val="000A7D0D"/>
    <w:rsid w:val="000B0036"/>
    <w:rsid w:val="000B0335"/>
    <w:rsid w:val="000B0591"/>
    <w:rsid w:val="000B060A"/>
    <w:rsid w:val="000B080B"/>
    <w:rsid w:val="000B09FA"/>
    <w:rsid w:val="000B0E33"/>
    <w:rsid w:val="000B1107"/>
    <w:rsid w:val="000B1841"/>
    <w:rsid w:val="000B1A2E"/>
    <w:rsid w:val="000B1B5D"/>
    <w:rsid w:val="000B1BF8"/>
    <w:rsid w:val="000B1D6D"/>
    <w:rsid w:val="000B21C7"/>
    <w:rsid w:val="000B2362"/>
    <w:rsid w:val="000B257D"/>
    <w:rsid w:val="000B2769"/>
    <w:rsid w:val="000B2876"/>
    <w:rsid w:val="000B2C0B"/>
    <w:rsid w:val="000B2EBF"/>
    <w:rsid w:val="000B2F01"/>
    <w:rsid w:val="000B3167"/>
    <w:rsid w:val="000B36BA"/>
    <w:rsid w:val="000B39F3"/>
    <w:rsid w:val="000B3B29"/>
    <w:rsid w:val="000B3CBC"/>
    <w:rsid w:val="000B3DED"/>
    <w:rsid w:val="000B3EED"/>
    <w:rsid w:val="000B426D"/>
    <w:rsid w:val="000B4753"/>
    <w:rsid w:val="000B4CD2"/>
    <w:rsid w:val="000B4E8A"/>
    <w:rsid w:val="000B52C5"/>
    <w:rsid w:val="000B530C"/>
    <w:rsid w:val="000B5336"/>
    <w:rsid w:val="000B56DE"/>
    <w:rsid w:val="000B5818"/>
    <w:rsid w:val="000B585E"/>
    <w:rsid w:val="000B594A"/>
    <w:rsid w:val="000B5BA7"/>
    <w:rsid w:val="000B5CA4"/>
    <w:rsid w:val="000B5F38"/>
    <w:rsid w:val="000B603F"/>
    <w:rsid w:val="000B6082"/>
    <w:rsid w:val="000B62F7"/>
    <w:rsid w:val="000B638F"/>
    <w:rsid w:val="000B64E7"/>
    <w:rsid w:val="000B64EB"/>
    <w:rsid w:val="000B654B"/>
    <w:rsid w:val="000B66B3"/>
    <w:rsid w:val="000B67C8"/>
    <w:rsid w:val="000B6E32"/>
    <w:rsid w:val="000B7179"/>
    <w:rsid w:val="000B717F"/>
    <w:rsid w:val="000B7360"/>
    <w:rsid w:val="000B7677"/>
    <w:rsid w:val="000B7AAE"/>
    <w:rsid w:val="000B7AB5"/>
    <w:rsid w:val="000B7B88"/>
    <w:rsid w:val="000B7E56"/>
    <w:rsid w:val="000B7EEE"/>
    <w:rsid w:val="000B7F73"/>
    <w:rsid w:val="000C01A3"/>
    <w:rsid w:val="000C08AC"/>
    <w:rsid w:val="000C08C1"/>
    <w:rsid w:val="000C08DC"/>
    <w:rsid w:val="000C0A48"/>
    <w:rsid w:val="000C0ACB"/>
    <w:rsid w:val="000C0CED"/>
    <w:rsid w:val="000C1179"/>
    <w:rsid w:val="000C124D"/>
    <w:rsid w:val="000C17E7"/>
    <w:rsid w:val="000C1F3A"/>
    <w:rsid w:val="000C208C"/>
    <w:rsid w:val="000C26EE"/>
    <w:rsid w:val="000C2927"/>
    <w:rsid w:val="000C2A40"/>
    <w:rsid w:val="000C2A4C"/>
    <w:rsid w:val="000C2ADB"/>
    <w:rsid w:val="000C2E5A"/>
    <w:rsid w:val="000C2EEA"/>
    <w:rsid w:val="000C2F5B"/>
    <w:rsid w:val="000C3150"/>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08"/>
    <w:rsid w:val="000C4CCA"/>
    <w:rsid w:val="000C4E75"/>
    <w:rsid w:val="000C4F6F"/>
    <w:rsid w:val="000C5370"/>
    <w:rsid w:val="000C5377"/>
    <w:rsid w:val="000C53D5"/>
    <w:rsid w:val="000C55D5"/>
    <w:rsid w:val="000C55F0"/>
    <w:rsid w:val="000C5844"/>
    <w:rsid w:val="000C58AA"/>
    <w:rsid w:val="000C5AF2"/>
    <w:rsid w:val="000C61CD"/>
    <w:rsid w:val="000C62DE"/>
    <w:rsid w:val="000C6421"/>
    <w:rsid w:val="000C64FF"/>
    <w:rsid w:val="000C65BA"/>
    <w:rsid w:val="000C661B"/>
    <w:rsid w:val="000C6649"/>
    <w:rsid w:val="000C6800"/>
    <w:rsid w:val="000C6971"/>
    <w:rsid w:val="000C6C04"/>
    <w:rsid w:val="000C6C0B"/>
    <w:rsid w:val="000C6E97"/>
    <w:rsid w:val="000C7200"/>
    <w:rsid w:val="000C753F"/>
    <w:rsid w:val="000C7822"/>
    <w:rsid w:val="000C782E"/>
    <w:rsid w:val="000C78B9"/>
    <w:rsid w:val="000C78BE"/>
    <w:rsid w:val="000C7A6A"/>
    <w:rsid w:val="000C7B79"/>
    <w:rsid w:val="000C7E38"/>
    <w:rsid w:val="000D015B"/>
    <w:rsid w:val="000D025B"/>
    <w:rsid w:val="000D0399"/>
    <w:rsid w:val="000D052E"/>
    <w:rsid w:val="000D05E8"/>
    <w:rsid w:val="000D06D4"/>
    <w:rsid w:val="000D06F0"/>
    <w:rsid w:val="000D06FF"/>
    <w:rsid w:val="000D07EF"/>
    <w:rsid w:val="000D09EC"/>
    <w:rsid w:val="000D0AB9"/>
    <w:rsid w:val="000D0BED"/>
    <w:rsid w:val="000D0C74"/>
    <w:rsid w:val="000D0CCA"/>
    <w:rsid w:val="000D0D16"/>
    <w:rsid w:val="000D0EA6"/>
    <w:rsid w:val="000D1298"/>
    <w:rsid w:val="000D12C4"/>
    <w:rsid w:val="000D1553"/>
    <w:rsid w:val="000D1581"/>
    <w:rsid w:val="000D16D8"/>
    <w:rsid w:val="000D1A90"/>
    <w:rsid w:val="000D2004"/>
    <w:rsid w:val="000D2197"/>
    <w:rsid w:val="000D2420"/>
    <w:rsid w:val="000D284F"/>
    <w:rsid w:val="000D2C30"/>
    <w:rsid w:val="000D2CFB"/>
    <w:rsid w:val="000D35D9"/>
    <w:rsid w:val="000D397B"/>
    <w:rsid w:val="000D3A59"/>
    <w:rsid w:val="000D3B1E"/>
    <w:rsid w:val="000D409C"/>
    <w:rsid w:val="000D473D"/>
    <w:rsid w:val="000D47E9"/>
    <w:rsid w:val="000D4A6B"/>
    <w:rsid w:val="000D4AA6"/>
    <w:rsid w:val="000D4C2A"/>
    <w:rsid w:val="000D4C94"/>
    <w:rsid w:val="000D4CEA"/>
    <w:rsid w:val="000D52CA"/>
    <w:rsid w:val="000D5304"/>
    <w:rsid w:val="000D5775"/>
    <w:rsid w:val="000D58BD"/>
    <w:rsid w:val="000D5B98"/>
    <w:rsid w:val="000D5BAA"/>
    <w:rsid w:val="000D5BC4"/>
    <w:rsid w:val="000D5D8C"/>
    <w:rsid w:val="000D61B1"/>
    <w:rsid w:val="000D62DE"/>
    <w:rsid w:val="000D659A"/>
    <w:rsid w:val="000D6B1D"/>
    <w:rsid w:val="000D6B2A"/>
    <w:rsid w:val="000D6C84"/>
    <w:rsid w:val="000D6F4E"/>
    <w:rsid w:val="000D6F9F"/>
    <w:rsid w:val="000D701A"/>
    <w:rsid w:val="000D7147"/>
    <w:rsid w:val="000D76D4"/>
    <w:rsid w:val="000D7762"/>
    <w:rsid w:val="000D7877"/>
    <w:rsid w:val="000D7935"/>
    <w:rsid w:val="000D7D30"/>
    <w:rsid w:val="000D7F3D"/>
    <w:rsid w:val="000E02A6"/>
    <w:rsid w:val="000E03B6"/>
    <w:rsid w:val="000E07C6"/>
    <w:rsid w:val="000E0885"/>
    <w:rsid w:val="000E08A3"/>
    <w:rsid w:val="000E0A1E"/>
    <w:rsid w:val="000E0B5C"/>
    <w:rsid w:val="000E0C2E"/>
    <w:rsid w:val="000E0EC3"/>
    <w:rsid w:val="000E12BE"/>
    <w:rsid w:val="000E1413"/>
    <w:rsid w:val="000E14C3"/>
    <w:rsid w:val="000E1578"/>
    <w:rsid w:val="000E1825"/>
    <w:rsid w:val="000E1B76"/>
    <w:rsid w:val="000E1D1E"/>
    <w:rsid w:val="000E239C"/>
    <w:rsid w:val="000E2711"/>
    <w:rsid w:val="000E30A3"/>
    <w:rsid w:val="000E30ED"/>
    <w:rsid w:val="000E30F6"/>
    <w:rsid w:val="000E33F3"/>
    <w:rsid w:val="000E3413"/>
    <w:rsid w:val="000E34E7"/>
    <w:rsid w:val="000E3572"/>
    <w:rsid w:val="000E35F5"/>
    <w:rsid w:val="000E3791"/>
    <w:rsid w:val="000E3845"/>
    <w:rsid w:val="000E3B8F"/>
    <w:rsid w:val="000E3CAC"/>
    <w:rsid w:val="000E3CD0"/>
    <w:rsid w:val="000E4021"/>
    <w:rsid w:val="000E4283"/>
    <w:rsid w:val="000E440B"/>
    <w:rsid w:val="000E45FE"/>
    <w:rsid w:val="000E47C3"/>
    <w:rsid w:val="000E4EDE"/>
    <w:rsid w:val="000E4FAE"/>
    <w:rsid w:val="000E5093"/>
    <w:rsid w:val="000E50ED"/>
    <w:rsid w:val="000E539D"/>
    <w:rsid w:val="000E58BA"/>
    <w:rsid w:val="000E5A7C"/>
    <w:rsid w:val="000E5C6F"/>
    <w:rsid w:val="000E5EE4"/>
    <w:rsid w:val="000E61AD"/>
    <w:rsid w:val="000E659C"/>
    <w:rsid w:val="000E65DF"/>
    <w:rsid w:val="000E66BD"/>
    <w:rsid w:val="000E671F"/>
    <w:rsid w:val="000E69F9"/>
    <w:rsid w:val="000E6B8C"/>
    <w:rsid w:val="000E6CB2"/>
    <w:rsid w:val="000E6D2D"/>
    <w:rsid w:val="000E6D89"/>
    <w:rsid w:val="000E6DD9"/>
    <w:rsid w:val="000E6E58"/>
    <w:rsid w:val="000E70D8"/>
    <w:rsid w:val="000E730B"/>
    <w:rsid w:val="000E7359"/>
    <w:rsid w:val="000E7368"/>
    <w:rsid w:val="000E737A"/>
    <w:rsid w:val="000E7495"/>
    <w:rsid w:val="000E77BA"/>
    <w:rsid w:val="000E7917"/>
    <w:rsid w:val="000E7B1A"/>
    <w:rsid w:val="000F0015"/>
    <w:rsid w:val="000F004F"/>
    <w:rsid w:val="000F01B2"/>
    <w:rsid w:val="000F0A16"/>
    <w:rsid w:val="000F0C6A"/>
    <w:rsid w:val="000F0E4E"/>
    <w:rsid w:val="000F0F80"/>
    <w:rsid w:val="000F104D"/>
    <w:rsid w:val="000F105B"/>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2D35"/>
    <w:rsid w:val="000F33C0"/>
    <w:rsid w:val="000F3401"/>
    <w:rsid w:val="000F37C7"/>
    <w:rsid w:val="000F37D4"/>
    <w:rsid w:val="000F3919"/>
    <w:rsid w:val="000F3AD3"/>
    <w:rsid w:val="000F3D08"/>
    <w:rsid w:val="000F3D88"/>
    <w:rsid w:val="000F3DF3"/>
    <w:rsid w:val="000F3F8F"/>
    <w:rsid w:val="000F4032"/>
    <w:rsid w:val="000F4071"/>
    <w:rsid w:val="000F40BA"/>
    <w:rsid w:val="000F476D"/>
    <w:rsid w:val="000F4A9C"/>
    <w:rsid w:val="000F4B84"/>
    <w:rsid w:val="000F4F17"/>
    <w:rsid w:val="000F5082"/>
    <w:rsid w:val="000F50BC"/>
    <w:rsid w:val="000F543A"/>
    <w:rsid w:val="000F5499"/>
    <w:rsid w:val="000F5610"/>
    <w:rsid w:val="000F5CF1"/>
    <w:rsid w:val="000F5D32"/>
    <w:rsid w:val="000F5F74"/>
    <w:rsid w:val="000F63C4"/>
    <w:rsid w:val="000F64D5"/>
    <w:rsid w:val="000F660A"/>
    <w:rsid w:val="000F6895"/>
    <w:rsid w:val="000F6A26"/>
    <w:rsid w:val="000F6A7D"/>
    <w:rsid w:val="000F6B6A"/>
    <w:rsid w:val="000F6DB7"/>
    <w:rsid w:val="000F6F9B"/>
    <w:rsid w:val="000F72DC"/>
    <w:rsid w:val="000F745D"/>
    <w:rsid w:val="000F748D"/>
    <w:rsid w:val="000F77BB"/>
    <w:rsid w:val="000F7824"/>
    <w:rsid w:val="000F7871"/>
    <w:rsid w:val="000F78D6"/>
    <w:rsid w:val="000F7B0F"/>
    <w:rsid w:val="000F7F03"/>
    <w:rsid w:val="0010029B"/>
    <w:rsid w:val="00100331"/>
    <w:rsid w:val="00100413"/>
    <w:rsid w:val="00100500"/>
    <w:rsid w:val="001005F1"/>
    <w:rsid w:val="00100702"/>
    <w:rsid w:val="0010076F"/>
    <w:rsid w:val="0010182F"/>
    <w:rsid w:val="00101912"/>
    <w:rsid w:val="0010197C"/>
    <w:rsid w:val="0010205D"/>
    <w:rsid w:val="001021C2"/>
    <w:rsid w:val="00102220"/>
    <w:rsid w:val="001023D9"/>
    <w:rsid w:val="001024F3"/>
    <w:rsid w:val="00102656"/>
    <w:rsid w:val="001027B3"/>
    <w:rsid w:val="001027DE"/>
    <w:rsid w:val="001028F6"/>
    <w:rsid w:val="00102C5E"/>
    <w:rsid w:val="00102EC3"/>
    <w:rsid w:val="00103479"/>
    <w:rsid w:val="00103509"/>
    <w:rsid w:val="0010364B"/>
    <w:rsid w:val="001036CC"/>
    <w:rsid w:val="001039C7"/>
    <w:rsid w:val="001039E0"/>
    <w:rsid w:val="00103EA5"/>
    <w:rsid w:val="001040D2"/>
    <w:rsid w:val="001040F4"/>
    <w:rsid w:val="0010462C"/>
    <w:rsid w:val="00104F44"/>
    <w:rsid w:val="00105068"/>
    <w:rsid w:val="00105410"/>
    <w:rsid w:val="0010578F"/>
    <w:rsid w:val="001059ED"/>
    <w:rsid w:val="00105AF5"/>
    <w:rsid w:val="00105D96"/>
    <w:rsid w:val="00105E62"/>
    <w:rsid w:val="00105F53"/>
    <w:rsid w:val="00106036"/>
    <w:rsid w:val="00106252"/>
    <w:rsid w:val="00106431"/>
    <w:rsid w:val="001066F5"/>
    <w:rsid w:val="00106966"/>
    <w:rsid w:val="001069F7"/>
    <w:rsid w:val="00106D85"/>
    <w:rsid w:val="00106E73"/>
    <w:rsid w:val="001077B6"/>
    <w:rsid w:val="0010789A"/>
    <w:rsid w:val="0010792E"/>
    <w:rsid w:val="00107B1B"/>
    <w:rsid w:val="00107B1D"/>
    <w:rsid w:val="00107B28"/>
    <w:rsid w:val="00107D1C"/>
    <w:rsid w:val="00107D62"/>
    <w:rsid w:val="00107DCD"/>
    <w:rsid w:val="00110A52"/>
    <w:rsid w:val="00110B6C"/>
    <w:rsid w:val="00110C7D"/>
    <w:rsid w:val="00110CE1"/>
    <w:rsid w:val="0011110B"/>
    <w:rsid w:val="0011114C"/>
    <w:rsid w:val="001113AA"/>
    <w:rsid w:val="00111454"/>
    <w:rsid w:val="0011170C"/>
    <w:rsid w:val="00111C2C"/>
    <w:rsid w:val="00112218"/>
    <w:rsid w:val="001122B4"/>
    <w:rsid w:val="001127DB"/>
    <w:rsid w:val="00112A46"/>
    <w:rsid w:val="00112A6D"/>
    <w:rsid w:val="00112B2F"/>
    <w:rsid w:val="00112ECC"/>
    <w:rsid w:val="00112F65"/>
    <w:rsid w:val="00112F80"/>
    <w:rsid w:val="0011307D"/>
    <w:rsid w:val="001131A4"/>
    <w:rsid w:val="001134C9"/>
    <w:rsid w:val="001137D4"/>
    <w:rsid w:val="00113843"/>
    <w:rsid w:val="00113988"/>
    <w:rsid w:val="001139D1"/>
    <w:rsid w:val="00113C27"/>
    <w:rsid w:val="00113C2D"/>
    <w:rsid w:val="00113DBE"/>
    <w:rsid w:val="00113EBE"/>
    <w:rsid w:val="001141EB"/>
    <w:rsid w:val="001147D9"/>
    <w:rsid w:val="0011489D"/>
    <w:rsid w:val="00114F1C"/>
    <w:rsid w:val="00115146"/>
    <w:rsid w:val="00115256"/>
    <w:rsid w:val="001152D7"/>
    <w:rsid w:val="0011531C"/>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AD3"/>
    <w:rsid w:val="00120BCF"/>
    <w:rsid w:val="00121031"/>
    <w:rsid w:val="001211AD"/>
    <w:rsid w:val="00121F22"/>
    <w:rsid w:val="00121F25"/>
    <w:rsid w:val="0012202D"/>
    <w:rsid w:val="0012237A"/>
    <w:rsid w:val="0012251D"/>
    <w:rsid w:val="0012264C"/>
    <w:rsid w:val="001226C2"/>
    <w:rsid w:val="001226E6"/>
    <w:rsid w:val="001228C8"/>
    <w:rsid w:val="00122924"/>
    <w:rsid w:val="00122CD3"/>
    <w:rsid w:val="00122DC2"/>
    <w:rsid w:val="00122E72"/>
    <w:rsid w:val="00123624"/>
    <w:rsid w:val="00123654"/>
    <w:rsid w:val="00123AC8"/>
    <w:rsid w:val="00123B5B"/>
    <w:rsid w:val="00123BF7"/>
    <w:rsid w:val="00123ED0"/>
    <w:rsid w:val="00123F96"/>
    <w:rsid w:val="00123FE9"/>
    <w:rsid w:val="00124376"/>
    <w:rsid w:val="001248A8"/>
    <w:rsid w:val="00124C36"/>
    <w:rsid w:val="00124CEF"/>
    <w:rsid w:val="00124DB4"/>
    <w:rsid w:val="00124F46"/>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16D"/>
    <w:rsid w:val="00127196"/>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9AE"/>
    <w:rsid w:val="00131A1E"/>
    <w:rsid w:val="00131DF4"/>
    <w:rsid w:val="00132280"/>
    <w:rsid w:val="001322EF"/>
    <w:rsid w:val="001323F1"/>
    <w:rsid w:val="0013269F"/>
    <w:rsid w:val="001327CE"/>
    <w:rsid w:val="00132C1D"/>
    <w:rsid w:val="00132CE6"/>
    <w:rsid w:val="00133358"/>
    <w:rsid w:val="001334E7"/>
    <w:rsid w:val="00133601"/>
    <w:rsid w:val="001339A2"/>
    <w:rsid w:val="001339BA"/>
    <w:rsid w:val="00133AB5"/>
    <w:rsid w:val="00133C86"/>
    <w:rsid w:val="00133D08"/>
    <w:rsid w:val="00134524"/>
    <w:rsid w:val="00134DB5"/>
    <w:rsid w:val="00135167"/>
    <w:rsid w:val="00135666"/>
    <w:rsid w:val="00135774"/>
    <w:rsid w:val="0013589D"/>
    <w:rsid w:val="00135E1C"/>
    <w:rsid w:val="00135E36"/>
    <w:rsid w:val="0013628B"/>
    <w:rsid w:val="001362A4"/>
    <w:rsid w:val="001363A1"/>
    <w:rsid w:val="001363A8"/>
    <w:rsid w:val="00136667"/>
    <w:rsid w:val="00136E6C"/>
    <w:rsid w:val="00137636"/>
    <w:rsid w:val="00137840"/>
    <w:rsid w:val="00137A0A"/>
    <w:rsid w:val="00137AA4"/>
    <w:rsid w:val="00137B7A"/>
    <w:rsid w:val="00137B9E"/>
    <w:rsid w:val="0014021E"/>
    <w:rsid w:val="001403BD"/>
    <w:rsid w:val="00140760"/>
    <w:rsid w:val="00140A27"/>
    <w:rsid w:val="00140CE5"/>
    <w:rsid w:val="00140E85"/>
    <w:rsid w:val="0014106B"/>
    <w:rsid w:val="001410E5"/>
    <w:rsid w:val="001414C4"/>
    <w:rsid w:val="00141787"/>
    <w:rsid w:val="001419E0"/>
    <w:rsid w:val="00141A97"/>
    <w:rsid w:val="00141AF6"/>
    <w:rsid w:val="00141F69"/>
    <w:rsid w:val="00142038"/>
    <w:rsid w:val="001424B9"/>
    <w:rsid w:val="001424E9"/>
    <w:rsid w:val="0014291E"/>
    <w:rsid w:val="00142A24"/>
    <w:rsid w:val="00142E27"/>
    <w:rsid w:val="0014340F"/>
    <w:rsid w:val="0014345C"/>
    <w:rsid w:val="001438C4"/>
    <w:rsid w:val="00143BD9"/>
    <w:rsid w:val="00143BDF"/>
    <w:rsid w:val="00143C31"/>
    <w:rsid w:val="00143CDB"/>
    <w:rsid w:val="001440E1"/>
    <w:rsid w:val="00144337"/>
    <w:rsid w:val="001445DD"/>
    <w:rsid w:val="0014465C"/>
    <w:rsid w:val="001448AE"/>
    <w:rsid w:val="0014494C"/>
    <w:rsid w:val="00144A22"/>
    <w:rsid w:val="00144A7D"/>
    <w:rsid w:val="00144BF6"/>
    <w:rsid w:val="00144E7A"/>
    <w:rsid w:val="00144F64"/>
    <w:rsid w:val="00144F76"/>
    <w:rsid w:val="00144FB9"/>
    <w:rsid w:val="0014523A"/>
    <w:rsid w:val="0014569E"/>
    <w:rsid w:val="001456DC"/>
    <w:rsid w:val="00145860"/>
    <w:rsid w:val="00145895"/>
    <w:rsid w:val="001458A1"/>
    <w:rsid w:val="0014590E"/>
    <w:rsid w:val="00145AAB"/>
    <w:rsid w:val="00145AEC"/>
    <w:rsid w:val="00145C04"/>
    <w:rsid w:val="00145EDB"/>
    <w:rsid w:val="00145FD2"/>
    <w:rsid w:val="0014612E"/>
    <w:rsid w:val="001462BC"/>
    <w:rsid w:val="00146569"/>
    <w:rsid w:val="001466BB"/>
    <w:rsid w:val="00146B87"/>
    <w:rsid w:val="00146BCF"/>
    <w:rsid w:val="00146E18"/>
    <w:rsid w:val="0014708D"/>
    <w:rsid w:val="0014728D"/>
    <w:rsid w:val="00147713"/>
    <w:rsid w:val="00147BDF"/>
    <w:rsid w:val="00150513"/>
    <w:rsid w:val="0015096F"/>
    <w:rsid w:val="00150B12"/>
    <w:rsid w:val="00150BC9"/>
    <w:rsid w:val="00150BD8"/>
    <w:rsid w:val="00150D21"/>
    <w:rsid w:val="00150DB8"/>
    <w:rsid w:val="00150FB8"/>
    <w:rsid w:val="00151262"/>
    <w:rsid w:val="001514AD"/>
    <w:rsid w:val="00151599"/>
    <w:rsid w:val="0015185B"/>
    <w:rsid w:val="0015195B"/>
    <w:rsid w:val="00151D27"/>
    <w:rsid w:val="001520B5"/>
    <w:rsid w:val="00152257"/>
    <w:rsid w:val="00152431"/>
    <w:rsid w:val="0015262E"/>
    <w:rsid w:val="0015264F"/>
    <w:rsid w:val="00152EA8"/>
    <w:rsid w:val="00153028"/>
    <w:rsid w:val="001530BC"/>
    <w:rsid w:val="001531E2"/>
    <w:rsid w:val="001532E5"/>
    <w:rsid w:val="00153828"/>
    <w:rsid w:val="00153BF6"/>
    <w:rsid w:val="00153C65"/>
    <w:rsid w:val="00153D4E"/>
    <w:rsid w:val="00154052"/>
    <w:rsid w:val="0015409F"/>
    <w:rsid w:val="00154444"/>
    <w:rsid w:val="00154782"/>
    <w:rsid w:val="001547ED"/>
    <w:rsid w:val="00154AAC"/>
    <w:rsid w:val="00154D4E"/>
    <w:rsid w:val="00154DC6"/>
    <w:rsid w:val="00154DEE"/>
    <w:rsid w:val="0015512C"/>
    <w:rsid w:val="00155191"/>
    <w:rsid w:val="001552C5"/>
    <w:rsid w:val="001552C7"/>
    <w:rsid w:val="001556E4"/>
    <w:rsid w:val="00155A0A"/>
    <w:rsid w:val="00155E5A"/>
    <w:rsid w:val="00155F08"/>
    <w:rsid w:val="0015625D"/>
    <w:rsid w:val="001566EE"/>
    <w:rsid w:val="00156A7A"/>
    <w:rsid w:val="00156ACF"/>
    <w:rsid w:val="00156B56"/>
    <w:rsid w:val="00157077"/>
    <w:rsid w:val="00157088"/>
    <w:rsid w:val="001570B5"/>
    <w:rsid w:val="00157190"/>
    <w:rsid w:val="0015738E"/>
    <w:rsid w:val="0015750A"/>
    <w:rsid w:val="0015760A"/>
    <w:rsid w:val="001576DA"/>
    <w:rsid w:val="0015790E"/>
    <w:rsid w:val="00157B36"/>
    <w:rsid w:val="00157BEB"/>
    <w:rsid w:val="00157DD5"/>
    <w:rsid w:val="00157E98"/>
    <w:rsid w:val="0016039C"/>
    <w:rsid w:val="001605CC"/>
    <w:rsid w:val="00160CB7"/>
    <w:rsid w:val="00160FD2"/>
    <w:rsid w:val="00161149"/>
    <w:rsid w:val="001611F7"/>
    <w:rsid w:val="0016168D"/>
    <w:rsid w:val="00161883"/>
    <w:rsid w:val="001619C5"/>
    <w:rsid w:val="00161B6C"/>
    <w:rsid w:val="0016217A"/>
    <w:rsid w:val="00162248"/>
    <w:rsid w:val="001627F4"/>
    <w:rsid w:val="001629EC"/>
    <w:rsid w:val="00162C59"/>
    <w:rsid w:val="00162F20"/>
    <w:rsid w:val="00162FC0"/>
    <w:rsid w:val="001630F6"/>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02D"/>
    <w:rsid w:val="00167276"/>
    <w:rsid w:val="001672B7"/>
    <w:rsid w:val="00167584"/>
    <w:rsid w:val="0016779A"/>
    <w:rsid w:val="001678C2"/>
    <w:rsid w:val="00167AFA"/>
    <w:rsid w:val="00167BC4"/>
    <w:rsid w:val="00167C40"/>
    <w:rsid w:val="00167EA4"/>
    <w:rsid w:val="00167FE1"/>
    <w:rsid w:val="001700E1"/>
    <w:rsid w:val="001703C9"/>
    <w:rsid w:val="00170477"/>
    <w:rsid w:val="0017069D"/>
    <w:rsid w:val="001706AE"/>
    <w:rsid w:val="00170ADA"/>
    <w:rsid w:val="00170DF7"/>
    <w:rsid w:val="00170EA4"/>
    <w:rsid w:val="00170F69"/>
    <w:rsid w:val="00171011"/>
    <w:rsid w:val="0017141C"/>
    <w:rsid w:val="0017143D"/>
    <w:rsid w:val="00171611"/>
    <w:rsid w:val="001718CF"/>
    <w:rsid w:val="00171940"/>
    <w:rsid w:val="00172097"/>
    <w:rsid w:val="00172218"/>
    <w:rsid w:val="00172299"/>
    <w:rsid w:val="001725B2"/>
    <w:rsid w:val="001725FA"/>
    <w:rsid w:val="001727D0"/>
    <w:rsid w:val="00172A28"/>
    <w:rsid w:val="00172A57"/>
    <w:rsid w:val="00172D85"/>
    <w:rsid w:val="0017336C"/>
    <w:rsid w:val="00173500"/>
    <w:rsid w:val="00173532"/>
    <w:rsid w:val="001735E4"/>
    <w:rsid w:val="00173735"/>
    <w:rsid w:val="00173755"/>
    <w:rsid w:val="00173B44"/>
    <w:rsid w:val="00173E09"/>
    <w:rsid w:val="00173FFE"/>
    <w:rsid w:val="001740F3"/>
    <w:rsid w:val="001742E7"/>
    <w:rsid w:val="001746D4"/>
    <w:rsid w:val="001747A5"/>
    <w:rsid w:val="00174A5E"/>
    <w:rsid w:val="00174AC5"/>
    <w:rsid w:val="00174AFA"/>
    <w:rsid w:val="00174BBA"/>
    <w:rsid w:val="00174CA6"/>
    <w:rsid w:val="00174CE4"/>
    <w:rsid w:val="00174D0D"/>
    <w:rsid w:val="00175B8D"/>
    <w:rsid w:val="00175E22"/>
    <w:rsid w:val="00175FB3"/>
    <w:rsid w:val="0017651E"/>
    <w:rsid w:val="001766EE"/>
    <w:rsid w:val="0017694D"/>
    <w:rsid w:val="00176D46"/>
    <w:rsid w:val="00176F8C"/>
    <w:rsid w:val="001776BE"/>
    <w:rsid w:val="0017776D"/>
    <w:rsid w:val="001778BC"/>
    <w:rsid w:val="00177A81"/>
    <w:rsid w:val="00177B40"/>
    <w:rsid w:val="00177DDA"/>
    <w:rsid w:val="0018002E"/>
    <w:rsid w:val="00180AA6"/>
    <w:rsid w:val="0018103E"/>
    <w:rsid w:val="001810BF"/>
    <w:rsid w:val="00181227"/>
    <w:rsid w:val="0018132A"/>
    <w:rsid w:val="00181488"/>
    <w:rsid w:val="00181F37"/>
    <w:rsid w:val="001820E3"/>
    <w:rsid w:val="00182199"/>
    <w:rsid w:val="0018229C"/>
    <w:rsid w:val="0018283C"/>
    <w:rsid w:val="001829FB"/>
    <w:rsid w:val="00182E56"/>
    <w:rsid w:val="0018300E"/>
    <w:rsid w:val="001831AB"/>
    <w:rsid w:val="001832AD"/>
    <w:rsid w:val="00183422"/>
    <w:rsid w:val="001834AD"/>
    <w:rsid w:val="001837F2"/>
    <w:rsid w:val="00183A2F"/>
    <w:rsid w:val="00183D79"/>
    <w:rsid w:val="00183F41"/>
    <w:rsid w:val="001840C9"/>
    <w:rsid w:val="001841ED"/>
    <w:rsid w:val="00184321"/>
    <w:rsid w:val="00184398"/>
    <w:rsid w:val="0018456F"/>
    <w:rsid w:val="00184679"/>
    <w:rsid w:val="00184900"/>
    <w:rsid w:val="001849C6"/>
    <w:rsid w:val="00184AFC"/>
    <w:rsid w:val="00184B62"/>
    <w:rsid w:val="00184D2D"/>
    <w:rsid w:val="00184DB4"/>
    <w:rsid w:val="00185110"/>
    <w:rsid w:val="00185209"/>
    <w:rsid w:val="001852B0"/>
    <w:rsid w:val="001853A0"/>
    <w:rsid w:val="0018572A"/>
    <w:rsid w:val="001857B5"/>
    <w:rsid w:val="001857DB"/>
    <w:rsid w:val="00185FBF"/>
    <w:rsid w:val="00185FC9"/>
    <w:rsid w:val="001860A7"/>
    <w:rsid w:val="001862A1"/>
    <w:rsid w:val="00186B29"/>
    <w:rsid w:val="00186E4B"/>
    <w:rsid w:val="001870C7"/>
    <w:rsid w:val="00187349"/>
    <w:rsid w:val="001876CC"/>
    <w:rsid w:val="0018778D"/>
    <w:rsid w:val="00187E67"/>
    <w:rsid w:val="0019035C"/>
    <w:rsid w:val="001905B8"/>
    <w:rsid w:val="0019085A"/>
    <w:rsid w:val="00190A40"/>
    <w:rsid w:val="00190B80"/>
    <w:rsid w:val="00190C35"/>
    <w:rsid w:val="00190D4C"/>
    <w:rsid w:val="00190EE5"/>
    <w:rsid w:val="00191022"/>
    <w:rsid w:val="00191080"/>
    <w:rsid w:val="00191197"/>
    <w:rsid w:val="00191302"/>
    <w:rsid w:val="001914AB"/>
    <w:rsid w:val="001914E2"/>
    <w:rsid w:val="001916AE"/>
    <w:rsid w:val="00191BFD"/>
    <w:rsid w:val="00191C0E"/>
    <w:rsid w:val="00191F72"/>
    <w:rsid w:val="001926D9"/>
    <w:rsid w:val="00192773"/>
    <w:rsid w:val="001929AD"/>
    <w:rsid w:val="00192CEC"/>
    <w:rsid w:val="00192E1F"/>
    <w:rsid w:val="00192FA2"/>
    <w:rsid w:val="00192FF3"/>
    <w:rsid w:val="00193042"/>
    <w:rsid w:val="001931C5"/>
    <w:rsid w:val="00193549"/>
    <w:rsid w:val="00193645"/>
    <w:rsid w:val="00193690"/>
    <w:rsid w:val="001936A7"/>
    <w:rsid w:val="00193750"/>
    <w:rsid w:val="00193C5C"/>
    <w:rsid w:val="00193F26"/>
    <w:rsid w:val="00193FFA"/>
    <w:rsid w:val="00194279"/>
    <w:rsid w:val="0019449C"/>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CED"/>
    <w:rsid w:val="00195E9F"/>
    <w:rsid w:val="001960D2"/>
    <w:rsid w:val="00196298"/>
    <w:rsid w:val="00196518"/>
    <w:rsid w:val="0019652C"/>
    <w:rsid w:val="001969A3"/>
    <w:rsid w:val="001969A4"/>
    <w:rsid w:val="001969AF"/>
    <w:rsid w:val="00196B22"/>
    <w:rsid w:val="00196B74"/>
    <w:rsid w:val="00196C98"/>
    <w:rsid w:val="00196D4C"/>
    <w:rsid w:val="00196DCA"/>
    <w:rsid w:val="001971DD"/>
    <w:rsid w:val="001973ED"/>
    <w:rsid w:val="00197526"/>
    <w:rsid w:val="00197797"/>
    <w:rsid w:val="00197E80"/>
    <w:rsid w:val="001A0099"/>
    <w:rsid w:val="001A00F3"/>
    <w:rsid w:val="001A04EE"/>
    <w:rsid w:val="001A056F"/>
    <w:rsid w:val="001A05CB"/>
    <w:rsid w:val="001A075C"/>
    <w:rsid w:val="001A146B"/>
    <w:rsid w:val="001A1658"/>
    <w:rsid w:val="001A16B5"/>
    <w:rsid w:val="001A1747"/>
    <w:rsid w:val="001A17CB"/>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118"/>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CA3"/>
    <w:rsid w:val="001A6E98"/>
    <w:rsid w:val="001A7579"/>
    <w:rsid w:val="001A7584"/>
    <w:rsid w:val="001A75FF"/>
    <w:rsid w:val="001A77DB"/>
    <w:rsid w:val="001A793C"/>
    <w:rsid w:val="001A79B3"/>
    <w:rsid w:val="001A7CD9"/>
    <w:rsid w:val="001A7EDA"/>
    <w:rsid w:val="001B0397"/>
    <w:rsid w:val="001B048E"/>
    <w:rsid w:val="001B0668"/>
    <w:rsid w:val="001B07C7"/>
    <w:rsid w:val="001B099B"/>
    <w:rsid w:val="001B0A51"/>
    <w:rsid w:val="001B0BF0"/>
    <w:rsid w:val="001B119C"/>
    <w:rsid w:val="001B125A"/>
    <w:rsid w:val="001B127C"/>
    <w:rsid w:val="001B140D"/>
    <w:rsid w:val="001B1471"/>
    <w:rsid w:val="001B151E"/>
    <w:rsid w:val="001B19CB"/>
    <w:rsid w:val="001B19E5"/>
    <w:rsid w:val="001B1DF3"/>
    <w:rsid w:val="001B1E87"/>
    <w:rsid w:val="001B207B"/>
    <w:rsid w:val="001B2113"/>
    <w:rsid w:val="001B2186"/>
    <w:rsid w:val="001B240B"/>
    <w:rsid w:val="001B2AFD"/>
    <w:rsid w:val="001B2FA9"/>
    <w:rsid w:val="001B380D"/>
    <w:rsid w:val="001B39B5"/>
    <w:rsid w:val="001B3A95"/>
    <w:rsid w:val="001B3CBE"/>
    <w:rsid w:val="001B3DD2"/>
    <w:rsid w:val="001B3EDD"/>
    <w:rsid w:val="001B4308"/>
    <w:rsid w:val="001B43A5"/>
    <w:rsid w:val="001B4487"/>
    <w:rsid w:val="001B44B9"/>
    <w:rsid w:val="001B4508"/>
    <w:rsid w:val="001B487B"/>
    <w:rsid w:val="001B4890"/>
    <w:rsid w:val="001B49E7"/>
    <w:rsid w:val="001B4B83"/>
    <w:rsid w:val="001B4BC7"/>
    <w:rsid w:val="001B4D5D"/>
    <w:rsid w:val="001B4E2F"/>
    <w:rsid w:val="001B5749"/>
    <w:rsid w:val="001B576C"/>
    <w:rsid w:val="001B57AA"/>
    <w:rsid w:val="001B5A32"/>
    <w:rsid w:val="001B5E8F"/>
    <w:rsid w:val="001B6053"/>
    <w:rsid w:val="001B64F1"/>
    <w:rsid w:val="001B65C4"/>
    <w:rsid w:val="001B65E6"/>
    <w:rsid w:val="001B676C"/>
    <w:rsid w:val="001B717E"/>
    <w:rsid w:val="001B7582"/>
    <w:rsid w:val="001B7750"/>
    <w:rsid w:val="001B77EF"/>
    <w:rsid w:val="001B7AC2"/>
    <w:rsid w:val="001B7C82"/>
    <w:rsid w:val="001C09E2"/>
    <w:rsid w:val="001C0F8A"/>
    <w:rsid w:val="001C1058"/>
    <w:rsid w:val="001C115C"/>
    <w:rsid w:val="001C12A9"/>
    <w:rsid w:val="001C12C8"/>
    <w:rsid w:val="001C134D"/>
    <w:rsid w:val="001C16CF"/>
    <w:rsid w:val="001C1964"/>
    <w:rsid w:val="001C1A07"/>
    <w:rsid w:val="001C1AFD"/>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673"/>
    <w:rsid w:val="001C4712"/>
    <w:rsid w:val="001C484B"/>
    <w:rsid w:val="001C4A22"/>
    <w:rsid w:val="001C4B99"/>
    <w:rsid w:val="001C4D5A"/>
    <w:rsid w:val="001C4D70"/>
    <w:rsid w:val="001C4E86"/>
    <w:rsid w:val="001C4FF5"/>
    <w:rsid w:val="001C506A"/>
    <w:rsid w:val="001C511D"/>
    <w:rsid w:val="001C5174"/>
    <w:rsid w:val="001C5270"/>
    <w:rsid w:val="001C5302"/>
    <w:rsid w:val="001C55A0"/>
    <w:rsid w:val="001C5C01"/>
    <w:rsid w:val="001C5E29"/>
    <w:rsid w:val="001C5E89"/>
    <w:rsid w:val="001C5FA8"/>
    <w:rsid w:val="001C5FCF"/>
    <w:rsid w:val="001C6066"/>
    <w:rsid w:val="001C613F"/>
    <w:rsid w:val="001C61E7"/>
    <w:rsid w:val="001C629B"/>
    <w:rsid w:val="001C63DF"/>
    <w:rsid w:val="001C6909"/>
    <w:rsid w:val="001C6979"/>
    <w:rsid w:val="001C6D9C"/>
    <w:rsid w:val="001C7030"/>
    <w:rsid w:val="001C70A2"/>
    <w:rsid w:val="001C76B0"/>
    <w:rsid w:val="001C76B5"/>
    <w:rsid w:val="001C78F9"/>
    <w:rsid w:val="001C7930"/>
    <w:rsid w:val="001D01F4"/>
    <w:rsid w:val="001D02AE"/>
    <w:rsid w:val="001D06D0"/>
    <w:rsid w:val="001D0721"/>
    <w:rsid w:val="001D07E6"/>
    <w:rsid w:val="001D0817"/>
    <w:rsid w:val="001D0D43"/>
    <w:rsid w:val="001D1021"/>
    <w:rsid w:val="001D1163"/>
    <w:rsid w:val="001D1185"/>
    <w:rsid w:val="001D122A"/>
    <w:rsid w:val="001D13C8"/>
    <w:rsid w:val="001D1563"/>
    <w:rsid w:val="001D1574"/>
    <w:rsid w:val="001D1667"/>
    <w:rsid w:val="001D1704"/>
    <w:rsid w:val="001D18C4"/>
    <w:rsid w:val="001D1C97"/>
    <w:rsid w:val="001D1D4D"/>
    <w:rsid w:val="001D1F4C"/>
    <w:rsid w:val="001D209A"/>
    <w:rsid w:val="001D2223"/>
    <w:rsid w:val="001D23C1"/>
    <w:rsid w:val="001D248B"/>
    <w:rsid w:val="001D24AD"/>
    <w:rsid w:val="001D24D7"/>
    <w:rsid w:val="001D2751"/>
    <w:rsid w:val="001D27BB"/>
    <w:rsid w:val="001D291C"/>
    <w:rsid w:val="001D2A53"/>
    <w:rsid w:val="001D2AED"/>
    <w:rsid w:val="001D2B03"/>
    <w:rsid w:val="001D300A"/>
    <w:rsid w:val="001D33A7"/>
    <w:rsid w:val="001D348E"/>
    <w:rsid w:val="001D34E4"/>
    <w:rsid w:val="001D3591"/>
    <w:rsid w:val="001D3704"/>
    <w:rsid w:val="001D38EB"/>
    <w:rsid w:val="001D3980"/>
    <w:rsid w:val="001D3A81"/>
    <w:rsid w:val="001D3B65"/>
    <w:rsid w:val="001D3D0E"/>
    <w:rsid w:val="001D4128"/>
    <w:rsid w:val="001D4256"/>
    <w:rsid w:val="001D44EE"/>
    <w:rsid w:val="001D47B0"/>
    <w:rsid w:val="001D481C"/>
    <w:rsid w:val="001D48C3"/>
    <w:rsid w:val="001D49CE"/>
    <w:rsid w:val="001D4AF5"/>
    <w:rsid w:val="001D4C39"/>
    <w:rsid w:val="001D4FF4"/>
    <w:rsid w:val="001D5554"/>
    <w:rsid w:val="001D5649"/>
    <w:rsid w:val="001D57DF"/>
    <w:rsid w:val="001D5FA1"/>
    <w:rsid w:val="001D619A"/>
    <w:rsid w:val="001D6260"/>
    <w:rsid w:val="001D63D5"/>
    <w:rsid w:val="001D6481"/>
    <w:rsid w:val="001D64F5"/>
    <w:rsid w:val="001D664E"/>
    <w:rsid w:val="001D6659"/>
    <w:rsid w:val="001D6AEA"/>
    <w:rsid w:val="001D6CF1"/>
    <w:rsid w:val="001D6F65"/>
    <w:rsid w:val="001D6F89"/>
    <w:rsid w:val="001D70B1"/>
    <w:rsid w:val="001D74F2"/>
    <w:rsid w:val="001D7621"/>
    <w:rsid w:val="001D77C6"/>
    <w:rsid w:val="001D7A6E"/>
    <w:rsid w:val="001E0154"/>
    <w:rsid w:val="001E0B0C"/>
    <w:rsid w:val="001E0E96"/>
    <w:rsid w:val="001E0F50"/>
    <w:rsid w:val="001E1203"/>
    <w:rsid w:val="001E1248"/>
    <w:rsid w:val="001E186C"/>
    <w:rsid w:val="001E18A7"/>
    <w:rsid w:val="001E1990"/>
    <w:rsid w:val="001E19A6"/>
    <w:rsid w:val="001E19E2"/>
    <w:rsid w:val="001E1A38"/>
    <w:rsid w:val="001E1C51"/>
    <w:rsid w:val="001E1C78"/>
    <w:rsid w:val="001E1FED"/>
    <w:rsid w:val="001E20B2"/>
    <w:rsid w:val="001E23C3"/>
    <w:rsid w:val="001E2482"/>
    <w:rsid w:val="001E25A7"/>
    <w:rsid w:val="001E25D4"/>
    <w:rsid w:val="001E29CF"/>
    <w:rsid w:val="001E2A2B"/>
    <w:rsid w:val="001E2BA2"/>
    <w:rsid w:val="001E2C3E"/>
    <w:rsid w:val="001E2C92"/>
    <w:rsid w:val="001E2C95"/>
    <w:rsid w:val="001E2D35"/>
    <w:rsid w:val="001E2DE4"/>
    <w:rsid w:val="001E2FEC"/>
    <w:rsid w:val="001E31DB"/>
    <w:rsid w:val="001E344B"/>
    <w:rsid w:val="001E37C4"/>
    <w:rsid w:val="001E37C9"/>
    <w:rsid w:val="001E3980"/>
    <w:rsid w:val="001E3A5E"/>
    <w:rsid w:val="001E3B48"/>
    <w:rsid w:val="001E4152"/>
    <w:rsid w:val="001E424F"/>
    <w:rsid w:val="001E4288"/>
    <w:rsid w:val="001E42DD"/>
    <w:rsid w:val="001E43B3"/>
    <w:rsid w:val="001E44AC"/>
    <w:rsid w:val="001E4FFF"/>
    <w:rsid w:val="001E52A4"/>
    <w:rsid w:val="001E5702"/>
    <w:rsid w:val="001E58EF"/>
    <w:rsid w:val="001E59ED"/>
    <w:rsid w:val="001E5A56"/>
    <w:rsid w:val="001E625D"/>
    <w:rsid w:val="001E6339"/>
    <w:rsid w:val="001E6362"/>
    <w:rsid w:val="001E66CC"/>
    <w:rsid w:val="001E6934"/>
    <w:rsid w:val="001E6B55"/>
    <w:rsid w:val="001E6BEE"/>
    <w:rsid w:val="001E6D4B"/>
    <w:rsid w:val="001E6F9E"/>
    <w:rsid w:val="001E71CC"/>
    <w:rsid w:val="001E79B1"/>
    <w:rsid w:val="001E7E1E"/>
    <w:rsid w:val="001F01A6"/>
    <w:rsid w:val="001F0449"/>
    <w:rsid w:val="001F0456"/>
    <w:rsid w:val="001F068C"/>
    <w:rsid w:val="001F074B"/>
    <w:rsid w:val="001F08A8"/>
    <w:rsid w:val="001F08C0"/>
    <w:rsid w:val="001F09D5"/>
    <w:rsid w:val="001F0A86"/>
    <w:rsid w:val="001F0DD1"/>
    <w:rsid w:val="001F1143"/>
    <w:rsid w:val="001F151E"/>
    <w:rsid w:val="001F15BC"/>
    <w:rsid w:val="001F176A"/>
    <w:rsid w:val="001F1AE8"/>
    <w:rsid w:val="001F1EB0"/>
    <w:rsid w:val="001F203A"/>
    <w:rsid w:val="001F208A"/>
    <w:rsid w:val="001F2194"/>
    <w:rsid w:val="001F21B8"/>
    <w:rsid w:val="001F28F6"/>
    <w:rsid w:val="001F29E0"/>
    <w:rsid w:val="001F2CB0"/>
    <w:rsid w:val="001F3263"/>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2EA"/>
    <w:rsid w:val="001F546A"/>
    <w:rsid w:val="001F54D5"/>
    <w:rsid w:val="001F54FC"/>
    <w:rsid w:val="001F555A"/>
    <w:rsid w:val="001F56D8"/>
    <w:rsid w:val="001F57C1"/>
    <w:rsid w:val="001F5AF7"/>
    <w:rsid w:val="001F5C20"/>
    <w:rsid w:val="001F5CAE"/>
    <w:rsid w:val="001F612C"/>
    <w:rsid w:val="001F627B"/>
    <w:rsid w:val="001F6470"/>
    <w:rsid w:val="001F6634"/>
    <w:rsid w:val="001F685C"/>
    <w:rsid w:val="001F6946"/>
    <w:rsid w:val="001F6AF4"/>
    <w:rsid w:val="001F6DF2"/>
    <w:rsid w:val="001F713C"/>
    <w:rsid w:val="001F734F"/>
    <w:rsid w:val="001F7628"/>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1A5"/>
    <w:rsid w:val="00201229"/>
    <w:rsid w:val="00201359"/>
    <w:rsid w:val="00201733"/>
    <w:rsid w:val="0020175E"/>
    <w:rsid w:val="00201780"/>
    <w:rsid w:val="00201A4C"/>
    <w:rsid w:val="00201ED4"/>
    <w:rsid w:val="00201F5B"/>
    <w:rsid w:val="00201F6A"/>
    <w:rsid w:val="00202204"/>
    <w:rsid w:val="0020227B"/>
    <w:rsid w:val="00202495"/>
    <w:rsid w:val="00202513"/>
    <w:rsid w:val="00202773"/>
    <w:rsid w:val="00202A20"/>
    <w:rsid w:val="00202AB7"/>
    <w:rsid w:val="00202DC6"/>
    <w:rsid w:val="00202F90"/>
    <w:rsid w:val="002031DB"/>
    <w:rsid w:val="00203268"/>
    <w:rsid w:val="002032C9"/>
    <w:rsid w:val="0020333B"/>
    <w:rsid w:val="002033BD"/>
    <w:rsid w:val="002033F8"/>
    <w:rsid w:val="00203525"/>
    <w:rsid w:val="00203707"/>
    <w:rsid w:val="0020390F"/>
    <w:rsid w:val="00203B45"/>
    <w:rsid w:val="00203F30"/>
    <w:rsid w:val="00204246"/>
    <w:rsid w:val="002042D7"/>
    <w:rsid w:val="00204697"/>
    <w:rsid w:val="00204A27"/>
    <w:rsid w:val="002051CC"/>
    <w:rsid w:val="00205364"/>
    <w:rsid w:val="00205390"/>
    <w:rsid w:val="002053CD"/>
    <w:rsid w:val="002055BE"/>
    <w:rsid w:val="00205931"/>
    <w:rsid w:val="00205D61"/>
    <w:rsid w:val="00205E2F"/>
    <w:rsid w:val="00205F6E"/>
    <w:rsid w:val="002061F5"/>
    <w:rsid w:val="00206237"/>
    <w:rsid w:val="00206281"/>
    <w:rsid w:val="002064F2"/>
    <w:rsid w:val="00206527"/>
    <w:rsid w:val="002066CE"/>
    <w:rsid w:val="002066FB"/>
    <w:rsid w:val="00206950"/>
    <w:rsid w:val="0020709F"/>
    <w:rsid w:val="002070A2"/>
    <w:rsid w:val="00207179"/>
    <w:rsid w:val="0020744E"/>
    <w:rsid w:val="002074D0"/>
    <w:rsid w:val="00207586"/>
    <w:rsid w:val="002075C4"/>
    <w:rsid w:val="00207662"/>
    <w:rsid w:val="002076E7"/>
    <w:rsid w:val="00207B96"/>
    <w:rsid w:val="00207D0A"/>
    <w:rsid w:val="00207DF3"/>
    <w:rsid w:val="00207EBA"/>
    <w:rsid w:val="00210151"/>
    <w:rsid w:val="002101AC"/>
    <w:rsid w:val="002101C7"/>
    <w:rsid w:val="0021024A"/>
    <w:rsid w:val="002103AE"/>
    <w:rsid w:val="0021061A"/>
    <w:rsid w:val="0021068A"/>
    <w:rsid w:val="002107E5"/>
    <w:rsid w:val="00210B7C"/>
    <w:rsid w:val="00210C67"/>
    <w:rsid w:val="00210DFB"/>
    <w:rsid w:val="002110BD"/>
    <w:rsid w:val="002111D2"/>
    <w:rsid w:val="0021127B"/>
    <w:rsid w:val="002115C2"/>
    <w:rsid w:val="002117DF"/>
    <w:rsid w:val="0021180F"/>
    <w:rsid w:val="002118CE"/>
    <w:rsid w:val="00211E4F"/>
    <w:rsid w:val="00211F08"/>
    <w:rsid w:val="00212116"/>
    <w:rsid w:val="0021222E"/>
    <w:rsid w:val="00212302"/>
    <w:rsid w:val="002123D4"/>
    <w:rsid w:val="00212C3D"/>
    <w:rsid w:val="00213102"/>
    <w:rsid w:val="002137D6"/>
    <w:rsid w:val="00213816"/>
    <w:rsid w:val="0021386E"/>
    <w:rsid w:val="00213A9C"/>
    <w:rsid w:val="00213E4A"/>
    <w:rsid w:val="00213FD8"/>
    <w:rsid w:val="0021403E"/>
    <w:rsid w:val="00214277"/>
    <w:rsid w:val="002142FC"/>
    <w:rsid w:val="00214615"/>
    <w:rsid w:val="00214669"/>
    <w:rsid w:val="002148EB"/>
    <w:rsid w:val="00214B70"/>
    <w:rsid w:val="00214EBB"/>
    <w:rsid w:val="0021502D"/>
    <w:rsid w:val="0021526A"/>
    <w:rsid w:val="0021539B"/>
    <w:rsid w:val="00215515"/>
    <w:rsid w:val="002156E2"/>
    <w:rsid w:val="002156F0"/>
    <w:rsid w:val="002158D9"/>
    <w:rsid w:val="00215ED7"/>
    <w:rsid w:val="00216228"/>
    <w:rsid w:val="00216282"/>
    <w:rsid w:val="002164E8"/>
    <w:rsid w:val="0021651A"/>
    <w:rsid w:val="002165F4"/>
    <w:rsid w:val="00216728"/>
    <w:rsid w:val="00216F30"/>
    <w:rsid w:val="002174C0"/>
    <w:rsid w:val="002174D5"/>
    <w:rsid w:val="0021767C"/>
    <w:rsid w:val="00217776"/>
    <w:rsid w:val="00217783"/>
    <w:rsid w:val="00217974"/>
    <w:rsid w:val="00217A34"/>
    <w:rsid w:val="0022002E"/>
    <w:rsid w:val="002202AC"/>
    <w:rsid w:val="00220322"/>
    <w:rsid w:val="00220393"/>
    <w:rsid w:val="0022097D"/>
    <w:rsid w:val="00220B3A"/>
    <w:rsid w:val="00220BDE"/>
    <w:rsid w:val="002210F5"/>
    <w:rsid w:val="0022125A"/>
    <w:rsid w:val="00221335"/>
    <w:rsid w:val="00221555"/>
    <w:rsid w:val="002215F1"/>
    <w:rsid w:val="0022170B"/>
    <w:rsid w:val="002218CB"/>
    <w:rsid w:val="00221A44"/>
    <w:rsid w:val="00221AF3"/>
    <w:rsid w:val="00221BA6"/>
    <w:rsid w:val="00221BA7"/>
    <w:rsid w:val="00221CDA"/>
    <w:rsid w:val="0022205F"/>
    <w:rsid w:val="00222347"/>
    <w:rsid w:val="00222371"/>
    <w:rsid w:val="002223C1"/>
    <w:rsid w:val="00222844"/>
    <w:rsid w:val="00222AFC"/>
    <w:rsid w:val="00222BAA"/>
    <w:rsid w:val="00222BEC"/>
    <w:rsid w:val="00222CBD"/>
    <w:rsid w:val="00222EC1"/>
    <w:rsid w:val="00222EDE"/>
    <w:rsid w:val="00222F2A"/>
    <w:rsid w:val="00222F76"/>
    <w:rsid w:val="00223002"/>
    <w:rsid w:val="00223334"/>
    <w:rsid w:val="002233F3"/>
    <w:rsid w:val="0022354C"/>
    <w:rsid w:val="002236F3"/>
    <w:rsid w:val="00223770"/>
    <w:rsid w:val="0022381B"/>
    <w:rsid w:val="00223B49"/>
    <w:rsid w:val="00223D75"/>
    <w:rsid w:val="00223EB3"/>
    <w:rsid w:val="00223EFF"/>
    <w:rsid w:val="00223F54"/>
    <w:rsid w:val="00224164"/>
    <w:rsid w:val="00224370"/>
    <w:rsid w:val="00224436"/>
    <w:rsid w:val="0022450A"/>
    <w:rsid w:val="00224560"/>
    <w:rsid w:val="002245AD"/>
    <w:rsid w:val="002245DE"/>
    <w:rsid w:val="0022477D"/>
    <w:rsid w:val="00224899"/>
    <w:rsid w:val="002249D7"/>
    <w:rsid w:val="00224A79"/>
    <w:rsid w:val="00224AA0"/>
    <w:rsid w:val="00224EF0"/>
    <w:rsid w:val="00225765"/>
    <w:rsid w:val="00225957"/>
    <w:rsid w:val="00225D9A"/>
    <w:rsid w:val="00225E26"/>
    <w:rsid w:val="00226386"/>
    <w:rsid w:val="0022647E"/>
    <w:rsid w:val="002264B9"/>
    <w:rsid w:val="0022693D"/>
    <w:rsid w:val="002269B7"/>
    <w:rsid w:val="00226BFD"/>
    <w:rsid w:val="00226D5E"/>
    <w:rsid w:val="002270E5"/>
    <w:rsid w:val="00227322"/>
    <w:rsid w:val="002275FF"/>
    <w:rsid w:val="002276FC"/>
    <w:rsid w:val="00227CEB"/>
    <w:rsid w:val="00227F14"/>
    <w:rsid w:val="002300E0"/>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6C2"/>
    <w:rsid w:val="0023272D"/>
    <w:rsid w:val="00232CAC"/>
    <w:rsid w:val="00232D21"/>
    <w:rsid w:val="00232F90"/>
    <w:rsid w:val="002337B6"/>
    <w:rsid w:val="002337E4"/>
    <w:rsid w:val="00233908"/>
    <w:rsid w:val="0023393E"/>
    <w:rsid w:val="0023393F"/>
    <w:rsid w:val="00233DA0"/>
    <w:rsid w:val="00233DD9"/>
    <w:rsid w:val="0023412C"/>
    <w:rsid w:val="002342C7"/>
    <w:rsid w:val="002343F5"/>
    <w:rsid w:val="00234690"/>
    <w:rsid w:val="00234712"/>
    <w:rsid w:val="00234783"/>
    <w:rsid w:val="00234835"/>
    <w:rsid w:val="002348AA"/>
    <w:rsid w:val="002348C4"/>
    <w:rsid w:val="00234B48"/>
    <w:rsid w:val="00234BBE"/>
    <w:rsid w:val="00234C88"/>
    <w:rsid w:val="00234D81"/>
    <w:rsid w:val="00234DC5"/>
    <w:rsid w:val="00234E3A"/>
    <w:rsid w:val="002350E6"/>
    <w:rsid w:val="0023512B"/>
    <w:rsid w:val="002351A3"/>
    <w:rsid w:val="002355F2"/>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02"/>
    <w:rsid w:val="00240828"/>
    <w:rsid w:val="0024083C"/>
    <w:rsid w:val="002408A6"/>
    <w:rsid w:val="00240AAA"/>
    <w:rsid w:val="00240AC6"/>
    <w:rsid w:val="00240C64"/>
    <w:rsid w:val="00240D94"/>
    <w:rsid w:val="00240DDC"/>
    <w:rsid w:val="00240EC5"/>
    <w:rsid w:val="00241121"/>
    <w:rsid w:val="0024128F"/>
    <w:rsid w:val="002416D1"/>
    <w:rsid w:val="002418C5"/>
    <w:rsid w:val="002418FF"/>
    <w:rsid w:val="00242012"/>
    <w:rsid w:val="002421B9"/>
    <w:rsid w:val="002421EF"/>
    <w:rsid w:val="00242337"/>
    <w:rsid w:val="00242373"/>
    <w:rsid w:val="002423C5"/>
    <w:rsid w:val="00242635"/>
    <w:rsid w:val="00242645"/>
    <w:rsid w:val="0024280E"/>
    <w:rsid w:val="00242810"/>
    <w:rsid w:val="0024283C"/>
    <w:rsid w:val="00242AA6"/>
    <w:rsid w:val="00242C00"/>
    <w:rsid w:val="00242C06"/>
    <w:rsid w:val="00242C48"/>
    <w:rsid w:val="00242E3D"/>
    <w:rsid w:val="00242EDB"/>
    <w:rsid w:val="00243068"/>
    <w:rsid w:val="0024310A"/>
    <w:rsid w:val="00243609"/>
    <w:rsid w:val="0024370E"/>
    <w:rsid w:val="002437AC"/>
    <w:rsid w:val="00243CDD"/>
    <w:rsid w:val="0024402E"/>
    <w:rsid w:val="0024426E"/>
    <w:rsid w:val="002442E8"/>
    <w:rsid w:val="00244961"/>
    <w:rsid w:val="00244964"/>
    <w:rsid w:val="002449E9"/>
    <w:rsid w:val="00244ABC"/>
    <w:rsid w:val="00244C63"/>
    <w:rsid w:val="00244E60"/>
    <w:rsid w:val="002451AA"/>
    <w:rsid w:val="00245343"/>
    <w:rsid w:val="0024543F"/>
    <w:rsid w:val="00245445"/>
    <w:rsid w:val="00245953"/>
    <w:rsid w:val="00245A2F"/>
    <w:rsid w:val="00245A39"/>
    <w:rsid w:val="00245BD2"/>
    <w:rsid w:val="0024665E"/>
    <w:rsid w:val="0024681C"/>
    <w:rsid w:val="0024686E"/>
    <w:rsid w:val="00246ACB"/>
    <w:rsid w:val="00246C8B"/>
    <w:rsid w:val="00246DE8"/>
    <w:rsid w:val="002478F9"/>
    <w:rsid w:val="00247A47"/>
    <w:rsid w:val="00247A7B"/>
    <w:rsid w:val="00247B64"/>
    <w:rsid w:val="00247BAA"/>
    <w:rsid w:val="00247F3B"/>
    <w:rsid w:val="00247FAA"/>
    <w:rsid w:val="00250349"/>
    <w:rsid w:val="002503C9"/>
    <w:rsid w:val="002506BC"/>
    <w:rsid w:val="0025091A"/>
    <w:rsid w:val="00250D5D"/>
    <w:rsid w:val="00250F5A"/>
    <w:rsid w:val="0025147A"/>
    <w:rsid w:val="002515E8"/>
    <w:rsid w:val="0025175E"/>
    <w:rsid w:val="002517D9"/>
    <w:rsid w:val="0025191E"/>
    <w:rsid w:val="00251978"/>
    <w:rsid w:val="002519A0"/>
    <w:rsid w:val="00251A3B"/>
    <w:rsid w:val="0025241B"/>
    <w:rsid w:val="00252453"/>
    <w:rsid w:val="002525D2"/>
    <w:rsid w:val="00252933"/>
    <w:rsid w:val="0025302D"/>
    <w:rsid w:val="00253235"/>
    <w:rsid w:val="0025328C"/>
    <w:rsid w:val="002533F8"/>
    <w:rsid w:val="00253700"/>
    <w:rsid w:val="0025397A"/>
    <w:rsid w:val="00253C1D"/>
    <w:rsid w:val="00253EB2"/>
    <w:rsid w:val="0025409F"/>
    <w:rsid w:val="002540F2"/>
    <w:rsid w:val="002541FE"/>
    <w:rsid w:val="00254480"/>
    <w:rsid w:val="0025472E"/>
    <w:rsid w:val="002553C0"/>
    <w:rsid w:val="002553DA"/>
    <w:rsid w:val="0025545E"/>
    <w:rsid w:val="0025577B"/>
    <w:rsid w:val="002557F1"/>
    <w:rsid w:val="00255D13"/>
    <w:rsid w:val="00255F6D"/>
    <w:rsid w:val="00256108"/>
    <w:rsid w:val="0025671E"/>
    <w:rsid w:val="00256BE2"/>
    <w:rsid w:val="00256F02"/>
    <w:rsid w:val="002572FC"/>
    <w:rsid w:val="00257471"/>
    <w:rsid w:val="002576D2"/>
    <w:rsid w:val="002577F1"/>
    <w:rsid w:val="00257849"/>
    <w:rsid w:val="002578E1"/>
    <w:rsid w:val="00257A5A"/>
    <w:rsid w:val="00257E05"/>
    <w:rsid w:val="00257E33"/>
    <w:rsid w:val="00260079"/>
    <w:rsid w:val="002602D6"/>
    <w:rsid w:val="00260389"/>
    <w:rsid w:val="002603DE"/>
    <w:rsid w:val="0026050B"/>
    <w:rsid w:val="00260811"/>
    <w:rsid w:val="00260C46"/>
    <w:rsid w:val="00260DAE"/>
    <w:rsid w:val="00260FA4"/>
    <w:rsid w:val="002610A3"/>
    <w:rsid w:val="002611BE"/>
    <w:rsid w:val="00261354"/>
    <w:rsid w:val="00261463"/>
    <w:rsid w:val="002616B1"/>
    <w:rsid w:val="002618BD"/>
    <w:rsid w:val="002618BF"/>
    <w:rsid w:val="00261ABA"/>
    <w:rsid w:val="00261B83"/>
    <w:rsid w:val="00261DFC"/>
    <w:rsid w:val="00261E0D"/>
    <w:rsid w:val="0026204C"/>
    <w:rsid w:val="002621D3"/>
    <w:rsid w:val="002621DC"/>
    <w:rsid w:val="0026243E"/>
    <w:rsid w:val="002625BA"/>
    <w:rsid w:val="00262640"/>
    <w:rsid w:val="002627C0"/>
    <w:rsid w:val="00262972"/>
    <w:rsid w:val="00262CC9"/>
    <w:rsid w:val="0026315E"/>
    <w:rsid w:val="002631B9"/>
    <w:rsid w:val="002631D1"/>
    <w:rsid w:val="002631DC"/>
    <w:rsid w:val="00263207"/>
    <w:rsid w:val="002632E5"/>
    <w:rsid w:val="002634EF"/>
    <w:rsid w:val="00263D69"/>
    <w:rsid w:val="002640D5"/>
    <w:rsid w:val="002643BF"/>
    <w:rsid w:val="0026443E"/>
    <w:rsid w:val="00264523"/>
    <w:rsid w:val="002646EE"/>
    <w:rsid w:val="00264BB4"/>
    <w:rsid w:val="00264CA4"/>
    <w:rsid w:val="0026542E"/>
    <w:rsid w:val="00265738"/>
    <w:rsid w:val="002659EA"/>
    <w:rsid w:val="00265C48"/>
    <w:rsid w:val="00265D40"/>
    <w:rsid w:val="00265EA9"/>
    <w:rsid w:val="002664D4"/>
    <w:rsid w:val="0026674D"/>
    <w:rsid w:val="002667AC"/>
    <w:rsid w:val="00266871"/>
    <w:rsid w:val="00266924"/>
    <w:rsid w:val="00266B1E"/>
    <w:rsid w:val="00266B39"/>
    <w:rsid w:val="00266E7F"/>
    <w:rsid w:val="002670FD"/>
    <w:rsid w:val="002671EF"/>
    <w:rsid w:val="0026730C"/>
    <w:rsid w:val="0026786F"/>
    <w:rsid w:val="00267B55"/>
    <w:rsid w:val="00267E2E"/>
    <w:rsid w:val="002700EE"/>
    <w:rsid w:val="002706C4"/>
    <w:rsid w:val="00270AB1"/>
    <w:rsid w:val="00270D03"/>
    <w:rsid w:val="00270D63"/>
    <w:rsid w:val="00271064"/>
    <w:rsid w:val="0027123B"/>
    <w:rsid w:val="00271330"/>
    <w:rsid w:val="002714E3"/>
    <w:rsid w:val="00271656"/>
    <w:rsid w:val="00271827"/>
    <w:rsid w:val="0027187A"/>
    <w:rsid w:val="00271C79"/>
    <w:rsid w:val="00271D26"/>
    <w:rsid w:val="00272268"/>
    <w:rsid w:val="002722CE"/>
    <w:rsid w:val="002724B0"/>
    <w:rsid w:val="0027279B"/>
    <w:rsid w:val="00272AA0"/>
    <w:rsid w:val="00272D89"/>
    <w:rsid w:val="00273207"/>
    <w:rsid w:val="0027322D"/>
    <w:rsid w:val="00273380"/>
    <w:rsid w:val="00273425"/>
    <w:rsid w:val="0027348C"/>
    <w:rsid w:val="002739A1"/>
    <w:rsid w:val="002740C6"/>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436"/>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C9"/>
    <w:rsid w:val="00282EEE"/>
    <w:rsid w:val="00282F3D"/>
    <w:rsid w:val="002834D7"/>
    <w:rsid w:val="00283588"/>
    <w:rsid w:val="00283BEF"/>
    <w:rsid w:val="00283D45"/>
    <w:rsid w:val="00283F88"/>
    <w:rsid w:val="00284162"/>
    <w:rsid w:val="0028442B"/>
    <w:rsid w:val="002846E8"/>
    <w:rsid w:val="00285040"/>
    <w:rsid w:val="00285168"/>
    <w:rsid w:val="00285348"/>
    <w:rsid w:val="0028542B"/>
    <w:rsid w:val="00285680"/>
    <w:rsid w:val="00285C6D"/>
    <w:rsid w:val="00285D5F"/>
    <w:rsid w:val="00285F59"/>
    <w:rsid w:val="002863E1"/>
    <w:rsid w:val="002863F8"/>
    <w:rsid w:val="00286885"/>
    <w:rsid w:val="00286C81"/>
    <w:rsid w:val="00287256"/>
    <w:rsid w:val="00287450"/>
    <w:rsid w:val="002875F0"/>
    <w:rsid w:val="002876DD"/>
    <w:rsid w:val="002877B2"/>
    <w:rsid w:val="00287A26"/>
    <w:rsid w:val="00287A33"/>
    <w:rsid w:val="00287A7B"/>
    <w:rsid w:val="00287DDD"/>
    <w:rsid w:val="002900F3"/>
    <w:rsid w:val="00290124"/>
    <w:rsid w:val="0029015D"/>
    <w:rsid w:val="002903D8"/>
    <w:rsid w:val="0029081B"/>
    <w:rsid w:val="002908B8"/>
    <w:rsid w:val="00290AB8"/>
    <w:rsid w:val="00290DB2"/>
    <w:rsid w:val="00290E07"/>
    <w:rsid w:val="002911F2"/>
    <w:rsid w:val="00291730"/>
    <w:rsid w:val="002920C5"/>
    <w:rsid w:val="0029210D"/>
    <w:rsid w:val="002921F8"/>
    <w:rsid w:val="0029256D"/>
    <w:rsid w:val="0029283D"/>
    <w:rsid w:val="00292872"/>
    <w:rsid w:val="002928C3"/>
    <w:rsid w:val="00292E25"/>
    <w:rsid w:val="00293023"/>
    <w:rsid w:val="00293374"/>
    <w:rsid w:val="002933AA"/>
    <w:rsid w:val="00293554"/>
    <w:rsid w:val="0029355F"/>
    <w:rsid w:val="00293705"/>
    <w:rsid w:val="00293903"/>
    <w:rsid w:val="00293D17"/>
    <w:rsid w:val="00293FBE"/>
    <w:rsid w:val="002941EB"/>
    <w:rsid w:val="0029433B"/>
    <w:rsid w:val="00294600"/>
    <w:rsid w:val="0029484A"/>
    <w:rsid w:val="00294C7E"/>
    <w:rsid w:val="00294D5C"/>
    <w:rsid w:val="00294D68"/>
    <w:rsid w:val="00294F18"/>
    <w:rsid w:val="00295250"/>
    <w:rsid w:val="002953D8"/>
    <w:rsid w:val="002954C8"/>
    <w:rsid w:val="0029558B"/>
    <w:rsid w:val="002955E5"/>
    <w:rsid w:val="002956CC"/>
    <w:rsid w:val="002959C4"/>
    <w:rsid w:val="00295ACD"/>
    <w:rsid w:val="0029601A"/>
    <w:rsid w:val="002965A2"/>
    <w:rsid w:val="00296AB2"/>
    <w:rsid w:val="00296C79"/>
    <w:rsid w:val="00296F85"/>
    <w:rsid w:val="00297056"/>
    <w:rsid w:val="00297578"/>
    <w:rsid w:val="002975A7"/>
    <w:rsid w:val="00297602"/>
    <w:rsid w:val="0029761E"/>
    <w:rsid w:val="0029764F"/>
    <w:rsid w:val="00297679"/>
    <w:rsid w:val="002978F3"/>
    <w:rsid w:val="0029792D"/>
    <w:rsid w:val="0029799C"/>
    <w:rsid w:val="00297B89"/>
    <w:rsid w:val="00297BF9"/>
    <w:rsid w:val="00297D00"/>
    <w:rsid w:val="00297F2A"/>
    <w:rsid w:val="00297F35"/>
    <w:rsid w:val="002A028D"/>
    <w:rsid w:val="002A03BF"/>
    <w:rsid w:val="002A04FB"/>
    <w:rsid w:val="002A06D4"/>
    <w:rsid w:val="002A0757"/>
    <w:rsid w:val="002A0779"/>
    <w:rsid w:val="002A0967"/>
    <w:rsid w:val="002A0C49"/>
    <w:rsid w:val="002A0D53"/>
    <w:rsid w:val="002A0E55"/>
    <w:rsid w:val="002A0F5F"/>
    <w:rsid w:val="002A1176"/>
    <w:rsid w:val="002A15AE"/>
    <w:rsid w:val="002A1615"/>
    <w:rsid w:val="002A1A6B"/>
    <w:rsid w:val="002A1CF0"/>
    <w:rsid w:val="002A1DCE"/>
    <w:rsid w:val="002A1F24"/>
    <w:rsid w:val="002A28BF"/>
    <w:rsid w:val="002A2971"/>
    <w:rsid w:val="002A2C60"/>
    <w:rsid w:val="002A2E5A"/>
    <w:rsid w:val="002A2EBF"/>
    <w:rsid w:val="002A2FD0"/>
    <w:rsid w:val="002A31FB"/>
    <w:rsid w:val="002A3253"/>
    <w:rsid w:val="002A352D"/>
    <w:rsid w:val="002A3697"/>
    <w:rsid w:val="002A38AC"/>
    <w:rsid w:val="002A38B1"/>
    <w:rsid w:val="002A3A74"/>
    <w:rsid w:val="002A3C3E"/>
    <w:rsid w:val="002A423B"/>
    <w:rsid w:val="002A43D9"/>
    <w:rsid w:val="002A43E8"/>
    <w:rsid w:val="002A4487"/>
    <w:rsid w:val="002A4777"/>
    <w:rsid w:val="002A47C5"/>
    <w:rsid w:val="002A488F"/>
    <w:rsid w:val="002A48E5"/>
    <w:rsid w:val="002A4A19"/>
    <w:rsid w:val="002A4B29"/>
    <w:rsid w:val="002A4BAD"/>
    <w:rsid w:val="002A4D9D"/>
    <w:rsid w:val="002A4E0D"/>
    <w:rsid w:val="002A51AE"/>
    <w:rsid w:val="002A5296"/>
    <w:rsid w:val="002A5372"/>
    <w:rsid w:val="002A585A"/>
    <w:rsid w:val="002A59CF"/>
    <w:rsid w:val="002A5A29"/>
    <w:rsid w:val="002A5ADF"/>
    <w:rsid w:val="002A5BD0"/>
    <w:rsid w:val="002A5EB0"/>
    <w:rsid w:val="002A60D8"/>
    <w:rsid w:val="002A610E"/>
    <w:rsid w:val="002A6171"/>
    <w:rsid w:val="002A6272"/>
    <w:rsid w:val="002A6331"/>
    <w:rsid w:val="002A6430"/>
    <w:rsid w:val="002A654C"/>
    <w:rsid w:val="002A674D"/>
    <w:rsid w:val="002A68B6"/>
    <w:rsid w:val="002A6C27"/>
    <w:rsid w:val="002A701A"/>
    <w:rsid w:val="002A72C2"/>
    <w:rsid w:val="002A784F"/>
    <w:rsid w:val="002A7A59"/>
    <w:rsid w:val="002A7BF0"/>
    <w:rsid w:val="002A7D7A"/>
    <w:rsid w:val="002A7E94"/>
    <w:rsid w:val="002A7F2A"/>
    <w:rsid w:val="002B0079"/>
    <w:rsid w:val="002B0127"/>
    <w:rsid w:val="002B0A79"/>
    <w:rsid w:val="002B0FEC"/>
    <w:rsid w:val="002B1011"/>
    <w:rsid w:val="002B1501"/>
    <w:rsid w:val="002B15D5"/>
    <w:rsid w:val="002B1894"/>
    <w:rsid w:val="002B19B9"/>
    <w:rsid w:val="002B1AD2"/>
    <w:rsid w:val="002B1C84"/>
    <w:rsid w:val="002B20DC"/>
    <w:rsid w:val="002B220D"/>
    <w:rsid w:val="002B2386"/>
    <w:rsid w:val="002B265D"/>
    <w:rsid w:val="002B2ACC"/>
    <w:rsid w:val="002B2C19"/>
    <w:rsid w:val="002B2C5E"/>
    <w:rsid w:val="002B31C3"/>
    <w:rsid w:val="002B3358"/>
    <w:rsid w:val="002B348E"/>
    <w:rsid w:val="002B37D9"/>
    <w:rsid w:val="002B384E"/>
    <w:rsid w:val="002B3FF0"/>
    <w:rsid w:val="002B412D"/>
    <w:rsid w:val="002B4264"/>
    <w:rsid w:val="002B4318"/>
    <w:rsid w:val="002B446C"/>
    <w:rsid w:val="002B4557"/>
    <w:rsid w:val="002B487E"/>
    <w:rsid w:val="002B493F"/>
    <w:rsid w:val="002B4940"/>
    <w:rsid w:val="002B4BCE"/>
    <w:rsid w:val="002B4E2C"/>
    <w:rsid w:val="002B4EA6"/>
    <w:rsid w:val="002B5036"/>
    <w:rsid w:val="002B5205"/>
    <w:rsid w:val="002B5255"/>
    <w:rsid w:val="002B538D"/>
    <w:rsid w:val="002B554E"/>
    <w:rsid w:val="002B55DD"/>
    <w:rsid w:val="002B5997"/>
    <w:rsid w:val="002B5B88"/>
    <w:rsid w:val="002B5CCA"/>
    <w:rsid w:val="002B5D5A"/>
    <w:rsid w:val="002B5DC1"/>
    <w:rsid w:val="002B608F"/>
    <w:rsid w:val="002B62C5"/>
    <w:rsid w:val="002B62F8"/>
    <w:rsid w:val="002B6362"/>
    <w:rsid w:val="002B6402"/>
    <w:rsid w:val="002B6428"/>
    <w:rsid w:val="002B6444"/>
    <w:rsid w:val="002B66A6"/>
    <w:rsid w:val="002B6842"/>
    <w:rsid w:val="002B6866"/>
    <w:rsid w:val="002B6B49"/>
    <w:rsid w:val="002B6FD8"/>
    <w:rsid w:val="002B712A"/>
    <w:rsid w:val="002B723E"/>
    <w:rsid w:val="002B738B"/>
    <w:rsid w:val="002B7950"/>
    <w:rsid w:val="002B7B64"/>
    <w:rsid w:val="002B7CB4"/>
    <w:rsid w:val="002B7CDF"/>
    <w:rsid w:val="002B7D01"/>
    <w:rsid w:val="002B7E0B"/>
    <w:rsid w:val="002B7FB6"/>
    <w:rsid w:val="002C00C1"/>
    <w:rsid w:val="002C038E"/>
    <w:rsid w:val="002C0EDD"/>
    <w:rsid w:val="002C0F6F"/>
    <w:rsid w:val="002C0F94"/>
    <w:rsid w:val="002C1264"/>
    <w:rsid w:val="002C133A"/>
    <w:rsid w:val="002C15A0"/>
    <w:rsid w:val="002C1B1F"/>
    <w:rsid w:val="002C1C1A"/>
    <w:rsid w:val="002C1D76"/>
    <w:rsid w:val="002C1DE2"/>
    <w:rsid w:val="002C1F4F"/>
    <w:rsid w:val="002C2773"/>
    <w:rsid w:val="002C27F7"/>
    <w:rsid w:val="002C2899"/>
    <w:rsid w:val="002C2E0B"/>
    <w:rsid w:val="002C2ED9"/>
    <w:rsid w:val="002C323F"/>
    <w:rsid w:val="002C34C7"/>
    <w:rsid w:val="002C3621"/>
    <w:rsid w:val="002C3722"/>
    <w:rsid w:val="002C3BC3"/>
    <w:rsid w:val="002C3C93"/>
    <w:rsid w:val="002C3E5E"/>
    <w:rsid w:val="002C41F6"/>
    <w:rsid w:val="002C4494"/>
    <w:rsid w:val="002C44B7"/>
    <w:rsid w:val="002C48EA"/>
    <w:rsid w:val="002C4952"/>
    <w:rsid w:val="002C4AC6"/>
    <w:rsid w:val="002C4E9D"/>
    <w:rsid w:val="002C53DE"/>
    <w:rsid w:val="002C5449"/>
    <w:rsid w:val="002C568F"/>
    <w:rsid w:val="002C5758"/>
    <w:rsid w:val="002C58EC"/>
    <w:rsid w:val="002C5B16"/>
    <w:rsid w:val="002C6179"/>
    <w:rsid w:val="002C61A5"/>
    <w:rsid w:val="002C6366"/>
    <w:rsid w:val="002C66AA"/>
    <w:rsid w:val="002C66FE"/>
    <w:rsid w:val="002C69BB"/>
    <w:rsid w:val="002C6C0B"/>
    <w:rsid w:val="002C7235"/>
    <w:rsid w:val="002C792F"/>
    <w:rsid w:val="002C7A4C"/>
    <w:rsid w:val="002C7B3E"/>
    <w:rsid w:val="002C7D08"/>
    <w:rsid w:val="002C7DE3"/>
    <w:rsid w:val="002D0312"/>
    <w:rsid w:val="002D0376"/>
    <w:rsid w:val="002D0695"/>
    <w:rsid w:val="002D0744"/>
    <w:rsid w:val="002D09F0"/>
    <w:rsid w:val="002D0C4C"/>
    <w:rsid w:val="002D0CBC"/>
    <w:rsid w:val="002D0F49"/>
    <w:rsid w:val="002D1090"/>
    <w:rsid w:val="002D111F"/>
    <w:rsid w:val="002D15B1"/>
    <w:rsid w:val="002D1611"/>
    <w:rsid w:val="002D1692"/>
    <w:rsid w:val="002D16A8"/>
    <w:rsid w:val="002D16D7"/>
    <w:rsid w:val="002D1F1C"/>
    <w:rsid w:val="002D2241"/>
    <w:rsid w:val="002D22A6"/>
    <w:rsid w:val="002D26BA"/>
    <w:rsid w:val="002D26E9"/>
    <w:rsid w:val="002D276B"/>
    <w:rsid w:val="002D297C"/>
    <w:rsid w:val="002D2A9C"/>
    <w:rsid w:val="002D2B4E"/>
    <w:rsid w:val="002D2BFF"/>
    <w:rsid w:val="002D2D69"/>
    <w:rsid w:val="002D2F4D"/>
    <w:rsid w:val="002D2F9C"/>
    <w:rsid w:val="002D2FD3"/>
    <w:rsid w:val="002D2FF6"/>
    <w:rsid w:val="002D31B7"/>
    <w:rsid w:val="002D325B"/>
    <w:rsid w:val="002D3277"/>
    <w:rsid w:val="002D3531"/>
    <w:rsid w:val="002D3AAD"/>
    <w:rsid w:val="002D40AB"/>
    <w:rsid w:val="002D429D"/>
    <w:rsid w:val="002D4699"/>
    <w:rsid w:val="002D490E"/>
    <w:rsid w:val="002D4D9D"/>
    <w:rsid w:val="002D4E3D"/>
    <w:rsid w:val="002D58B9"/>
    <w:rsid w:val="002D5A0B"/>
    <w:rsid w:val="002D5A24"/>
    <w:rsid w:val="002D5E50"/>
    <w:rsid w:val="002D604B"/>
    <w:rsid w:val="002D604C"/>
    <w:rsid w:val="002D62C0"/>
    <w:rsid w:val="002D64F7"/>
    <w:rsid w:val="002D6522"/>
    <w:rsid w:val="002D6574"/>
    <w:rsid w:val="002D65BC"/>
    <w:rsid w:val="002D6759"/>
    <w:rsid w:val="002D67FC"/>
    <w:rsid w:val="002D6916"/>
    <w:rsid w:val="002D6B6F"/>
    <w:rsid w:val="002D70FB"/>
    <w:rsid w:val="002D740B"/>
    <w:rsid w:val="002D7545"/>
    <w:rsid w:val="002D77DB"/>
    <w:rsid w:val="002D77E7"/>
    <w:rsid w:val="002D796F"/>
    <w:rsid w:val="002D7977"/>
    <w:rsid w:val="002D7B4E"/>
    <w:rsid w:val="002D7CBA"/>
    <w:rsid w:val="002D7F23"/>
    <w:rsid w:val="002E01FC"/>
    <w:rsid w:val="002E0412"/>
    <w:rsid w:val="002E045C"/>
    <w:rsid w:val="002E05C9"/>
    <w:rsid w:val="002E05F9"/>
    <w:rsid w:val="002E0971"/>
    <w:rsid w:val="002E0972"/>
    <w:rsid w:val="002E0A35"/>
    <w:rsid w:val="002E0B68"/>
    <w:rsid w:val="002E0CAD"/>
    <w:rsid w:val="002E1274"/>
    <w:rsid w:val="002E1344"/>
    <w:rsid w:val="002E18FA"/>
    <w:rsid w:val="002E1A48"/>
    <w:rsid w:val="002E1CD3"/>
    <w:rsid w:val="002E1F8E"/>
    <w:rsid w:val="002E2A55"/>
    <w:rsid w:val="002E2CCB"/>
    <w:rsid w:val="002E2E37"/>
    <w:rsid w:val="002E2FBC"/>
    <w:rsid w:val="002E303C"/>
    <w:rsid w:val="002E32CA"/>
    <w:rsid w:val="002E3365"/>
    <w:rsid w:val="002E354F"/>
    <w:rsid w:val="002E3810"/>
    <w:rsid w:val="002E39EB"/>
    <w:rsid w:val="002E3A0E"/>
    <w:rsid w:val="002E3E12"/>
    <w:rsid w:val="002E3FA4"/>
    <w:rsid w:val="002E412A"/>
    <w:rsid w:val="002E4455"/>
    <w:rsid w:val="002E44B8"/>
    <w:rsid w:val="002E45B9"/>
    <w:rsid w:val="002E4C5E"/>
    <w:rsid w:val="002E4D9E"/>
    <w:rsid w:val="002E508A"/>
    <w:rsid w:val="002E5125"/>
    <w:rsid w:val="002E5153"/>
    <w:rsid w:val="002E51D1"/>
    <w:rsid w:val="002E5389"/>
    <w:rsid w:val="002E5461"/>
    <w:rsid w:val="002E59F3"/>
    <w:rsid w:val="002E5A00"/>
    <w:rsid w:val="002E5C73"/>
    <w:rsid w:val="002E5C7E"/>
    <w:rsid w:val="002E5E67"/>
    <w:rsid w:val="002E5F15"/>
    <w:rsid w:val="002E604C"/>
    <w:rsid w:val="002E6314"/>
    <w:rsid w:val="002E642D"/>
    <w:rsid w:val="002E656E"/>
    <w:rsid w:val="002E65A0"/>
    <w:rsid w:val="002E675C"/>
    <w:rsid w:val="002E67CE"/>
    <w:rsid w:val="002E69E3"/>
    <w:rsid w:val="002E6A1C"/>
    <w:rsid w:val="002E6B16"/>
    <w:rsid w:val="002E6B78"/>
    <w:rsid w:val="002E6B8A"/>
    <w:rsid w:val="002E6DA9"/>
    <w:rsid w:val="002E7831"/>
    <w:rsid w:val="002E7844"/>
    <w:rsid w:val="002E78F5"/>
    <w:rsid w:val="002E7E20"/>
    <w:rsid w:val="002E7E9E"/>
    <w:rsid w:val="002E7F8F"/>
    <w:rsid w:val="002E7FAA"/>
    <w:rsid w:val="002F006C"/>
    <w:rsid w:val="002F038D"/>
    <w:rsid w:val="002F04F1"/>
    <w:rsid w:val="002F080B"/>
    <w:rsid w:val="002F0A50"/>
    <w:rsid w:val="002F0C2A"/>
    <w:rsid w:val="002F0FA9"/>
    <w:rsid w:val="002F122B"/>
    <w:rsid w:val="002F1995"/>
    <w:rsid w:val="002F19D8"/>
    <w:rsid w:val="002F1D41"/>
    <w:rsid w:val="002F1D54"/>
    <w:rsid w:val="002F1D91"/>
    <w:rsid w:val="002F1F47"/>
    <w:rsid w:val="002F1FB0"/>
    <w:rsid w:val="002F2029"/>
    <w:rsid w:val="002F216A"/>
    <w:rsid w:val="002F24BB"/>
    <w:rsid w:val="002F2632"/>
    <w:rsid w:val="002F2D9C"/>
    <w:rsid w:val="002F2F69"/>
    <w:rsid w:val="002F2F6C"/>
    <w:rsid w:val="002F3066"/>
    <w:rsid w:val="002F325E"/>
    <w:rsid w:val="002F32BC"/>
    <w:rsid w:val="002F35F6"/>
    <w:rsid w:val="002F3659"/>
    <w:rsid w:val="002F3799"/>
    <w:rsid w:val="002F39C8"/>
    <w:rsid w:val="002F41F7"/>
    <w:rsid w:val="002F4484"/>
    <w:rsid w:val="002F4649"/>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68"/>
    <w:rsid w:val="002F6994"/>
    <w:rsid w:val="002F6A3B"/>
    <w:rsid w:val="002F6A45"/>
    <w:rsid w:val="002F6B3A"/>
    <w:rsid w:val="002F6EDD"/>
    <w:rsid w:val="002F706B"/>
    <w:rsid w:val="002F71D5"/>
    <w:rsid w:val="002F747D"/>
    <w:rsid w:val="002F76F5"/>
    <w:rsid w:val="002F77E6"/>
    <w:rsid w:val="002F7842"/>
    <w:rsid w:val="002F7F4D"/>
    <w:rsid w:val="003000D9"/>
    <w:rsid w:val="00300171"/>
    <w:rsid w:val="00300550"/>
    <w:rsid w:val="00300AEE"/>
    <w:rsid w:val="00300B97"/>
    <w:rsid w:val="00300C5F"/>
    <w:rsid w:val="00300D31"/>
    <w:rsid w:val="00300EC1"/>
    <w:rsid w:val="003013BD"/>
    <w:rsid w:val="00301599"/>
    <w:rsid w:val="0030182E"/>
    <w:rsid w:val="00301E0D"/>
    <w:rsid w:val="00301EA6"/>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9F0"/>
    <w:rsid w:val="00306A54"/>
    <w:rsid w:val="00306B2D"/>
    <w:rsid w:val="00306DBA"/>
    <w:rsid w:val="00306E66"/>
    <w:rsid w:val="0030711E"/>
    <w:rsid w:val="00307129"/>
    <w:rsid w:val="00307A55"/>
    <w:rsid w:val="00307CBF"/>
    <w:rsid w:val="00307FEB"/>
    <w:rsid w:val="0031041F"/>
    <w:rsid w:val="0031067F"/>
    <w:rsid w:val="00310AA6"/>
    <w:rsid w:val="00310AB7"/>
    <w:rsid w:val="00310FBD"/>
    <w:rsid w:val="00310FC2"/>
    <w:rsid w:val="003111AD"/>
    <w:rsid w:val="00311386"/>
    <w:rsid w:val="003114FA"/>
    <w:rsid w:val="003116CB"/>
    <w:rsid w:val="00311B98"/>
    <w:rsid w:val="00311CCA"/>
    <w:rsid w:val="00311FDA"/>
    <w:rsid w:val="00312103"/>
    <w:rsid w:val="003123F6"/>
    <w:rsid w:val="00312543"/>
    <w:rsid w:val="00312624"/>
    <w:rsid w:val="00312E30"/>
    <w:rsid w:val="003135B2"/>
    <w:rsid w:val="003138B5"/>
    <w:rsid w:val="00313902"/>
    <w:rsid w:val="00313B4D"/>
    <w:rsid w:val="00313B4E"/>
    <w:rsid w:val="00313CF1"/>
    <w:rsid w:val="00313DCA"/>
    <w:rsid w:val="0031402B"/>
    <w:rsid w:val="003142C6"/>
    <w:rsid w:val="003145C9"/>
    <w:rsid w:val="00314786"/>
    <w:rsid w:val="00314874"/>
    <w:rsid w:val="00314A58"/>
    <w:rsid w:val="00314A86"/>
    <w:rsid w:val="00314BC7"/>
    <w:rsid w:val="0031506D"/>
    <w:rsid w:val="00315609"/>
    <w:rsid w:val="003157C7"/>
    <w:rsid w:val="00315A95"/>
    <w:rsid w:val="00315AA2"/>
    <w:rsid w:val="00315AFE"/>
    <w:rsid w:val="00315C6D"/>
    <w:rsid w:val="00315D40"/>
    <w:rsid w:val="00315E00"/>
    <w:rsid w:val="00316082"/>
    <w:rsid w:val="003162B8"/>
    <w:rsid w:val="00316666"/>
    <w:rsid w:val="003168FD"/>
    <w:rsid w:val="0031691E"/>
    <w:rsid w:val="00316F8B"/>
    <w:rsid w:val="00316FAA"/>
    <w:rsid w:val="003170CC"/>
    <w:rsid w:val="003174F2"/>
    <w:rsid w:val="00317861"/>
    <w:rsid w:val="00317B03"/>
    <w:rsid w:val="00317DBB"/>
    <w:rsid w:val="00317E71"/>
    <w:rsid w:val="00320128"/>
    <w:rsid w:val="003203FA"/>
    <w:rsid w:val="003206D8"/>
    <w:rsid w:val="00320C4D"/>
    <w:rsid w:val="00320E89"/>
    <w:rsid w:val="00320EF7"/>
    <w:rsid w:val="003213B1"/>
    <w:rsid w:val="00321630"/>
    <w:rsid w:val="00321B91"/>
    <w:rsid w:val="00321FF4"/>
    <w:rsid w:val="0032229B"/>
    <w:rsid w:val="003229C0"/>
    <w:rsid w:val="00322B2D"/>
    <w:rsid w:val="00322B48"/>
    <w:rsid w:val="00322C5B"/>
    <w:rsid w:val="00322CDA"/>
    <w:rsid w:val="0032316E"/>
    <w:rsid w:val="003236BA"/>
    <w:rsid w:val="00323940"/>
    <w:rsid w:val="00323A3D"/>
    <w:rsid w:val="00323ADF"/>
    <w:rsid w:val="00323DA2"/>
    <w:rsid w:val="00323EE3"/>
    <w:rsid w:val="00324371"/>
    <w:rsid w:val="00324825"/>
    <w:rsid w:val="003249AC"/>
    <w:rsid w:val="00324B9B"/>
    <w:rsid w:val="00324C4B"/>
    <w:rsid w:val="00324CBF"/>
    <w:rsid w:val="00324D44"/>
    <w:rsid w:val="00325607"/>
    <w:rsid w:val="00325961"/>
    <w:rsid w:val="003259E0"/>
    <w:rsid w:val="00325A3D"/>
    <w:rsid w:val="00325ACE"/>
    <w:rsid w:val="003261FA"/>
    <w:rsid w:val="003265E9"/>
    <w:rsid w:val="00326655"/>
    <w:rsid w:val="003266CA"/>
    <w:rsid w:val="00326D4A"/>
    <w:rsid w:val="00326E9D"/>
    <w:rsid w:val="003270BB"/>
    <w:rsid w:val="0032755F"/>
    <w:rsid w:val="0032757A"/>
    <w:rsid w:val="0032778B"/>
    <w:rsid w:val="00327A9D"/>
    <w:rsid w:val="00327DD3"/>
    <w:rsid w:val="00327DFC"/>
    <w:rsid w:val="003300CF"/>
    <w:rsid w:val="00330347"/>
    <w:rsid w:val="0033035E"/>
    <w:rsid w:val="0033052F"/>
    <w:rsid w:val="00330891"/>
    <w:rsid w:val="00330A1D"/>
    <w:rsid w:val="00330AA7"/>
    <w:rsid w:val="00330B82"/>
    <w:rsid w:val="00330CF4"/>
    <w:rsid w:val="00330FBF"/>
    <w:rsid w:val="00330FF5"/>
    <w:rsid w:val="00331097"/>
    <w:rsid w:val="003310B9"/>
    <w:rsid w:val="0033111E"/>
    <w:rsid w:val="00331284"/>
    <w:rsid w:val="00331292"/>
    <w:rsid w:val="00331363"/>
    <w:rsid w:val="00331522"/>
    <w:rsid w:val="00331734"/>
    <w:rsid w:val="00331C33"/>
    <w:rsid w:val="00331D83"/>
    <w:rsid w:val="00331DC9"/>
    <w:rsid w:val="00332050"/>
    <w:rsid w:val="00332084"/>
    <w:rsid w:val="003320CC"/>
    <w:rsid w:val="00332210"/>
    <w:rsid w:val="0033250F"/>
    <w:rsid w:val="003327CA"/>
    <w:rsid w:val="003327EF"/>
    <w:rsid w:val="00332BA4"/>
    <w:rsid w:val="00332BBA"/>
    <w:rsid w:val="00332EB6"/>
    <w:rsid w:val="00332F30"/>
    <w:rsid w:val="00333029"/>
    <w:rsid w:val="00333071"/>
    <w:rsid w:val="00333145"/>
    <w:rsid w:val="00333202"/>
    <w:rsid w:val="003333E0"/>
    <w:rsid w:val="00333423"/>
    <w:rsid w:val="00333A6F"/>
    <w:rsid w:val="00333CF9"/>
    <w:rsid w:val="00333EEA"/>
    <w:rsid w:val="0033422D"/>
    <w:rsid w:val="003342D5"/>
    <w:rsid w:val="00334416"/>
    <w:rsid w:val="003344CB"/>
    <w:rsid w:val="0033463C"/>
    <w:rsid w:val="00334705"/>
    <w:rsid w:val="0033487D"/>
    <w:rsid w:val="003349D8"/>
    <w:rsid w:val="00334A02"/>
    <w:rsid w:val="00334A9A"/>
    <w:rsid w:val="00334A9F"/>
    <w:rsid w:val="00334AB8"/>
    <w:rsid w:val="00334E6D"/>
    <w:rsid w:val="003350B4"/>
    <w:rsid w:val="0033514A"/>
    <w:rsid w:val="0033549A"/>
    <w:rsid w:val="0033557D"/>
    <w:rsid w:val="003358C0"/>
    <w:rsid w:val="003359FB"/>
    <w:rsid w:val="00335BD5"/>
    <w:rsid w:val="00335C2B"/>
    <w:rsid w:val="00336046"/>
    <w:rsid w:val="0033615B"/>
    <w:rsid w:val="0033641B"/>
    <w:rsid w:val="00336690"/>
    <w:rsid w:val="003368CF"/>
    <w:rsid w:val="00336C2C"/>
    <w:rsid w:val="0033704A"/>
    <w:rsid w:val="0033711E"/>
    <w:rsid w:val="0033714E"/>
    <w:rsid w:val="0033729C"/>
    <w:rsid w:val="00337340"/>
    <w:rsid w:val="0033756E"/>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689"/>
    <w:rsid w:val="003417B1"/>
    <w:rsid w:val="00341DA0"/>
    <w:rsid w:val="003421A4"/>
    <w:rsid w:val="00342352"/>
    <w:rsid w:val="00342451"/>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4F7"/>
    <w:rsid w:val="00344536"/>
    <w:rsid w:val="00344556"/>
    <w:rsid w:val="003445FD"/>
    <w:rsid w:val="003448B9"/>
    <w:rsid w:val="003449E8"/>
    <w:rsid w:val="00344BA0"/>
    <w:rsid w:val="00344C9A"/>
    <w:rsid w:val="00344E3F"/>
    <w:rsid w:val="00344EDE"/>
    <w:rsid w:val="0034502C"/>
    <w:rsid w:val="00345045"/>
    <w:rsid w:val="003451C9"/>
    <w:rsid w:val="003452E9"/>
    <w:rsid w:val="00345409"/>
    <w:rsid w:val="00345A91"/>
    <w:rsid w:val="00345CFC"/>
    <w:rsid w:val="00345E46"/>
    <w:rsid w:val="00346018"/>
    <w:rsid w:val="00346148"/>
    <w:rsid w:val="00346152"/>
    <w:rsid w:val="00346710"/>
    <w:rsid w:val="00346865"/>
    <w:rsid w:val="003468BE"/>
    <w:rsid w:val="00346952"/>
    <w:rsid w:val="00346A41"/>
    <w:rsid w:val="00346D1B"/>
    <w:rsid w:val="00346E2E"/>
    <w:rsid w:val="00346F8C"/>
    <w:rsid w:val="00346FF5"/>
    <w:rsid w:val="00347149"/>
    <w:rsid w:val="00347356"/>
    <w:rsid w:val="0034741E"/>
    <w:rsid w:val="003479B3"/>
    <w:rsid w:val="00347D37"/>
    <w:rsid w:val="00347E3D"/>
    <w:rsid w:val="0035005F"/>
    <w:rsid w:val="003500FC"/>
    <w:rsid w:val="00350561"/>
    <w:rsid w:val="00350681"/>
    <w:rsid w:val="00350812"/>
    <w:rsid w:val="00350981"/>
    <w:rsid w:val="00350B06"/>
    <w:rsid w:val="00350C27"/>
    <w:rsid w:val="003510B7"/>
    <w:rsid w:val="00351104"/>
    <w:rsid w:val="0035139A"/>
    <w:rsid w:val="0035156D"/>
    <w:rsid w:val="003515DD"/>
    <w:rsid w:val="003516EE"/>
    <w:rsid w:val="0035173A"/>
    <w:rsid w:val="00351789"/>
    <w:rsid w:val="00351990"/>
    <w:rsid w:val="00351CD3"/>
    <w:rsid w:val="00351DB6"/>
    <w:rsid w:val="00351F09"/>
    <w:rsid w:val="00352037"/>
    <w:rsid w:val="00352134"/>
    <w:rsid w:val="003522E6"/>
    <w:rsid w:val="003524CE"/>
    <w:rsid w:val="003528DA"/>
    <w:rsid w:val="003529D4"/>
    <w:rsid w:val="00352B01"/>
    <w:rsid w:val="00352B25"/>
    <w:rsid w:val="00352BF6"/>
    <w:rsid w:val="00352D31"/>
    <w:rsid w:val="00352F8A"/>
    <w:rsid w:val="00353130"/>
    <w:rsid w:val="00353234"/>
    <w:rsid w:val="003533F7"/>
    <w:rsid w:val="00353791"/>
    <w:rsid w:val="00353E8D"/>
    <w:rsid w:val="00354022"/>
    <w:rsid w:val="003540FC"/>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0CA"/>
    <w:rsid w:val="00356340"/>
    <w:rsid w:val="00356450"/>
    <w:rsid w:val="003564FC"/>
    <w:rsid w:val="00356872"/>
    <w:rsid w:val="00356BF5"/>
    <w:rsid w:val="00356F18"/>
    <w:rsid w:val="00356FF0"/>
    <w:rsid w:val="003570B4"/>
    <w:rsid w:val="00357167"/>
    <w:rsid w:val="00357675"/>
    <w:rsid w:val="00357745"/>
    <w:rsid w:val="00357AD6"/>
    <w:rsid w:val="00357E3C"/>
    <w:rsid w:val="00360178"/>
    <w:rsid w:val="00360271"/>
    <w:rsid w:val="003604DD"/>
    <w:rsid w:val="0036052D"/>
    <w:rsid w:val="0036054B"/>
    <w:rsid w:val="003609EE"/>
    <w:rsid w:val="00360D58"/>
    <w:rsid w:val="00361065"/>
    <w:rsid w:val="003614D9"/>
    <w:rsid w:val="00361530"/>
    <w:rsid w:val="00361810"/>
    <w:rsid w:val="003619BD"/>
    <w:rsid w:val="003619C0"/>
    <w:rsid w:val="00361E63"/>
    <w:rsid w:val="00361F17"/>
    <w:rsid w:val="003622DD"/>
    <w:rsid w:val="00362635"/>
    <w:rsid w:val="003626EF"/>
    <w:rsid w:val="003626FA"/>
    <w:rsid w:val="0036298A"/>
    <w:rsid w:val="00362A32"/>
    <w:rsid w:val="00362A37"/>
    <w:rsid w:val="003635D8"/>
    <w:rsid w:val="003636E5"/>
    <w:rsid w:val="0036371E"/>
    <w:rsid w:val="00363906"/>
    <w:rsid w:val="00363C65"/>
    <w:rsid w:val="00363C71"/>
    <w:rsid w:val="00363E5A"/>
    <w:rsid w:val="003641D0"/>
    <w:rsid w:val="003643DD"/>
    <w:rsid w:val="0036460E"/>
    <w:rsid w:val="00364828"/>
    <w:rsid w:val="0036491A"/>
    <w:rsid w:val="003649AE"/>
    <w:rsid w:val="003649BC"/>
    <w:rsid w:val="00364A87"/>
    <w:rsid w:val="00364C0B"/>
    <w:rsid w:val="00364DA4"/>
    <w:rsid w:val="00364DFD"/>
    <w:rsid w:val="00364FF5"/>
    <w:rsid w:val="00365044"/>
    <w:rsid w:val="0036517D"/>
    <w:rsid w:val="00365191"/>
    <w:rsid w:val="003656E9"/>
    <w:rsid w:val="00365A8B"/>
    <w:rsid w:val="00365A95"/>
    <w:rsid w:val="00365C23"/>
    <w:rsid w:val="00365C57"/>
    <w:rsid w:val="00365EF9"/>
    <w:rsid w:val="0036605E"/>
    <w:rsid w:val="003663C1"/>
    <w:rsid w:val="0036655E"/>
    <w:rsid w:val="003665CF"/>
    <w:rsid w:val="0036666A"/>
    <w:rsid w:val="003666D5"/>
    <w:rsid w:val="00366704"/>
    <w:rsid w:val="0036670B"/>
    <w:rsid w:val="003667A6"/>
    <w:rsid w:val="003669C0"/>
    <w:rsid w:val="00366BE9"/>
    <w:rsid w:val="00366CD7"/>
    <w:rsid w:val="00366F25"/>
    <w:rsid w:val="003677AE"/>
    <w:rsid w:val="00367D9D"/>
    <w:rsid w:val="00367DBE"/>
    <w:rsid w:val="0037019D"/>
    <w:rsid w:val="003706A2"/>
    <w:rsid w:val="003709DF"/>
    <w:rsid w:val="00370F39"/>
    <w:rsid w:val="00370FF7"/>
    <w:rsid w:val="0037102F"/>
    <w:rsid w:val="003710BD"/>
    <w:rsid w:val="00371249"/>
    <w:rsid w:val="00371331"/>
    <w:rsid w:val="00371404"/>
    <w:rsid w:val="00371469"/>
    <w:rsid w:val="0037151A"/>
    <w:rsid w:val="00371796"/>
    <w:rsid w:val="003717C2"/>
    <w:rsid w:val="00371926"/>
    <w:rsid w:val="00371A39"/>
    <w:rsid w:val="00371BBD"/>
    <w:rsid w:val="00371EF0"/>
    <w:rsid w:val="00372015"/>
    <w:rsid w:val="00372275"/>
    <w:rsid w:val="003723E5"/>
    <w:rsid w:val="003724AF"/>
    <w:rsid w:val="003728B8"/>
    <w:rsid w:val="00372CD0"/>
    <w:rsid w:val="00372F88"/>
    <w:rsid w:val="00373126"/>
    <w:rsid w:val="003731D8"/>
    <w:rsid w:val="0037335E"/>
    <w:rsid w:val="00373382"/>
    <w:rsid w:val="003735A3"/>
    <w:rsid w:val="00373849"/>
    <w:rsid w:val="0037393F"/>
    <w:rsid w:val="00373BC2"/>
    <w:rsid w:val="00373E3E"/>
    <w:rsid w:val="003741A5"/>
    <w:rsid w:val="00374DFB"/>
    <w:rsid w:val="00374E27"/>
    <w:rsid w:val="00374E86"/>
    <w:rsid w:val="00374F2E"/>
    <w:rsid w:val="00374F61"/>
    <w:rsid w:val="003753C0"/>
    <w:rsid w:val="00375470"/>
    <w:rsid w:val="003755B3"/>
    <w:rsid w:val="00375A0E"/>
    <w:rsid w:val="00375EBE"/>
    <w:rsid w:val="00376097"/>
    <w:rsid w:val="003760A4"/>
    <w:rsid w:val="0037626D"/>
    <w:rsid w:val="0037667B"/>
    <w:rsid w:val="0037672D"/>
    <w:rsid w:val="00376C11"/>
    <w:rsid w:val="00376DE9"/>
    <w:rsid w:val="00376F16"/>
    <w:rsid w:val="003771F7"/>
    <w:rsid w:val="003774F5"/>
    <w:rsid w:val="003776DC"/>
    <w:rsid w:val="00377824"/>
    <w:rsid w:val="00377942"/>
    <w:rsid w:val="00377B7F"/>
    <w:rsid w:val="00377FEA"/>
    <w:rsid w:val="00380396"/>
    <w:rsid w:val="003806F9"/>
    <w:rsid w:val="003807B2"/>
    <w:rsid w:val="00380A2F"/>
    <w:rsid w:val="00380B64"/>
    <w:rsid w:val="00380DF8"/>
    <w:rsid w:val="00380FB9"/>
    <w:rsid w:val="003816C7"/>
    <w:rsid w:val="003816DC"/>
    <w:rsid w:val="003816E1"/>
    <w:rsid w:val="003818F1"/>
    <w:rsid w:val="003819F9"/>
    <w:rsid w:val="00381B32"/>
    <w:rsid w:val="00381C28"/>
    <w:rsid w:val="0038251E"/>
    <w:rsid w:val="003827DC"/>
    <w:rsid w:val="00382AD9"/>
    <w:rsid w:val="00382AF4"/>
    <w:rsid w:val="00382CA2"/>
    <w:rsid w:val="00382DD2"/>
    <w:rsid w:val="00382F69"/>
    <w:rsid w:val="00383152"/>
    <w:rsid w:val="00383A23"/>
    <w:rsid w:val="00383B10"/>
    <w:rsid w:val="00384073"/>
    <w:rsid w:val="00384109"/>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20B"/>
    <w:rsid w:val="003863B6"/>
    <w:rsid w:val="003864BD"/>
    <w:rsid w:val="003864CC"/>
    <w:rsid w:val="0038690C"/>
    <w:rsid w:val="00386A63"/>
    <w:rsid w:val="00386AC6"/>
    <w:rsid w:val="00386BCB"/>
    <w:rsid w:val="0038708F"/>
    <w:rsid w:val="003870A8"/>
    <w:rsid w:val="00387161"/>
    <w:rsid w:val="00387693"/>
    <w:rsid w:val="0038792C"/>
    <w:rsid w:val="003879A5"/>
    <w:rsid w:val="00387B04"/>
    <w:rsid w:val="00387C56"/>
    <w:rsid w:val="00387E96"/>
    <w:rsid w:val="00387FED"/>
    <w:rsid w:val="00390246"/>
    <w:rsid w:val="0039029E"/>
    <w:rsid w:val="00390376"/>
    <w:rsid w:val="00390383"/>
    <w:rsid w:val="003908C9"/>
    <w:rsid w:val="00390A20"/>
    <w:rsid w:val="00390A74"/>
    <w:rsid w:val="00390AA9"/>
    <w:rsid w:val="00391018"/>
    <w:rsid w:val="003911A1"/>
    <w:rsid w:val="003915CF"/>
    <w:rsid w:val="003916CC"/>
    <w:rsid w:val="0039179A"/>
    <w:rsid w:val="00391800"/>
    <w:rsid w:val="0039193A"/>
    <w:rsid w:val="00391A04"/>
    <w:rsid w:val="00391B36"/>
    <w:rsid w:val="00391D5A"/>
    <w:rsid w:val="003921DC"/>
    <w:rsid w:val="00392635"/>
    <w:rsid w:val="00392ABB"/>
    <w:rsid w:val="00392AFA"/>
    <w:rsid w:val="00392EC4"/>
    <w:rsid w:val="00393186"/>
    <w:rsid w:val="00393255"/>
    <w:rsid w:val="00393ABA"/>
    <w:rsid w:val="00393ADF"/>
    <w:rsid w:val="00393E15"/>
    <w:rsid w:val="0039406E"/>
    <w:rsid w:val="0039444D"/>
    <w:rsid w:val="0039445F"/>
    <w:rsid w:val="003947FD"/>
    <w:rsid w:val="003949AF"/>
    <w:rsid w:val="00394E4A"/>
    <w:rsid w:val="00394F0B"/>
    <w:rsid w:val="00395487"/>
    <w:rsid w:val="003954AB"/>
    <w:rsid w:val="003954DF"/>
    <w:rsid w:val="0039586C"/>
    <w:rsid w:val="00395CC7"/>
    <w:rsid w:val="00395E8A"/>
    <w:rsid w:val="00395E94"/>
    <w:rsid w:val="003961F9"/>
    <w:rsid w:val="003964E7"/>
    <w:rsid w:val="00396AEA"/>
    <w:rsid w:val="00396D72"/>
    <w:rsid w:val="00396E3E"/>
    <w:rsid w:val="00396F93"/>
    <w:rsid w:val="00396F9D"/>
    <w:rsid w:val="00396FF1"/>
    <w:rsid w:val="00397040"/>
    <w:rsid w:val="003972F4"/>
    <w:rsid w:val="00397352"/>
    <w:rsid w:val="0039747F"/>
    <w:rsid w:val="0039753C"/>
    <w:rsid w:val="00397600"/>
    <w:rsid w:val="003976AE"/>
    <w:rsid w:val="00397777"/>
    <w:rsid w:val="00397901"/>
    <w:rsid w:val="00397D1D"/>
    <w:rsid w:val="003A005E"/>
    <w:rsid w:val="003A01E0"/>
    <w:rsid w:val="003A052F"/>
    <w:rsid w:val="003A0658"/>
    <w:rsid w:val="003A06CB"/>
    <w:rsid w:val="003A0EDF"/>
    <w:rsid w:val="003A0FA5"/>
    <w:rsid w:val="003A10E3"/>
    <w:rsid w:val="003A11A5"/>
    <w:rsid w:val="003A11C7"/>
    <w:rsid w:val="003A15DA"/>
    <w:rsid w:val="003A16D1"/>
    <w:rsid w:val="003A1740"/>
    <w:rsid w:val="003A1823"/>
    <w:rsid w:val="003A1E51"/>
    <w:rsid w:val="003A20E9"/>
    <w:rsid w:val="003A2432"/>
    <w:rsid w:val="003A2A18"/>
    <w:rsid w:val="003A3087"/>
    <w:rsid w:val="003A3673"/>
    <w:rsid w:val="003A370A"/>
    <w:rsid w:val="003A3984"/>
    <w:rsid w:val="003A3AF1"/>
    <w:rsid w:val="003A3B9F"/>
    <w:rsid w:val="003A3C03"/>
    <w:rsid w:val="003A3EA3"/>
    <w:rsid w:val="003A42AF"/>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A52"/>
    <w:rsid w:val="003A5B06"/>
    <w:rsid w:val="003A5D2E"/>
    <w:rsid w:val="003A5D94"/>
    <w:rsid w:val="003A6065"/>
    <w:rsid w:val="003A62BB"/>
    <w:rsid w:val="003A62C1"/>
    <w:rsid w:val="003A6338"/>
    <w:rsid w:val="003A6375"/>
    <w:rsid w:val="003A6523"/>
    <w:rsid w:val="003A663C"/>
    <w:rsid w:val="003A687C"/>
    <w:rsid w:val="003A6A85"/>
    <w:rsid w:val="003A6C6E"/>
    <w:rsid w:val="003A6CD8"/>
    <w:rsid w:val="003A6D62"/>
    <w:rsid w:val="003A6E9B"/>
    <w:rsid w:val="003A6F35"/>
    <w:rsid w:val="003A6FB5"/>
    <w:rsid w:val="003A7053"/>
    <w:rsid w:val="003A7121"/>
    <w:rsid w:val="003A72D3"/>
    <w:rsid w:val="003A72F0"/>
    <w:rsid w:val="003A77F4"/>
    <w:rsid w:val="003A7A59"/>
    <w:rsid w:val="003A7C16"/>
    <w:rsid w:val="003A7C4B"/>
    <w:rsid w:val="003A7D46"/>
    <w:rsid w:val="003B0288"/>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2F8D"/>
    <w:rsid w:val="003B30BF"/>
    <w:rsid w:val="003B328E"/>
    <w:rsid w:val="003B3294"/>
    <w:rsid w:val="003B32C8"/>
    <w:rsid w:val="003B3414"/>
    <w:rsid w:val="003B354F"/>
    <w:rsid w:val="003B3740"/>
    <w:rsid w:val="003B3818"/>
    <w:rsid w:val="003B3936"/>
    <w:rsid w:val="003B3BFB"/>
    <w:rsid w:val="003B3D1C"/>
    <w:rsid w:val="003B3EA2"/>
    <w:rsid w:val="003B3F27"/>
    <w:rsid w:val="003B3FA6"/>
    <w:rsid w:val="003B41F0"/>
    <w:rsid w:val="003B433A"/>
    <w:rsid w:val="003B43DF"/>
    <w:rsid w:val="003B4C53"/>
    <w:rsid w:val="003B5187"/>
    <w:rsid w:val="003B53EB"/>
    <w:rsid w:val="003B5547"/>
    <w:rsid w:val="003B56A9"/>
    <w:rsid w:val="003B56E7"/>
    <w:rsid w:val="003B579B"/>
    <w:rsid w:val="003B5E1F"/>
    <w:rsid w:val="003B624A"/>
    <w:rsid w:val="003B62F0"/>
    <w:rsid w:val="003B653B"/>
    <w:rsid w:val="003B669D"/>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3E3"/>
    <w:rsid w:val="003C2B81"/>
    <w:rsid w:val="003C2DF2"/>
    <w:rsid w:val="003C2EC7"/>
    <w:rsid w:val="003C2F0E"/>
    <w:rsid w:val="003C3218"/>
    <w:rsid w:val="003C3BAB"/>
    <w:rsid w:val="003C3BE4"/>
    <w:rsid w:val="003C3F14"/>
    <w:rsid w:val="003C3F28"/>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5F3A"/>
    <w:rsid w:val="003C6319"/>
    <w:rsid w:val="003C6380"/>
    <w:rsid w:val="003C6957"/>
    <w:rsid w:val="003C6B03"/>
    <w:rsid w:val="003C6B3E"/>
    <w:rsid w:val="003C6E8A"/>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0DB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432"/>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443"/>
    <w:rsid w:val="003D4638"/>
    <w:rsid w:val="003D463B"/>
    <w:rsid w:val="003D46EB"/>
    <w:rsid w:val="003D47EC"/>
    <w:rsid w:val="003D4AF8"/>
    <w:rsid w:val="003D4C99"/>
    <w:rsid w:val="003D558D"/>
    <w:rsid w:val="003D55A3"/>
    <w:rsid w:val="003D5774"/>
    <w:rsid w:val="003D60D4"/>
    <w:rsid w:val="003D61FF"/>
    <w:rsid w:val="003D6344"/>
    <w:rsid w:val="003D649A"/>
    <w:rsid w:val="003D653C"/>
    <w:rsid w:val="003D671A"/>
    <w:rsid w:val="003D6721"/>
    <w:rsid w:val="003D6844"/>
    <w:rsid w:val="003D6966"/>
    <w:rsid w:val="003D6B54"/>
    <w:rsid w:val="003D6DCD"/>
    <w:rsid w:val="003D6DD3"/>
    <w:rsid w:val="003D7288"/>
    <w:rsid w:val="003D7355"/>
    <w:rsid w:val="003D752B"/>
    <w:rsid w:val="003D7638"/>
    <w:rsid w:val="003D76AF"/>
    <w:rsid w:val="003D7982"/>
    <w:rsid w:val="003D7C0F"/>
    <w:rsid w:val="003D7EBD"/>
    <w:rsid w:val="003E02B4"/>
    <w:rsid w:val="003E0307"/>
    <w:rsid w:val="003E070C"/>
    <w:rsid w:val="003E096E"/>
    <w:rsid w:val="003E09B8"/>
    <w:rsid w:val="003E09F0"/>
    <w:rsid w:val="003E0B09"/>
    <w:rsid w:val="003E0BE7"/>
    <w:rsid w:val="003E1175"/>
    <w:rsid w:val="003E17AB"/>
    <w:rsid w:val="003E1C96"/>
    <w:rsid w:val="003E1D90"/>
    <w:rsid w:val="003E1FBE"/>
    <w:rsid w:val="003E203C"/>
    <w:rsid w:val="003E2C05"/>
    <w:rsid w:val="003E2EB7"/>
    <w:rsid w:val="003E3014"/>
    <w:rsid w:val="003E3377"/>
    <w:rsid w:val="003E3602"/>
    <w:rsid w:val="003E36A9"/>
    <w:rsid w:val="003E36D4"/>
    <w:rsid w:val="003E380D"/>
    <w:rsid w:val="003E3C27"/>
    <w:rsid w:val="003E3C75"/>
    <w:rsid w:val="003E3E1A"/>
    <w:rsid w:val="003E4190"/>
    <w:rsid w:val="003E443B"/>
    <w:rsid w:val="003E44EE"/>
    <w:rsid w:val="003E45C8"/>
    <w:rsid w:val="003E45E6"/>
    <w:rsid w:val="003E4648"/>
    <w:rsid w:val="003E4B8D"/>
    <w:rsid w:val="003E4BD1"/>
    <w:rsid w:val="003E4BD2"/>
    <w:rsid w:val="003E4E9C"/>
    <w:rsid w:val="003E4EF6"/>
    <w:rsid w:val="003E5104"/>
    <w:rsid w:val="003E5301"/>
    <w:rsid w:val="003E554E"/>
    <w:rsid w:val="003E564D"/>
    <w:rsid w:val="003E571A"/>
    <w:rsid w:val="003E57F3"/>
    <w:rsid w:val="003E5875"/>
    <w:rsid w:val="003E59A7"/>
    <w:rsid w:val="003E5B8F"/>
    <w:rsid w:val="003E5FD3"/>
    <w:rsid w:val="003E6051"/>
    <w:rsid w:val="003E60DD"/>
    <w:rsid w:val="003E61A6"/>
    <w:rsid w:val="003E61D4"/>
    <w:rsid w:val="003E62A5"/>
    <w:rsid w:val="003E62EC"/>
    <w:rsid w:val="003E634A"/>
    <w:rsid w:val="003E635A"/>
    <w:rsid w:val="003E6399"/>
    <w:rsid w:val="003E63DD"/>
    <w:rsid w:val="003E6489"/>
    <w:rsid w:val="003E64E7"/>
    <w:rsid w:val="003E671B"/>
    <w:rsid w:val="003E6B02"/>
    <w:rsid w:val="003E6B8D"/>
    <w:rsid w:val="003E6F04"/>
    <w:rsid w:val="003E723A"/>
    <w:rsid w:val="003E73AE"/>
    <w:rsid w:val="003E73DD"/>
    <w:rsid w:val="003E7405"/>
    <w:rsid w:val="003E74D7"/>
    <w:rsid w:val="003E758F"/>
    <w:rsid w:val="003E76D3"/>
    <w:rsid w:val="003E78EE"/>
    <w:rsid w:val="003E79CB"/>
    <w:rsid w:val="003E7D0D"/>
    <w:rsid w:val="003F00A0"/>
    <w:rsid w:val="003F00A8"/>
    <w:rsid w:val="003F0D0E"/>
    <w:rsid w:val="003F100C"/>
    <w:rsid w:val="003F104A"/>
    <w:rsid w:val="003F1054"/>
    <w:rsid w:val="003F116E"/>
    <w:rsid w:val="003F141F"/>
    <w:rsid w:val="003F178E"/>
    <w:rsid w:val="003F17C8"/>
    <w:rsid w:val="003F1A4F"/>
    <w:rsid w:val="003F1C9C"/>
    <w:rsid w:val="003F1D1D"/>
    <w:rsid w:val="003F20FE"/>
    <w:rsid w:val="003F2109"/>
    <w:rsid w:val="003F22E1"/>
    <w:rsid w:val="003F2345"/>
    <w:rsid w:val="003F237B"/>
    <w:rsid w:val="003F24F7"/>
    <w:rsid w:val="003F25DD"/>
    <w:rsid w:val="003F25FA"/>
    <w:rsid w:val="003F29D0"/>
    <w:rsid w:val="003F2C31"/>
    <w:rsid w:val="003F2EF1"/>
    <w:rsid w:val="003F2FA5"/>
    <w:rsid w:val="003F314F"/>
    <w:rsid w:val="003F3280"/>
    <w:rsid w:val="003F338C"/>
    <w:rsid w:val="003F338D"/>
    <w:rsid w:val="003F3950"/>
    <w:rsid w:val="003F3AC1"/>
    <w:rsid w:val="003F3FCD"/>
    <w:rsid w:val="003F4000"/>
    <w:rsid w:val="003F40C3"/>
    <w:rsid w:val="003F4359"/>
    <w:rsid w:val="003F435D"/>
    <w:rsid w:val="003F45E1"/>
    <w:rsid w:val="003F4A32"/>
    <w:rsid w:val="003F4A72"/>
    <w:rsid w:val="003F4FA6"/>
    <w:rsid w:val="003F525E"/>
    <w:rsid w:val="003F5610"/>
    <w:rsid w:val="003F57B1"/>
    <w:rsid w:val="003F5926"/>
    <w:rsid w:val="003F5CF4"/>
    <w:rsid w:val="003F5EE7"/>
    <w:rsid w:val="003F6165"/>
    <w:rsid w:val="003F63D3"/>
    <w:rsid w:val="003F6570"/>
    <w:rsid w:val="003F65C8"/>
    <w:rsid w:val="003F66BD"/>
    <w:rsid w:val="003F66C0"/>
    <w:rsid w:val="003F6D05"/>
    <w:rsid w:val="003F6EDC"/>
    <w:rsid w:val="003F7044"/>
    <w:rsid w:val="003F7098"/>
    <w:rsid w:val="003F710F"/>
    <w:rsid w:val="003F71BB"/>
    <w:rsid w:val="003F74B5"/>
    <w:rsid w:val="003F74DF"/>
    <w:rsid w:val="003F75CB"/>
    <w:rsid w:val="003F7824"/>
    <w:rsid w:val="003F790B"/>
    <w:rsid w:val="003F79D6"/>
    <w:rsid w:val="003F7A6C"/>
    <w:rsid w:val="003F7B31"/>
    <w:rsid w:val="003F7BB7"/>
    <w:rsid w:val="003F7D8D"/>
    <w:rsid w:val="003F7FF4"/>
    <w:rsid w:val="0040015C"/>
    <w:rsid w:val="004005CF"/>
    <w:rsid w:val="004009E0"/>
    <w:rsid w:val="00400DB4"/>
    <w:rsid w:val="0040129C"/>
    <w:rsid w:val="004012F1"/>
    <w:rsid w:val="004014FC"/>
    <w:rsid w:val="004015DC"/>
    <w:rsid w:val="0040184A"/>
    <w:rsid w:val="0040184D"/>
    <w:rsid w:val="00401E68"/>
    <w:rsid w:val="0040221D"/>
    <w:rsid w:val="004024C7"/>
    <w:rsid w:val="0040250D"/>
    <w:rsid w:val="0040255B"/>
    <w:rsid w:val="00402B8E"/>
    <w:rsid w:val="00402DE5"/>
    <w:rsid w:val="00402E23"/>
    <w:rsid w:val="004038E1"/>
    <w:rsid w:val="00403ACF"/>
    <w:rsid w:val="0040406B"/>
    <w:rsid w:val="004040A6"/>
    <w:rsid w:val="004045AF"/>
    <w:rsid w:val="00404A44"/>
    <w:rsid w:val="00404EDF"/>
    <w:rsid w:val="00405239"/>
    <w:rsid w:val="0040567A"/>
    <w:rsid w:val="00405A86"/>
    <w:rsid w:val="00405B20"/>
    <w:rsid w:val="00405B82"/>
    <w:rsid w:val="00405D55"/>
    <w:rsid w:val="004065AF"/>
    <w:rsid w:val="004065CC"/>
    <w:rsid w:val="004066B2"/>
    <w:rsid w:val="00406886"/>
    <w:rsid w:val="00406DF9"/>
    <w:rsid w:val="0040734C"/>
    <w:rsid w:val="00407437"/>
    <w:rsid w:val="00407972"/>
    <w:rsid w:val="00407E4C"/>
    <w:rsid w:val="004107CA"/>
    <w:rsid w:val="004109F9"/>
    <w:rsid w:val="00410A60"/>
    <w:rsid w:val="00411562"/>
    <w:rsid w:val="0041160C"/>
    <w:rsid w:val="00411F0E"/>
    <w:rsid w:val="00411F14"/>
    <w:rsid w:val="0041215D"/>
    <w:rsid w:val="004121D9"/>
    <w:rsid w:val="0041237E"/>
    <w:rsid w:val="00412401"/>
    <w:rsid w:val="004124C6"/>
    <w:rsid w:val="0041291B"/>
    <w:rsid w:val="00412E4E"/>
    <w:rsid w:val="00413140"/>
    <w:rsid w:val="0041317B"/>
    <w:rsid w:val="0041327F"/>
    <w:rsid w:val="00413387"/>
    <w:rsid w:val="004134CB"/>
    <w:rsid w:val="004136BE"/>
    <w:rsid w:val="004136D9"/>
    <w:rsid w:val="00413B3B"/>
    <w:rsid w:val="00413BF2"/>
    <w:rsid w:val="00413C17"/>
    <w:rsid w:val="00413C18"/>
    <w:rsid w:val="00413D64"/>
    <w:rsid w:val="004145BE"/>
    <w:rsid w:val="00414793"/>
    <w:rsid w:val="00414F20"/>
    <w:rsid w:val="00414F3E"/>
    <w:rsid w:val="004158DA"/>
    <w:rsid w:val="00415B58"/>
    <w:rsid w:val="00415E0F"/>
    <w:rsid w:val="00416375"/>
    <w:rsid w:val="004165DA"/>
    <w:rsid w:val="00416655"/>
    <w:rsid w:val="004166F6"/>
    <w:rsid w:val="004168B3"/>
    <w:rsid w:val="004169D7"/>
    <w:rsid w:val="00416AA2"/>
    <w:rsid w:val="00416B25"/>
    <w:rsid w:val="00416B28"/>
    <w:rsid w:val="00416DFC"/>
    <w:rsid w:val="004173C4"/>
    <w:rsid w:val="004177FC"/>
    <w:rsid w:val="00417C9E"/>
    <w:rsid w:val="00417E75"/>
    <w:rsid w:val="0042001C"/>
    <w:rsid w:val="00420713"/>
    <w:rsid w:val="004207F5"/>
    <w:rsid w:val="00420887"/>
    <w:rsid w:val="00420B11"/>
    <w:rsid w:val="00420DF5"/>
    <w:rsid w:val="00420EAD"/>
    <w:rsid w:val="00420F89"/>
    <w:rsid w:val="004212F5"/>
    <w:rsid w:val="00421330"/>
    <w:rsid w:val="00421694"/>
    <w:rsid w:val="004218B2"/>
    <w:rsid w:val="00421CDA"/>
    <w:rsid w:val="00421F23"/>
    <w:rsid w:val="004221FD"/>
    <w:rsid w:val="004222F8"/>
    <w:rsid w:val="0042231A"/>
    <w:rsid w:val="00422781"/>
    <w:rsid w:val="004227D1"/>
    <w:rsid w:val="00423080"/>
    <w:rsid w:val="00423410"/>
    <w:rsid w:val="00423702"/>
    <w:rsid w:val="00423807"/>
    <w:rsid w:val="00423850"/>
    <w:rsid w:val="00423BE8"/>
    <w:rsid w:val="00423CD9"/>
    <w:rsid w:val="00423F6F"/>
    <w:rsid w:val="00424638"/>
    <w:rsid w:val="00424836"/>
    <w:rsid w:val="004249AA"/>
    <w:rsid w:val="00424C23"/>
    <w:rsid w:val="00424E2B"/>
    <w:rsid w:val="00424F66"/>
    <w:rsid w:val="004250BD"/>
    <w:rsid w:val="004254E0"/>
    <w:rsid w:val="00425539"/>
    <w:rsid w:val="0042584C"/>
    <w:rsid w:val="00425ACD"/>
    <w:rsid w:val="00425F6A"/>
    <w:rsid w:val="004261BA"/>
    <w:rsid w:val="004264D5"/>
    <w:rsid w:val="00426670"/>
    <w:rsid w:val="0042675E"/>
    <w:rsid w:val="004267D1"/>
    <w:rsid w:val="004268C4"/>
    <w:rsid w:val="00426D21"/>
    <w:rsid w:val="00426D38"/>
    <w:rsid w:val="00426EB6"/>
    <w:rsid w:val="00427178"/>
    <w:rsid w:val="004277CD"/>
    <w:rsid w:val="004278BE"/>
    <w:rsid w:val="00427A33"/>
    <w:rsid w:val="00427AA2"/>
    <w:rsid w:val="00427C03"/>
    <w:rsid w:val="00427EF3"/>
    <w:rsid w:val="00430151"/>
    <w:rsid w:val="00430614"/>
    <w:rsid w:val="00430762"/>
    <w:rsid w:val="004308E1"/>
    <w:rsid w:val="004309F7"/>
    <w:rsid w:val="00431136"/>
    <w:rsid w:val="00431432"/>
    <w:rsid w:val="004314DD"/>
    <w:rsid w:val="00431B3E"/>
    <w:rsid w:val="00431B7B"/>
    <w:rsid w:val="00431EBB"/>
    <w:rsid w:val="00431F86"/>
    <w:rsid w:val="00431FE9"/>
    <w:rsid w:val="0043226E"/>
    <w:rsid w:val="00432306"/>
    <w:rsid w:val="004324CB"/>
    <w:rsid w:val="0043275B"/>
    <w:rsid w:val="00432846"/>
    <w:rsid w:val="004328A2"/>
    <w:rsid w:val="004328EB"/>
    <w:rsid w:val="00432903"/>
    <w:rsid w:val="00432A74"/>
    <w:rsid w:val="00432E17"/>
    <w:rsid w:val="00432F01"/>
    <w:rsid w:val="00433000"/>
    <w:rsid w:val="00433865"/>
    <w:rsid w:val="00433B89"/>
    <w:rsid w:val="00434119"/>
    <w:rsid w:val="00434269"/>
    <w:rsid w:val="00434952"/>
    <w:rsid w:val="00434A2B"/>
    <w:rsid w:val="00434B3D"/>
    <w:rsid w:val="00434B75"/>
    <w:rsid w:val="00434D59"/>
    <w:rsid w:val="0043534E"/>
    <w:rsid w:val="004353C6"/>
    <w:rsid w:val="00435B5A"/>
    <w:rsid w:val="00435BAC"/>
    <w:rsid w:val="00435C07"/>
    <w:rsid w:val="00435E53"/>
    <w:rsid w:val="00436215"/>
    <w:rsid w:val="00436252"/>
    <w:rsid w:val="004363ED"/>
    <w:rsid w:val="004364C0"/>
    <w:rsid w:val="00436618"/>
    <w:rsid w:val="0043683A"/>
    <w:rsid w:val="00436860"/>
    <w:rsid w:val="004368DE"/>
    <w:rsid w:val="0043734F"/>
    <w:rsid w:val="00437449"/>
    <w:rsid w:val="00437961"/>
    <w:rsid w:val="00437A76"/>
    <w:rsid w:val="00437C9D"/>
    <w:rsid w:val="00440308"/>
    <w:rsid w:val="00440436"/>
    <w:rsid w:val="00440485"/>
    <w:rsid w:val="004405A2"/>
    <w:rsid w:val="004405E9"/>
    <w:rsid w:val="00440927"/>
    <w:rsid w:val="004409DE"/>
    <w:rsid w:val="00440A5B"/>
    <w:rsid w:val="00440A95"/>
    <w:rsid w:val="00440D8A"/>
    <w:rsid w:val="00440E0D"/>
    <w:rsid w:val="00440FE6"/>
    <w:rsid w:val="004412F0"/>
    <w:rsid w:val="0044176C"/>
    <w:rsid w:val="004419D2"/>
    <w:rsid w:val="004419F0"/>
    <w:rsid w:val="00441A0A"/>
    <w:rsid w:val="00441AEF"/>
    <w:rsid w:val="00441CB3"/>
    <w:rsid w:val="00441F39"/>
    <w:rsid w:val="0044216A"/>
    <w:rsid w:val="00442B41"/>
    <w:rsid w:val="00442C50"/>
    <w:rsid w:val="00442EE8"/>
    <w:rsid w:val="004434B7"/>
    <w:rsid w:val="00443669"/>
    <w:rsid w:val="00443705"/>
    <w:rsid w:val="00443892"/>
    <w:rsid w:val="004438D8"/>
    <w:rsid w:val="00443925"/>
    <w:rsid w:val="004439B1"/>
    <w:rsid w:val="00443D9D"/>
    <w:rsid w:val="00443E1F"/>
    <w:rsid w:val="00444145"/>
    <w:rsid w:val="0044428D"/>
    <w:rsid w:val="0044449F"/>
    <w:rsid w:val="00444562"/>
    <w:rsid w:val="004445A3"/>
    <w:rsid w:val="00444920"/>
    <w:rsid w:val="00444A40"/>
    <w:rsid w:val="00444FBB"/>
    <w:rsid w:val="004453EB"/>
    <w:rsid w:val="00445576"/>
    <w:rsid w:val="0044565E"/>
    <w:rsid w:val="0044565F"/>
    <w:rsid w:val="004457BB"/>
    <w:rsid w:val="00445C6C"/>
    <w:rsid w:val="00445D34"/>
    <w:rsid w:val="00445D5C"/>
    <w:rsid w:val="00445E80"/>
    <w:rsid w:val="00446176"/>
    <w:rsid w:val="004462E7"/>
    <w:rsid w:val="00446507"/>
    <w:rsid w:val="00446E86"/>
    <w:rsid w:val="00447502"/>
    <w:rsid w:val="004478E6"/>
    <w:rsid w:val="00447910"/>
    <w:rsid w:val="00447AAC"/>
    <w:rsid w:val="00447B44"/>
    <w:rsid w:val="0045002A"/>
    <w:rsid w:val="0045006F"/>
    <w:rsid w:val="00450137"/>
    <w:rsid w:val="00450332"/>
    <w:rsid w:val="0045052B"/>
    <w:rsid w:val="00450649"/>
    <w:rsid w:val="004508DC"/>
    <w:rsid w:val="00450B23"/>
    <w:rsid w:val="00450EB4"/>
    <w:rsid w:val="00450FB1"/>
    <w:rsid w:val="00451036"/>
    <w:rsid w:val="004511CF"/>
    <w:rsid w:val="004512D6"/>
    <w:rsid w:val="00451956"/>
    <w:rsid w:val="00451A5F"/>
    <w:rsid w:val="00451C99"/>
    <w:rsid w:val="00451D02"/>
    <w:rsid w:val="00451D7B"/>
    <w:rsid w:val="00451F34"/>
    <w:rsid w:val="00452023"/>
    <w:rsid w:val="0045232C"/>
    <w:rsid w:val="00452359"/>
    <w:rsid w:val="004523A7"/>
    <w:rsid w:val="004524B0"/>
    <w:rsid w:val="00452986"/>
    <w:rsid w:val="00452BBE"/>
    <w:rsid w:val="00452BD3"/>
    <w:rsid w:val="00452C4A"/>
    <w:rsid w:val="00452D63"/>
    <w:rsid w:val="00452F36"/>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786"/>
    <w:rsid w:val="0045482D"/>
    <w:rsid w:val="00454A3B"/>
    <w:rsid w:val="00454FF9"/>
    <w:rsid w:val="004555D6"/>
    <w:rsid w:val="0045574E"/>
    <w:rsid w:val="00455768"/>
    <w:rsid w:val="0045589C"/>
    <w:rsid w:val="00455A28"/>
    <w:rsid w:val="00455B0C"/>
    <w:rsid w:val="00455DDD"/>
    <w:rsid w:val="00455E5B"/>
    <w:rsid w:val="0045609B"/>
    <w:rsid w:val="0045616C"/>
    <w:rsid w:val="004562BA"/>
    <w:rsid w:val="00456583"/>
    <w:rsid w:val="0045675E"/>
    <w:rsid w:val="0045692B"/>
    <w:rsid w:val="00456D77"/>
    <w:rsid w:val="00456E97"/>
    <w:rsid w:val="0045712A"/>
    <w:rsid w:val="0045730B"/>
    <w:rsid w:val="004573F4"/>
    <w:rsid w:val="0045777C"/>
    <w:rsid w:val="00457C4B"/>
    <w:rsid w:val="00457EDB"/>
    <w:rsid w:val="00457F27"/>
    <w:rsid w:val="00457F9C"/>
    <w:rsid w:val="00460547"/>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113"/>
    <w:rsid w:val="0046422A"/>
    <w:rsid w:val="004645C0"/>
    <w:rsid w:val="00464694"/>
    <w:rsid w:val="00464BBA"/>
    <w:rsid w:val="00464D9C"/>
    <w:rsid w:val="00464F96"/>
    <w:rsid w:val="004650A7"/>
    <w:rsid w:val="004655AB"/>
    <w:rsid w:val="004655BE"/>
    <w:rsid w:val="004656A3"/>
    <w:rsid w:val="00465B43"/>
    <w:rsid w:val="00465BDF"/>
    <w:rsid w:val="00465F91"/>
    <w:rsid w:val="00465FB4"/>
    <w:rsid w:val="0046602E"/>
    <w:rsid w:val="00466091"/>
    <w:rsid w:val="0046617D"/>
    <w:rsid w:val="004661EB"/>
    <w:rsid w:val="00466248"/>
    <w:rsid w:val="004662AD"/>
    <w:rsid w:val="004662F0"/>
    <w:rsid w:val="0046648B"/>
    <w:rsid w:val="004665BB"/>
    <w:rsid w:val="004665D4"/>
    <w:rsid w:val="0046668E"/>
    <w:rsid w:val="004666E5"/>
    <w:rsid w:val="00466767"/>
    <w:rsid w:val="0046687E"/>
    <w:rsid w:val="0046700E"/>
    <w:rsid w:val="00467799"/>
    <w:rsid w:val="004679CC"/>
    <w:rsid w:val="004679D6"/>
    <w:rsid w:val="00467DCC"/>
    <w:rsid w:val="004700FF"/>
    <w:rsid w:val="004701B0"/>
    <w:rsid w:val="004704C4"/>
    <w:rsid w:val="0047071F"/>
    <w:rsid w:val="00470997"/>
    <w:rsid w:val="00470A94"/>
    <w:rsid w:val="00470CC5"/>
    <w:rsid w:val="00470EE3"/>
    <w:rsid w:val="00470FBE"/>
    <w:rsid w:val="00471A42"/>
    <w:rsid w:val="00471B36"/>
    <w:rsid w:val="00471C9D"/>
    <w:rsid w:val="00471D71"/>
    <w:rsid w:val="00471DE1"/>
    <w:rsid w:val="0047200B"/>
    <w:rsid w:val="00472058"/>
    <w:rsid w:val="004722FF"/>
    <w:rsid w:val="00472937"/>
    <w:rsid w:val="00472A41"/>
    <w:rsid w:val="00472C3D"/>
    <w:rsid w:val="00472C77"/>
    <w:rsid w:val="00472C82"/>
    <w:rsid w:val="00472CD8"/>
    <w:rsid w:val="00472D66"/>
    <w:rsid w:val="00472EFD"/>
    <w:rsid w:val="00472F47"/>
    <w:rsid w:val="00473283"/>
    <w:rsid w:val="0047353B"/>
    <w:rsid w:val="004735CC"/>
    <w:rsid w:val="00473769"/>
    <w:rsid w:val="00473852"/>
    <w:rsid w:val="00473A28"/>
    <w:rsid w:val="00473E3B"/>
    <w:rsid w:val="00473E3F"/>
    <w:rsid w:val="00473F23"/>
    <w:rsid w:val="00474387"/>
    <w:rsid w:val="0047449F"/>
    <w:rsid w:val="004744C4"/>
    <w:rsid w:val="00474503"/>
    <w:rsid w:val="0047452C"/>
    <w:rsid w:val="00474597"/>
    <w:rsid w:val="00474A79"/>
    <w:rsid w:val="00474BA7"/>
    <w:rsid w:val="00474C3A"/>
    <w:rsid w:val="004752B2"/>
    <w:rsid w:val="00475341"/>
    <w:rsid w:val="00475A9E"/>
    <w:rsid w:val="00475BA6"/>
    <w:rsid w:val="0047624B"/>
    <w:rsid w:val="004762F8"/>
    <w:rsid w:val="0047632F"/>
    <w:rsid w:val="00476807"/>
    <w:rsid w:val="00476AF8"/>
    <w:rsid w:val="00476B61"/>
    <w:rsid w:val="00476EAE"/>
    <w:rsid w:val="00476F4B"/>
    <w:rsid w:val="00477184"/>
    <w:rsid w:val="00477191"/>
    <w:rsid w:val="004772DE"/>
    <w:rsid w:val="00477337"/>
    <w:rsid w:val="004773F6"/>
    <w:rsid w:val="00477517"/>
    <w:rsid w:val="00477DBA"/>
    <w:rsid w:val="00477F59"/>
    <w:rsid w:val="0048011A"/>
    <w:rsid w:val="00480268"/>
    <w:rsid w:val="004803A2"/>
    <w:rsid w:val="00480703"/>
    <w:rsid w:val="0048073D"/>
    <w:rsid w:val="00480A10"/>
    <w:rsid w:val="00480B2F"/>
    <w:rsid w:val="004811B6"/>
    <w:rsid w:val="00481237"/>
    <w:rsid w:val="004815E0"/>
    <w:rsid w:val="00481FA0"/>
    <w:rsid w:val="004828D3"/>
    <w:rsid w:val="004829E5"/>
    <w:rsid w:val="00482D38"/>
    <w:rsid w:val="00482F7F"/>
    <w:rsid w:val="00482FC9"/>
    <w:rsid w:val="004839CE"/>
    <w:rsid w:val="004840C7"/>
    <w:rsid w:val="004841BB"/>
    <w:rsid w:val="00484212"/>
    <w:rsid w:val="00484370"/>
    <w:rsid w:val="00484432"/>
    <w:rsid w:val="00484436"/>
    <w:rsid w:val="00484534"/>
    <w:rsid w:val="004847AC"/>
    <w:rsid w:val="00484916"/>
    <w:rsid w:val="00484A90"/>
    <w:rsid w:val="00484E3F"/>
    <w:rsid w:val="00484E88"/>
    <w:rsid w:val="00484EE1"/>
    <w:rsid w:val="0048525E"/>
    <w:rsid w:val="004853FF"/>
    <w:rsid w:val="004855A0"/>
    <w:rsid w:val="00485726"/>
    <w:rsid w:val="00485B11"/>
    <w:rsid w:val="00485CA0"/>
    <w:rsid w:val="00485EEB"/>
    <w:rsid w:val="004860B7"/>
    <w:rsid w:val="004861D3"/>
    <w:rsid w:val="0048628A"/>
    <w:rsid w:val="00486328"/>
    <w:rsid w:val="0048654D"/>
    <w:rsid w:val="00486613"/>
    <w:rsid w:val="0048665F"/>
    <w:rsid w:val="00486687"/>
    <w:rsid w:val="004866A9"/>
    <w:rsid w:val="00486866"/>
    <w:rsid w:val="00486C91"/>
    <w:rsid w:val="00486D9D"/>
    <w:rsid w:val="00486E49"/>
    <w:rsid w:val="00486F4D"/>
    <w:rsid w:val="00487109"/>
    <w:rsid w:val="00487276"/>
    <w:rsid w:val="004873EA"/>
    <w:rsid w:val="004873EF"/>
    <w:rsid w:val="00487442"/>
    <w:rsid w:val="0048780C"/>
    <w:rsid w:val="004878D8"/>
    <w:rsid w:val="0048794E"/>
    <w:rsid w:val="00487DF6"/>
    <w:rsid w:val="00487F0B"/>
    <w:rsid w:val="004900C4"/>
    <w:rsid w:val="00490191"/>
    <w:rsid w:val="004901C6"/>
    <w:rsid w:val="00490670"/>
    <w:rsid w:val="0049092D"/>
    <w:rsid w:val="004909EB"/>
    <w:rsid w:val="00490A43"/>
    <w:rsid w:val="00490EA6"/>
    <w:rsid w:val="00490EE7"/>
    <w:rsid w:val="0049109E"/>
    <w:rsid w:val="004910B3"/>
    <w:rsid w:val="00491403"/>
    <w:rsid w:val="00491602"/>
    <w:rsid w:val="004916E0"/>
    <w:rsid w:val="004917E7"/>
    <w:rsid w:val="00491815"/>
    <w:rsid w:val="00491939"/>
    <w:rsid w:val="004919C3"/>
    <w:rsid w:val="00491F6B"/>
    <w:rsid w:val="00492786"/>
    <w:rsid w:val="00492EDA"/>
    <w:rsid w:val="00493033"/>
    <w:rsid w:val="0049308B"/>
    <w:rsid w:val="004930CE"/>
    <w:rsid w:val="004930D3"/>
    <w:rsid w:val="00493889"/>
    <w:rsid w:val="00493FAB"/>
    <w:rsid w:val="00494089"/>
    <w:rsid w:val="004941CA"/>
    <w:rsid w:val="00494244"/>
    <w:rsid w:val="0049427B"/>
    <w:rsid w:val="0049461B"/>
    <w:rsid w:val="0049475F"/>
    <w:rsid w:val="00494B92"/>
    <w:rsid w:val="00494D30"/>
    <w:rsid w:val="00494D87"/>
    <w:rsid w:val="00494EBB"/>
    <w:rsid w:val="00494ED2"/>
    <w:rsid w:val="004950B2"/>
    <w:rsid w:val="00495152"/>
    <w:rsid w:val="0049543E"/>
    <w:rsid w:val="00495970"/>
    <w:rsid w:val="00495A31"/>
    <w:rsid w:val="00495AD5"/>
    <w:rsid w:val="00495B06"/>
    <w:rsid w:val="00495BF9"/>
    <w:rsid w:val="00495C8D"/>
    <w:rsid w:val="00495DBE"/>
    <w:rsid w:val="00495FD5"/>
    <w:rsid w:val="00496346"/>
    <w:rsid w:val="004965F3"/>
    <w:rsid w:val="00496723"/>
    <w:rsid w:val="004968D5"/>
    <w:rsid w:val="00496A25"/>
    <w:rsid w:val="00496A8E"/>
    <w:rsid w:val="00496BD9"/>
    <w:rsid w:val="00496CFE"/>
    <w:rsid w:val="00496E54"/>
    <w:rsid w:val="0049703A"/>
    <w:rsid w:val="004971A9"/>
    <w:rsid w:val="004973C1"/>
    <w:rsid w:val="0049747F"/>
    <w:rsid w:val="00497951"/>
    <w:rsid w:val="00497A38"/>
    <w:rsid w:val="00497A56"/>
    <w:rsid w:val="00497D11"/>
    <w:rsid w:val="00497EBD"/>
    <w:rsid w:val="00497EDC"/>
    <w:rsid w:val="004A00DC"/>
    <w:rsid w:val="004A04F1"/>
    <w:rsid w:val="004A0A56"/>
    <w:rsid w:val="004A0E4F"/>
    <w:rsid w:val="004A13C4"/>
    <w:rsid w:val="004A211A"/>
    <w:rsid w:val="004A213A"/>
    <w:rsid w:val="004A21B6"/>
    <w:rsid w:val="004A27C9"/>
    <w:rsid w:val="004A2AA6"/>
    <w:rsid w:val="004A2B03"/>
    <w:rsid w:val="004A2BA6"/>
    <w:rsid w:val="004A2D78"/>
    <w:rsid w:val="004A2D94"/>
    <w:rsid w:val="004A30D7"/>
    <w:rsid w:val="004A36ED"/>
    <w:rsid w:val="004A3A8E"/>
    <w:rsid w:val="004A4287"/>
    <w:rsid w:val="004A4404"/>
    <w:rsid w:val="004A45BC"/>
    <w:rsid w:val="004A48C5"/>
    <w:rsid w:val="004A4F3A"/>
    <w:rsid w:val="004A4FAC"/>
    <w:rsid w:val="004A507C"/>
    <w:rsid w:val="004A5091"/>
    <w:rsid w:val="004A518B"/>
    <w:rsid w:val="004A5639"/>
    <w:rsid w:val="004A56C8"/>
    <w:rsid w:val="004A56DA"/>
    <w:rsid w:val="004A5789"/>
    <w:rsid w:val="004A57D4"/>
    <w:rsid w:val="004A57E8"/>
    <w:rsid w:val="004A5871"/>
    <w:rsid w:val="004A58A2"/>
    <w:rsid w:val="004A5A0A"/>
    <w:rsid w:val="004A5A4B"/>
    <w:rsid w:val="004A5C15"/>
    <w:rsid w:val="004A5C3B"/>
    <w:rsid w:val="004A5F6F"/>
    <w:rsid w:val="004A615D"/>
    <w:rsid w:val="004A616C"/>
    <w:rsid w:val="004A61A8"/>
    <w:rsid w:val="004A61BC"/>
    <w:rsid w:val="004A649B"/>
    <w:rsid w:val="004A659F"/>
    <w:rsid w:val="004A6706"/>
    <w:rsid w:val="004A67D1"/>
    <w:rsid w:val="004A6A69"/>
    <w:rsid w:val="004A6C27"/>
    <w:rsid w:val="004A7016"/>
    <w:rsid w:val="004A727C"/>
    <w:rsid w:val="004A72EF"/>
    <w:rsid w:val="004A750A"/>
    <w:rsid w:val="004A7565"/>
    <w:rsid w:val="004A785E"/>
    <w:rsid w:val="004A7AED"/>
    <w:rsid w:val="004A7B5F"/>
    <w:rsid w:val="004A7C62"/>
    <w:rsid w:val="004A7C93"/>
    <w:rsid w:val="004B0085"/>
    <w:rsid w:val="004B0345"/>
    <w:rsid w:val="004B0E38"/>
    <w:rsid w:val="004B1306"/>
    <w:rsid w:val="004B148F"/>
    <w:rsid w:val="004B16BA"/>
    <w:rsid w:val="004B18E9"/>
    <w:rsid w:val="004B231B"/>
    <w:rsid w:val="004B240C"/>
    <w:rsid w:val="004B259B"/>
    <w:rsid w:val="004B263F"/>
    <w:rsid w:val="004B2988"/>
    <w:rsid w:val="004B2E91"/>
    <w:rsid w:val="004B3AC7"/>
    <w:rsid w:val="004B3B5C"/>
    <w:rsid w:val="004B3B83"/>
    <w:rsid w:val="004B3BCE"/>
    <w:rsid w:val="004B3C6F"/>
    <w:rsid w:val="004B3D42"/>
    <w:rsid w:val="004B3E47"/>
    <w:rsid w:val="004B416F"/>
    <w:rsid w:val="004B45D4"/>
    <w:rsid w:val="004B4A84"/>
    <w:rsid w:val="004B4D8D"/>
    <w:rsid w:val="004B5908"/>
    <w:rsid w:val="004B5D9F"/>
    <w:rsid w:val="004B5DA1"/>
    <w:rsid w:val="004B5E57"/>
    <w:rsid w:val="004B605A"/>
    <w:rsid w:val="004B6399"/>
    <w:rsid w:val="004B64D0"/>
    <w:rsid w:val="004B67E7"/>
    <w:rsid w:val="004B68BF"/>
    <w:rsid w:val="004B6A44"/>
    <w:rsid w:val="004B6A93"/>
    <w:rsid w:val="004B6AAB"/>
    <w:rsid w:val="004B6AE2"/>
    <w:rsid w:val="004B6C13"/>
    <w:rsid w:val="004B6C3E"/>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1C"/>
    <w:rsid w:val="004C106A"/>
    <w:rsid w:val="004C1225"/>
    <w:rsid w:val="004C1562"/>
    <w:rsid w:val="004C16EA"/>
    <w:rsid w:val="004C1A07"/>
    <w:rsid w:val="004C1C2A"/>
    <w:rsid w:val="004C1DD0"/>
    <w:rsid w:val="004C1E7C"/>
    <w:rsid w:val="004C1EC7"/>
    <w:rsid w:val="004C2055"/>
    <w:rsid w:val="004C206C"/>
    <w:rsid w:val="004C2077"/>
    <w:rsid w:val="004C213E"/>
    <w:rsid w:val="004C2279"/>
    <w:rsid w:val="004C23C0"/>
    <w:rsid w:val="004C25AA"/>
    <w:rsid w:val="004C26E5"/>
    <w:rsid w:val="004C27F5"/>
    <w:rsid w:val="004C2A5F"/>
    <w:rsid w:val="004C2B13"/>
    <w:rsid w:val="004C2B29"/>
    <w:rsid w:val="004C2B99"/>
    <w:rsid w:val="004C2E68"/>
    <w:rsid w:val="004C312B"/>
    <w:rsid w:val="004C317E"/>
    <w:rsid w:val="004C3408"/>
    <w:rsid w:val="004C35F1"/>
    <w:rsid w:val="004C360D"/>
    <w:rsid w:val="004C3943"/>
    <w:rsid w:val="004C3996"/>
    <w:rsid w:val="004C406B"/>
    <w:rsid w:val="004C4977"/>
    <w:rsid w:val="004C4CA7"/>
    <w:rsid w:val="004C4F8D"/>
    <w:rsid w:val="004C5182"/>
    <w:rsid w:val="004C51E8"/>
    <w:rsid w:val="004C5367"/>
    <w:rsid w:val="004C543E"/>
    <w:rsid w:val="004C55AC"/>
    <w:rsid w:val="004C560D"/>
    <w:rsid w:val="004C5961"/>
    <w:rsid w:val="004C5962"/>
    <w:rsid w:val="004C6045"/>
    <w:rsid w:val="004C6130"/>
    <w:rsid w:val="004C623B"/>
    <w:rsid w:val="004C6323"/>
    <w:rsid w:val="004C642E"/>
    <w:rsid w:val="004C665C"/>
    <w:rsid w:val="004C671A"/>
    <w:rsid w:val="004C673E"/>
    <w:rsid w:val="004C681B"/>
    <w:rsid w:val="004C7687"/>
    <w:rsid w:val="004C7779"/>
    <w:rsid w:val="004C7A22"/>
    <w:rsid w:val="004C7B0F"/>
    <w:rsid w:val="004C7B13"/>
    <w:rsid w:val="004C7B55"/>
    <w:rsid w:val="004C7C33"/>
    <w:rsid w:val="004C7D34"/>
    <w:rsid w:val="004C7F50"/>
    <w:rsid w:val="004D0060"/>
    <w:rsid w:val="004D00C1"/>
    <w:rsid w:val="004D00ED"/>
    <w:rsid w:val="004D01BD"/>
    <w:rsid w:val="004D0207"/>
    <w:rsid w:val="004D0286"/>
    <w:rsid w:val="004D03BB"/>
    <w:rsid w:val="004D0548"/>
    <w:rsid w:val="004D0602"/>
    <w:rsid w:val="004D0AD4"/>
    <w:rsid w:val="004D0C04"/>
    <w:rsid w:val="004D0C51"/>
    <w:rsid w:val="004D0F6F"/>
    <w:rsid w:val="004D1379"/>
    <w:rsid w:val="004D147A"/>
    <w:rsid w:val="004D1575"/>
    <w:rsid w:val="004D1ADB"/>
    <w:rsid w:val="004D1B7B"/>
    <w:rsid w:val="004D1FD3"/>
    <w:rsid w:val="004D2496"/>
    <w:rsid w:val="004D26D1"/>
    <w:rsid w:val="004D30EB"/>
    <w:rsid w:val="004D3153"/>
    <w:rsid w:val="004D3177"/>
    <w:rsid w:val="004D327B"/>
    <w:rsid w:val="004D39CC"/>
    <w:rsid w:val="004D3BEC"/>
    <w:rsid w:val="004D3DAD"/>
    <w:rsid w:val="004D3F80"/>
    <w:rsid w:val="004D4119"/>
    <w:rsid w:val="004D422C"/>
    <w:rsid w:val="004D42B9"/>
    <w:rsid w:val="004D47E3"/>
    <w:rsid w:val="004D496A"/>
    <w:rsid w:val="004D504D"/>
    <w:rsid w:val="004D570D"/>
    <w:rsid w:val="004D584D"/>
    <w:rsid w:val="004D5AE7"/>
    <w:rsid w:val="004D6161"/>
    <w:rsid w:val="004D634D"/>
    <w:rsid w:val="004D6687"/>
    <w:rsid w:val="004D6C9C"/>
    <w:rsid w:val="004D706D"/>
    <w:rsid w:val="004D70D6"/>
    <w:rsid w:val="004D7150"/>
    <w:rsid w:val="004D730A"/>
    <w:rsid w:val="004D746B"/>
    <w:rsid w:val="004D7847"/>
    <w:rsid w:val="004D7869"/>
    <w:rsid w:val="004D795D"/>
    <w:rsid w:val="004D7B70"/>
    <w:rsid w:val="004D7EA8"/>
    <w:rsid w:val="004E036C"/>
    <w:rsid w:val="004E0452"/>
    <w:rsid w:val="004E0584"/>
    <w:rsid w:val="004E0921"/>
    <w:rsid w:val="004E0C1F"/>
    <w:rsid w:val="004E0DEA"/>
    <w:rsid w:val="004E0F2B"/>
    <w:rsid w:val="004E0F49"/>
    <w:rsid w:val="004E15EC"/>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773"/>
    <w:rsid w:val="004E4818"/>
    <w:rsid w:val="004E49C4"/>
    <w:rsid w:val="004E49EE"/>
    <w:rsid w:val="004E4A35"/>
    <w:rsid w:val="004E4AD9"/>
    <w:rsid w:val="004E4B50"/>
    <w:rsid w:val="004E4B99"/>
    <w:rsid w:val="004E4CD6"/>
    <w:rsid w:val="004E4D0D"/>
    <w:rsid w:val="004E4DDF"/>
    <w:rsid w:val="004E4F61"/>
    <w:rsid w:val="004E512D"/>
    <w:rsid w:val="004E53A5"/>
    <w:rsid w:val="004E5429"/>
    <w:rsid w:val="004E5481"/>
    <w:rsid w:val="004E5602"/>
    <w:rsid w:val="004E5AFB"/>
    <w:rsid w:val="004E5B71"/>
    <w:rsid w:val="004E5E82"/>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07E4"/>
    <w:rsid w:val="004F0AF8"/>
    <w:rsid w:val="004F1090"/>
    <w:rsid w:val="004F12A6"/>
    <w:rsid w:val="004F16AF"/>
    <w:rsid w:val="004F198D"/>
    <w:rsid w:val="004F1A96"/>
    <w:rsid w:val="004F1BAE"/>
    <w:rsid w:val="004F1F16"/>
    <w:rsid w:val="004F2267"/>
    <w:rsid w:val="004F241B"/>
    <w:rsid w:val="004F244C"/>
    <w:rsid w:val="004F2B61"/>
    <w:rsid w:val="004F3248"/>
    <w:rsid w:val="004F34DA"/>
    <w:rsid w:val="004F3557"/>
    <w:rsid w:val="004F3746"/>
    <w:rsid w:val="004F392C"/>
    <w:rsid w:val="004F3C5C"/>
    <w:rsid w:val="004F3E61"/>
    <w:rsid w:val="004F3F22"/>
    <w:rsid w:val="004F4047"/>
    <w:rsid w:val="004F4084"/>
    <w:rsid w:val="004F4262"/>
    <w:rsid w:val="004F43B8"/>
    <w:rsid w:val="004F494A"/>
    <w:rsid w:val="004F4BF6"/>
    <w:rsid w:val="004F4DB2"/>
    <w:rsid w:val="004F4DC9"/>
    <w:rsid w:val="004F5022"/>
    <w:rsid w:val="004F516B"/>
    <w:rsid w:val="004F54D5"/>
    <w:rsid w:val="004F580D"/>
    <w:rsid w:val="004F58B8"/>
    <w:rsid w:val="004F594C"/>
    <w:rsid w:val="004F5A7A"/>
    <w:rsid w:val="004F5DD9"/>
    <w:rsid w:val="004F5E47"/>
    <w:rsid w:val="004F5F68"/>
    <w:rsid w:val="004F6046"/>
    <w:rsid w:val="004F60BC"/>
    <w:rsid w:val="004F620D"/>
    <w:rsid w:val="004F628A"/>
    <w:rsid w:val="004F63DB"/>
    <w:rsid w:val="004F66BC"/>
    <w:rsid w:val="004F66EB"/>
    <w:rsid w:val="004F6F6E"/>
    <w:rsid w:val="004F7058"/>
    <w:rsid w:val="004F73AA"/>
    <w:rsid w:val="004F76B9"/>
    <w:rsid w:val="004F79D8"/>
    <w:rsid w:val="004F7CB5"/>
    <w:rsid w:val="004F7CD9"/>
    <w:rsid w:val="004F7F40"/>
    <w:rsid w:val="005005DE"/>
    <w:rsid w:val="005006AE"/>
    <w:rsid w:val="00500911"/>
    <w:rsid w:val="005009A7"/>
    <w:rsid w:val="00500BC7"/>
    <w:rsid w:val="00500DA1"/>
    <w:rsid w:val="00500DC5"/>
    <w:rsid w:val="00500E46"/>
    <w:rsid w:val="0050138B"/>
    <w:rsid w:val="005016FE"/>
    <w:rsid w:val="00501825"/>
    <w:rsid w:val="00501902"/>
    <w:rsid w:val="00501DA2"/>
    <w:rsid w:val="00501ED7"/>
    <w:rsid w:val="0050203B"/>
    <w:rsid w:val="00502066"/>
    <w:rsid w:val="00502300"/>
    <w:rsid w:val="0050241B"/>
    <w:rsid w:val="00502488"/>
    <w:rsid w:val="005024F8"/>
    <w:rsid w:val="005025FC"/>
    <w:rsid w:val="00502602"/>
    <w:rsid w:val="00502756"/>
    <w:rsid w:val="005027D8"/>
    <w:rsid w:val="0050290F"/>
    <w:rsid w:val="00502916"/>
    <w:rsid w:val="0050293B"/>
    <w:rsid w:val="00502D45"/>
    <w:rsid w:val="00503118"/>
    <w:rsid w:val="0050339A"/>
    <w:rsid w:val="005037D8"/>
    <w:rsid w:val="005038B8"/>
    <w:rsid w:val="005038B9"/>
    <w:rsid w:val="00503A86"/>
    <w:rsid w:val="00503B91"/>
    <w:rsid w:val="00503F21"/>
    <w:rsid w:val="00503F90"/>
    <w:rsid w:val="0050403C"/>
    <w:rsid w:val="0050405C"/>
    <w:rsid w:val="00504074"/>
    <w:rsid w:val="00504273"/>
    <w:rsid w:val="00504358"/>
    <w:rsid w:val="0050450C"/>
    <w:rsid w:val="0050467F"/>
    <w:rsid w:val="00504F00"/>
    <w:rsid w:val="00504F6E"/>
    <w:rsid w:val="0050549F"/>
    <w:rsid w:val="005055F8"/>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08"/>
    <w:rsid w:val="00507164"/>
    <w:rsid w:val="005071DE"/>
    <w:rsid w:val="005073B8"/>
    <w:rsid w:val="00507601"/>
    <w:rsid w:val="00507BD7"/>
    <w:rsid w:val="00507DEC"/>
    <w:rsid w:val="00507F5C"/>
    <w:rsid w:val="00507F85"/>
    <w:rsid w:val="005102D3"/>
    <w:rsid w:val="005102E6"/>
    <w:rsid w:val="00510313"/>
    <w:rsid w:val="00510508"/>
    <w:rsid w:val="00510764"/>
    <w:rsid w:val="0051079C"/>
    <w:rsid w:val="00510A29"/>
    <w:rsid w:val="00510A92"/>
    <w:rsid w:val="00510DFB"/>
    <w:rsid w:val="00511132"/>
    <w:rsid w:val="0051163B"/>
    <w:rsid w:val="00511A08"/>
    <w:rsid w:val="00511C03"/>
    <w:rsid w:val="00511C86"/>
    <w:rsid w:val="00511E03"/>
    <w:rsid w:val="00511F1D"/>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95C"/>
    <w:rsid w:val="00515C2B"/>
    <w:rsid w:val="00515C5D"/>
    <w:rsid w:val="00515E18"/>
    <w:rsid w:val="005162AD"/>
    <w:rsid w:val="005168FF"/>
    <w:rsid w:val="00516CB5"/>
    <w:rsid w:val="00516CF8"/>
    <w:rsid w:val="00516F8B"/>
    <w:rsid w:val="00516FDA"/>
    <w:rsid w:val="00517092"/>
    <w:rsid w:val="0051738B"/>
    <w:rsid w:val="0051769A"/>
    <w:rsid w:val="005177C3"/>
    <w:rsid w:val="0051782F"/>
    <w:rsid w:val="00517975"/>
    <w:rsid w:val="00517983"/>
    <w:rsid w:val="00517B01"/>
    <w:rsid w:val="00517CB2"/>
    <w:rsid w:val="00517E63"/>
    <w:rsid w:val="005200C2"/>
    <w:rsid w:val="005205E4"/>
    <w:rsid w:val="0052083B"/>
    <w:rsid w:val="00520896"/>
    <w:rsid w:val="00520AA4"/>
    <w:rsid w:val="00520AAE"/>
    <w:rsid w:val="00520B3E"/>
    <w:rsid w:val="00520D27"/>
    <w:rsid w:val="00520E0E"/>
    <w:rsid w:val="00521021"/>
    <w:rsid w:val="0052106F"/>
    <w:rsid w:val="0052114D"/>
    <w:rsid w:val="00521599"/>
    <w:rsid w:val="005216F7"/>
    <w:rsid w:val="00521780"/>
    <w:rsid w:val="005219AC"/>
    <w:rsid w:val="00521D44"/>
    <w:rsid w:val="00522094"/>
    <w:rsid w:val="0052228F"/>
    <w:rsid w:val="005223ED"/>
    <w:rsid w:val="00522929"/>
    <w:rsid w:val="005229EA"/>
    <w:rsid w:val="00522A21"/>
    <w:rsid w:val="00522D15"/>
    <w:rsid w:val="00522E72"/>
    <w:rsid w:val="00522F18"/>
    <w:rsid w:val="00522F4E"/>
    <w:rsid w:val="00523043"/>
    <w:rsid w:val="005231E2"/>
    <w:rsid w:val="00523324"/>
    <w:rsid w:val="005239C0"/>
    <w:rsid w:val="00523A2B"/>
    <w:rsid w:val="00524312"/>
    <w:rsid w:val="0052464A"/>
    <w:rsid w:val="00524748"/>
    <w:rsid w:val="00524B3E"/>
    <w:rsid w:val="00524BA0"/>
    <w:rsid w:val="00524C7E"/>
    <w:rsid w:val="00524FF2"/>
    <w:rsid w:val="00525416"/>
    <w:rsid w:val="0052549D"/>
    <w:rsid w:val="00525514"/>
    <w:rsid w:val="0052565B"/>
    <w:rsid w:val="00525813"/>
    <w:rsid w:val="0052583E"/>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5F3"/>
    <w:rsid w:val="005278EE"/>
    <w:rsid w:val="005279C2"/>
    <w:rsid w:val="005279D3"/>
    <w:rsid w:val="00527B21"/>
    <w:rsid w:val="00527EFB"/>
    <w:rsid w:val="00530383"/>
    <w:rsid w:val="00530478"/>
    <w:rsid w:val="00530B32"/>
    <w:rsid w:val="00530F72"/>
    <w:rsid w:val="00530FE6"/>
    <w:rsid w:val="00531736"/>
    <w:rsid w:val="0053195E"/>
    <w:rsid w:val="00531A21"/>
    <w:rsid w:val="00531AB3"/>
    <w:rsid w:val="00531E4D"/>
    <w:rsid w:val="00532079"/>
    <w:rsid w:val="0053223C"/>
    <w:rsid w:val="00532366"/>
    <w:rsid w:val="00532A31"/>
    <w:rsid w:val="00532DAE"/>
    <w:rsid w:val="00533038"/>
    <w:rsid w:val="00533134"/>
    <w:rsid w:val="00533206"/>
    <w:rsid w:val="00533945"/>
    <w:rsid w:val="005339E4"/>
    <w:rsid w:val="00533AE2"/>
    <w:rsid w:val="00533BCB"/>
    <w:rsid w:val="00533D20"/>
    <w:rsid w:val="005346C0"/>
    <w:rsid w:val="00534839"/>
    <w:rsid w:val="00534D2C"/>
    <w:rsid w:val="005351C1"/>
    <w:rsid w:val="0053541D"/>
    <w:rsid w:val="0053545C"/>
    <w:rsid w:val="0053554C"/>
    <w:rsid w:val="00535660"/>
    <w:rsid w:val="00535B65"/>
    <w:rsid w:val="00535E11"/>
    <w:rsid w:val="00536072"/>
    <w:rsid w:val="00536109"/>
    <w:rsid w:val="0053614D"/>
    <w:rsid w:val="005361AC"/>
    <w:rsid w:val="0053629D"/>
    <w:rsid w:val="005363DD"/>
    <w:rsid w:val="005364E4"/>
    <w:rsid w:val="00536708"/>
    <w:rsid w:val="00536724"/>
    <w:rsid w:val="00536B7C"/>
    <w:rsid w:val="00536BD8"/>
    <w:rsid w:val="00536D42"/>
    <w:rsid w:val="00536D4A"/>
    <w:rsid w:val="00536D9A"/>
    <w:rsid w:val="00537053"/>
    <w:rsid w:val="0053708A"/>
    <w:rsid w:val="005371D5"/>
    <w:rsid w:val="005371FB"/>
    <w:rsid w:val="00537349"/>
    <w:rsid w:val="0053744D"/>
    <w:rsid w:val="0053769E"/>
    <w:rsid w:val="00537811"/>
    <w:rsid w:val="005379E1"/>
    <w:rsid w:val="00537AC9"/>
    <w:rsid w:val="00537AE7"/>
    <w:rsid w:val="00537B6F"/>
    <w:rsid w:val="00540219"/>
    <w:rsid w:val="0054027D"/>
    <w:rsid w:val="00540304"/>
    <w:rsid w:val="0054060E"/>
    <w:rsid w:val="00540616"/>
    <w:rsid w:val="0054064E"/>
    <w:rsid w:val="0054074E"/>
    <w:rsid w:val="0054115B"/>
    <w:rsid w:val="005411D6"/>
    <w:rsid w:val="005412B3"/>
    <w:rsid w:val="00541580"/>
    <w:rsid w:val="005415A2"/>
    <w:rsid w:val="0054166A"/>
    <w:rsid w:val="005418FC"/>
    <w:rsid w:val="00541B73"/>
    <w:rsid w:val="00541D6C"/>
    <w:rsid w:val="00541DA9"/>
    <w:rsid w:val="00541E21"/>
    <w:rsid w:val="005420F7"/>
    <w:rsid w:val="0054218D"/>
    <w:rsid w:val="00542382"/>
    <w:rsid w:val="0054243F"/>
    <w:rsid w:val="00542507"/>
    <w:rsid w:val="00542A21"/>
    <w:rsid w:val="00542A8A"/>
    <w:rsid w:val="00542B0A"/>
    <w:rsid w:val="00542D42"/>
    <w:rsid w:val="00542DBF"/>
    <w:rsid w:val="005431CC"/>
    <w:rsid w:val="00543332"/>
    <w:rsid w:val="005433B6"/>
    <w:rsid w:val="0054350F"/>
    <w:rsid w:val="005436E4"/>
    <w:rsid w:val="0054373F"/>
    <w:rsid w:val="005438A0"/>
    <w:rsid w:val="005439A0"/>
    <w:rsid w:val="005439E4"/>
    <w:rsid w:val="00543BC6"/>
    <w:rsid w:val="00543E14"/>
    <w:rsid w:val="00543E1C"/>
    <w:rsid w:val="00543E8B"/>
    <w:rsid w:val="00543E9D"/>
    <w:rsid w:val="00543F5F"/>
    <w:rsid w:val="00544069"/>
    <w:rsid w:val="005441BF"/>
    <w:rsid w:val="0054420B"/>
    <w:rsid w:val="005442A9"/>
    <w:rsid w:val="005444E7"/>
    <w:rsid w:val="00544508"/>
    <w:rsid w:val="00544804"/>
    <w:rsid w:val="005449D9"/>
    <w:rsid w:val="00544A1B"/>
    <w:rsid w:val="00544E42"/>
    <w:rsid w:val="005452F3"/>
    <w:rsid w:val="0054538E"/>
    <w:rsid w:val="005457CD"/>
    <w:rsid w:val="00545863"/>
    <w:rsid w:val="00545A3A"/>
    <w:rsid w:val="00545C8C"/>
    <w:rsid w:val="00545E0D"/>
    <w:rsid w:val="005461F1"/>
    <w:rsid w:val="0054621B"/>
    <w:rsid w:val="00546370"/>
    <w:rsid w:val="005463DC"/>
    <w:rsid w:val="005463EB"/>
    <w:rsid w:val="00546576"/>
    <w:rsid w:val="0054660A"/>
    <w:rsid w:val="005467A5"/>
    <w:rsid w:val="0054688C"/>
    <w:rsid w:val="00546B4F"/>
    <w:rsid w:val="00546B65"/>
    <w:rsid w:val="00546CBF"/>
    <w:rsid w:val="00546D48"/>
    <w:rsid w:val="00546E01"/>
    <w:rsid w:val="00546F13"/>
    <w:rsid w:val="00546FA2"/>
    <w:rsid w:val="0054738C"/>
    <w:rsid w:val="005473EA"/>
    <w:rsid w:val="0054753B"/>
    <w:rsid w:val="00547684"/>
    <w:rsid w:val="00547792"/>
    <w:rsid w:val="0054788D"/>
    <w:rsid w:val="00547D99"/>
    <w:rsid w:val="00547FE9"/>
    <w:rsid w:val="005501C9"/>
    <w:rsid w:val="005503E8"/>
    <w:rsid w:val="00550483"/>
    <w:rsid w:val="00550C5D"/>
    <w:rsid w:val="00550D8B"/>
    <w:rsid w:val="00551274"/>
    <w:rsid w:val="00551572"/>
    <w:rsid w:val="005515EF"/>
    <w:rsid w:val="0055193D"/>
    <w:rsid w:val="00551F1C"/>
    <w:rsid w:val="00551F7D"/>
    <w:rsid w:val="00552126"/>
    <w:rsid w:val="00552145"/>
    <w:rsid w:val="005522E7"/>
    <w:rsid w:val="0055244D"/>
    <w:rsid w:val="0055267B"/>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0C8"/>
    <w:rsid w:val="00555146"/>
    <w:rsid w:val="005553D7"/>
    <w:rsid w:val="005555AE"/>
    <w:rsid w:val="005555BA"/>
    <w:rsid w:val="00555C89"/>
    <w:rsid w:val="00555D70"/>
    <w:rsid w:val="00555E71"/>
    <w:rsid w:val="00555F8E"/>
    <w:rsid w:val="0055619D"/>
    <w:rsid w:val="0055654F"/>
    <w:rsid w:val="0055655B"/>
    <w:rsid w:val="005566C3"/>
    <w:rsid w:val="005568B9"/>
    <w:rsid w:val="00556A1E"/>
    <w:rsid w:val="00556A6C"/>
    <w:rsid w:val="00556E6B"/>
    <w:rsid w:val="00556FCE"/>
    <w:rsid w:val="00557078"/>
    <w:rsid w:val="00557145"/>
    <w:rsid w:val="005571BB"/>
    <w:rsid w:val="005571F5"/>
    <w:rsid w:val="00557874"/>
    <w:rsid w:val="00560045"/>
    <w:rsid w:val="005605D0"/>
    <w:rsid w:val="00560C40"/>
    <w:rsid w:val="00561323"/>
    <w:rsid w:val="0056150D"/>
    <w:rsid w:val="00561994"/>
    <w:rsid w:val="00561B55"/>
    <w:rsid w:val="00561CF3"/>
    <w:rsid w:val="0056204A"/>
    <w:rsid w:val="005626DC"/>
    <w:rsid w:val="00562A70"/>
    <w:rsid w:val="00562E69"/>
    <w:rsid w:val="00562EA4"/>
    <w:rsid w:val="00563161"/>
    <w:rsid w:val="0056324D"/>
    <w:rsid w:val="0056329B"/>
    <w:rsid w:val="005633F2"/>
    <w:rsid w:val="00563436"/>
    <w:rsid w:val="00563446"/>
    <w:rsid w:val="00563620"/>
    <w:rsid w:val="005638C0"/>
    <w:rsid w:val="0056398A"/>
    <w:rsid w:val="00563DCB"/>
    <w:rsid w:val="00563E2F"/>
    <w:rsid w:val="005640EE"/>
    <w:rsid w:val="0056466C"/>
    <w:rsid w:val="005647B7"/>
    <w:rsid w:val="00564A7D"/>
    <w:rsid w:val="00564DE8"/>
    <w:rsid w:val="00564F58"/>
    <w:rsid w:val="005654F2"/>
    <w:rsid w:val="00565586"/>
    <w:rsid w:val="0056568F"/>
    <w:rsid w:val="005657A8"/>
    <w:rsid w:val="005658BB"/>
    <w:rsid w:val="00565A22"/>
    <w:rsid w:val="00565FF1"/>
    <w:rsid w:val="005662A6"/>
    <w:rsid w:val="005662AE"/>
    <w:rsid w:val="005665AD"/>
    <w:rsid w:val="005668C6"/>
    <w:rsid w:val="00566B95"/>
    <w:rsid w:val="00566D1D"/>
    <w:rsid w:val="00566D66"/>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E2"/>
    <w:rsid w:val="00570DFE"/>
    <w:rsid w:val="00570EC9"/>
    <w:rsid w:val="00570FB6"/>
    <w:rsid w:val="00571116"/>
    <w:rsid w:val="005711CA"/>
    <w:rsid w:val="0057121C"/>
    <w:rsid w:val="005713AC"/>
    <w:rsid w:val="0057151B"/>
    <w:rsid w:val="0057153F"/>
    <w:rsid w:val="00571639"/>
    <w:rsid w:val="005716D5"/>
    <w:rsid w:val="0057198B"/>
    <w:rsid w:val="00572202"/>
    <w:rsid w:val="00572418"/>
    <w:rsid w:val="0057265A"/>
    <w:rsid w:val="005727C0"/>
    <w:rsid w:val="005728BA"/>
    <w:rsid w:val="005728D6"/>
    <w:rsid w:val="005728FE"/>
    <w:rsid w:val="005729BB"/>
    <w:rsid w:val="00572C4A"/>
    <w:rsid w:val="00572F92"/>
    <w:rsid w:val="0057337E"/>
    <w:rsid w:val="005733E1"/>
    <w:rsid w:val="00573538"/>
    <w:rsid w:val="00573728"/>
    <w:rsid w:val="0057398D"/>
    <w:rsid w:val="005739D2"/>
    <w:rsid w:val="00573A2D"/>
    <w:rsid w:val="00573B14"/>
    <w:rsid w:val="00574004"/>
    <w:rsid w:val="0057410C"/>
    <w:rsid w:val="005743FF"/>
    <w:rsid w:val="005745D5"/>
    <w:rsid w:val="005746C6"/>
    <w:rsid w:val="00574869"/>
    <w:rsid w:val="00574AFB"/>
    <w:rsid w:val="0057529B"/>
    <w:rsid w:val="005752C9"/>
    <w:rsid w:val="0057551D"/>
    <w:rsid w:val="0057557F"/>
    <w:rsid w:val="005757EF"/>
    <w:rsid w:val="005758B1"/>
    <w:rsid w:val="00575AB3"/>
    <w:rsid w:val="00575C8E"/>
    <w:rsid w:val="00575D52"/>
    <w:rsid w:val="00575EDE"/>
    <w:rsid w:val="00576256"/>
    <w:rsid w:val="005765DE"/>
    <w:rsid w:val="0057672B"/>
    <w:rsid w:val="00576794"/>
    <w:rsid w:val="00576F3B"/>
    <w:rsid w:val="00576F73"/>
    <w:rsid w:val="005772D5"/>
    <w:rsid w:val="005775F8"/>
    <w:rsid w:val="00577B11"/>
    <w:rsid w:val="00577B3A"/>
    <w:rsid w:val="00577B83"/>
    <w:rsid w:val="00577BCC"/>
    <w:rsid w:val="00577CC5"/>
    <w:rsid w:val="00577DBF"/>
    <w:rsid w:val="00577E7B"/>
    <w:rsid w:val="00577EB1"/>
    <w:rsid w:val="00580090"/>
    <w:rsid w:val="0058022A"/>
    <w:rsid w:val="00580733"/>
    <w:rsid w:val="005809EB"/>
    <w:rsid w:val="00580D84"/>
    <w:rsid w:val="00581043"/>
    <w:rsid w:val="005814B1"/>
    <w:rsid w:val="0058184C"/>
    <w:rsid w:val="0058199E"/>
    <w:rsid w:val="00581AF4"/>
    <w:rsid w:val="00581D05"/>
    <w:rsid w:val="00581E86"/>
    <w:rsid w:val="00581FAB"/>
    <w:rsid w:val="00581FED"/>
    <w:rsid w:val="00582073"/>
    <w:rsid w:val="005821BB"/>
    <w:rsid w:val="00582357"/>
    <w:rsid w:val="00582665"/>
    <w:rsid w:val="005827FD"/>
    <w:rsid w:val="00582805"/>
    <w:rsid w:val="00582D59"/>
    <w:rsid w:val="0058321E"/>
    <w:rsid w:val="005835E3"/>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817"/>
    <w:rsid w:val="00585AA8"/>
    <w:rsid w:val="00585AB4"/>
    <w:rsid w:val="00585BC6"/>
    <w:rsid w:val="00586066"/>
    <w:rsid w:val="005860A9"/>
    <w:rsid w:val="0058626D"/>
    <w:rsid w:val="00586431"/>
    <w:rsid w:val="00586459"/>
    <w:rsid w:val="005869BC"/>
    <w:rsid w:val="00586A65"/>
    <w:rsid w:val="00586AE8"/>
    <w:rsid w:val="00586B03"/>
    <w:rsid w:val="00586C2E"/>
    <w:rsid w:val="00586D67"/>
    <w:rsid w:val="0058736D"/>
    <w:rsid w:val="0058744D"/>
    <w:rsid w:val="0058745D"/>
    <w:rsid w:val="00587563"/>
    <w:rsid w:val="0058761D"/>
    <w:rsid w:val="0058767E"/>
    <w:rsid w:val="00587686"/>
    <w:rsid w:val="00587ABC"/>
    <w:rsid w:val="00587B36"/>
    <w:rsid w:val="00587FFC"/>
    <w:rsid w:val="005901DA"/>
    <w:rsid w:val="005903A3"/>
    <w:rsid w:val="005906BD"/>
    <w:rsid w:val="00590A2B"/>
    <w:rsid w:val="00590C7A"/>
    <w:rsid w:val="00590D3D"/>
    <w:rsid w:val="005913B2"/>
    <w:rsid w:val="00591467"/>
    <w:rsid w:val="00591482"/>
    <w:rsid w:val="00591C96"/>
    <w:rsid w:val="00591E85"/>
    <w:rsid w:val="00591E9E"/>
    <w:rsid w:val="00591FA6"/>
    <w:rsid w:val="005920F4"/>
    <w:rsid w:val="005921EE"/>
    <w:rsid w:val="00592348"/>
    <w:rsid w:val="0059294C"/>
    <w:rsid w:val="00592F1D"/>
    <w:rsid w:val="00592FAA"/>
    <w:rsid w:val="005930C1"/>
    <w:rsid w:val="0059356B"/>
    <w:rsid w:val="00593573"/>
    <w:rsid w:val="00593ACD"/>
    <w:rsid w:val="00593EEB"/>
    <w:rsid w:val="0059444C"/>
    <w:rsid w:val="005944D9"/>
    <w:rsid w:val="0059454C"/>
    <w:rsid w:val="00594689"/>
    <w:rsid w:val="0059485E"/>
    <w:rsid w:val="00594891"/>
    <w:rsid w:val="00594909"/>
    <w:rsid w:val="00594A6A"/>
    <w:rsid w:val="00594CD5"/>
    <w:rsid w:val="00594EB7"/>
    <w:rsid w:val="00594EC0"/>
    <w:rsid w:val="00594FD6"/>
    <w:rsid w:val="00595246"/>
    <w:rsid w:val="005954FD"/>
    <w:rsid w:val="00595838"/>
    <w:rsid w:val="00595CEF"/>
    <w:rsid w:val="00596171"/>
    <w:rsid w:val="005964B2"/>
    <w:rsid w:val="0059666F"/>
    <w:rsid w:val="0059685E"/>
    <w:rsid w:val="005968DD"/>
    <w:rsid w:val="00596C58"/>
    <w:rsid w:val="00596DFC"/>
    <w:rsid w:val="00596FFC"/>
    <w:rsid w:val="00597A2A"/>
    <w:rsid w:val="00597B7A"/>
    <w:rsid w:val="00597F1F"/>
    <w:rsid w:val="005A040E"/>
    <w:rsid w:val="005A0627"/>
    <w:rsid w:val="005A0B9A"/>
    <w:rsid w:val="005A0BCD"/>
    <w:rsid w:val="005A0BF2"/>
    <w:rsid w:val="005A0BFA"/>
    <w:rsid w:val="005A0CFF"/>
    <w:rsid w:val="005A0E29"/>
    <w:rsid w:val="005A10D2"/>
    <w:rsid w:val="005A1278"/>
    <w:rsid w:val="005A17A1"/>
    <w:rsid w:val="005A17ED"/>
    <w:rsid w:val="005A1903"/>
    <w:rsid w:val="005A1D0A"/>
    <w:rsid w:val="005A1D78"/>
    <w:rsid w:val="005A2019"/>
    <w:rsid w:val="005A2186"/>
    <w:rsid w:val="005A22CC"/>
    <w:rsid w:val="005A2412"/>
    <w:rsid w:val="005A2B09"/>
    <w:rsid w:val="005A2CC3"/>
    <w:rsid w:val="005A2D19"/>
    <w:rsid w:val="005A2E3B"/>
    <w:rsid w:val="005A30EF"/>
    <w:rsid w:val="005A319E"/>
    <w:rsid w:val="005A34D8"/>
    <w:rsid w:val="005A39D7"/>
    <w:rsid w:val="005A39FF"/>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64"/>
    <w:rsid w:val="005A6CF0"/>
    <w:rsid w:val="005A6D49"/>
    <w:rsid w:val="005A6F02"/>
    <w:rsid w:val="005A7225"/>
    <w:rsid w:val="005A72D1"/>
    <w:rsid w:val="005A748B"/>
    <w:rsid w:val="005A7663"/>
    <w:rsid w:val="005A7AAA"/>
    <w:rsid w:val="005A7BBE"/>
    <w:rsid w:val="005A7C01"/>
    <w:rsid w:val="005A7ECD"/>
    <w:rsid w:val="005A7F2F"/>
    <w:rsid w:val="005B018A"/>
    <w:rsid w:val="005B01F1"/>
    <w:rsid w:val="005B0245"/>
    <w:rsid w:val="005B02F7"/>
    <w:rsid w:val="005B02FD"/>
    <w:rsid w:val="005B03A4"/>
    <w:rsid w:val="005B0498"/>
    <w:rsid w:val="005B0530"/>
    <w:rsid w:val="005B0539"/>
    <w:rsid w:val="005B0632"/>
    <w:rsid w:val="005B07E4"/>
    <w:rsid w:val="005B0A7F"/>
    <w:rsid w:val="005B0CA2"/>
    <w:rsid w:val="005B1511"/>
    <w:rsid w:val="005B1648"/>
    <w:rsid w:val="005B18ED"/>
    <w:rsid w:val="005B19AD"/>
    <w:rsid w:val="005B1A2F"/>
    <w:rsid w:val="005B1A67"/>
    <w:rsid w:val="005B1BFD"/>
    <w:rsid w:val="005B1DCC"/>
    <w:rsid w:val="005B1E01"/>
    <w:rsid w:val="005B1E58"/>
    <w:rsid w:val="005B2520"/>
    <w:rsid w:val="005B256D"/>
    <w:rsid w:val="005B262F"/>
    <w:rsid w:val="005B265B"/>
    <w:rsid w:val="005B2A6D"/>
    <w:rsid w:val="005B2AE7"/>
    <w:rsid w:val="005B2C4D"/>
    <w:rsid w:val="005B2C98"/>
    <w:rsid w:val="005B2D7F"/>
    <w:rsid w:val="005B3117"/>
    <w:rsid w:val="005B320C"/>
    <w:rsid w:val="005B385C"/>
    <w:rsid w:val="005B3B60"/>
    <w:rsid w:val="005B3D93"/>
    <w:rsid w:val="005B3DEF"/>
    <w:rsid w:val="005B3E47"/>
    <w:rsid w:val="005B4235"/>
    <w:rsid w:val="005B4408"/>
    <w:rsid w:val="005B45BF"/>
    <w:rsid w:val="005B46C1"/>
    <w:rsid w:val="005B4CAD"/>
    <w:rsid w:val="005B4DB4"/>
    <w:rsid w:val="005B4F50"/>
    <w:rsid w:val="005B5255"/>
    <w:rsid w:val="005B5265"/>
    <w:rsid w:val="005B56C5"/>
    <w:rsid w:val="005B5900"/>
    <w:rsid w:val="005B5ACB"/>
    <w:rsid w:val="005B5CE7"/>
    <w:rsid w:val="005B5D02"/>
    <w:rsid w:val="005B5E14"/>
    <w:rsid w:val="005B5FC7"/>
    <w:rsid w:val="005B61ED"/>
    <w:rsid w:val="005B623C"/>
    <w:rsid w:val="005B62ED"/>
    <w:rsid w:val="005B650B"/>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66E"/>
    <w:rsid w:val="005C1771"/>
    <w:rsid w:val="005C1A74"/>
    <w:rsid w:val="005C1BF9"/>
    <w:rsid w:val="005C1CF1"/>
    <w:rsid w:val="005C1E2C"/>
    <w:rsid w:val="005C1E79"/>
    <w:rsid w:val="005C1E7A"/>
    <w:rsid w:val="005C1FD1"/>
    <w:rsid w:val="005C2050"/>
    <w:rsid w:val="005C23D2"/>
    <w:rsid w:val="005C2575"/>
    <w:rsid w:val="005C296B"/>
    <w:rsid w:val="005C2C4C"/>
    <w:rsid w:val="005C2DE8"/>
    <w:rsid w:val="005C3115"/>
    <w:rsid w:val="005C34A1"/>
    <w:rsid w:val="005C34B4"/>
    <w:rsid w:val="005C3911"/>
    <w:rsid w:val="005C39DF"/>
    <w:rsid w:val="005C3A28"/>
    <w:rsid w:val="005C3B71"/>
    <w:rsid w:val="005C3C15"/>
    <w:rsid w:val="005C3CC7"/>
    <w:rsid w:val="005C41F0"/>
    <w:rsid w:val="005C4201"/>
    <w:rsid w:val="005C4254"/>
    <w:rsid w:val="005C4429"/>
    <w:rsid w:val="005C466F"/>
    <w:rsid w:val="005C4A71"/>
    <w:rsid w:val="005C4F13"/>
    <w:rsid w:val="005C51A7"/>
    <w:rsid w:val="005C5391"/>
    <w:rsid w:val="005C546F"/>
    <w:rsid w:val="005C54A1"/>
    <w:rsid w:val="005C58A7"/>
    <w:rsid w:val="005C58B9"/>
    <w:rsid w:val="005C5E5D"/>
    <w:rsid w:val="005C5EE3"/>
    <w:rsid w:val="005C60E1"/>
    <w:rsid w:val="005C644C"/>
    <w:rsid w:val="005C64BC"/>
    <w:rsid w:val="005C685A"/>
    <w:rsid w:val="005C686C"/>
    <w:rsid w:val="005C6969"/>
    <w:rsid w:val="005C6B3D"/>
    <w:rsid w:val="005C6E82"/>
    <w:rsid w:val="005C6F98"/>
    <w:rsid w:val="005C7131"/>
    <w:rsid w:val="005C72FD"/>
    <w:rsid w:val="005C738F"/>
    <w:rsid w:val="005C766B"/>
    <w:rsid w:val="005C78DA"/>
    <w:rsid w:val="005C799D"/>
    <w:rsid w:val="005C7B90"/>
    <w:rsid w:val="005C7CD2"/>
    <w:rsid w:val="005C7FA4"/>
    <w:rsid w:val="005C7FB4"/>
    <w:rsid w:val="005D0035"/>
    <w:rsid w:val="005D0064"/>
    <w:rsid w:val="005D0311"/>
    <w:rsid w:val="005D060E"/>
    <w:rsid w:val="005D0A18"/>
    <w:rsid w:val="005D0D2B"/>
    <w:rsid w:val="005D0FE5"/>
    <w:rsid w:val="005D13EF"/>
    <w:rsid w:val="005D14EA"/>
    <w:rsid w:val="005D14ED"/>
    <w:rsid w:val="005D17B8"/>
    <w:rsid w:val="005D1828"/>
    <w:rsid w:val="005D1AA6"/>
    <w:rsid w:val="005D1ADA"/>
    <w:rsid w:val="005D1B15"/>
    <w:rsid w:val="005D1BE5"/>
    <w:rsid w:val="005D1E64"/>
    <w:rsid w:val="005D1EBE"/>
    <w:rsid w:val="005D1F89"/>
    <w:rsid w:val="005D214C"/>
    <w:rsid w:val="005D21D1"/>
    <w:rsid w:val="005D223C"/>
    <w:rsid w:val="005D22AA"/>
    <w:rsid w:val="005D2598"/>
    <w:rsid w:val="005D2688"/>
    <w:rsid w:val="005D2789"/>
    <w:rsid w:val="005D2898"/>
    <w:rsid w:val="005D2F16"/>
    <w:rsid w:val="005D33CB"/>
    <w:rsid w:val="005D33E5"/>
    <w:rsid w:val="005D36E3"/>
    <w:rsid w:val="005D3C6B"/>
    <w:rsid w:val="005D3D4A"/>
    <w:rsid w:val="005D4197"/>
    <w:rsid w:val="005D4262"/>
    <w:rsid w:val="005D439F"/>
    <w:rsid w:val="005D4490"/>
    <w:rsid w:val="005D453E"/>
    <w:rsid w:val="005D45AA"/>
    <w:rsid w:val="005D46C0"/>
    <w:rsid w:val="005D4716"/>
    <w:rsid w:val="005D475D"/>
    <w:rsid w:val="005D4788"/>
    <w:rsid w:val="005D484B"/>
    <w:rsid w:val="005D4964"/>
    <w:rsid w:val="005D4E60"/>
    <w:rsid w:val="005D50DA"/>
    <w:rsid w:val="005D5144"/>
    <w:rsid w:val="005D5153"/>
    <w:rsid w:val="005D51CB"/>
    <w:rsid w:val="005D526A"/>
    <w:rsid w:val="005D52E0"/>
    <w:rsid w:val="005D58BC"/>
    <w:rsid w:val="005D5A81"/>
    <w:rsid w:val="005D5AB9"/>
    <w:rsid w:val="005D5CF8"/>
    <w:rsid w:val="005D6C11"/>
    <w:rsid w:val="005D6C68"/>
    <w:rsid w:val="005D7112"/>
    <w:rsid w:val="005D712E"/>
    <w:rsid w:val="005D714C"/>
    <w:rsid w:val="005D7379"/>
    <w:rsid w:val="005D7652"/>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6F9"/>
    <w:rsid w:val="005E2727"/>
    <w:rsid w:val="005E2822"/>
    <w:rsid w:val="005E29CE"/>
    <w:rsid w:val="005E29EC"/>
    <w:rsid w:val="005E2DED"/>
    <w:rsid w:val="005E338A"/>
    <w:rsid w:val="005E3391"/>
    <w:rsid w:val="005E361D"/>
    <w:rsid w:val="005E371E"/>
    <w:rsid w:val="005E374B"/>
    <w:rsid w:val="005E38B8"/>
    <w:rsid w:val="005E3A97"/>
    <w:rsid w:val="005E3AA4"/>
    <w:rsid w:val="005E3BDF"/>
    <w:rsid w:val="005E3E87"/>
    <w:rsid w:val="005E4125"/>
    <w:rsid w:val="005E4504"/>
    <w:rsid w:val="005E4750"/>
    <w:rsid w:val="005E48ED"/>
    <w:rsid w:val="005E49B2"/>
    <w:rsid w:val="005E4BBF"/>
    <w:rsid w:val="005E50B0"/>
    <w:rsid w:val="005E51B7"/>
    <w:rsid w:val="005E5228"/>
    <w:rsid w:val="005E5394"/>
    <w:rsid w:val="005E5BD0"/>
    <w:rsid w:val="005E5D96"/>
    <w:rsid w:val="005E5EB1"/>
    <w:rsid w:val="005E5EE2"/>
    <w:rsid w:val="005E62BA"/>
    <w:rsid w:val="005E6748"/>
    <w:rsid w:val="005E6AA1"/>
    <w:rsid w:val="005E6D62"/>
    <w:rsid w:val="005E7271"/>
    <w:rsid w:val="005E75F7"/>
    <w:rsid w:val="005E7A7F"/>
    <w:rsid w:val="005E7E10"/>
    <w:rsid w:val="005E7EC9"/>
    <w:rsid w:val="005E7EE3"/>
    <w:rsid w:val="005F030B"/>
    <w:rsid w:val="005F05EC"/>
    <w:rsid w:val="005F060C"/>
    <w:rsid w:val="005F0A3D"/>
    <w:rsid w:val="005F0A84"/>
    <w:rsid w:val="005F0B56"/>
    <w:rsid w:val="005F0BD5"/>
    <w:rsid w:val="005F0C12"/>
    <w:rsid w:val="005F0DCF"/>
    <w:rsid w:val="005F106A"/>
    <w:rsid w:val="005F1197"/>
    <w:rsid w:val="005F182D"/>
    <w:rsid w:val="005F1D38"/>
    <w:rsid w:val="005F1D3D"/>
    <w:rsid w:val="005F1D93"/>
    <w:rsid w:val="005F1D99"/>
    <w:rsid w:val="005F2228"/>
    <w:rsid w:val="005F25FF"/>
    <w:rsid w:val="005F26B2"/>
    <w:rsid w:val="005F29EF"/>
    <w:rsid w:val="005F2B01"/>
    <w:rsid w:val="005F2C0B"/>
    <w:rsid w:val="005F2C53"/>
    <w:rsid w:val="005F2C88"/>
    <w:rsid w:val="005F31A1"/>
    <w:rsid w:val="005F3A0D"/>
    <w:rsid w:val="005F3D9F"/>
    <w:rsid w:val="005F3E51"/>
    <w:rsid w:val="005F4383"/>
    <w:rsid w:val="005F453F"/>
    <w:rsid w:val="005F48DB"/>
    <w:rsid w:val="005F490D"/>
    <w:rsid w:val="005F4999"/>
    <w:rsid w:val="005F49FE"/>
    <w:rsid w:val="005F4ED9"/>
    <w:rsid w:val="005F50D3"/>
    <w:rsid w:val="005F5458"/>
    <w:rsid w:val="005F57C6"/>
    <w:rsid w:val="005F58AB"/>
    <w:rsid w:val="005F5EBC"/>
    <w:rsid w:val="005F6232"/>
    <w:rsid w:val="005F66B0"/>
    <w:rsid w:val="005F6740"/>
    <w:rsid w:val="005F68FA"/>
    <w:rsid w:val="005F6987"/>
    <w:rsid w:val="005F69E4"/>
    <w:rsid w:val="005F6CDF"/>
    <w:rsid w:val="005F6D66"/>
    <w:rsid w:val="005F6DE1"/>
    <w:rsid w:val="005F6FF5"/>
    <w:rsid w:val="005F6FF8"/>
    <w:rsid w:val="005F7275"/>
    <w:rsid w:val="005F74E5"/>
    <w:rsid w:val="005F75A2"/>
    <w:rsid w:val="005F75B4"/>
    <w:rsid w:val="005F760C"/>
    <w:rsid w:val="005F761D"/>
    <w:rsid w:val="005F77A3"/>
    <w:rsid w:val="005F7A65"/>
    <w:rsid w:val="005F7E01"/>
    <w:rsid w:val="005F7E49"/>
    <w:rsid w:val="005F7F8A"/>
    <w:rsid w:val="00600206"/>
    <w:rsid w:val="0060027C"/>
    <w:rsid w:val="006009B3"/>
    <w:rsid w:val="00600AD8"/>
    <w:rsid w:val="00600C9C"/>
    <w:rsid w:val="00600D1C"/>
    <w:rsid w:val="00600E73"/>
    <w:rsid w:val="00600FCF"/>
    <w:rsid w:val="00601251"/>
    <w:rsid w:val="006015CC"/>
    <w:rsid w:val="00601B24"/>
    <w:rsid w:val="00601BC8"/>
    <w:rsid w:val="00602041"/>
    <w:rsid w:val="006020F3"/>
    <w:rsid w:val="00602317"/>
    <w:rsid w:val="0060245C"/>
    <w:rsid w:val="006024AA"/>
    <w:rsid w:val="0060251B"/>
    <w:rsid w:val="00602542"/>
    <w:rsid w:val="00602588"/>
    <w:rsid w:val="00602686"/>
    <w:rsid w:val="00602753"/>
    <w:rsid w:val="006027B4"/>
    <w:rsid w:val="006030FF"/>
    <w:rsid w:val="00603311"/>
    <w:rsid w:val="006033FF"/>
    <w:rsid w:val="00603658"/>
    <w:rsid w:val="006036DF"/>
    <w:rsid w:val="0060371C"/>
    <w:rsid w:val="006039D0"/>
    <w:rsid w:val="00603B02"/>
    <w:rsid w:val="00603C41"/>
    <w:rsid w:val="00603CD8"/>
    <w:rsid w:val="00603E88"/>
    <w:rsid w:val="0060402B"/>
    <w:rsid w:val="006041C8"/>
    <w:rsid w:val="0060452B"/>
    <w:rsid w:val="00604842"/>
    <w:rsid w:val="006049F7"/>
    <w:rsid w:val="00604C26"/>
    <w:rsid w:val="00605876"/>
    <w:rsid w:val="00605AC8"/>
    <w:rsid w:val="00605AE3"/>
    <w:rsid w:val="00605FC0"/>
    <w:rsid w:val="00606093"/>
    <w:rsid w:val="00606138"/>
    <w:rsid w:val="00606163"/>
    <w:rsid w:val="006062D3"/>
    <w:rsid w:val="00606350"/>
    <w:rsid w:val="006069F5"/>
    <w:rsid w:val="00606A3A"/>
    <w:rsid w:val="00606AFF"/>
    <w:rsid w:val="006070F9"/>
    <w:rsid w:val="0060739A"/>
    <w:rsid w:val="0060766F"/>
    <w:rsid w:val="006076CE"/>
    <w:rsid w:val="00607705"/>
    <w:rsid w:val="006079A2"/>
    <w:rsid w:val="00607DED"/>
    <w:rsid w:val="0061007D"/>
    <w:rsid w:val="00610091"/>
    <w:rsid w:val="00610632"/>
    <w:rsid w:val="006109D2"/>
    <w:rsid w:val="00610C93"/>
    <w:rsid w:val="00610D19"/>
    <w:rsid w:val="006111FA"/>
    <w:rsid w:val="0061125D"/>
    <w:rsid w:val="0061135F"/>
    <w:rsid w:val="00611753"/>
    <w:rsid w:val="00611C48"/>
    <w:rsid w:val="00611C84"/>
    <w:rsid w:val="00611CB2"/>
    <w:rsid w:val="00612174"/>
    <w:rsid w:val="006121CE"/>
    <w:rsid w:val="0061228C"/>
    <w:rsid w:val="00612303"/>
    <w:rsid w:val="00612457"/>
    <w:rsid w:val="0061245A"/>
    <w:rsid w:val="006125EF"/>
    <w:rsid w:val="00612716"/>
    <w:rsid w:val="00612723"/>
    <w:rsid w:val="0061297A"/>
    <w:rsid w:val="00612AFE"/>
    <w:rsid w:val="00612D5B"/>
    <w:rsid w:val="00612F81"/>
    <w:rsid w:val="006134E8"/>
    <w:rsid w:val="006135B7"/>
    <w:rsid w:val="00613661"/>
    <w:rsid w:val="006136D9"/>
    <w:rsid w:val="00613BE2"/>
    <w:rsid w:val="00613C7E"/>
    <w:rsid w:val="00613EAE"/>
    <w:rsid w:val="00613FF0"/>
    <w:rsid w:val="0061406E"/>
    <w:rsid w:val="00614126"/>
    <w:rsid w:val="00614207"/>
    <w:rsid w:val="0061435F"/>
    <w:rsid w:val="00614456"/>
    <w:rsid w:val="006149C1"/>
    <w:rsid w:val="00614A0F"/>
    <w:rsid w:val="00614B0C"/>
    <w:rsid w:val="00614C6E"/>
    <w:rsid w:val="00614DB7"/>
    <w:rsid w:val="00615105"/>
    <w:rsid w:val="006151A1"/>
    <w:rsid w:val="006153E3"/>
    <w:rsid w:val="00615673"/>
    <w:rsid w:val="006157AD"/>
    <w:rsid w:val="006157F4"/>
    <w:rsid w:val="00615EF3"/>
    <w:rsid w:val="00615FEF"/>
    <w:rsid w:val="00616235"/>
    <w:rsid w:val="0061642A"/>
    <w:rsid w:val="00616447"/>
    <w:rsid w:val="00616778"/>
    <w:rsid w:val="0061690B"/>
    <w:rsid w:val="00616B19"/>
    <w:rsid w:val="00616D4C"/>
    <w:rsid w:val="00616E24"/>
    <w:rsid w:val="00617020"/>
    <w:rsid w:val="006171B4"/>
    <w:rsid w:val="006173EE"/>
    <w:rsid w:val="00617504"/>
    <w:rsid w:val="00617518"/>
    <w:rsid w:val="006176B9"/>
    <w:rsid w:val="0061771A"/>
    <w:rsid w:val="006179DA"/>
    <w:rsid w:val="00617A55"/>
    <w:rsid w:val="00617A80"/>
    <w:rsid w:val="00617CA5"/>
    <w:rsid w:val="00617CDB"/>
    <w:rsid w:val="00617D17"/>
    <w:rsid w:val="00617D1C"/>
    <w:rsid w:val="00617F3D"/>
    <w:rsid w:val="00620460"/>
    <w:rsid w:val="0062086A"/>
    <w:rsid w:val="00620881"/>
    <w:rsid w:val="00620913"/>
    <w:rsid w:val="006209D4"/>
    <w:rsid w:val="00620A36"/>
    <w:rsid w:val="00620AEA"/>
    <w:rsid w:val="00620EE0"/>
    <w:rsid w:val="00621402"/>
    <w:rsid w:val="006214C4"/>
    <w:rsid w:val="00621A6F"/>
    <w:rsid w:val="00621AFE"/>
    <w:rsid w:val="00621E8A"/>
    <w:rsid w:val="00622276"/>
    <w:rsid w:val="006227CE"/>
    <w:rsid w:val="006228E0"/>
    <w:rsid w:val="00622B44"/>
    <w:rsid w:val="00622C0A"/>
    <w:rsid w:val="00622C50"/>
    <w:rsid w:val="00622DEB"/>
    <w:rsid w:val="00623165"/>
    <w:rsid w:val="0062325B"/>
    <w:rsid w:val="006232E7"/>
    <w:rsid w:val="0062377C"/>
    <w:rsid w:val="0062382F"/>
    <w:rsid w:val="006239AF"/>
    <w:rsid w:val="006239F2"/>
    <w:rsid w:val="00623A02"/>
    <w:rsid w:val="00623F0E"/>
    <w:rsid w:val="0062414A"/>
    <w:rsid w:val="00624423"/>
    <w:rsid w:val="00624569"/>
    <w:rsid w:val="006248B5"/>
    <w:rsid w:val="00624AA3"/>
    <w:rsid w:val="00624D4D"/>
    <w:rsid w:val="00624D74"/>
    <w:rsid w:val="00624E01"/>
    <w:rsid w:val="00624E5A"/>
    <w:rsid w:val="006250C7"/>
    <w:rsid w:val="00625166"/>
    <w:rsid w:val="00625380"/>
    <w:rsid w:val="00625541"/>
    <w:rsid w:val="006257B5"/>
    <w:rsid w:val="00625A4F"/>
    <w:rsid w:val="00625A66"/>
    <w:rsid w:val="00625AB6"/>
    <w:rsid w:val="00625BA3"/>
    <w:rsid w:val="00626100"/>
    <w:rsid w:val="006263BC"/>
    <w:rsid w:val="006263DB"/>
    <w:rsid w:val="0062650A"/>
    <w:rsid w:val="0062663D"/>
    <w:rsid w:val="00626AFD"/>
    <w:rsid w:val="00626E22"/>
    <w:rsid w:val="006272E1"/>
    <w:rsid w:val="006278DE"/>
    <w:rsid w:val="00627B01"/>
    <w:rsid w:val="00630015"/>
    <w:rsid w:val="00630059"/>
    <w:rsid w:val="0063023C"/>
    <w:rsid w:val="00630311"/>
    <w:rsid w:val="006303A5"/>
    <w:rsid w:val="006303A6"/>
    <w:rsid w:val="00630577"/>
    <w:rsid w:val="006306A7"/>
    <w:rsid w:val="006307A1"/>
    <w:rsid w:val="006307F3"/>
    <w:rsid w:val="0063098F"/>
    <w:rsid w:val="00631110"/>
    <w:rsid w:val="00631224"/>
    <w:rsid w:val="0063147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44D"/>
    <w:rsid w:val="00633854"/>
    <w:rsid w:val="00633A06"/>
    <w:rsid w:val="00633A79"/>
    <w:rsid w:val="00633E38"/>
    <w:rsid w:val="00634329"/>
    <w:rsid w:val="00634414"/>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0DA"/>
    <w:rsid w:val="006364DC"/>
    <w:rsid w:val="00636850"/>
    <w:rsid w:val="006369A5"/>
    <w:rsid w:val="00636C55"/>
    <w:rsid w:val="00636C61"/>
    <w:rsid w:val="00636D5E"/>
    <w:rsid w:val="00636F39"/>
    <w:rsid w:val="006372A5"/>
    <w:rsid w:val="006374F9"/>
    <w:rsid w:val="0063781E"/>
    <w:rsid w:val="00637CF1"/>
    <w:rsid w:val="00637DD9"/>
    <w:rsid w:val="006402B0"/>
    <w:rsid w:val="0064057F"/>
    <w:rsid w:val="00640581"/>
    <w:rsid w:val="006405E0"/>
    <w:rsid w:val="006406E5"/>
    <w:rsid w:val="00640758"/>
    <w:rsid w:val="006407AC"/>
    <w:rsid w:val="006409EF"/>
    <w:rsid w:val="00640A23"/>
    <w:rsid w:val="00640C34"/>
    <w:rsid w:val="00640CF5"/>
    <w:rsid w:val="00640D9E"/>
    <w:rsid w:val="006413C4"/>
    <w:rsid w:val="006415B0"/>
    <w:rsid w:val="006417A5"/>
    <w:rsid w:val="00641836"/>
    <w:rsid w:val="00641B47"/>
    <w:rsid w:val="00641D31"/>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CFD"/>
    <w:rsid w:val="00643D75"/>
    <w:rsid w:val="00643E93"/>
    <w:rsid w:val="00643EFA"/>
    <w:rsid w:val="00643F7E"/>
    <w:rsid w:val="0064408D"/>
    <w:rsid w:val="006443A1"/>
    <w:rsid w:val="0064481B"/>
    <w:rsid w:val="006448EF"/>
    <w:rsid w:val="00644B0A"/>
    <w:rsid w:val="00644B7E"/>
    <w:rsid w:val="00644F7B"/>
    <w:rsid w:val="006452B2"/>
    <w:rsid w:val="0064564E"/>
    <w:rsid w:val="006458B4"/>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1D4"/>
    <w:rsid w:val="00647250"/>
    <w:rsid w:val="00647516"/>
    <w:rsid w:val="00650289"/>
    <w:rsid w:val="00650372"/>
    <w:rsid w:val="0065095D"/>
    <w:rsid w:val="00650976"/>
    <w:rsid w:val="00650BD1"/>
    <w:rsid w:val="00650EFC"/>
    <w:rsid w:val="00650FCC"/>
    <w:rsid w:val="0065141A"/>
    <w:rsid w:val="0065173A"/>
    <w:rsid w:val="00651C9C"/>
    <w:rsid w:val="00651D94"/>
    <w:rsid w:val="00652001"/>
    <w:rsid w:val="006521FE"/>
    <w:rsid w:val="00652307"/>
    <w:rsid w:val="0065233E"/>
    <w:rsid w:val="0065248C"/>
    <w:rsid w:val="00652846"/>
    <w:rsid w:val="006529B3"/>
    <w:rsid w:val="00652C84"/>
    <w:rsid w:val="00652D83"/>
    <w:rsid w:val="00652FAB"/>
    <w:rsid w:val="0065335A"/>
    <w:rsid w:val="0065337D"/>
    <w:rsid w:val="00653383"/>
    <w:rsid w:val="006533AC"/>
    <w:rsid w:val="00653462"/>
    <w:rsid w:val="006536D3"/>
    <w:rsid w:val="00653A48"/>
    <w:rsid w:val="00653F20"/>
    <w:rsid w:val="006542F9"/>
    <w:rsid w:val="00654429"/>
    <w:rsid w:val="006544DB"/>
    <w:rsid w:val="00654659"/>
    <w:rsid w:val="00654B5D"/>
    <w:rsid w:val="00654B64"/>
    <w:rsid w:val="00654C67"/>
    <w:rsid w:val="00654E82"/>
    <w:rsid w:val="006550F3"/>
    <w:rsid w:val="0065525D"/>
    <w:rsid w:val="006555A2"/>
    <w:rsid w:val="006555BA"/>
    <w:rsid w:val="006555EE"/>
    <w:rsid w:val="0065592E"/>
    <w:rsid w:val="00655E63"/>
    <w:rsid w:val="00656075"/>
    <w:rsid w:val="0065619B"/>
    <w:rsid w:val="006561D2"/>
    <w:rsid w:val="0065650E"/>
    <w:rsid w:val="0065659F"/>
    <w:rsid w:val="006565AA"/>
    <w:rsid w:val="006567AA"/>
    <w:rsid w:val="00656D10"/>
    <w:rsid w:val="00656DBC"/>
    <w:rsid w:val="0065705B"/>
    <w:rsid w:val="0065718E"/>
    <w:rsid w:val="006571A6"/>
    <w:rsid w:val="00657718"/>
    <w:rsid w:val="006578C5"/>
    <w:rsid w:val="00657C22"/>
    <w:rsid w:val="00657C71"/>
    <w:rsid w:val="00657CDB"/>
    <w:rsid w:val="00657EBF"/>
    <w:rsid w:val="00657F76"/>
    <w:rsid w:val="00657FD5"/>
    <w:rsid w:val="00660169"/>
    <w:rsid w:val="006601F1"/>
    <w:rsid w:val="00660235"/>
    <w:rsid w:val="00660390"/>
    <w:rsid w:val="006603F1"/>
    <w:rsid w:val="0066048E"/>
    <w:rsid w:val="006604ED"/>
    <w:rsid w:val="00660553"/>
    <w:rsid w:val="00660751"/>
    <w:rsid w:val="006608BA"/>
    <w:rsid w:val="0066096A"/>
    <w:rsid w:val="00660D16"/>
    <w:rsid w:val="00661093"/>
    <w:rsid w:val="006610EC"/>
    <w:rsid w:val="006612A7"/>
    <w:rsid w:val="006614F5"/>
    <w:rsid w:val="00661851"/>
    <w:rsid w:val="0066198B"/>
    <w:rsid w:val="006622B3"/>
    <w:rsid w:val="006622B9"/>
    <w:rsid w:val="006622F0"/>
    <w:rsid w:val="0066240C"/>
    <w:rsid w:val="00662656"/>
    <w:rsid w:val="00662707"/>
    <w:rsid w:val="0066291D"/>
    <w:rsid w:val="00662CD5"/>
    <w:rsid w:val="00662E80"/>
    <w:rsid w:val="00663120"/>
    <w:rsid w:val="006635B8"/>
    <w:rsid w:val="006635C9"/>
    <w:rsid w:val="006637D6"/>
    <w:rsid w:val="00663B49"/>
    <w:rsid w:val="00663E39"/>
    <w:rsid w:val="00664225"/>
    <w:rsid w:val="0066423A"/>
    <w:rsid w:val="00664657"/>
    <w:rsid w:val="006646D6"/>
    <w:rsid w:val="00664B88"/>
    <w:rsid w:val="00664F0D"/>
    <w:rsid w:val="00664F26"/>
    <w:rsid w:val="00665030"/>
    <w:rsid w:val="00665656"/>
    <w:rsid w:val="00665C29"/>
    <w:rsid w:val="00665D4A"/>
    <w:rsid w:val="006660DE"/>
    <w:rsid w:val="006662A6"/>
    <w:rsid w:val="0066632C"/>
    <w:rsid w:val="0066671F"/>
    <w:rsid w:val="006668E7"/>
    <w:rsid w:val="0066697A"/>
    <w:rsid w:val="00666CBE"/>
    <w:rsid w:val="00666D33"/>
    <w:rsid w:val="006674D6"/>
    <w:rsid w:val="00667842"/>
    <w:rsid w:val="006679C4"/>
    <w:rsid w:val="00667BCE"/>
    <w:rsid w:val="00667E92"/>
    <w:rsid w:val="00667F51"/>
    <w:rsid w:val="006700E7"/>
    <w:rsid w:val="00670171"/>
    <w:rsid w:val="00670442"/>
    <w:rsid w:val="006704A0"/>
    <w:rsid w:val="00670562"/>
    <w:rsid w:val="00670E4B"/>
    <w:rsid w:val="0067152F"/>
    <w:rsid w:val="00671A08"/>
    <w:rsid w:val="00671AB5"/>
    <w:rsid w:val="00671B00"/>
    <w:rsid w:val="0067237A"/>
    <w:rsid w:val="006726B7"/>
    <w:rsid w:val="00672899"/>
    <w:rsid w:val="00672A65"/>
    <w:rsid w:val="00672ADE"/>
    <w:rsid w:val="00672AE0"/>
    <w:rsid w:val="00672D46"/>
    <w:rsid w:val="00672D9C"/>
    <w:rsid w:val="00672FDC"/>
    <w:rsid w:val="006734F5"/>
    <w:rsid w:val="006736C7"/>
    <w:rsid w:val="0067375F"/>
    <w:rsid w:val="006737BB"/>
    <w:rsid w:val="00673C94"/>
    <w:rsid w:val="00673E15"/>
    <w:rsid w:val="00673F92"/>
    <w:rsid w:val="00674318"/>
    <w:rsid w:val="00674339"/>
    <w:rsid w:val="00674517"/>
    <w:rsid w:val="00675209"/>
    <w:rsid w:val="0067530F"/>
    <w:rsid w:val="00675658"/>
    <w:rsid w:val="00675750"/>
    <w:rsid w:val="00675A3E"/>
    <w:rsid w:val="00675AA3"/>
    <w:rsid w:val="00675D21"/>
    <w:rsid w:val="00675E2D"/>
    <w:rsid w:val="00675F48"/>
    <w:rsid w:val="0067633E"/>
    <w:rsid w:val="006766EB"/>
    <w:rsid w:val="00676858"/>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0F4A"/>
    <w:rsid w:val="00681825"/>
    <w:rsid w:val="00681A60"/>
    <w:rsid w:val="00681BF7"/>
    <w:rsid w:val="00681C43"/>
    <w:rsid w:val="00681FAE"/>
    <w:rsid w:val="006821E1"/>
    <w:rsid w:val="00682449"/>
    <w:rsid w:val="00682B16"/>
    <w:rsid w:val="00682CB2"/>
    <w:rsid w:val="00682E50"/>
    <w:rsid w:val="00683064"/>
    <w:rsid w:val="006832AD"/>
    <w:rsid w:val="006837E4"/>
    <w:rsid w:val="0068380A"/>
    <w:rsid w:val="00683837"/>
    <w:rsid w:val="00683878"/>
    <w:rsid w:val="006839FE"/>
    <w:rsid w:val="00683AED"/>
    <w:rsid w:val="00683BCE"/>
    <w:rsid w:val="00683F32"/>
    <w:rsid w:val="0068400E"/>
    <w:rsid w:val="006840D4"/>
    <w:rsid w:val="00684246"/>
    <w:rsid w:val="006843F7"/>
    <w:rsid w:val="00684627"/>
    <w:rsid w:val="00684A45"/>
    <w:rsid w:val="00684E0E"/>
    <w:rsid w:val="006852EB"/>
    <w:rsid w:val="006853BB"/>
    <w:rsid w:val="0068544E"/>
    <w:rsid w:val="006858F2"/>
    <w:rsid w:val="006858FF"/>
    <w:rsid w:val="00685CF7"/>
    <w:rsid w:val="00685EF6"/>
    <w:rsid w:val="00685F43"/>
    <w:rsid w:val="00686412"/>
    <w:rsid w:val="006867A2"/>
    <w:rsid w:val="006868DB"/>
    <w:rsid w:val="0068696E"/>
    <w:rsid w:val="00686977"/>
    <w:rsid w:val="00686AB1"/>
    <w:rsid w:val="00686AC4"/>
    <w:rsid w:val="00686B08"/>
    <w:rsid w:val="00686C8D"/>
    <w:rsid w:val="00686DD7"/>
    <w:rsid w:val="0068701C"/>
    <w:rsid w:val="00687038"/>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BFC"/>
    <w:rsid w:val="00690C8A"/>
    <w:rsid w:val="00690F17"/>
    <w:rsid w:val="0069106A"/>
    <w:rsid w:val="006913F0"/>
    <w:rsid w:val="006917A0"/>
    <w:rsid w:val="00691A03"/>
    <w:rsid w:val="00691C12"/>
    <w:rsid w:val="00692169"/>
    <w:rsid w:val="00692C61"/>
    <w:rsid w:val="00692D11"/>
    <w:rsid w:val="00692FF1"/>
    <w:rsid w:val="00693665"/>
    <w:rsid w:val="006937F7"/>
    <w:rsid w:val="006938EB"/>
    <w:rsid w:val="00693949"/>
    <w:rsid w:val="00693F86"/>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50D"/>
    <w:rsid w:val="0069677F"/>
    <w:rsid w:val="006969D6"/>
    <w:rsid w:val="00696CD7"/>
    <w:rsid w:val="00696DAB"/>
    <w:rsid w:val="00697056"/>
    <w:rsid w:val="0069706A"/>
    <w:rsid w:val="0069708A"/>
    <w:rsid w:val="0069725F"/>
    <w:rsid w:val="006974CB"/>
    <w:rsid w:val="006974F8"/>
    <w:rsid w:val="00697B70"/>
    <w:rsid w:val="00697DF2"/>
    <w:rsid w:val="00697E84"/>
    <w:rsid w:val="006A00A3"/>
    <w:rsid w:val="006A00C6"/>
    <w:rsid w:val="006A0FD6"/>
    <w:rsid w:val="006A115F"/>
    <w:rsid w:val="006A15C7"/>
    <w:rsid w:val="006A171D"/>
    <w:rsid w:val="006A1949"/>
    <w:rsid w:val="006A1AD2"/>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4F32"/>
    <w:rsid w:val="006A501D"/>
    <w:rsid w:val="006A5556"/>
    <w:rsid w:val="006A580D"/>
    <w:rsid w:val="006A5A5A"/>
    <w:rsid w:val="006A5B86"/>
    <w:rsid w:val="006A5B98"/>
    <w:rsid w:val="006A5CAA"/>
    <w:rsid w:val="006A5E6E"/>
    <w:rsid w:val="006A5EF5"/>
    <w:rsid w:val="006A6201"/>
    <w:rsid w:val="006A620E"/>
    <w:rsid w:val="006A62E0"/>
    <w:rsid w:val="006A644C"/>
    <w:rsid w:val="006A660F"/>
    <w:rsid w:val="006A67F9"/>
    <w:rsid w:val="006A686E"/>
    <w:rsid w:val="006A6A06"/>
    <w:rsid w:val="006A6AB5"/>
    <w:rsid w:val="006A6AC3"/>
    <w:rsid w:val="006A6CCA"/>
    <w:rsid w:val="006A6CF7"/>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EBE"/>
    <w:rsid w:val="006B0F1D"/>
    <w:rsid w:val="006B0FF4"/>
    <w:rsid w:val="006B10B4"/>
    <w:rsid w:val="006B11B2"/>
    <w:rsid w:val="006B1462"/>
    <w:rsid w:val="006B1467"/>
    <w:rsid w:val="006B1861"/>
    <w:rsid w:val="006B1A68"/>
    <w:rsid w:val="006B1AA2"/>
    <w:rsid w:val="006B1F32"/>
    <w:rsid w:val="006B21A8"/>
    <w:rsid w:val="006B22C5"/>
    <w:rsid w:val="006B23DE"/>
    <w:rsid w:val="006B2709"/>
    <w:rsid w:val="006B2B84"/>
    <w:rsid w:val="006B2C9D"/>
    <w:rsid w:val="006B2DD0"/>
    <w:rsid w:val="006B2F17"/>
    <w:rsid w:val="006B300C"/>
    <w:rsid w:val="006B32C6"/>
    <w:rsid w:val="006B3554"/>
    <w:rsid w:val="006B39C3"/>
    <w:rsid w:val="006B3DCB"/>
    <w:rsid w:val="006B3FDE"/>
    <w:rsid w:val="006B40D6"/>
    <w:rsid w:val="006B41AE"/>
    <w:rsid w:val="006B48F8"/>
    <w:rsid w:val="006B4953"/>
    <w:rsid w:val="006B4B8F"/>
    <w:rsid w:val="006B4E6A"/>
    <w:rsid w:val="006B55DD"/>
    <w:rsid w:val="006B570F"/>
    <w:rsid w:val="006B59FC"/>
    <w:rsid w:val="006B5B3B"/>
    <w:rsid w:val="006B5E37"/>
    <w:rsid w:val="006B5E4E"/>
    <w:rsid w:val="006B5E99"/>
    <w:rsid w:val="006B620C"/>
    <w:rsid w:val="006B63AC"/>
    <w:rsid w:val="006B63F5"/>
    <w:rsid w:val="006B6428"/>
    <w:rsid w:val="006B6482"/>
    <w:rsid w:val="006B648D"/>
    <w:rsid w:val="006B648E"/>
    <w:rsid w:val="006B68C5"/>
    <w:rsid w:val="006B6B39"/>
    <w:rsid w:val="006B6D20"/>
    <w:rsid w:val="006B6FAE"/>
    <w:rsid w:val="006B7004"/>
    <w:rsid w:val="006B7026"/>
    <w:rsid w:val="006B716A"/>
    <w:rsid w:val="006B71E6"/>
    <w:rsid w:val="006B73ED"/>
    <w:rsid w:val="006B7900"/>
    <w:rsid w:val="006B7B0C"/>
    <w:rsid w:val="006B7CAE"/>
    <w:rsid w:val="006B7F22"/>
    <w:rsid w:val="006C018F"/>
    <w:rsid w:val="006C0307"/>
    <w:rsid w:val="006C04C9"/>
    <w:rsid w:val="006C051F"/>
    <w:rsid w:val="006C0543"/>
    <w:rsid w:val="006C0573"/>
    <w:rsid w:val="006C0759"/>
    <w:rsid w:val="006C0899"/>
    <w:rsid w:val="006C09BD"/>
    <w:rsid w:val="006C09FA"/>
    <w:rsid w:val="006C0AE8"/>
    <w:rsid w:val="006C0D4E"/>
    <w:rsid w:val="006C0DF4"/>
    <w:rsid w:val="006C1104"/>
    <w:rsid w:val="006C1206"/>
    <w:rsid w:val="006C1312"/>
    <w:rsid w:val="006C1358"/>
    <w:rsid w:val="006C1502"/>
    <w:rsid w:val="006C16A0"/>
    <w:rsid w:val="006C170C"/>
    <w:rsid w:val="006C1AEA"/>
    <w:rsid w:val="006C1D08"/>
    <w:rsid w:val="006C20A0"/>
    <w:rsid w:val="006C23CF"/>
    <w:rsid w:val="006C27CB"/>
    <w:rsid w:val="006C2862"/>
    <w:rsid w:val="006C2D48"/>
    <w:rsid w:val="006C2D9A"/>
    <w:rsid w:val="006C2E5D"/>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49"/>
    <w:rsid w:val="006C65DB"/>
    <w:rsid w:val="006C660F"/>
    <w:rsid w:val="006C6A5E"/>
    <w:rsid w:val="006C6B0A"/>
    <w:rsid w:val="006C6C72"/>
    <w:rsid w:val="006C6F11"/>
    <w:rsid w:val="006C6FF0"/>
    <w:rsid w:val="006C700F"/>
    <w:rsid w:val="006C7269"/>
    <w:rsid w:val="006C72C9"/>
    <w:rsid w:val="006C7312"/>
    <w:rsid w:val="006C77F5"/>
    <w:rsid w:val="006C784F"/>
    <w:rsid w:val="006C7999"/>
    <w:rsid w:val="006D00EB"/>
    <w:rsid w:val="006D02AF"/>
    <w:rsid w:val="006D05AD"/>
    <w:rsid w:val="006D0665"/>
    <w:rsid w:val="006D0676"/>
    <w:rsid w:val="006D09E2"/>
    <w:rsid w:val="006D0C8D"/>
    <w:rsid w:val="006D0E46"/>
    <w:rsid w:val="006D0F41"/>
    <w:rsid w:val="006D100F"/>
    <w:rsid w:val="006D145B"/>
    <w:rsid w:val="006D1777"/>
    <w:rsid w:val="006D19F8"/>
    <w:rsid w:val="006D1A29"/>
    <w:rsid w:val="006D2033"/>
    <w:rsid w:val="006D2051"/>
    <w:rsid w:val="006D2052"/>
    <w:rsid w:val="006D2097"/>
    <w:rsid w:val="006D23B2"/>
    <w:rsid w:val="006D244E"/>
    <w:rsid w:val="006D2938"/>
    <w:rsid w:val="006D2BA0"/>
    <w:rsid w:val="006D3583"/>
    <w:rsid w:val="006D365A"/>
    <w:rsid w:val="006D365D"/>
    <w:rsid w:val="006D388D"/>
    <w:rsid w:val="006D3B3C"/>
    <w:rsid w:val="006D3CA2"/>
    <w:rsid w:val="006D3D75"/>
    <w:rsid w:val="006D3EAF"/>
    <w:rsid w:val="006D433C"/>
    <w:rsid w:val="006D4771"/>
    <w:rsid w:val="006D4A1F"/>
    <w:rsid w:val="006D4A4E"/>
    <w:rsid w:val="006D4DA3"/>
    <w:rsid w:val="006D5105"/>
    <w:rsid w:val="006D5123"/>
    <w:rsid w:val="006D537F"/>
    <w:rsid w:val="006D55BE"/>
    <w:rsid w:val="006D58FA"/>
    <w:rsid w:val="006D5CAA"/>
    <w:rsid w:val="006D6083"/>
    <w:rsid w:val="006D67A0"/>
    <w:rsid w:val="006D6AC0"/>
    <w:rsid w:val="006D6E22"/>
    <w:rsid w:val="006D713F"/>
    <w:rsid w:val="006D75BE"/>
    <w:rsid w:val="006D76FC"/>
    <w:rsid w:val="006D77C2"/>
    <w:rsid w:val="006D7B49"/>
    <w:rsid w:val="006D7E2E"/>
    <w:rsid w:val="006D7EC6"/>
    <w:rsid w:val="006E0053"/>
    <w:rsid w:val="006E0116"/>
    <w:rsid w:val="006E04BB"/>
    <w:rsid w:val="006E069D"/>
    <w:rsid w:val="006E0880"/>
    <w:rsid w:val="006E0889"/>
    <w:rsid w:val="006E0A1A"/>
    <w:rsid w:val="006E0F6C"/>
    <w:rsid w:val="006E10B1"/>
    <w:rsid w:val="006E1536"/>
    <w:rsid w:val="006E1759"/>
    <w:rsid w:val="006E1E1E"/>
    <w:rsid w:val="006E20F4"/>
    <w:rsid w:val="006E220D"/>
    <w:rsid w:val="006E2367"/>
    <w:rsid w:val="006E25E5"/>
    <w:rsid w:val="006E29A7"/>
    <w:rsid w:val="006E2A5D"/>
    <w:rsid w:val="006E2A72"/>
    <w:rsid w:val="006E2ED5"/>
    <w:rsid w:val="006E2F6D"/>
    <w:rsid w:val="006E3397"/>
    <w:rsid w:val="006E343B"/>
    <w:rsid w:val="006E3AE1"/>
    <w:rsid w:val="006E3EAB"/>
    <w:rsid w:val="006E3F23"/>
    <w:rsid w:val="006E411D"/>
    <w:rsid w:val="006E413C"/>
    <w:rsid w:val="006E430D"/>
    <w:rsid w:val="006E4392"/>
    <w:rsid w:val="006E4B32"/>
    <w:rsid w:val="006E4BB6"/>
    <w:rsid w:val="006E517F"/>
    <w:rsid w:val="006E550B"/>
    <w:rsid w:val="006E5539"/>
    <w:rsid w:val="006E5655"/>
    <w:rsid w:val="006E5888"/>
    <w:rsid w:val="006E58EB"/>
    <w:rsid w:val="006E5F6E"/>
    <w:rsid w:val="006E62EF"/>
    <w:rsid w:val="006E642F"/>
    <w:rsid w:val="006E64BA"/>
    <w:rsid w:val="006E6617"/>
    <w:rsid w:val="006E66CA"/>
    <w:rsid w:val="006E682E"/>
    <w:rsid w:val="006E69D9"/>
    <w:rsid w:val="006E6A1C"/>
    <w:rsid w:val="006E6AE2"/>
    <w:rsid w:val="006E6B27"/>
    <w:rsid w:val="006E6B86"/>
    <w:rsid w:val="006E6CBE"/>
    <w:rsid w:val="006E6EF7"/>
    <w:rsid w:val="006E7355"/>
    <w:rsid w:val="006E7589"/>
    <w:rsid w:val="006E7713"/>
    <w:rsid w:val="006E7A19"/>
    <w:rsid w:val="006E7B48"/>
    <w:rsid w:val="006E7D85"/>
    <w:rsid w:val="006F000F"/>
    <w:rsid w:val="006F00A4"/>
    <w:rsid w:val="006F047F"/>
    <w:rsid w:val="006F0776"/>
    <w:rsid w:val="006F0A32"/>
    <w:rsid w:val="006F0CAE"/>
    <w:rsid w:val="006F1070"/>
    <w:rsid w:val="006F10B7"/>
    <w:rsid w:val="006F110C"/>
    <w:rsid w:val="006F1419"/>
    <w:rsid w:val="006F1F6C"/>
    <w:rsid w:val="006F227F"/>
    <w:rsid w:val="006F245C"/>
    <w:rsid w:val="006F2BDA"/>
    <w:rsid w:val="006F2DF1"/>
    <w:rsid w:val="006F2F6F"/>
    <w:rsid w:val="006F309F"/>
    <w:rsid w:val="006F3208"/>
    <w:rsid w:val="006F3488"/>
    <w:rsid w:val="006F37AE"/>
    <w:rsid w:val="006F39C4"/>
    <w:rsid w:val="006F39E9"/>
    <w:rsid w:val="006F3A1B"/>
    <w:rsid w:val="006F3A46"/>
    <w:rsid w:val="006F3BED"/>
    <w:rsid w:val="006F3BFF"/>
    <w:rsid w:val="006F3C80"/>
    <w:rsid w:val="006F3D40"/>
    <w:rsid w:val="006F3E9F"/>
    <w:rsid w:val="006F3EF2"/>
    <w:rsid w:val="006F3F93"/>
    <w:rsid w:val="006F3FDF"/>
    <w:rsid w:val="006F40AE"/>
    <w:rsid w:val="006F40C1"/>
    <w:rsid w:val="006F412B"/>
    <w:rsid w:val="006F430F"/>
    <w:rsid w:val="006F452B"/>
    <w:rsid w:val="006F4BA8"/>
    <w:rsid w:val="006F4D0D"/>
    <w:rsid w:val="006F4FB9"/>
    <w:rsid w:val="006F51EB"/>
    <w:rsid w:val="006F550C"/>
    <w:rsid w:val="006F5841"/>
    <w:rsid w:val="006F5A49"/>
    <w:rsid w:val="006F5ABF"/>
    <w:rsid w:val="006F5AD2"/>
    <w:rsid w:val="006F5D12"/>
    <w:rsid w:val="006F5DB2"/>
    <w:rsid w:val="006F5E1D"/>
    <w:rsid w:val="006F607D"/>
    <w:rsid w:val="006F60F5"/>
    <w:rsid w:val="006F620A"/>
    <w:rsid w:val="006F6272"/>
    <w:rsid w:val="006F63D5"/>
    <w:rsid w:val="006F65DE"/>
    <w:rsid w:val="006F6837"/>
    <w:rsid w:val="006F6D78"/>
    <w:rsid w:val="006F6D9E"/>
    <w:rsid w:val="006F6FCD"/>
    <w:rsid w:val="006F70C2"/>
    <w:rsid w:val="006F73CC"/>
    <w:rsid w:val="006F758C"/>
    <w:rsid w:val="006F7808"/>
    <w:rsid w:val="006F790E"/>
    <w:rsid w:val="006F7C72"/>
    <w:rsid w:val="006F7E3D"/>
    <w:rsid w:val="00700251"/>
    <w:rsid w:val="007004E2"/>
    <w:rsid w:val="007004EB"/>
    <w:rsid w:val="007008E4"/>
    <w:rsid w:val="00700A07"/>
    <w:rsid w:val="00700A39"/>
    <w:rsid w:val="00700BE0"/>
    <w:rsid w:val="00700DC5"/>
    <w:rsid w:val="00700E27"/>
    <w:rsid w:val="00700FD8"/>
    <w:rsid w:val="007010E0"/>
    <w:rsid w:val="00701329"/>
    <w:rsid w:val="00701515"/>
    <w:rsid w:val="007016DC"/>
    <w:rsid w:val="007018F2"/>
    <w:rsid w:val="00701A67"/>
    <w:rsid w:val="00701C1F"/>
    <w:rsid w:val="00701C8A"/>
    <w:rsid w:val="00701E00"/>
    <w:rsid w:val="00701E94"/>
    <w:rsid w:val="007022DD"/>
    <w:rsid w:val="007023AB"/>
    <w:rsid w:val="007026A6"/>
    <w:rsid w:val="007029AA"/>
    <w:rsid w:val="00702AA5"/>
    <w:rsid w:val="00702C79"/>
    <w:rsid w:val="00702C92"/>
    <w:rsid w:val="00702D08"/>
    <w:rsid w:val="00702E1F"/>
    <w:rsid w:val="00702EF3"/>
    <w:rsid w:val="00703162"/>
    <w:rsid w:val="00703515"/>
    <w:rsid w:val="007035D4"/>
    <w:rsid w:val="00703794"/>
    <w:rsid w:val="00703807"/>
    <w:rsid w:val="00703B30"/>
    <w:rsid w:val="00703CD3"/>
    <w:rsid w:val="00703ED9"/>
    <w:rsid w:val="00703F36"/>
    <w:rsid w:val="00703FDF"/>
    <w:rsid w:val="00703FE8"/>
    <w:rsid w:val="007040BA"/>
    <w:rsid w:val="00704252"/>
    <w:rsid w:val="0070496F"/>
    <w:rsid w:val="00704982"/>
    <w:rsid w:val="00704A23"/>
    <w:rsid w:val="00704BCA"/>
    <w:rsid w:val="00704C29"/>
    <w:rsid w:val="00704F3C"/>
    <w:rsid w:val="00705550"/>
    <w:rsid w:val="007056EA"/>
    <w:rsid w:val="00705761"/>
    <w:rsid w:val="007057D2"/>
    <w:rsid w:val="00705A0C"/>
    <w:rsid w:val="00705A13"/>
    <w:rsid w:val="00705AB2"/>
    <w:rsid w:val="00705CAA"/>
    <w:rsid w:val="00705D58"/>
    <w:rsid w:val="00705D81"/>
    <w:rsid w:val="00705DAF"/>
    <w:rsid w:val="00705E6E"/>
    <w:rsid w:val="00705FFC"/>
    <w:rsid w:val="0070610B"/>
    <w:rsid w:val="007062F7"/>
    <w:rsid w:val="00706383"/>
    <w:rsid w:val="007067A0"/>
    <w:rsid w:val="007068C5"/>
    <w:rsid w:val="00706C06"/>
    <w:rsid w:val="00706FA5"/>
    <w:rsid w:val="0070714A"/>
    <w:rsid w:val="007072E8"/>
    <w:rsid w:val="007074FC"/>
    <w:rsid w:val="0070784F"/>
    <w:rsid w:val="007078FF"/>
    <w:rsid w:val="00707A3D"/>
    <w:rsid w:val="00707CD1"/>
    <w:rsid w:val="00707E59"/>
    <w:rsid w:val="007104C1"/>
    <w:rsid w:val="00710B2A"/>
    <w:rsid w:val="00710B2F"/>
    <w:rsid w:val="00710C16"/>
    <w:rsid w:val="00710C82"/>
    <w:rsid w:val="00711066"/>
    <w:rsid w:val="007110C4"/>
    <w:rsid w:val="0071111D"/>
    <w:rsid w:val="00711131"/>
    <w:rsid w:val="0071122B"/>
    <w:rsid w:val="007113AD"/>
    <w:rsid w:val="0071147E"/>
    <w:rsid w:val="0071151F"/>
    <w:rsid w:val="007115F1"/>
    <w:rsid w:val="007116FB"/>
    <w:rsid w:val="007117BD"/>
    <w:rsid w:val="00711941"/>
    <w:rsid w:val="00711A35"/>
    <w:rsid w:val="00711DB9"/>
    <w:rsid w:val="007122D9"/>
    <w:rsid w:val="0071235D"/>
    <w:rsid w:val="00712373"/>
    <w:rsid w:val="007123B2"/>
    <w:rsid w:val="0071256C"/>
    <w:rsid w:val="00712584"/>
    <w:rsid w:val="007125CC"/>
    <w:rsid w:val="007128FD"/>
    <w:rsid w:val="00712D33"/>
    <w:rsid w:val="00712D3D"/>
    <w:rsid w:val="00712EE9"/>
    <w:rsid w:val="00712F8F"/>
    <w:rsid w:val="007133B6"/>
    <w:rsid w:val="00713696"/>
    <w:rsid w:val="0071370A"/>
    <w:rsid w:val="0071377A"/>
    <w:rsid w:val="007139D8"/>
    <w:rsid w:val="00713C1C"/>
    <w:rsid w:val="00713D23"/>
    <w:rsid w:val="00713E61"/>
    <w:rsid w:val="00714979"/>
    <w:rsid w:val="00714F74"/>
    <w:rsid w:val="00715288"/>
    <w:rsid w:val="0071532D"/>
    <w:rsid w:val="0071559B"/>
    <w:rsid w:val="00715621"/>
    <w:rsid w:val="00715721"/>
    <w:rsid w:val="00715C27"/>
    <w:rsid w:val="00715E77"/>
    <w:rsid w:val="007160C4"/>
    <w:rsid w:val="007161B0"/>
    <w:rsid w:val="007161F3"/>
    <w:rsid w:val="00716682"/>
    <w:rsid w:val="007166B8"/>
    <w:rsid w:val="0071674C"/>
    <w:rsid w:val="00716828"/>
    <w:rsid w:val="00716A71"/>
    <w:rsid w:val="00716D01"/>
    <w:rsid w:val="00716FA4"/>
    <w:rsid w:val="007171A3"/>
    <w:rsid w:val="0071721B"/>
    <w:rsid w:val="0071755A"/>
    <w:rsid w:val="007178EA"/>
    <w:rsid w:val="00717A53"/>
    <w:rsid w:val="00717BC7"/>
    <w:rsid w:val="00717F08"/>
    <w:rsid w:val="007202D5"/>
    <w:rsid w:val="00720329"/>
    <w:rsid w:val="00720332"/>
    <w:rsid w:val="00720358"/>
    <w:rsid w:val="007205EF"/>
    <w:rsid w:val="00720623"/>
    <w:rsid w:val="00720CAC"/>
    <w:rsid w:val="00720E7B"/>
    <w:rsid w:val="00720F22"/>
    <w:rsid w:val="00721170"/>
    <w:rsid w:val="007214B8"/>
    <w:rsid w:val="007215CB"/>
    <w:rsid w:val="00721613"/>
    <w:rsid w:val="00721628"/>
    <w:rsid w:val="0072162A"/>
    <w:rsid w:val="007216CE"/>
    <w:rsid w:val="00721A0B"/>
    <w:rsid w:val="00722045"/>
    <w:rsid w:val="00722547"/>
    <w:rsid w:val="00722635"/>
    <w:rsid w:val="007228CA"/>
    <w:rsid w:val="00722A8B"/>
    <w:rsid w:val="00722AAD"/>
    <w:rsid w:val="00722AF1"/>
    <w:rsid w:val="00722BA6"/>
    <w:rsid w:val="00722C5E"/>
    <w:rsid w:val="00722D7E"/>
    <w:rsid w:val="00722EFC"/>
    <w:rsid w:val="00722F9C"/>
    <w:rsid w:val="007232E0"/>
    <w:rsid w:val="007233AA"/>
    <w:rsid w:val="00723701"/>
    <w:rsid w:val="00723832"/>
    <w:rsid w:val="00723891"/>
    <w:rsid w:val="00723B10"/>
    <w:rsid w:val="00723B6B"/>
    <w:rsid w:val="00723D93"/>
    <w:rsid w:val="00723FF5"/>
    <w:rsid w:val="00724044"/>
    <w:rsid w:val="00724045"/>
    <w:rsid w:val="007240E4"/>
    <w:rsid w:val="0072423B"/>
    <w:rsid w:val="0072439B"/>
    <w:rsid w:val="007244CE"/>
    <w:rsid w:val="00724802"/>
    <w:rsid w:val="00724896"/>
    <w:rsid w:val="007248C9"/>
    <w:rsid w:val="00724F55"/>
    <w:rsid w:val="007250FA"/>
    <w:rsid w:val="00725233"/>
    <w:rsid w:val="00725631"/>
    <w:rsid w:val="007256F4"/>
    <w:rsid w:val="007258D2"/>
    <w:rsid w:val="00725AC8"/>
    <w:rsid w:val="00726434"/>
    <w:rsid w:val="00726648"/>
    <w:rsid w:val="007267CA"/>
    <w:rsid w:val="00726AA7"/>
    <w:rsid w:val="00726B9B"/>
    <w:rsid w:val="00726C7B"/>
    <w:rsid w:val="00726EDC"/>
    <w:rsid w:val="00726F5F"/>
    <w:rsid w:val="00727431"/>
    <w:rsid w:val="00727544"/>
    <w:rsid w:val="007277AD"/>
    <w:rsid w:val="00727D26"/>
    <w:rsid w:val="00727DE6"/>
    <w:rsid w:val="007301C8"/>
    <w:rsid w:val="0073027E"/>
    <w:rsid w:val="00730378"/>
    <w:rsid w:val="007304EC"/>
    <w:rsid w:val="0073076B"/>
    <w:rsid w:val="00730920"/>
    <w:rsid w:val="00730C5B"/>
    <w:rsid w:val="00730E79"/>
    <w:rsid w:val="007313BA"/>
    <w:rsid w:val="00731671"/>
    <w:rsid w:val="00731712"/>
    <w:rsid w:val="007317CE"/>
    <w:rsid w:val="007318A0"/>
    <w:rsid w:val="00731A64"/>
    <w:rsid w:val="00731BD0"/>
    <w:rsid w:val="00731BF6"/>
    <w:rsid w:val="00731ECF"/>
    <w:rsid w:val="007321CD"/>
    <w:rsid w:val="007323BE"/>
    <w:rsid w:val="007327E3"/>
    <w:rsid w:val="007328F9"/>
    <w:rsid w:val="0073293C"/>
    <w:rsid w:val="00732B20"/>
    <w:rsid w:val="00732C9A"/>
    <w:rsid w:val="00732D0A"/>
    <w:rsid w:val="00732DA3"/>
    <w:rsid w:val="00732E7E"/>
    <w:rsid w:val="0073340E"/>
    <w:rsid w:val="00733574"/>
    <w:rsid w:val="0073361C"/>
    <w:rsid w:val="007338BF"/>
    <w:rsid w:val="00733991"/>
    <w:rsid w:val="00733A6B"/>
    <w:rsid w:val="00733B67"/>
    <w:rsid w:val="00733B77"/>
    <w:rsid w:val="00733F20"/>
    <w:rsid w:val="00733FAD"/>
    <w:rsid w:val="0073404D"/>
    <w:rsid w:val="0073423E"/>
    <w:rsid w:val="00734415"/>
    <w:rsid w:val="0073445E"/>
    <w:rsid w:val="007346DA"/>
    <w:rsid w:val="00734746"/>
    <w:rsid w:val="007347BB"/>
    <w:rsid w:val="00734A3A"/>
    <w:rsid w:val="00734F84"/>
    <w:rsid w:val="00735483"/>
    <w:rsid w:val="0073561D"/>
    <w:rsid w:val="007358BB"/>
    <w:rsid w:val="00735AD9"/>
    <w:rsid w:val="00735B73"/>
    <w:rsid w:val="00735C9B"/>
    <w:rsid w:val="00735EA5"/>
    <w:rsid w:val="00736144"/>
    <w:rsid w:val="007361F5"/>
    <w:rsid w:val="007365C3"/>
    <w:rsid w:val="0073685D"/>
    <w:rsid w:val="0073692E"/>
    <w:rsid w:val="00736941"/>
    <w:rsid w:val="00736A00"/>
    <w:rsid w:val="00736A63"/>
    <w:rsid w:val="00736D54"/>
    <w:rsid w:val="00736D85"/>
    <w:rsid w:val="00736D92"/>
    <w:rsid w:val="00736D9D"/>
    <w:rsid w:val="007371FD"/>
    <w:rsid w:val="007372B5"/>
    <w:rsid w:val="0073787C"/>
    <w:rsid w:val="00737ADA"/>
    <w:rsid w:val="00737C25"/>
    <w:rsid w:val="00737C63"/>
    <w:rsid w:val="00737CB5"/>
    <w:rsid w:val="00737D68"/>
    <w:rsid w:val="00737E77"/>
    <w:rsid w:val="00737FF2"/>
    <w:rsid w:val="00740133"/>
    <w:rsid w:val="007403A2"/>
    <w:rsid w:val="007406F2"/>
    <w:rsid w:val="007406FE"/>
    <w:rsid w:val="00740724"/>
    <w:rsid w:val="00740E4C"/>
    <w:rsid w:val="00741004"/>
    <w:rsid w:val="007411D1"/>
    <w:rsid w:val="0074121E"/>
    <w:rsid w:val="00741353"/>
    <w:rsid w:val="007416B8"/>
    <w:rsid w:val="0074199E"/>
    <w:rsid w:val="00741AE7"/>
    <w:rsid w:val="00741E57"/>
    <w:rsid w:val="00741F30"/>
    <w:rsid w:val="00742133"/>
    <w:rsid w:val="007426AC"/>
    <w:rsid w:val="00742C17"/>
    <w:rsid w:val="00742F80"/>
    <w:rsid w:val="00743116"/>
    <w:rsid w:val="00743606"/>
    <w:rsid w:val="00743DC9"/>
    <w:rsid w:val="00743E20"/>
    <w:rsid w:val="00743F37"/>
    <w:rsid w:val="00744653"/>
    <w:rsid w:val="0074478D"/>
    <w:rsid w:val="00744A71"/>
    <w:rsid w:val="00744BF7"/>
    <w:rsid w:val="00744D32"/>
    <w:rsid w:val="00744E21"/>
    <w:rsid w:val="007452A5"/>
    <w:rsid w:val="007456B8"/>
    <w:rsid w:val="00745AA5"/>
    <w:rsid w:val="00745B1C"/>
    <w:rsid w:val="00745BD6"/>
    <w:rsid w:val="00745D07"/>
    <w:rsid w:val="00745D0B"/>
    <w:rsid w:val="00745F21"/>
    <w:rsid w:val="007460FC"/>
    <w:rsid w:val="007467E0"/>
    <w:rsid w:val="00746A55"/>
    <w:rsid w:val="00746AFA"/>
    <w:rsid w:val="00747214"/>
    <w:rsid w:val="007476B6"/>
    <w:rsid w:val="00747803"/>
    <w:rsid w:val="00747D87"/>
    <w:rsid w:val="00747E53"/>
    <w:rsid w:val="00747EEC"/>
    <w:rsid w:val="00747FAC"/>
    <w:rsid w:val="00747FE0"/>
    <w:rsid w:val="0075002B"/>
    <w:rsid w:val="00750242"/>
    <w:rsid w:val="0075068D"/>
    <w:rsid w:val="007508D9"/>
    <w:rsid w:val="007508DA"/>
    <w:rsid w:val="00750DDA"/>
    <w:rsid w:val="00750ECA"/>
    <w:rsid w:val="00750F9B"/>
    <w:rsid w:val="00751158"/>
    <w:rsid w:val="00751968"/>
    <w:rsid w:val="00751AE6"/>
    <w:rsid w:val="00751D49"/>
    <w:rsid w:val="00751E03"/>
    <w:rsid w:val="00751E31"/>
    <w:rsid w:val="00751F76"/>
    <w:rsid w:val="00751F90"/>
    <w:rsid w:val="0075204F"/>
    <w:rsid w:val="007520A1"/>
    <w:rsid w:val="007520FC"/>
    <w:rsid w:val="00752364"/>
    <w:rsid w:val="0075262C"/>
    <w:rsid w:val="00752642"/>
    <w:rsid w:val="00752674"/>
    <w:rsid w:val="00752943"/>
    <w:rsid w:val="00752BEA"/>
    <w:rsid w:val="00752D25"/>
    <w:rsid w:val="00752D84"/>
    <w:rsid w:val="00753035"/>
    <w:rsid w:val="007533F4"/>
    <w:rsid w:val="00753403"/>
    <w:rsid w:val="007534CE"/>
    <w:rsid w:val="007534D1"/>
    <w:rsid w:val="00753676"/>
    <w:rsid w:val="007536B2"/>
    <w:rsid w:val="007537BD"/>
    <w:rsid w:val="007539CF"/>
    <w:rsid w:val="00753D40"/>
    <w:rsid w:val="00753E5D"/>
    <w:rsid w:val="00754074"/>
    <w:rsid w:val="007541AE"/>
    <w:rsid w:val="007545B6"/>
    <w:rsid w:val="00754722"/>
    <w:rsid w:val="00754801"/>
    <w:rsid w:val="007548F2"/>
    <w:rsid w:val="00754A69"/>
    <w:rsid w:val="00754AAE"/>
    <w:rsid w:val="00754DA1"/>
    <w:rsid w:val="00754E39"/>
    <w:rsid w:val="0075559E"/>
    <w:rsid w:val="007557EB"/>
    <w:rsid w:val="00755823"/>
    <w:rsid w:val="007560CB"/>
    <w:rsid w:val="0075634F"/>
    <w:rsid w:val="007563D2"/>
    <w:rsid w:val="0075663A"/>
    <w:rsid w:val="007567D8"/>
    <w:rsid w:val="007568D2"/>
    <w:rsid w:val="00756C80"/>
    <w:rsid w:val="00756E77"/>
    <w:rsid w:val="007575E0"/>
    <w:rsid w:val="007577DB"/>
    <w:rsid w:val="007600FA"/>
    <w:rsid w:val="00760164"/>
    <w:rsid w:val="007601E1"/>
    <w:rsid w:val="00760208"/>
    <w:rsid w:val="0076051D"/>
    <w:rsid w:val="0076060D"/>
    <w:rsid w:val="00760635"/>
    <w:rsid w:val="007607CC"/>
    <w:rsid w:val="00760A03"/>
    <w:rsid w:val="00760CAB"/>
    <w:rsid w:val="00760D30"/>
    <w:rsid w:val="0076120A"/>
    <w:rsid w:val="00761499"/>
    <w:rsid w:val="00761542"/>
    <w:rsid w:val="00761586"/>
    <w:rsid w:val="00761A24"/>
    <w:rsid w:val="00761B36"/>
    <w:rsid w:val="00761F45"/>
    <w:rsid w:val="00762234"/>
    <w:rsid w:val="007623C6"/>
    <w:rsid w:val="0076252D"/>
    <w:rsid w:val="007626DA"/>
    <w:rsid w:val="0076280B"/>
    <w:rsid w:val="00762B58"/>
    <w:rsid w:val="00762C6E"/>
    <w:rsid w:val="00762F1E"/>
    <w:rsid w:val="007632CF"/>
    <w:rsid w:val="00763487"/>
    <w:rsid w:val="0076367C"/>
    <w:rsid w:val="007636DD"/>
    <w:rsid w:val="007638B9"/>
    <w:rsid w:val="007639C7"/>
    <w:rsid w:val="00763D88"/>
    <w:rsid w:val="00763EDE"/>
    <w:rsid w:val="007640BB"/>
    <w:rsid w:val="007643B5"/>
    <w:rsid w:val="007645AE"/>
    <w:rsid w:val="007645F8"/>
    <w:rsid w:val="00764B58"/>
    <w:rsid w:val="00764BE9"/>
    <w:rsid w:val="00764F97"/>
    <w:rsid w:val="00765056"/>
    <w:rsid w:val="00765326"/>
    <w:rsid w:val="00765377"/>
    <w:rsid w:val="007654B2"/>
    <w:rsid w:val="00765565"/>
    <w:rsid w:val="007656A4"/>
    <w:rsid w:val="00765CF7"/>
    <w:rsid w:val="00765FEA"/>
    <w:rsid w:val="00766015"/>
    <w:rsid w:val="00766019"/>
    <w:rsid w:val="00766273"/>
    <w:rsid w:val="00766290"/>
    <w:rsid w:val="00766302"/>
    <w:rsid w:val="0076656A"/>
    <w:rsid w:val="007665C0"/>
    <w:rsid w:val="007666A4"/>
    <w:rsid w:val="0076692F"/>
    <w:rsid w:val="00766B2F"/>
    <w:rsid w:val="00766B9C"/>
    <w:rsid w:val="00766F8F"/>
    <w:rsid w:val="007671E9"/>
    <w:rsid w:val="0076735B"/>
    <w:rsid w:val="007673A8"/>
    <w:rsid w:val="007673DF"/>
    <w:rsid w:val="0076767B"/>
    <w:rsid w:val="0076788C"/>
    <w:rsid w:val="0076795F"/>
    <w:rsid w:val="00767C54"/>
    <w:rsid w:val="00767EC0"/>
    <w:rsid w:val="00770102"/>
    <w:rsid w:val="00770346"/>
    <w:rsid w:val="007703B2"/>
    <w:rsid w:val="00770592"/>
    <w:rsid w:val="007706E2"/>
    <w:rsid w:val="00770725"/>
    <w:rsid w:val="00770C32"/>
    <w:rsid w:val="0077107B"/>
    <w:rsid w:val="00771149"/>
    <w:rsid w:val="00771305"/>
    <w:rsid w:val="00771776"/>
    <w:rsid w:val="0077185C"/>
    <w:rsid w:val="00771BD2"/>
    <w:rsid w:val="00771D9C"/>
    <w:rsid w:val="00771E57"/>
    <w:rsid w:val="00772033"/>
    <w:rsid w:val="007720E7"/>
    <w:rsid w:val="00772402"/>
    <w:rsid w:val="00772409"/>
    <w:rsid w:val="00772595"/>
    <w:rsid w:val="007726EE"/>
    <w:rsid w:val="00772948"/>
    <w:rsid w:val="007729EC"/>
    <w:rsid w:val="00772B59"/>
    <w:rsid w:val="00772BA6"/>
    <w:rsid w:val="007732C7"/>
    <w:rsid w:val="007739F9"/>
    <w:rsid w:val="00774219"/>
    <w:rsid w:val="007742C1"/>
    <w:rsid w:val="007743EE"/>
    <w:rsid w:val="007744FA"/>
    <w:rsid w:val="0077466A"/>
    <w:rsid w:val="007748B8"/>
    <w:rsid w:val="00774942"/>
    <w:rsid w:val="00775147"/>
    <w:rsid w:val="007751FF"/>
    <w:rsid w:val="0077535B"/>
    <w:rsid w:val="0077541B"/>
    <w:rsid w:val="00775A19"/>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16F1"/>
    <w:rsid w:val="00781D27"/>
    <w:rsid w:val="00782044"/>
    <w:rsid w:val="007821E3"/>
    <w:rsid w:val="00782672"/>
    <w:rsid w:val="0078278B"/>
    <w:rsid w:val="0078280B"/>
    <w:rsid w:val="00782859"/>
    <w:rsid w:val="007829D5"/>
    <w:rsid w:val="00782C10"/>
    <w:rsid w:val="00782F94"/>
    <w:rsid w:val="007833B3"/>
    <w:rsid w:val="007834D2"/>
    <w:rsid w:val="007835A6"/>
    <w:rsid w:val="007838B2"/>
    <w:rsid w:val="007838EC"/>
    <w:rsid w:val="00783D3F"/>
    <w:rsid w:val="00783EDC"/>
    <w:rsid w:val="00784019"/>
    <w:rsid w:val="007842C4"/>
    <w:rsid w:val="00784406"/>
    <w:rsid w:val="007847C6"/>
    <w:rsid w:val="00784AAE"/>
    <w:rsid w:val="00784B97"/>
    <w:rsid w:val="00784E2B"/>
    <w:rsid w:val="00784EFE"/>
    <w:rsid w:val="007854E0"/>
    <w:rsid w:val="007856E6"/>
    <w:rsid w:val="00785AB5"/>
    <w:rsid w:val="00785B1D"/>
    <w:rsid w:val="00785EA8"/>
    <w:rsid w:val="00785FF0"/>
    <w:rsid w:val="0078607A"/>
    <w:rsid w:val="007862B4"/>
    <w:rsid w:val="0078633E"/>
    <w:rsid w:val="007864DF"/>
    <w:rsid w:val="0078680C"/>
    <w:rsid w:val="00786858"/>
    <w:rsid w:val="00786884"/>
    <w:rsid w:val="00786A11"/>
    <w:rsid w:val="00786E12"/>
    <w:rsid w:val="00786F0B"/>
    <w:rsid w:val="00786F4C"/>
    <w:rsid w:val="00786FE5"/>
    <w:rsid w:val="007870FF"/>
    <w:rsid w:val="0078712E"/>
    <w:rsid w:val="007871B8"/>
    <w:rsid w:val="007873F8"/>
    <w:rsid w:val="007877B4"/>
    <w:rsid w:val="0078792E"/>
    <w:rsid w:val="00787988"/>
    <w:rsid w:val="00787DBC"/>
    <w:rsid w:val="00787EE6"/>
    <w:rsid w:val="0079011B"/>
    <w:rsid w:val="0079015F"/>
    <w:rsid w:val="00790470"/>
    <w:rsid w:val="00790795"/>
    <w:rsid w:val="007909E2"/>
    <w:rsid w:val="00790ABF"/>
    <w:rsid w:val="00790B00"/>
    <w:rsid w:val="00790F59"/>
    <w:rsid w:val="00790F85"/>
    <w:rsid w:val="00791117"/>
    <w:rsid w:val="0079155D"/>
    <w:rsid w:val="00791728"/>
    <w:rsid w:val="007917D4"/>
    <w:rsid w:val="00791FA8"/>
    <w:rsid w:val="00792576"/>
    <w:rsid w:val="00792585"/>
    <w:rsid w:val="0079281A"/>
    <w:rsid w:val="00792981"/>
    <w:rsid w:val="00792D22"/>
    <w:rsid w:val="00792F2B"/>
    <w:rsid w:val="00792F32"/>
    <w:rsid w:val="00792F93"/>
    <w:rsid w:val="0079315C"/>
    <w:rsid w:val="00793191"/>
    <w:rsid w:val="00793197"/>
    <w:rsid w:val="0079351E"/>
    <w:rsid w:val="007935FB"/>
    <w:rsid w:val="00793A98"/>
    <w:rsid w:val="00793C4B"/>
    <w:rsid w:val="00793C8F"/>
    <w:rsid w:val="00793F0B"/>
    <w:rsid w:val="007941D2"/>
    <w:rsid w:val="007941D6"/>
    <w:rsid w:val="0079470B"/>
    <w:rsid w:val="00794AF5"/>
    <w:rsid w:val="00794B3C"/>
    <w:rsid w:val="00794BB7"/>
    <w:rsid w:val="00794BF0"/>
    <w:rsid w:val="00794DBB"/>
    <w:rsid w:val="00794E68"/>
    <w:rsid w:val="00794EC3"/>
    <w:rsid w:val="00795262"/>
    <w:rsid w:val="007954E9"/>
    <w:rsid w:val="00795616"/>
    <w:rsid w:val="00795791"/>
    <w:rsid w:val="00795AB1"/>
    <w:rsid w:val="00795E32"/>
    <w:rsid w:val="00795E5F"/>
    <w:rsid w:val="007963A4"/>
    <w:rsid w:val="007964F8"/>
    <w:rsid w:val="007965BD"/>
    <w:rsid w:val="00796624"/>
    <w:rsid w:val="00796828"/>
    <w:rsid w:val="0079699F"/>
    <w:rsid w:val="00796C19"/>
    <w:rsid w:val="00796C4B"/>
    <w:rsid w:val="00796C6B"/>
    <w:rsid w:val="00796CFF"/>
    <w:rsid w:val="00796D66"/>
    <w:rsid w:val="00796F07"/>
    <w:rsid w:val="00797072"/>
    <w:rsid w:val="007970B7"/>
    <w:rsid w:val="007975D5"/>
    <w:rsid w:val="007975F0"/>
    <w:rsid w:val="00797827"/>
    <w:rsid w:val="007978AB"/>
    <w:rsid w:val="007978D8"/>
    <w:rsid w:val="007978F4"/>
    <w:rsid w:val="0079793D"/>
    <w:rsid w:val="00797B3F"/>
    <w:rsid w:val="00797E76"/>
    <w:rsid w:val="007A005A"/>
    <w:rsid w:val="007A02BF"/>
    <w:rsid w:val="007A070B"/>
    <w:rsid w:val="007A076B"/>
    <w:rsid w:val="007A0830"/>
    <w:rsid w:val="007A0ACD"/>
    <w:rsid w:val="007A0DB9"/>
    <w:rsid w:val="007A0E08"/>
    <w:rsid w:val="007A1255"/>
    <w:rsid w:val="007A154A"/>
    <w:rsid w:val="007A1570"/>
    <w:rsid w:val="007A1848"/>
    <w:rsid w:val="007A185B"/>
    <w:rsid w:val="007A1942"/>
    <w:rsid w:val="007A1AC1"/>
    <w:rsid w:val="007A1B73"/>
    <w:rsid w:val="007A1BB1"/>
    <w:rsid w:val="007A1BE7"/>
    <w:rsid w:val="007A1DB8"/>
    <w:rsid w:val="007A1FF6"/>
    <w:rsid w:val="007A2095"/>
    <w:rsid w:val="007A212A"/>
    <w:rsid w:val="007A2187"/>
    <w:rsid w:val="007A2323"/>
    <w:rsid w:val="007A25DF"/>
    <w:rsid w:val="007A2A24"/>
    <w:rsid w:val="007A2F7A"/>
    <w:rsid w:val="007A2F8B"/>
    <w:rsid w:val="007A2FC4"/>
    <w:rsid w:val="007A3059"/>
    <w:rsid w:val="007A31FD"/>
    <w:rsid w:val="007A36B2"/>
    <w:rsid w:val="007A38C6"/>
    <w:rsid w:val="007A3BE9"/>
    <w:rsid w:val="007A3C00"/>
    <w:rsid w:val="007A3C7E"/>
    <w:rsid w:val="007A3C8C"/>
    <w:rsid w:val="007A3F12"/>
    <w:rsid w:val="007A4099"/>
    <w:rsid w:val="007A431A"/>
    <w:rsid w:val="007A4454"/>
    <w:rsid w:val="007A4628"/>
    <w:rsid w:val="007A4727"/>
    <w:rsid w:val="007A4857"/>
    <w:rsid w:val="007A4D81"/>
    <w:rsid w:val="007A4EE1"/>
    <w:rsid w:val="007A51C8"/>
    <w:rsid w:val="007A52B8"/>
    <w:rsid w:val="007A56B0"/>
    <w:rsid w:val="007A5BB2"/>
    <w:rsid w:val="007A6091"/>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46D"/>
    <w:rsid w:val="007B0872"/>
    <w:rsid w:val="007B0A6F"/>
    <w:rsid w:val="007B0A70"/>
    <w:rsid w:val="007B0B17"/>
    <w:rsid w:val="007B0DDE"/>
    <w:rsid w:val="007B0E0F"/>
    <w:rsid w:val="007B0F28"/>
    <w:rsid w:val="007B15DF"/>
    <w:rsid w:val="007B1A55"/>
    <w:rsid w:val="007B1D82"/>
    <w:rsid w:val="007B2232"/>
    <w:rsid w:val="007B24A7"/>
    <w:rsid w:val="007B2D20"/>
    <w:rsid w:val="007B2F1D"/>
    <w:rsid w:val="007B2FE8"/>
    <w:rsid w:val="007B3064"/>
    <w:rsid w:val="007B316C"/>
    <w:rsid w:val="007B352D"/>
    <w:rsid w:val="007B3662"/>
    <w:rsid w:val="007B3A87"/>
    <w:rsid w:val="007B3B75"/>
    <w:rsid w:val="007B3BE0"/>
    <w:rsid w:val="007B3E32"/>
    <w:rsid w:val="007B3E71"/>
    <w:rsid w:val="007B3F28"/>
    <w:rsid w:val="007B403A"/>
    <w:rsid w:val="007B40AC"/>
    <w:rsid w:val="007B41DE"/>
    <w:rsid w:val="007B42D7"/>
    <w:rsid w:val="007B4770"/>
    <w:rsid w:val="007B4882"/>
    <w:rsid w:val="007B4AA0"/>
    <w:rsid w:val="007B4DD1"/>
    <w:rsid w:val="007B4FDC"/>
    <w:rsid w:val="007B51A5"/>
    <w:rsid w:val="007B571B"/>
    <w:rsid w:val="007B5722"/>
    <w:rsid w:val="007B5C05"/>
    <w:rsid w:val="007B6B73"/>
    <w:rsid w:val="007B7110"/>
    <w:rsid w:val="007B7165"/>
    <w:rsid w:val="007B75E3"/>
    <w:rsid w:val="007B7688"/>
    <w:rsid w:val="007B7811"/>
    <w:rsid w:val="007B7BD9"/>
    <w:rsid w:val="007B7DD4"/>
    <w:rsid w:val="007C01AB"/>
    <w:rsid w:val="007C02A0"/>
    <w:rsid w:val="007C038C"/>
    <w:rsid w:val="007C071E"/>
    <w:rsid w:val="007C09AD"/>
    <w:rsid w:val="007C0AFD"/>
    <w:rsid w:val="007C0B80"/>
    <w:rsid w:val="007C0EBE"/>
    <w:rsid w:val="007C14BD"/>
    <w:rsid w:val="007C1659"/>
    <w:rsid w:val="007C16E6"/>
    <w:rsid w:val="007C17DF"/>
    <w:rsid w:val="007C1921"/>
    <w:rsid w:val="007C1B81"/>
    <w:rsid w:val="007C1BF7"/>
    <w:rsid w:val="007C1D1C"/>
    <w:rsid w:val="007C1EDC"/>
    <w:rsid w:val="007C1FA5"/>
    <w:rsid w:val="007C2044"/>
    <w:rsid w:val="007C2154"/>
    <w:rsid w:val="007C21B2"/>
    <w:rsid w:val="007C2706"/>
    <w:rsid w:val="007C27E3"/>
    <w:rsid w:val="007C293B"/>
    <w:rsid w:val="007C2AF9"/>
    <w:rsid w:val="007C2B8F"/>
    <w:rsid w:val="007C2D03"/>
    <w:rsid w:val="007C2EA6"/>
    <w:rsid w:val="007C340C"/>
    <w:rsid w:val="007C342C"/>
    <w:rsid w:val="007C3494"/>
    <w:rsid w:val="007C3609"/>
    <w:rsid w:val="007C363C"/>
    <w:rsid w:val="007C3A33"/>
    <w:rsid w:val="007C3B82"/>
    <w:rsid w:val="007C3C8B"/>
    <w:rsid w:val="007C3D68"/>
    <w:rsid w:val="007C3F5B"/>
    <w:rsid w:val="007C3FB7"/>
    <w:rsid w:val="007C3FFB"/>
    <w:rsid w:val="007C4004"/>
    <w:rsid w:val="007C42B6"/>
    <w:rsid w:val="007C4455"/>
    <w:rsid w:val="007C47C5"/>
    <w:rsid w:val="007C4AE8"/>
    <w:rsid w:val="007C4B33"/>
    <w:rsid w:val="007C4B70"/>
    <w:rsid w:val="007C4BBE"/>
    <w:rsid w:val="007C4BC8"/>
    <w:rsid w:val="007C4BDA"/>
    <w:rsid w:val="007C4E47"/>
    <w:rsid w:val="007C4E89"/>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01D"/>
    <w:rsid w:val="007C7293"/>
    <w:rsid w:val="007C72A9"/>
    <w:rsid w:val="007C7496"/>
    <w:rsid w:val="007C75A0"/>
    <w:rsid w:val="007C773A"/>
    <w:rsid w:val="007C78D5"/>
    <w:rsid w:val="007C7C02"/>
    <w:rsid w:val="007C7D0C"/>
    <w:rsid w:val="007C7EF8"/>
    <w:rsid w:val="007C7F92"/>
    <w:rsid w:val="007D0613"/>
    <w:rsid w:val="007D068F"/>
    <w:rsid w:val="007D0746"/>
    <w:rsid w:val="007D08C9"/>
    <w:rsid w:val="007D098A"/>
    <w:rsid w:val="007D0AFA"/>
    <w:rsid w:val="007D0C79"/>
    <w:rsid w:val="007D0D8C"/>
    <w:rsid w:val="007D0F03"/>
    <w:rsid w:val="007D145F"/>
    <w:rsid w:val="007D1482"/>
    <w:rsid w:val="007D16DF"/>
    <w:rsid w:val="007D1D75"/>
    <w:rsid w:val="007D2557"/>
    <w:rsid w:val="007D26E9"/>
    <w:rsid w:val="007D2729"/>
    <w:rsid w:val="007D2C1C"/>
    <w:rsid w:val="007D307E"/>
    <w:rsid w:val="007D30C5"/>
    <w:rsid w:val="007D340C"/>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78D"/>
    <w:rsid w:val="007D69E5"/>
    <w:rsid w:val="007D6AA9"/>
    <w:rsid w:val="007D6E83"/>
    <w:rsid w:val="007D7007"/>
    <w:rsid w:val="007D7018"/>
    <w:rsid w:val="007D708E"/>
    <w:rsid w:val="007D726C"/>
    <w:rsid w:val="007D72F0"/>
    <w:rsid w:val="007D74D1"/>
    <w:rsid w:val="007D7B80"/>
    <w:rsid w:val="007D7B91"/>
    <w:rsid w:val="007D7C4B"/>
    <w:rsid w:val="007D7F63"/>
    <w:rsid w:val="007E0018"/>
    <w:rsid w:val="007E00D6"/>
    <w:rsid w:val="007E00D7"/>
    <w:rsid w:val="007E05C2"/>
    <w:rsid w:val="007E0623"/>
    <w:rsid w:val="007E0649"/>
    <w:rsid w:val="007E0AE8"/>
    <w:rsid w:val="007E0B59"/>
    <w:rsid w:val="007E0B7D"/>
    <w:rsid w:val="007E0BB1"/>
    <w:rsid w:val="007E0D8E"/>
    <w:rsid w:val="007E0E80"/>
    <w:rsid w:val="007E0FB2"/>
    <w:rsid w:val="007E106E"/>
    <w:rsid w:val="007E10C5"/>
    <w:rsid w:val="007E110C"/>
    <w:rsid w:val="007E140F"/>
    <w:rsid w:val="007E1533"/>
    <w:rsid w:val="007E15D2"/>
    <w:rsid w:val="007E169B"/>
    <w:rsid w:val="007E1769"/>
    <w:rsid w:val="007E17B6"/>
    <w:rsid w:val="007E1E40"/>
    <w:rsid w:val="007E1EC5"/>
    <w:rsid w:val="007E1FD1"/>
    <w:rsid w:val="007E231A"/>
    <w:rsid w:val="007E2523"/>
    <w:rsid w:val="007E2972"/>
    <w:rsid w:val="007E2A26"/>
    <w:rsid w:val="007E2D66"/>
    <w:rsid w:val="007E328C"/>
    <w:rsid w:val="007E3476"/>
    <w:rsid w:val="007E389F"/>
    <w:rsid w:val="007E394A"/>
    <w:rsid w:val="007E3D8C"/>
    <w:rsid w:val="007E3DCD"/>
    <w:rsid w:val="007E3F71"/>
    <w:rsid w:val="007E3F9A"/>
    <w:rsid w:val="007E3FF9"/>
    <w:rsid w:val="007E420F"/>
    <w:rsid w:val="007E4439"/>
    <w:rsid w:val="007E46E5"/>
    <w:rsid w:val="007E4ABD"/>
    <w:rsid w:val="007E4C85"/>
    <w:rsid w:val="007E4DB7"/>
    <w:rsid w:val="007E4DBA"/>
    <w:rsid w:val="007E4F81"/>
    <w:rsid w:val="007E4FAB"/>
    <w:rsid w:val="007E51F1"/>
    <w:rsid w:val="007E5227"/>
    <w:rsid w:val="007E58D2"/>
    <w:rsid w:val="007E5A75"/>
    <w:rsid w:val="007E5CDD"/>
    <w:rsid w:val="007E5DC7"/>
    <w:rsid w:val="007E6092"/>
    <w:rsid w:val="007E611A"/>
    <w:rsid w:val="007E61BA"/>
    <w:rsid w:val="007E622B"/>
    <w:rsid w:val="007E636B"/>
    <w:rsid w:val="007E6412"/>
    <w:rsid w:val="007E66F6"/>
    <w:rsid w:val="007E670F"/>
    <w:rsid w:val="007E694B"/>
    <w:rsid w:val="007E6A12"/>
    <w:rsid w:val="007E6C57"/>
    <w:rsid w:val="007E6EB3"/>
    <w:rsid w:val="007E7004"/>
    <w:rsid w:val="007E7052"/>
    <w:rsid w:val="007E71A0"/>
    <w:rsid w:val="007E7C25"/>
    <w:rsid w:val="007E7D58"/>
    <w:rsid w:val="007E7E0C"/>
    <w:rsid w:val="007E7E1B"/>
    <w:rsid w:val="007F0021"/>
    <w:rsid w:val="007F00D0"/>
    <w:rsid w:val="007F013D"/>
    <w:rsid w:val="007F018F"/>
    <w:rsid w:val="007F060D"/>
    <w:rsid w:val="007F06C9"/>
    <w:rsid w:val="007F0861"/>
    <w:rsid w:val="007F08CD"/>
    <w:rsid w:val="007F0991"/>
    <w:rsid w:val="007F0C6F"/>
    <w:rsid w:val="007F0D35"/>
    <w:rsid w:val="007F0D59"/>
    <w:rsid w:val="007F0E4A"/>
    <w:rsid w:val="007F0F47"/>
    <w:rsid w:val="007F10A3"/>
    <w:rsid w:val="007F1161"/>
    <w:rsid w:val="007F1491"/>
    <w:rsid w:val="007F14DD"/>
    <w:rsid w:val="007F1616"/>
    <w:rsid w:val="007F1C48"/>
    <w:rsid w:val="007F1DDA"/>
    <w:rsid w:val="007F1DE2"/>
    <w:rsid w:val="007F2126"/>
    <w:rsid w:val="007F2210"/>
    <w:rsid w:val="007F23C6"/>
    <w:rsid w:val="007F23F7"/>
    <w:rsid w:val="007F26B1"/>
    <w:rsid w:val="007F272C"/>
    <w:rsid w:val="007F2855"/>
    <w:rsid w:val="007F2887"/>
    <w:rsid w:val="007F28B3"/>
    <w:rsid w:val="007F30D6"/>
    <w:rsid w:val="007F3574"/>
    <w:rsid w:val="007F35CB"/>
    <w:rsid w:val="007F35D8"/>
    <w:rsid w:val="007F3EE7"/>
    <w:rsid w:val="007F3F18"/>
    <w:rsid w:val="007F4286"/>
    <w:rsid w:val="007F436D"/>
    <w:rsid w:val="007F439F"/>
    <w:rsid w:val="007F4659"/>
    <w:rsid w:val="007F4F5B"/>
    <w:rsid w:val="007F5049"/>
    <w:rsid w:val="007F51E0"/>
    <w:rsid w:val="007F5257"/>
    <w:rsid w:val="007F5303"/>
    <w:rsid w:val="007F59A8"/>
    <w:rsid w:val="007F5BF3"/>
    <w:rsid w:val="007F5CF7"/>
    <w:rsid w:val="007F5F31"/>
    <w:rsid w:val="007F602A"/>
    <w:rsid w:val="007F6211"/>
    <w:rsid w:val="007F6332"/>
    <w:rsid w:val="007F6365"/>
    <w:rsid w:val="007F658B"/>
    <w:rsid w:val="007F6790"/>
    <w:rsid w:val="007F67A2"/>
    <w:rsid w:val="007F692B"/>
    <w:rsid w:val="007F6BD1"/>
    <w:rsid w:val="007F6E76"/>
    <w:rsid w:val="007F6FB9"/>
    <w:rsid w:val="007F70B6"/>
    <w:rsid w:val="007F71AE"/>
    <w:rsid w:val="007F7291"/>
    <w:rsid w:val="007F740E"/>
    <w:rsid w:val="007F742F"/>
    <w:rsid w:val="007F74B0"/>
    <w:rsid w:val="007F74D0"/>
    <w:rsid w:val="007F79AF"/>
    <w:rsid w:val="007F7BD7"/>
    <w:rsid w:val="007F7BF6"/>
    <w:rsid w:val="007F7F4A"/>
    <w:rsid w:val="007F7F7C"/>
    <w:rsid w:val="00800415"/>
    <w:rsid w:val="00800503"/>
    <w:rsid w:val="00800612"/>
    <w:rsid w:val="00800819"/>
    <w:rsid w:val="0080087E"/>
    <w:rsid w:val="0080091F"/>
    <w:rsid w:val="008009C7"/>
    <w:rsid w:val="00800C27"/>
    <w:rsid w:val="00800C96"/>
    <w:rsid w:val="00800D3E"/>
    <w:rsid w:val="00800D6D"/>
    <w:rsid w:val="00800F0C"/>
    <w:rsid w:val="008012E5"/>
    <w:rsid w:val="00801364"/>
    <w:rsid w:val="00801C4B"/>
    <w:rsid w:val="00801C6E"/>
    <w:rsid w:val="00801C8D"/>
    <w:rsid w:val="00801CCE"/>
    <w:rsid w:val="00801E28"/>
    <w:rsid w:val="00802308"/>
    <w:rsid w:val="008027B7"/>
    <w:rsid w:val="00802A27"/>
    <w:rsid w:val="00802AD9"/>
    <w:rsid w:val="00802BB5"/>
    <w:rsid w:val="00802C4D"/>
    <w:rsid w:val="00802C93"/>
    <w:rsid w:val="00802E19"/>
    <w:rsid w:val="00802E46"/>
    <w:rsid w:val="00802F6B"/>
    <w:rsid w:val="00802FC3"/>
    <w:rsid w:val="008031EB"/>
    <w:rsid w:val="008034F4"/>
    <w:rsid w:val="008035D8"/>
    <w:rsid w:val="00803A22"/>
    <w:rsid w:val="008040C4"/>
    <w:rsid w:val="00804101"/>
    <w:rsid w:val="00804180"/>
    <w:rsid w:val="008045A9"/>
    <w:rsid w:val="008048B9"/>
    <w:rsid w:val="00804EB3"/>
    <w:rsid w:val="00805125"/>
    <w:rsid w:val="008056E6"/>
    <w:rsid w:val="00805778"/>
    <w:rsid w:val="008057CB"/>
    <w:rsid w:val="00805F7F"/>
    <w:rsid w:val="0080620F"/>
    <w:rsid w:val="0080621A"/>
    <w:rsid w:val="00806290"/>
    <w:rsid w:val="008064DE"/>
    <w:rsid w:val="008065E5"/>
    <w:rsid w:val="00806897"/>
    <w:rsid w:val="00806C22"/>
    <w:rsid w:val="008070E1"/>
    <w:rsid w:val="00807515"/>
    <w:rsid w:val="00807784"/>
    <w:rsid w:val="008077CA"/>
    <w:rsid w:val="008079AA"/>
    <w:rsid w:val="00807B77"/>
    <w:rsid w:val="00807CFC"/>
    <w:rsid w:val="00807DA0"/>
    <w:rsid w:val="00807DE4"/>
    <w:rsid w:val="00807E0A"/>
    <w:rsid w:val="00807E27"/>
    <w:rsid w:val="00807F95"/>
    <w:rsid w:val="0081019C"/>
    <w:rsid w:val="0081024A"/>
    <w:rsid w:val="0081029F"/>
    <w:rsid w:val="008102A0"/>
    <w:rsid w:val="00810436"/>
    <w:rsid w:val="008104E3"/>
    <w:rsid w:val="0081057F"/>
    <w:rsid w:val="00810600"/>
    <w:rsid w:val="00810C16"/>
    <w:rsid w:val="00810CA9"/>
    <w:rsid w:val="00810E40"/>
    <w:rsid w:val="00810E78"/>
    <w:rsid w:val="00810F37"/>
    <w:rsid w:val="00811251"/>
    <w:rsid w:val="008112FB"/>
    <w:rsid w:val="0081138A"/>
    <w:rsid w:val="0081192B"/>
    <w:rsid w:val="00811D6F"/>
    <w:rsid w:val="00811D86"/>
    <w:rsid w:val="00811DFA"/>
    <w:rsid w:val="00812308"/>
    <w:rsid w:val="008123D7"/>
    <w:rsid w:val="008124D1"/>
    <w:rsid w:val="0081254D"/>
    <w:rsid w:val="008129FD"/>
    <w:rsid w:val="00812AF6"/>
    <w:rsid w:val="0081324A"/>
    <w:rsid w:val="0081327F"/>
    <w:rsid w:val="008133C6"/>
    <w:rsid w:val="0081341A"/>
    <w:rsid w:val="0081349A"/>
    <w:rsid w:val="008134C5"/>
    <w:rsid w:val="0081353D"/>
    <w:rsid w:val="0081358A"/>
    <w:rsid w:val="008139A6"/>
    <w:rsid w:val="00813C70"/>
    <w:rsid w:val="00813CDE"/>
    <w:rsid w:val="00813ED3"/>
    <w:rsid w:val="00814046"/>
    <w:rsid w:val="008140A2"/>
    <w:rsid w:val="00814293"/>
    <w:rsid w:val="008143E7"/>
    <w:rsid w:val="0081455E"/>
    <w:rsid w:val="008145D8"/>
    <w:rsid w:val="00814737"/>
    <w:rsid w:val="008147CA"/>
    <w:rsid w:val="00814916"/>
    <w:rsid w:val="008149F8"/>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E0"/>
    <w:rsid w:val="008165F2"/>
    <w:rsid w:val="00816606"/>
    <w:rsid w:val="00816E3F"/>
    <w:rsid w:val="008170C4"/>
    <w:rsid w:val="00817346"/>
    <w:rsid w:val="00817427"/>
    <w:rsid w:val="008174B1"/>
    <w:rsid w:val="008178D6"/>
    <w:rsid w:val="008179FC"/>
    <w:rsid w:val="00817A26"/>
    <w:rsid w:val="00817F45"/>
    <w:rsid w:val="00817FBA"/>
    <w:rsid w:val="008202AF"/>
    <w:rsid w:val="008204AC"/>
    <w:rsid w:val="008206D4"/>
    <w:rsid w:val="008207D8"/>
    <w:rsid w:val="008208F0"/>
    <w:rsid w:val="008209FC"/>
    <w:rsid w:val="00820D1A"/>
    <w:rsid w:val="00820D82"/>
    <w:rsid w:val="008212C5"/>
    <w:rsid w:val="00821676"/>
    <w:rsid w:val="00821A88"/>
    <w:rsid w:val="00821B96"/>
    <w:rsid w:val="00821F6F"/>
    <w:rsid w:val="00821FE3"/>
    <w:rsid w:val="00822343"/>
    <w:rsid w:val="0082264F"/>
    <w:rsid w:val="00822683"/>
    <w:rsid w:val="008226DF"/>
    <w:rsid w:val="008229A3"/>
    <w:rsid w:val="00822C1B"/>
    <w:rsid w:val="00822EEF"/>
    <w:rsid w:val="00823398"/>
    <w:rsid w:val="00823686"/>
    <w:rsid w:val="008237A5"/>
    <w:rsid w:val="00823B9B"/>
    <w:rsid w:val="008240F3"/>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078"/>
    <w:rsid w:val="008261B2"/>
    <w:rsid w:val="008261D1"/>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C34"/>
    <w:rsid w:val="00831D11"/>
    <w:rsid w:val="00831ED9"/>
    <w:rsid w:val="0083218E"/>
    <w:rsid w:val="008324A4"/>
    <w:rsid w:val="008325F4"/>
    <w:rsid w:val="0083291C"/>
    <w:rsid w:val="00832D9A"/>
    <w:rsid w:val="00832E08"/>
    <w:rsid w:val="00832FCB"/>
    <w:rsid w:val="008331A5"/>
    <w:rsid w:val="00833275"/>
    <w:rsid w:val="00833400"/>
    <w:rsid w:val="00833B7B"/>
    <w:rsid w:val="00833BAA"/>
    <w:rsid w:val="00833D4F"/>
    <w:rsid w:val="00833DAD"/>
    <w:rsid w:val="00833DB5"/>
    <w:rsid w:val="00833E66"/>
    <w:rsid w:val="0083408F"/>
    <w:rsid w:val="00834186"/>
    <w:rsid w:val="008344A2"/>
    <w:rsid w:val="008344E5"/>
    <w:rsid w:val="008344EE"/>
    <w:rsid w:val="00834A03"/>
    <w:rsid w:val="00834C75"/>
    <w:rsid w:val="00834E65"/>
    <w:rsid w:val="00835127"/>
    <w:rsid w:val="00835338"/>
    <w:rsid w:val="008357A8"/>
    <w:rsid w:val="00835A9E"/>
    <w:rsid w:val="00835B8B"/>
    <w:rsid w:val="00835C04"/>
    <w:rsid w:val="008360D1"/>
    <w:rsid w:val="0083616D"/>
    <w:rsid w:val="00836840"/>
    <w:rsid w:val="008368BE"/>
    <w:rsid w:val="00836A5A"/>
    <w:rsid w:val="00836C33"/>
    <w:rsid w:val="00836D01"/>
    <w:rsid w:val="00836F7A"/>
    <w:rsid w:val="00837066"/>
    <w:rsid w:val="008370AB"/>
    <w:rsid w:val="008370D8"/>
    <w:rsid w:val="0083737A"/>
    <w:rsid w:val="008373DC"/>
    <w:rsid w:val="008376EC"/>
    <w:rsid w:val="00837B7F"/>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C53"/>
    <w:rsid w:val="00842D2A"/>
    <w:rsid w:val="00843106"/>
    <w:rsid w:val="0084310D"/>
    <w:rsid w:val="008431B0"/>
    <w:rsid w:val="00843290"/>
    <w:rsid w:val="00843438"/>
    <w:rsid w:val="00843795"/>
    <w:rsid w:val="00843901"/>
    <w:rsid w:val="00843AC8"/>
    <w:rsid w:val="00843CB0"/>
    <w:rsid w:val="00843D9D"/>
    <w:rsid w:val="00843DB9"/>
    <w:rsid w:val="00843F97"/>
    <w:rsid w:val="0084410B"/>
    <w:rsid w:val="00844266"/>
    <w:rsid w:val="00844869"/>
    <w:rsid w:val="0084489C"/>
    <w:rsid w:val="008448A5"/>
    <w:rsid w:val="008449A8"/>
    <w:rsid w:val="00844B4B"/>
    <w:rsid w:val="00844B9B"/>
    <w:rsid w:val="00844EF3"/>
    <w:rsid w:val="00844FCD"/>
    <w:rsid w:val="00844FD5"/>
    <w:rsid w:val="0084505F"/>
    <w:rsid w:val="0084521E"/>
    <w:rsid w:val="008457C9"/>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5D6"/>
    <w:rsid w:val="008478E9"/>
    <w:rsid w:val="00847917"/>
    <w:rsid w:val="00847A3E"/>
    <w:rsid w:val="00847CF8"/>
    <w:rsid w:val="00847E1B"/>
    <w:rsid w:val="00847F86"/>
    <w:rsid w:val="0085016E"/>
    <w:rsid w:val="008502C5"/>
    <w:rsid w:val="008502D3"/>
    <w:rsid w:val="00850484"/>
    <w:rsid w:val="008504EF"/>
    <w:rsid w:val="008509D4"/>
    <w:rsid w:val="00850A43"/>
    <w:rsid w:val="00850BC6"/>
    <w:rsid w:val="00850F26"/>
    <w:rsid w:val="00851049"/>
    <w:rsid w:val="0085147D"/>
    <w:rsid w:val="0085177C"/>
    <w:rsid w:val="00851798"/>
    <w:rsid w:val="00851C32"/>
    <w:rsid w:val="00851D0C"/>
    <w:rsid w:val="00851DA3"/>
    <w:rsid w:val="00851E01"/>
    <w:rsid w:val="008520E2"/>
    <w:rsid w:val="00852370"/>
    <w:rsid w:val="00852685"/>
    <w:rsid w:val="0085271E"/>
    <w:rsid w:val="0085295E"/>
    <w:rsid w:val="00852D17"/>
    <w:rsid w:val="00852FD8"/>
    <w:rsid w:val="008536BC"/>
    <w:rsid w:val="008538B7"/>
    <w:rsid w:val="00853A38"/>
    <w:rsid w:val="00853DEB"/>
    <w:rsid w:val="00853E15"/>
    <w:rsid w:val="00853E62"/>
    <w:rsid w:val="00853E81"/>
    <w:rsid w:val="00853E9C"/>
    <w:rsid w:val="0085416F"/>
    <w:rsid w:val="00854304"/>
    <w:rsid w:val="008548DE"/>
    <w:rsid w:val="0085496C"/>
    <w:rsid w:val="00854B3A"/>
    <w:rsid w:val="00854BA1"/>
    <w:rsid w:val="00854C94"/>
    <w:rsid w:val="00854DDD"/>
    <w:rsid w:val="00854FF2"/>
    <w:rsid w:val="0085520A"/>
    <w:rsid w:val="0085534F"/>
    <w:rsid w:val="008553C2"/>
    <w:rsid w:val="0085560D"/>
    <w:rsid w:val="00855611"/>
    <w:rsid w:val="00856141"/>
    <w:rsid w:val="008565F2"/>
    <w:rsid w:val="00856937"/>
    <w:rsid w:val="00856A15"/>
    <w:rsid w:val="00856B61"/>
    <w:rsid w:val="00856CBF"/>
    <w:rsid w:val="00856CF5"/>
    <w:rsid w:val="00856EFE"/>
    <w:rsid w:val="00856F1F"/>
    <w:rsid w:val="008574D6"/>
    <w:rsid w:val="00857668"/>
    <w:rsid w:val="00857705"/>
    <w:rsid w:val="0085788D"/>
    <w:rsid w:val="008578D1"/>
    <w:rsid w:val="00857A1A"/>
    <w:rsid w:val="00857A7A"/>
    <w:rsid w:val="00857EA7"/>
    <w:rsid w:val="00860292"/>
    <w:rsid w:val="0086034A"/>
    <w:rsid w:val="008605AA"/>
    <w:rsid w:val="00860621"/>
    <w:rsid w:val="00860DEA"/>
    <w:rsid w:val="00860E79"/>
    <w:rsid w:val="00860EB0"/>
    <w:rsid w:val="008610FD"/>
    <w:rsid w:val="00861243"/>
    <w:rsid w:val="00861261"/>
    <w:rsid w:val="00861310"/>
    <w:rsid w:val="00861916"/>
    <w:rsid w:val="00861974"/>
    <w:rsid w:val="00861C49"/>
    <w:rsid w:val="00861DD0"/>
    <w:rsid w:val="0086219C"/>
    <w:rsid w:val="00862572"/>
    <w:rsid w:val="008625B4"/>
    <w:rsid w:val="0086264B"/>
    <w:rsid w:val="0086283C"/>
    <w:rsid w:val="008629A2"/>
    <w:rsid w:val="00862B1B"/>
    <w:rsid w:val="008631C7"/>
    <w:rsid w:val="008632C9"/>
    <w:rsid w:val="0086347C"/>
    <w:rsid w:val="00863550"/>
    <w:rsid w:val="008637B9"/>
    <w:rsid w:val="00863B22"/>
    <w:rsid w:val="00863BCA"/>
    <w:rsid w:val="00863F8D"/>
    <w:rsid w:val="00864341"/>
    <w:rsid w:val="00864542"/>
    <w:rsid w:val="0086462C"/>
    <w:rsid w:val="00864690"/>
    <w:rsid w:val="00864712"/>
    <w:rsid w:val="0086475D"/>
    <w:rsid w:val="00864B23"/>
    <w:rsid w:val="00864B90"/>
    <w:rsid w:val="00864EFB"/>
    <w:rsid w:val="008652E6"/>
    <w:rsid w:val="00865C2F"/>
    <w:rsid w:val="00865CC6"/>
    <w:rsid w:val="00865CFA"/>
    <w:rsid w:val="00865DC8"/>
    <w:rsid w:val="00866290"/>
    <w:rsid w:val="00866326"/>
    <w:rsid w:val="00866465"/>
    <w:rsid w:val="0086657A"/>
    <w:rsid w:val="00866A3E"/>
    <w:rsid w:val="00866C88"/>
    <w:rsid w:val="00866F3E"/>
    <w:rsid w:val="00867076"/>
    <w:rsid w:val="008670DD"/>
    <w:rsid w:val="0086779E"/>
    <w:rsid w:val="008677BF"/>
    <w:rsid w:val="00867957"/>
    <w:rsid w:val="00867AAB"/>
    <w:rsid w:val="00867F01"/>
    <w:rsid w:val="00870057"/>
    <w:rsid w:val="0087007A"/>
    <w:rsid w:val="008700B7"/>
    <w:rsid w:val="00870202"/>
    <w:rsid w:val="008702D8"/>
    <w:rsid w:val="008704A1"/>
    <w:rsid w:val="008704DC"/>
    <w:rsid w:val="0087067E"/>
    <w:rsid w:val="00870964"/>
    <w:rsid w:val="00870B64"/>
    <w:rsid w:val="00870E3F"/>
    <w:rsid w:val="0087108F"/>
    <w:rsid w:val="008710A2"/>
    <w:rsid w:val="0087116C"/>
    <w:rsid w:val="00871280"/>
    <w:rsid w:val="00871375"/>
    <w:rsid w:val="0087177D"/>
    <w:rsid w:val="008718C2"/>
    <w:rsid w:val="008718CC"/>
    <w:rsid w:val="00871A2D"/>
    <w:rsid w:val="00871AD6"/>
    <w:rsid w:val="00871D43"/>
    <w:rsid w:val="00871D9D"/>
    <w:rsid w:val="00871E2B"/>
    <w:rsid w:val="00871E46"/>
    <w:rsid w:val="00872013"/>
    <w:rsid w:val="008720FE"/>
    <w:rsid w:val="008721A2"/>
    <w:rsid w:val="0087249C"/>
    <w:rsid w:val="008728DD"/>
    <w:rsid w:val="00872C41"/>
    <w:rsid w:val="00872E8E"/>
    <w:rsid w:val="008732E5"/>
    <w:rsid w:val="0087331E"/>
    <w:rsid w:val="008733A9"/>
    <w:rsid w:val="00873731"/>
    <w:rsid w:val="00873940"/>
    <w:rsid w:val="00873979"/>
    <w:rsid w:val="00873AD3"/>
    <w:rsid w:val="00873C30"/>
    <w:rsid w:val="00873CF3"/>
    <w:rsid w:val="00873EDE"/>
    <w:rsid w:val="00873F2A"/>
    <w:rsid w:val="008740E6"/>
    <w:rsid w:val="00874417"/>
    <w:rsid w:val="008744FA"/>
    <w:rsid w:val="008747E1"/>
    <w:rsid w:val="008748EA"/>
    <w:rsid w:val="00874A26"/>
    <w:rsid w:val="00874ABA"/>
    <w:rsid w:val="00874DD8"/>
    <w:rsid w:val="00874E50"/>
    <w:rsid w:val="00874F06"/>
    <w:rsid w:val="008756DB"/>
    <w:rsid w:val="008759B1"/>
    <w:rsid w:val="00875E22"/>
    <w:rsid w:val="008761B5"/>
    <w:rsid w:val="00876482"/>
    <w:rsid w:val="0087675A"/>
    <w:rsid w:val="00876EBA"/>
    <w:rsid w:val="00877068"/>
    <w:rsid w:val="008771B1"/>
    <w:rsid w:val="008771FC"/>
    <w:rsid w:val="0087724A"/>
    <w:rsid w:val="008773F3"/>
    <w:rsid w:val="008774B9"/>
    <w:rsid w:val="00877545"/>
    <w:rsid w:val="008776DE"/>
    <w:rsid w:val="0087777C"/>
    <w:rsid w:val="008779A9"/>
    <w:rsid w:val="00877D87"/>
    <w:rsid w:val="00877E17"/>
    <w:rsid w:val="00877E49"/>
    <w:rsid w:val="0088004B"/>
    <w:rsid w:val="008801B2"/>
    <w:rsid w:val="00880643"/>
    <w:rsid w:val="0088077B"/>
    <w:rsid w:val="00880869"/>
    <w:rsid w:val="008809D3"/>
    <w:rsid w:val="00880C0F"/>
    <w:rsid w:val="00880D08"/>
    <w:rsid w:val="00881025"/>
    <w:rsid w:val="008812B5"/>
    <w:rsid w:val="008812C1"/>
    <w:rsid w:val="008815B8"/>
    <w:rsid w:val="00881A5D"/>
    <w:rsid w:val="00881A77"/>
    <w:rsid w:val="00881B0E"/>
    <w:rsid w:val="00882473"/>
    <w:rsid w:val="008827F5"/>
    <w:rsid w:val="00882880"/>
    <w:rsid w:val="00882C95"/>
    <w:rsid w:val="008830CA"/>
    <w:rsid w:val="00883157"/>
    <w:rsid w:val="00883162"/>
    <w:rsid w:val="00883525"/>
    <w:rsid w:val="008836F3"/>
    <w:rsid w:val="00883967"/>
    <w:rsid w:val="0088399B"/>
    <w:rsid w:val="00883EF8"/>
    <w:rsid w:val="00884C74"/>
    <w:rsid w:val="00884D3F"/>
    <w:rsid w:val="00885026"/>
    <w:rsid w:val="008850A1"/>
    <w:rsid w:val="00885161"/>
    <w:rsid w:val="008852B8"/>
    <w:rsid w:val="00885354"/>
    <w:rsid w:val="00885659"/>
    <w:rsid w:val="008856A6"/>
    <w:rsid w:val="008857BB"/>
    <w:rsid w:val="00885D04"/>
    <w:rsid w:val="00885F55"/>
    <w:rsid w:val="008860FA"/>
    <w:rsid w:val="00886127"/>
    <w:rsid w:val="00886358"/>
    <w:rsid w:val="0088659D"/>
    <w:rsid w:val="00886A96"/>
    <w:rsid w:val="00886B60"/>
    <w:rsid w:val="00886BC7"/>
    <w:rsid w:val="00886D7C"/>
    <w:rsid w:val="00887122"/>
    <w:rsid w:val="00887484"/>
    <w:rsid w:val="0088795C"/>
    <w:rsid w:val="00887A0A"/>
    <w:rsid w:val="00887E82"/>
    <w:rsid w:val="00887ECB"/>
    <w:rsid w:val="00887F1E"/>
    <w:rsid w:val="00890099"/>
    <w:rsid w:val="0089022A"/>
    <w:rsid w:val="008904E3"/>
    <w:rsid w:val="008904E6"/>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2FB3"/>
    <w:rsid w:val="00893225"/>
    <w:rsid w:val="008935CD"/>
    <w:rsid w:val="0089377C"/>
    <w:rsid w:val="008938F6"/>
    <w:rsid w:val="00893B71"/>
    <w:rsid w:val="00893D59"/>
    <w:rsid w:val="00893E23"/>
    <w:rsid w:val="008940F5"/>
    <w:rsid w:val="00894118"/>
    <w:rsid w:val="008946FB"/>
    <w:rsid w:val="00894AEE"/>
    <w:rsid w:val="00894C81"/>
    <w:rsid w:val="00894F9F"/>
    <w:rsid w:val="0089541E"/>
    <w:rsid w:val="00895473"/>
    <w:rsid w:val="008954B5"/>
    <w:rsid w:val="0089553F"/>
    <w:rsid w:val="00895976"/>
    <w:rsid w:val="008959DD"/>
    <w:rsid w:val="00895B13"/>
    <w:rsid w:val="00895C5C"/>
    <w:rsid w:val="00895F32"/>
    <w:rsid w:val="008962AC"/>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7C"/>
    <w:rsid w:val="008A16B8"/>
    <w:rsid w:val="008A16C9"/>
    <w:rsid w:val="008A19B7"/>
    <w:rsid w:val="008A1A01"/>
    <w:rsid w:val="008A1F2B"/>
    <w:rsid w:val="008A1FA8"/>
    <w:rsid w:val="008A2014"/>
    <w:rsid w:val="008A23FF"/>
    <w:rsid w:val="008A2779"/>
    <w:rsid w:val="008A282E"/>
    <w:rsid w:val="008A28B5"/>
    <w:rsid w:val="008A2967"/>
    <w:rsid w:val="008A2B1D"/>
    <w:rsid w:val="008A2BAD"/>
    <w:rsid w:val="008A2BE7"/>
    <w:rsid w:val="008A2F27"/>
    <w:rsid w:val="008A2FC9"/>
    <w:rsid w:val="008A3426"/>
    <w:rsid w:val="008A35C9"/>
    <w:rsid w:val="008A3625"/>
    <w:rsid w:val="008A36D8"/>
    <w:rsid w:val="008A3754"/>
    <w:rsid w:val="008A3760"/>
    <w:rsid w:val="008A3774"/>
    <w:rsid w:val="008A382D"/>
    <w:rsid w:val="008A3A20"/>
    <w:rsid w:val="008A3BEC"/>
    <w:rsid w:val="008A42DF"/>
    <w:rsid w:val="008A4427"/>
    <w:rsid w:val="008A47C0"/>
    <w:rsid w:val="008A4815"/>
    <w:rsid w:val="008A4A3B"/>
    <w:rsid w:val="008A4C51"/>
    <w:rsid w:val="008A4C8F"/>
    <w:rsid w:val="008A4D48"/>
    <w:rsid w:val="008A4E3D"/>
    <w:rsid w:val="008A5400"/>
    <w:rsid w:val="008A5417"/>
    <w:rsid w:val="008A581C"/>
    <w:rsid w:val="008A585A"/>
    <w:rsid w:val="008A59D4"/>
    <w:rsid w:val="008A5A59"/>
    <w:rsid w:val="008A5C3D"/>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29A"/>
    <w:rsid w:val="008B0322"/>
    <w:rsid w:val="008B0562"/>
    <w:rsid w:val="008B07CB"/>
    <w:rsid w:val="008B0AE8"/>
    <w:rsid w:val="008B15A8"/>
    <w:rsid w:val="008B15B0"/>
    <w:rsid w:val="008B16E2"/>
    <w:rsid w:val="008B1756"/>
    <w:rsid w:val="008B196E"/>
    <w:rsid w:val="008B1AD5"/>
    <w:rsid w:val="008B1D18"/>
    <w:rsid w:val="008B2645"/>
    <w:rsid w:val="008B28C0"/>
    <w:rsid w:val="008B2AED"/>
    <w:rsid w:val="008B2D1C"/>
    <w:rsid w:val="008B2D69"/>
    <w:rsid w:val="008B32E7"/>
    <w:rsid w:val="008B331D"/>
    <w:rsid w:val="008B35F5"/>
    <w:rsid w:val="008B3AFC"/>
    <w:rsid w:val="008B3B13"/>
    <w:rsid w:val="008B3DE1"/>
    <w:rsid w:val="008B44DE"/>
    <w:rsid w:val="008B461A"/>
    <w:rsid w:val="008B464F"/>
    <w:rsid w:val="008B46D8"/>
    <w:rsid w:val="008B4764"/>
    <w:rsid w:val="008B4776"/>
    <w:rsid w:val="008B4973"/>
    <w:rsid w:val="008B4ABE"/>
    <w:rsid w:val="008B4BB9"/>
    <w:rsid w:val="008B4BC5"/>
    <w:rsid w:val="008B50B9"/>
    <w:rsid w:val="008B51E6"/>
    <w:rsid w:val="008B5336"/>
    <w:rsid w:val="008B5372"/>
    <w:rsid w:val="008B5705"/>
    <w:rsid w:val="008B5873"/>
    <w:rsid w:val="008B58C8"/>
    <w:rsid w:val="008B5A23"/>
    <w:rsid w:val="008B5A54"/>
    <w:rsid w:val="008B5AD1"/>
    <w:rsid w:val="008B5BD6"/>
    <w:rsid w:val="008B5DAA"/>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0E25"/>
    <w:rsid w:val="008C0FF5"/>
    <w:rsid w:val="008C11A3"/>
    <w:rsid w:val="008C1509"/>
    <w:rsid w:val="008C1550"/>
    <w:rsid w:val="008C167D"/>
    <w:rsid w:val="008C16B8"/>
    <w:rsid w:val="008C1784"/>
    <w:rsid w:val="008C1A85"/>
    <w:rsid w:val="008C1D51"/>
    <w:rsid w:val="008C2186"/>
    <w:rsid w:val="008C2518"/>
    <w:rsid w:val="008C2641"/>
    <w:rsid w:val="008C2A70"/>
    <w:rsid w:val="008C2D94"/>
    <w:rsid w:val="008C2F21"/>
    <w:rsid w:val="008C301E"/>
    <w:rsid w:val="008C371E"/>
    <w:rsid w:val="008C3B21"/>
    <w:rsid w:val="008C3D32"/>
    <w:rsid w:val="008C4755"/>
    <w:rsid w:val="008C47AE"/>
    <w:rsid w:val="008C4800"/>
    <w:rsid w:val="008C4810"/>
    <w:rsid w:val="008C4AA1"/>
    <w:rsid w:val="008C4C1D"/>
    <w:rsid w:val="008C4CE6"/>
    <w:rsid w:val="008C4F41"/>
    <w:rsid w:val="008C5102"/>
    <w:rsid w:val="008C51A8"/>
    <w:rsid w:val="008C536A"/>
    <w:rsid w:val="008C55CC"/>
    <w:rsid w:val="008C5CF9"/>
    <w:rsid w:val="008C669F"/>
    <w:rsid w:val="008C67A0"/>
    <w:rsid w:val="008C6864"/>
    <w:rsid w:val="008C68F0"/>
    <w:rsid w:val="008C6940"/>
    <w:rsid w:val="008C6A56"/>
    <w:rsid w:val="008C6A70"/>
    <w:rsid w:val="008C70A1"/>
    <w:rsid w:val="008C729F"/>
    <w:rsid w:val="008C74B4"/>
    <w:rsid w:val="008C7979"/>
    <w:rsid w:val="008C7AB0"/>
    <w:rsid w:val="008C7D61"/>
    <w:rsid w:val="008C7F08"/>
    <w:rsid w:val="008D0025"/>
    <w:rsid w:val="008D0109"/>
    <w:rsid w:val="008D05DB"/>
    <w:rsid w:val="008D0658"/>
    <w:rsid w:val="008D0CCD"/>
    <w:rsid w:val="008D0CE9"/>
    <w:rsid w:val="008D0FAF"/>
    <w:rsid w:val="008D118A"/>
    <w:rsid w:val="008D139F"/>
    <w:rsid w:val="008D15C4"/>
    <w:rsid w:val="008D16CD"/>
    <w:rsid w:val="008D1AB0"/>
    <w:rsid w:val="008D1B71"/>
    <w:rsid w:val="008D1BF8"/>
    <w:rsid w:val="008D1E28"/>
    <w:rsid w:val="008D20E7"/>
    <w:rsid w:val="008D2563"/>
    <w:rsid w:val="008D2598"/>
    <w:rsid w:val="008D2675"/>
    <w:rsid w:val="008D2C1E"/>
    <w:rsid w:val="008D34AF"/>
    <w:rsid w:val="008D373E"/>
    <w:rsid w:val="008D3A97"/>
    <w:rsid w:val="008D3C6F"/>
    <w:rsid w:val="008D4015"/>
    <w:rsid w:val="008D4258"/>
    <w:rsid w:val="008D46FD"/>
    <w:rsid w:val="008D47F7"/>
    <w:rsid w:val="008D4B14"/>
    <w:rsid w:val="008D4D1C"/>
    <w:rsid w:val="008D500C"/>
    <w:rsid w:val="008D5054"/>
    <w:rsid w:val="008D5484"/>
    <w:rsid w:val="008D54FE"/>
    <w:rsid w:val="008D591C"/>
    <w:rsid w:val="008D5A2D"/>
    <w:rsid w:val="008D5A6C"/>
    <w:rsid w:val="008D5C82"/>
    <w:rsid w:val="008D5E5C"/>
    <w:rsid w:val="008D5EF7"/>
    <w:rsid w:val="008D629E"/>
    <w:rsid w:val="008D630C"/>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14B"/>
    <w:rsid w:val="008E03DC"/>
    <w:rsid w:val="008E05A9"/>
    <w:rsid w:val="008E06D7"/>
    <w:rsid w:val="008E0754"/>
    <w:rsid w:val="008E085E"/>
    <w:rsid w:val="008E0A91"/>
    <w:rsid w:val="008E0C00"/>
    <w:rsid w:val="008E0C86"/>
    <w:rsid w:val="008E0D9F"/>
    <w:rsid w:val="008E1010"/>
    <w:rsid w:val="008E1188"/>
    <w:rsid w:val="008E121D"/>
    <w:rsid w:val="008E1419"/>
    <w:rsid w:val="008E1624"/>
    <w:rsid w:val="008E189F"/>
    <w:rsid w:val="008E1D8D"/>
    <w:rsid w:val="008E1F41"/>
    <w:rsid w:val="008E20CF"/>
    <w:rsid w:val="008E2113"/>
    <w:rsid w:val="008E28AE"/>
    <w:rsid w:val="008E2BBD"/>
    <w:rsid w:val="008E2DA3"/>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0DF"/>
    <w:rsid w:val="008E6201"/>
    <w:rsid w:val="008E6295"/>
    <w:rsid w:val="008E62FA"/>
    <w:rsid w:val="008E652B"/>
    <w:rsid w:val="008E65CC"/>
    <w:rsid w:val="008E7103"/>
    <w:rsid w:val="008E7341"/>
    <w:rsid w:val="008E7FEB"/>
    <w:rsid w:val="008F05E4"/>
    <w:rsid w:val="008F066D"/>
    <w:rsid w:val="008F10CF"/>
    <w:rsid w:val="008F11C8"/>
    <w:rsid w:val="008F13A7"/>
    <w:rsid w:val="008F141B"/>
    <w:rsid w:val="008F1936"/>
    <w:rsid w:val="008F19E9"/>
    <w:rsid w:val="008F1CD0"/>
    <w:rsid w:val="008F1D28"/>
    <w:rsid w:val="008F22F8"/>
    <w:rsid w:val="008F253E"/>
    <w:rsid w:val="008F2A1C"/>
    <w:rsid w:val="008F2C4A"/>
    <w:rsid w:val="008F2E43"/>
    <w:rsid w:val="008F2F02"/>
    <w:rsid w:val="008F2F16"/>
    <w:rsid w:val="008F2F69"/>
    <w:rsid w:val="008F30EA"/>
    <w:rsid w:val="008F3434"/>
    <w:rsid w:val="008F34F3"/>
    <w:rsid w:val="008F3830"/>
    <w:rsid w:val="008F39E0"/>
    <w:rsid w:val="008F3A0B"/>
    <w:rsid w:val="008F3A99"/>
    <w:rsid w:val="008F3B6F"/>
    <w:rsid w:val="008F3CBE"/>
    <w:rsid w:val="008F4369"/>
    <w:rsid w:val="008F4389"/>
    <w:rsid w:val="008F486A"/>
    <w:rsid w:val="008F4933"/>
    <w:rsid w:val="008F4B73"/>
    <w:rsid w:val="008F4FC6"/>
    <w:rsid w:val="008F5256"/>
    <w:rsid w:val="008F52E1"/>
    <w:rsid w:val="008F55EF"/>
    <w:rsid w:val="008F56EB"/>
    <w:rsid w:val="008F57A0"/>
    <w:rsid w:val="008F599E"/>
    <w:rsid w:val="008F5A22"/>
    <w:rsid w:val="008F5AD6"/>
    <w:rsid w:val="008F5B3A"/>
    <w:rsid w:val="008F5D10"/>
    <w:rsid w:val="008F5FD0"/>
    <w:rsid w:val="008F60EB"/>
    <w:rsid w:val="008F62E9"/>
    <w:rsid w:val="008F6609"/>
    <w:rsid w:val="008F67BC"/>
    <w:rsid w:val="008F67D0"/>
    <w:rsid w:val="008F67D1"/>
    <w:rsid w:val="008F69EA"/>
    <w:rsid w:val="008F6BE0"/>
    <w:rsid w:val="008F6BF7"/>
    <w:rsid w:val="008F6D67"/>
    <w:rsid w:val="008F6FC2"/>
    <w:rsid w:val="008F76BF"/>
    <w:rsid w:val="008F7710"/>
    <w:rsid w:val="008F78A4"/>
    <w:rsid w:val="008F7A4A"/>
    <w:rsid w:val="009003FF"/>
    <w:rsid w:val="009005AD"/>
    <w:rsid w:val="00900A12"/>
    <w:rsid w:val="00900B22"/>
    <w:rsid w:val="00900C0C"/>
    <w:rsid w:val="00900E58"/>
    <w:rsid w:val="00900F3E"/>
    <w:rsid w:val="00901144"/>
    <w:rsid w:val="00901145"/>
    <w:rsid w:val="00901248"/>
    <w:rsid w:val="009014E2"/>
    <w:rsid w:val="00901B27"/>
    <w:rsid w:val="00901D40"/>
    <w:rsid w:val="00901EA4"/>
    <w:rsid w:val="00901FA8"/>
    <w:rsid w:val="0090236B"/>
    <w:rsid w:val="009023CA"/>
    <w:rsid w:val="0090263E"/>
    <w:rsid w:val="0090298F"/>
    <w:rsid w:val="00902C62"/>
    <w:rsid w:val="00902D96"/>
    <w:rsid w:val="00903263"/>
    <w:rsid w:val="0090331E"/>
    <w:rsid w:val="009034D9"/>
    <w:rsid w:val="0090354C"/>
    <w:rsid w:val="00903621"/>
    <w:rsid w:val="0090370A"/>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4EC0"/>
    <w:rsid w:val="00905487"/>
    <w:rsid w:val="009055A6"/>
    <w:rsid w:val="009059B5"/>
    <w:rsid w:val="00905DDA"/>
    <w:rsid w:val="00905F03"/>
    <w:rsid w:val="0090611C"/>
    <w:rsid w:val="00906349"/>
    <w:rsid w:val="00906393"/>
    <w:rsid w:val="00906453"/>
    <w:rsid w:val="0090650F"/>
    <w:rsid w:val="009065F1"/>
    <w:rsid w:val="00907196"/>
    <w:rsid w:val="00907764"/>
    <w:rsid w:val="0090786E"/>
    <w:rsid w:val="009078CE"/>
    <w:rsid w:val="00907FE7"/>
    <w:rsid w:val="00910112"/>
    <w:rsid w:val="00910183"/>
    <w:rsid w:val="009101C5"/>
    <w:rsid w:val="00910227"/>
    <w:rsid w:val="009102EB"/>
    <w:rsid w:val="0091055F"/>
    <w:rsid w:val="00910894"/>
    <w:rsid w:val="00910A21"/>
    <w:rsid w:val="00911011"/>
    <w:rsid w:val="0091123D"/>
    <w:rsid w:val="0091184F"/>
    <w:rsid w:val="00911909"/>
    <w:rsid w:val="009119A1"/>
    <w:rsid w:val="00911A0D"/>
    <w:rsid w:val="00911BD5"/>
    <w:rsid w:val="00911E63"/>
    <w:rsid w:val="00911E6B"/>
    <w:rsid w:val="00911F13"/>
    <w:rsid w:val="00911FC5"/>
    <w:rsid w:val="00912078"/>
    <w:rsid w:val="00912175"/>
    <w:rsid w:val="009121EF"/>
    <w:rsid w:val="00912300"/>
    <w:rsid w:val="00912314"/>
    <w:rsid w:val="00912523"/>
    <w:rsid w:val="00912964"/>
    <w:rsid w:val="00912991"/>
    <w:rsid w:val="009129F6"/>
    <w:rsid w:val="00912A00"/>
    <w:rsid w:val="00912A50"/>
    <w:rsid w:val="00912D65"/>
    <w:rsid w:val="00912D6F"/>
    <w:rsid w:val="00912EC5"/>
    <w:rsid w:val="00912EFD"/>
    <w:rsid w:val="00912F9A"/>
    <w:rsid w:val="00912FAA"/>
    <w:rsid w:val="0091301E"/>
    <w:rsid w:val="0091368D"/>
    <w:rsid w:val="00913A52"/>
    <w:rsid w:val="00913AE8"/>
    <w:rsid w:val="00913BCF"/>
    <w:rsid w:val="00913CAB"/>
    <w:rsid w:val="00913D22"/>
    <w:rsid w:val="00913D76"/>
    <w:rsid w:val="00913D8B"/>
    <w:rsid w:val="009142F6"/>
    <w:rsid w:val="00914759"/>
    <w:rsid w:val="00914761"/>
    <w:rsid w:val="00914849"/>
    <w:rsid w:val="009148EB"/>
    <w:rsid w:val="0091493F"/>
    <w:rsid w:val="0091499F"/>
    <w:rsid w:val="00914D0F"/>
    <w:rsid w:val="00914E51"/>
    <w:rsid w:val="009150AD"/>
    <w:rsid w:val="00915286"/>
    <w:rsid w:val="00915357"/>
    <w:rsid w:val="00915934"/>
    <w:rsid w:val="009159A0"/>
    <w:rsid w:val="00915B66"/>
    <w:rsid w:val="00915F8A"/>
    <w:rsid w:val="009160A5"/>
    <w:rsid w:val="00916128"/>
    <w:rsid w:val="0091619C"/>
    <w:rsid w:val="00916415"/>
    <w:rsid w:val="00916D03"/>
    <w:rsid w:val="00916F06"/>
    <w:rsid w:val="00916F36"/>
    <w:rsid w:val="0091702A"/>
    <w:rsid w:val="00917041"/>
    <w:rsid w:val="00917A6B"/>
    <w:rsid w:val="00917B3F"/>
    <w:rsid w:val="00917C49"/>
    <w:rsid w:val="00917C92"/>
    <w:rsid w:val="00917EA3"/>
    <w:rsid w:val="009200D1"/>
    <w:rsid w:val="009203BC"/>
    <w:rsid w:val="009203C8"/>
    <w:rsid w:val="00920EEB"/>
    <w:rsid w:val="00921182"/>
    <w:rsid w:val="0092157F"/>
    <w:rsid w:val="00921682"/>
    <w:rsid w:val="009219BE"/>
    <w:rsid w:val="00921B88"/>
    <w:rsid w:val="00921D74"/>
    <w:rsid w:val="00921E0B"/>
    <w:rsid w:val="00921E6D"/>
    <w:rsid w:val="00921ED6"/>
    <w:rsid w:val="009220B3"/>
    <w:rsid w:val="00922413"/>
    <w:rsid w:val="00922538"/>
    <w:rsid w:val="00922547"/>
    <w:rsid w:val="0092276F"/>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4F6D"/>
    <w:rsid w:val="00925129"/>
    <w:rsid w:val="0092516D"/>
    <w:rsid w:val="00925486"/>
    <w:rsid w:val="00925B1E"/>
    <w:rsid w:val="00925BBE"/>
    <w:rsid w:val="00925C6C"/>
    <w:rsid w:val="00925CB9"/>
    <w:rsid w:val="00925E52"/>
    <w:rsid w:val="009260A0"/>
    <w:rsid w:val="009260CD"/>
    <w:rsid w:val="009260D1"/>
    <w:rsid w:val="0092614A"/>
    <w:rsid w:val="00926AC9"/>
    <w:rsid w:val="00926B10"/>
    <w:rsid w:val="00926BC6"/>
    <w:rsid w:val="00926BED"/>
    <w:rsid w:val="00926EBF"/>
    <w:rsid w:val="00926EC6"/>
    <w:rsid w:val="00927200"/>
    <w:rsid w:val="00927251"/>
    <w:rsid w:val="00927A71"/>
    <w:rsid w:val="00927B59"/>
    <w:rsid w:val="00927C35"/>
    <w:rsid w:val="00927E14"/>
    <w:rsid w:val="00927E17"/>
    <w:rsid w:val="00927F64"/>
    <w:rsid w:val="009303FE"/>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604"/>
    <w:rsid w:val="0093262B"/>
    <w:rsid w:val="009326C5"/>
    <w:rsid w:val="009327F9"/>
    <w:rsid w:val="00932FE2"/>
    <w:rsid w:val="009330A9"/>
    <w:rsid w:val="0093363C"/>
    <w:rsid w:val="0093378C"/>
    <w:rsid w:val="0093387B"/>
    <w:rsid w:val="00933894"/>
    <w:rsid w:val="009338CC"/>
    <w:rsid w:val="00933CA7"/>
    <w:rsid w:val="00933DEF"/>
    <w:rsid w:val="00933EB2"/>
    <w:rsid w:val="00933F1C"/>
    <w:rsid w:val="00934635"/>
    <w:rsid w:val="009346B1"/>
    <w:rsid w:val="009349B8"/>
    <w:rsid w:val="00934B2D"/>
    <w:rsid w:val="00934E1B"/>
    <w:rsid w:val="00934EB7"/>
    <w:rsid w:val="00934EF8"/>
    <w:rsid w:val="00934F5A"/>
    <w:rsid w:val="00935084"/>
    <w:rsid w:val="0093513C"/>
    <w:rsid w:val="0093527C"/>
    <w:rsid w:val="00935392"/>
    <w:rsid w:val="0093550C"/>
    <w:rsid w:val="009357CF"/>
    <w:rsid w:val="009357DB"/>
    <w:rsid w:val="00935CFF"/>
    <w:rsid w:val="00935E20"/>
    <w:rsid w:val="00935FB0"/>
    <w:rsid w:val="00936002"/>
    <w:rsid w:val="009360DF"/>
    <w:rsid w:val="0093626F"/>
    <w:rsid w:val="00936451"/>
    <w:rsid w:val="009366A6"/>
    <w:rsid w:val="009366E9"/>
    <w:rsid w:val="00936773"/>
    <w:rsid w:val="009368EC"/>
    <w:rsid w:val="00937000"/>
    <w:rsid w:val="00937362"/>
    <w:rsid w:val="0093739C"/>
    <w:rsid w:val="00937683"/>
    <w:rsid w:val="009378AD"/>
    <w:rsid w:val="00937AD5"/>
    <w:rsid w:val="00937B72"/>
    <w:rsid w:val="00937C5B"/>
    <w:rsid w:val="00937CC8"/>
    <w:rsid w:val="00940295"/>
    <w:rsid w:val="00940500"/>
    <w:rsid w:val="009405BA"/>
    <w:rsid w:val="009406BF"/>
    <w:rsid w:val="00940B5A"/>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148"/>
    <w:rsid w:val="00942346"/>
    <w:rsid w:val="009423F5"/>
    <w:rsid w:val="009427B4"/>
    <w:rsid w:val="0094283B"/>
    <w:rsid w:val="009429A5"/>
    <w:rsid w:val="00942B31"/>
    <w:rsid w:val="00942E30"/>
    <w:rsid w:val="00943106"/>
    <w:rsid w:val="00943276"/>
    <w:rsid w:val="00943279"/>
    <w:rsid w:val="00943378"/>
    <w:rsid w:val="009436C5"/>
    <w:rsid w:val="009438F3"/>
    <w:rsid w:val="00943ACB"/>
    <w:rsid w:val="00943F25"/>
    <w:rsid w:val="00944631"/>
    <w:rsid w:val="0094475C"/>
    <w:rsid w:val="009449B0"/>
    <w:rsid w:val="00944BF4"/>
    <w:rsid w:val="00944CA6"/>
    <w:rsid w:val="00944D3D"/>
    <w:rsid w:val="00944D5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6FF"/>
    <w:rsid w:val="0095071A"/>
    <w:rsid w:val="00950853"/>
    <w:rsid w:val="0095094F"/>
    <w:rsid w:val="00950C83"/>
    <w:rsid w:val="00950D41"/>
    <w:rsid w:val="00950DF5"/>
    <w:rsid w:val="009510A9"/>
    <w:rsid w:val="009510AF"/>
    <w:rsid w:val="009510CB"/>
    <w:rsid w:val="00951241"/>
    <w:rsid w:val="00951394"/>
    <w:rsid w:val="00951480"/>
    <w:rsid w:val="00951678"/>
    <w:rsid w:val="00951A6D"/>
    <w:rsid w:val="00951D58"/>
    <w:rsid w:val="00951F6A"/>
    <w:rsid w:val="00952033"/>
    <w:rsid w:val="00952131"/>
    <w:rsid w:val="00952202"/>
    <w:rsid w:val="009523D2"/>
    <w:rsid w:val="0095263D"/>
    <w:rsid w:val="00952DE7"/>
    <w:rsid w:val="00952DFC"/>
    <w:rsid w:val="00952EE8"/>
    <w:rsid w:val="009534E4"/>
    <w:rsid w:val="009536CF"/>
    <w:rsid w:val="0095372D"/>
    <w:rsid w:val="009538E5"/>
    <w:rsid w:val="00953B9A"/>
    <w:rsid w:val="00953C9F"/>
    <w:rsid w:val="00953D71"/>
    <w:rsid w:val="00953F81"/>
    <w:rsid w:val="00954765"/>
    <w:rsid w:val="00954FA3"/>
    <w:rsid w:val="0095541C"/>
    <w:rsid w:val="009556A6"/>
    <w:rsid w:val="00955A95"/>
    <w:rsid w:val="00955F2A"/>
    <w:rsid w:val="00956372"/>
    <w:rsid w:val="00956682"/>
    <w:rsid w:val="0095696B"/>
    <w:rsid w:val="0095708B"/>
    <w:rsid w:val="00957102"/>
    <w:rsid w:val="00957387"/>
    <w:rsid w:val="009577AB"/>
    <w:rsid w:val="009578A7"/>
    <w:rsid w:val="0095792F"/>
    <w:rsid w:val="00957974"/>
    <w:rsid w:val="0095798E"/>
    <w:rsid w:val="00957B06"/>
    <w:rsid w:val="00957BAF"/>
    <w:rsid w:val="00957BF5"/>
    <w:rsid w:val="00957D29"/>
    <w:rsid w:val="00957E8B"/>
    <w:rsid w:val="00957F3C"/>
    <w:rsid w:val="009600F3"/>
    <w:rsid w:val="009604D2"/>
    <w:rsid w:val="00960596"/>
    <w:rsid w:val="0096065A"/>
    <w:rsid w:val="00960795"/>
    <w:rsid w:val="009608ED"/>
    <w:rsid w:val="0096097D"/>
    <w:rsid w:val="00960B37"/>
    <w:rsid w:val="00960D85"/>
    <w:rsid w:val="00960DE0"/>
    <w:rsid w:val="00960E1F"/>
    <w:rsid w:val="00960E92"/>
    <w:rsid w:val="00961282"/>
    <w:rsid w:val="009616EE"/>
    <w:rsid w:val="0096178E"/>
    <w:rsid w:val="00961963"/>
    <w:rsid w:val="00961A44"/>
    <w:rsid w:val="00961A7D"/>
    <w:rsid w:val="00961CCB"/>
    <w:rsid w:val="00961E0A"/>
    <w:rsid w:val="00961E0C"/>
    <w:rsid w:val="00961E71"/>
    <w:rsid w:val="00962029"/>
    <w:rsid w:val="0096204B"/>
    <w:rsid w:val="00962115"/>
    <w:rsid w:val="009623A9"/>
    <w:rsid w:val="00962600"/>
    <w:rsid w:val="0096273D"/>
    <w:rsid w:val="00962DC6"/>
    <w:rsid w:val="00963106"/>
    <w:rsid w:val="00963600"/>
    <w:rsid w:val="00963678"/>
    <w:rsid w:val="009637A4"/>
    <w:rsid w:val="009637E7"/>
    <w:rsid w:val="009639B4"/>
    <w:rsid w:val="009639DC"/>
    <w:rsid w:val="009639E3"/>
    <w:rsid w:val="00963A41"/>
    <w:rsid w:val="00963E4B"/>
    <w:rsid w:val="00963EB3"/>
    <w:rsid w:val="00964509"/>
    <w:rsid w:val="009645D4"/>
    <w:rsid w:val="009645DF"/>
    <w:rsid w:val="0096462F"/>
    <w:rsid w:val="00964780"/>
    <w:rsid w:val="009649AF"/>
    <w:rsid w:val="00964C87"/>
    <w:rsid w:val="00964DC2"/>
    <w:rsid w:val="00964F77"/>
    <w:rsid w:val="009650CE"/>
    <w:rsid w:val="009650D6"/>
    <w:rsid w:val="00965984"/>
    <w:rsid w:val="00965B14"/>
    <w:rsid w:val="00965B4D"/>
    <w:rsid w:val="00965BE4"/>
    <w:rsid w:val="00965F2B"/>
    <w:rsid w:val="0096640A"/>
    <w:rsid w:val="0096675E"/>
    <w:rsid w:val="009668B7"/>
    <w:rsid w:val="00966A08"/>
    <w:rsid w:val="00966AD7"/>
    <w:rsid w:val="00966B36"/>
    <w:rsid w:val="00966CE2"/>
    <w:rsid w:val="00966EBC"/>
    <w:rsid w:val="0096710F"/>
    <w:rsid w:val="00967159"/>
    <w:rsid w:val="009671A7"/>
    <w:rsid w:val="00967203"/>
    <w:rsid w:val="0096724B"/>
    <w:rsid w:val="009675B9"/>
    <w:rsid w:val="00967700"/>
    <w:rsid w:val="0096785A"/>
    <w:rsid w:val="00967A73"/>
    <w:rsid w:val="00967AC8"/>
    <w:rsid w:val="00967DB2"/>
    <w:rsid w:val="00967E0F"/>
    <w:rsid w:val="00967E40"/>
    <w:rsid w:val="00970139"/>
    <w:rsid w:val="0097039B"/>
    <w:rsid w:val="0097064C"/>
    <w:rsid w:val="00970798"/>
    <w:rsid w:val="00970B5F"/>
    <w:rsid w:val="00970C69"/>
    <w:rsid w:val="00970D49"/>
    <w:rsid w:val="00970E5D"/>
    <w:rsid w:val="00970FB3"/>
    <w:rsid w:val="0097115E"/>
    <w:rsid w:val="00971733"/>
    <w:rsid w:val="0097185E"/>
    <w:rsid w:val="00971BEE"/>
    <w:rsid w:val="00971C50"/>
    <w:rsid w:val="00971C65"/>
    <w:rsid w:val="00971E65"/>
    <w:rsid w:val="00971F85"/>
    <w:rsid w:val="0097257C"/>
    <w:rsid w:val="00972583"/>
    <w:rsid w:val="00972BF0"/>
    <w:rsid w:val="00972E48"/>
    <w:rsid w:val="009733A9"/>
    <w:rsid w:val="009736BB"/>
    <w:rsid w:val="0097373F"/>
    <w:rsid w:val="00973A01"/>
    <w:rsid w:val="00973A05"/>
    <w:rsid w:val="00973A10"/>
    <w:rsid w:val="00973E69"/>
    <w:rsid w:val="00973EB6"/>
    <w:rsid w:val="00974066"/>
    <w:rsid w:val="009740CD"/>
    <w:rsid w:val="0097412F"/>
    <w:rsid w:val="009744BD"/>
    <w:rsid w:val="009748F3"/>
    <w:rsid w:val="009749FB"/>
    <w:rsid w:val="00974B02"/>
    <w:rsid w:val="00974C80"/>
    <w:rsid w:val="00974CBD"/>
    <w:rsid w:val="00974E53"/>
    <w:rsid w:val="00974F0B"/>
    <w:rsid w:val="00975027"/>
    <w:rsid w:val="009752B4"/>
    <w:rsid w:val="009755FF"/>
    <w:rsid w:val="00975692"/>
    <w:rsid w:val="00975858"/>
    <w:rsid w:val="00975D89"/>
    <w:rsid w:val="00975E3C"/>
    <w:rsid w:val="00975EF2"/>
    <w:rsid w:val="0097601B"/>
    <w:rsid w:val="009762F7"/>
    <w:rsid w:val="00976422"/>
    <w:rsid w:val="0097665C"/>
    <w:rsid w:val="00976700"/>
    <w:rsid w:val="00976B43"/>
    <w:rsid w:val="00976D52"/>
    <w:rsid w:val="00977120"/>
    <w:rsid w:val="009773B7"/>
    <w:rsid w:val="00977760"/>
    <w:rsid w:val="00977A14"/>
    <w:rsid w:val="00977B73"/>
    <w:rsid w:val="00977BED"/>
    <w:rsid w:val="00977F56"/>
    <w:rsid w:val="009802EF"/>
    <w:rsid w:val="00980383"/>
    <w:rsid w:val="009804AF"/>
    <w:rsid w:val="00980698"/>
    <w:rsid w:val="00980723"/>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D31"/>
    <w:rsid w:val="00982DDF"/>
    <w:rsid w:val="00982F65"/>
    <w:rsid w:val="00982FFD"/>
    <w:rsid w:val="009832E3"/>
    <w:rsid w:val="0098342A"/>
    <w:rsid w:val="009838AA"/>
    <w:rsid w:val="00983970"/>
    <w:rsid w:val="00983A1B"/>
    <w:rsid w:val="00983D6B"/>
    <w:rsid w:val="00983F05"/>
    <w:rsid w:val="00984236"/>
    <w:rsid w:val="009842A5"/>
    <w:rsid w:val="00984333"/>
    <w:rsid w:val="009844F8"/>
    <w:rsid w:val="00984579"/>
    <w:rsid w:val="00984583"/>
    <w:rsid w:val="009848BC"/>
    <w:rsid w:val="00984CB3"/>
    <w:rsid w:val="00984DF0"/>
    <w:rsid w:val="009850C7"/>
    <w:rsid w:val="00985687"/>
    <w:rsid w:val="00985981"/>
    <w:rsid w:val="00985990"/>
    <w:rsid w:val="00985FA5"/>
    <w:rsid w:val="009860EA"/>
    <w:rsid w:val="00986938"/>
    <w:rsid w:val="00986979"/>
    <w:rsid w:val="00986CFE"/>
    <w:rsid w:val="00986D5D"/>
    <w:rsid w:val="00986ED4"/>
    <w:rsid w:val="00986EDA"/>
    <w:rsid w:val="00986F5A"/>
    <w:rsid w:val="0098739D"/>
    <w:rsid w:val="00987426"/>
    <w:rsid w:val="009875B0"/>
    <w:rsid w:val="0098760A"/>
    <w:rsid w:val="0098775D"/>
    <w:rsid w:val="00987B15"/>
    <w:rsid w:val="00987BE4"/>
    <w:rsid w:val="00987D54"/>
    <w:rsid w:val="00987E46"/>
    <w:rsid w:val="00987F65"/>
    <w:rsid w:val="00990512"/>
    <w:rsid w:val="0099055B"/>
    <w:rsid w:val="00990936"/>
    <w:rsid w:val="00990D36"/>
    <w:rsid w:val="0099196E"/>
    <w:rsid w:val="0099197E"/>
    <w:rsid w:val="00991FD5"/>
    <w:rsid w:val="00992064"/>
    <w:rsid w:val="009921E8"/>
    <w:rsid w:val="00992212"/>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29F"/>
    <w:rsid w:val="009953C1"/>
    <w:rsid w:val="009957A3"/>
    <w:rsid w:val="009958E5"/>
    <w:rsid w:val="00995A6E"/>
    <w:rsid w:val="00995C0A"/>
    <w:rsid w:val="00995C24"/>
    <w:rsid w:val="00996737"/>
    <w:rsid w:val="00996976"/>
    <w:rsid w:val="00996FA0"/>
    <w:rsid w:val="0099759E"/>
    <w:rsid w:val="00997E2B"/>
    <w:rsid w:val="00997EAE"/>
    <w:rsid w:val="00997EF6"/>
    <w:rsid w:val="00997FA3"/>
    <w:rsid w:val="009A0116"/>
    <w:rsid w:val="009A0372"/>
    <w:rsid w:val="009A06C0"/>
    <w:rsid w:val="009A09E1"/>
    <w:rsid w:val="009A0CA5"/>
    <w:rsid w:val="009A0D1B"/>
    <w:rsid w:val="009A0D20"/>
    <w:rsid w:val="009A0DD3"/>
    <w:rsid w:val="009A0E1F"/>
    <w:rsid w:val="009A0FA7"/>
    <w:rsid w:val="009A107A"/>
    <w:rsid w:val="009A10D9"/>
    <w:rsid w:val="009A116E"/>
    <w:rsid w:val="009A124F"/>
    <w:rsid w:val="009A1293"/>
    <w:rsid w:val="009A138F"/>
    <w:rsid w:val="009A140A"/>
    <w:rsid w:val="009A1512"/>
    <w:rsid w:val="009A17C2"/>
    <w:rsid w:val="009A1C48"/>
    <w:rsid w:val="009A1E34"/>
    <w:rsid w:val="009A1F5E"/>
    <w:rsid w:val="009A21DF"/>
    <w:rsid w:val="009A2B87"/>
    <w:rsid w:val="009A307F"/>
    <w:rsid w:val="009A30B4"/>
    <w:rsid w:val="009A3168"/>
    <w:rsid w:val="009A32F9"/>
    <w:rsid w:val="009A333D"/>
    <w:rsid w:val="009A344B"/>
    <w:rsid w:val="009A36A2"/>
    <w:rsid w:val="009A39C3"/>
    <w:rsid w:val="009A3B68"/>
    <w:rsid w:val="009A3C42"/>
    <w:rsid w:val="009A3CF0"/>
    <w:rsid w:val="009A3DE5"/>
    <w:rsid w:val="009A437E"/>
    <w:rsid w:val="009A4553"/>
    <w:rsid w:val="009A4881"/>
    <w:rsid w:val="009A48EB"/>
    <w:rsid w:val="009A4929"/>
    <w:rsid w:val="009A4A2C"/>
    <w:rsid w:val="009A4E31"/>
    <w:rsid w:val="009A51DA"/>
    <w:rsid w:val="009A53AB"/>
    <w:rsid w:val="009A5406"/>
    <w:rsid w:val="009A5B24"/>
    <w:rsid w:val="009A5D57"/>
    <w:rsid w:val="009A5E96"/>
    <w:rsid w:val="009A6444"/>
    <w:rsid w:val="009A669D"/>
    <w:rsid w:val="009A6803"/>
    <w:rsid w:val="009A68C8"/>
    <w:rsid w:val="009A6D73"/>
    <w:rsid w:val="009A6F8E"/>
    <w:rsid w:val="009A7095"/>
    <w:rsid w:val="009A7375"/>
    <w:rsid w:val="009A74CB"/>
    <w:rsid w:val="009A7622"/>
    <w:rsid w:val="009A78BA"/>
    <w:rsid w:val="009A7DFA"/>
    <w:rsid w:val="009A7F7C"/>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7B1"/>
    <w:rsid w:val="009B28E4"/>
    <w:rsid w:val="009B2B7B"/>
    <w:rsid w:val="009B3180"/>
    <w:rsid w:val="009B32AB"/>
    <w:rsid w:val="009B3512"/>
    <w:rsid w:val="009B370B"/>
    <w:rsid w:val="009B37F9"/>
    <w:rsid w:val="009B389E"/>
    <w:rsid w:val="009B394D"/>
    <w:rsid w:val="009B39A0"/>
    <w:rsid w:val="009B3B4F"/>
    <w:rsid w:val="009B3B6B"/>
    <w:rsid w:val="009B3F79"/>
    <w:rsid w:val="009B4061"/>
    <w:rsid w:val="009B4090"/>
    <w:rsid w:val="009B4200"/>
    <w:rsid w:val="009B44D1"/>
    <w:rsid w:val="009B44D5"/>
    <w:rsid w:val="009B4552"/>
    <w:rsid w:val="009B47EE"/>
    <w:rsid w:val="009B49AA"/>
    <w:rsid w:val="009B4C8E"/>
    <w:rsid w:val="009B5265"/>
    <w:rsid w:val="009B53A5"/>
    <w:rsid w:val="009B5844"/>
    <w:rsid w:val="009B5856"/>
    <w:rsid w:val="009B5887"/>
    <w:rsid w:val="009B5A4A"/>
    <w:rsid w:val="009B5B2C"/>
    <w:rsid w:val="009B5B74"/>
    <w:rsid w:val="009B5C33"/>
    <w:rsid w:val="009B5E78"/>
    <w:rsid w:val="009B5F21"/>
    <w:rsid w:val="009B5F4F"/>
    <w:rsid w:val="009B63BE"/>
    <w:rsid w:val="009B6774"/>
    <w:rsid w:val="009B6790"/>
    <w:rsid w:val="009B6FB2"/>
    <w:rsid w:val="009B7705"/>
    <w:rsid w:val="009B7DC8"/>
    <w:rsid w:val="009B7E5C"/>
    <w:rsid w:val="009B7EE5"/>
    <w:rsid w:val="009C00EE"/>
    <w:rsid w:val="009C02A4"/>
    <w:rsid w:val="009C0A18"/>
    <w:rsid w:val="009C0E28"/>
    <w:rsid w:val="009C10C0"/>
    <w:rsid w:val="009C12CA"/>
    <w:rsid w:val="009C171C"/>
    <w:rsid w:val="009C1819"/>
    <w:rsid w:val="009C1961"/>
    <w:rsid w:val="009C1A4E"/>
    <w:rsid w:val="009C1C5D"/>
    <w:rsid w:val="009C1D5A"/>
    <w:rsid w:val="009C1E8D"/>
    <w:rsid w:val="009C21B9"/>
    <w:rsid w:val="009C2237"/>
    <w:rsid w:val="009C2793"/>
    <w:rsid w:val="009C2B03"/>
    <w:rsid w:val="009C2D3C"/>
    <w:rsid w:val="009C31E8"/>
    <w:rsid w:val="009C3468"/>
    <w:rsid w:val="009C3711"/>
    <w:rsid w:val="009C378D"/>
    <w:rsid w:val="009C37ED"/>
    <w:rsid w:val="009C3D47"/>
    <w:rsid w:val="009C3F51"/>
    <w:rsid w:val="009C4198"/>
    <w:rsid w:val="009C4215"/>
    <w:rsid w:val="009C4392"/>
    <w:rsid w:val="009C43F9"/>
    <w:rsid w:val="009C4488"/>
    <w:rsid w:val="009C46A6"/>
    <w:rsid w:val="009C483E"/>
    <w:rsid w:val="009C52E7"/>
    <w:rsid w:val="009C56C7"/>
    <w:rsid w:val="009C578A"/>
    <w:rsid w:val="009C5E0C"/>
    <w:rsid w:val="009C602E"/>
    <w:rsid w:val="009C60E2"/>
    <w:rsid w:val="009C69EA"/>
    <w:rsid w:val="009C69FD"/>
    <w:rsid w:val="009C6BF8"/>
    <w:rsid w:val="009C6C4C"/>
    <w:rsid w:val="009C6C86"/>
    <w:rsid w:val="009C6FCA"/>
    <w:rsid w:val="009C70FE"/>
    <w:rsid w:val="009C73BB"/>
    <w:rsid w:val="009C751D"/>
    <w:rsid w:val="009C75DA"/>
    <w:rsid w:val="009C780B"/>
    <w:rsid w:val="009C7C31"/>
    <w:rsid w:val="009D0064"/>
    <w:rsid w:val="009D00FD"/>
    <w:rsid w:val="009D0588"/>
    <w:rsid w:val="009D0636"/>
    <w:rsid w:val="009D0782"/>
    <w:rsid w:val="009D139F"/>
    <w:rsid w:val="009D13A1"/>
    <w:rsid w:val="009D1461"/>
    <w:rsid w:val="009D147F"/>
    <w:rsid w:val="009D15EB"/>
    <w:rsid w:val="009D173A"/>
    <w:rsid w:val="009D19CB"/>
    <w:rsid w:val="009D19D7"/>
    <w:rsid w:val="009D1CD7"/>
    <w:rsid w:val="009D2063"/>
    <w:rsid w:val="009D2548"/>
    <w:rsid w:val="009D2C56"/>
    <w:rsid w:val="009D2D8F"/>
    <w:rsid w:val="009D3103"/>
    <w:rsid w:val="009D3208"/>
    <w:rsid w:val="009D3328"/>
    <w:rsid w:val="009D3440"/>
    <w:rsid w:val="009D3637"/>
    <w:rsid w:val="009D3A07"/>
    <w:rsid w:val="009D3A3C"/>
    <w:rsid w:val="009D3BBA"/>
    <w:rsid w:val="009D41D3"/>
    <w:rsid w:val="009D471B"/>
    <w:rsid w:val="009D48B6"/>
    <w:rsid w:val="009D49A6"/>
    <w:rsid w:val="009D4BFC"/>
    <w:rsid w:val="009D4EA8"/>
    <w:rsid w:val="009D5118"/>
    <w:rsid w:val="009D5490"/>
    <w:rsid w:val="009D54A5"/>
    <w:rsid w:val="009D58CA"/>
    <w:rsid w:val="009D5AA2"/>
    <w:rsid w:val="009D5EFE"/>
    <w:rsid w:val="009D61D1"/>
    <w:rsid w:val="009D61F3"/>
    <w:rsid w:val="009D6443"/>
    <w:rsid w:val="009D667B"/>
    <w:rsid w:val="009D6AC8"/>
    <w:rsid w:val="009D6EAC"/>
    <w:rsid w:val="009D7045"/>
    <w:rsid w:val="009D7A2E"/>
    <w:rsid w:val="009D7EEB"/>
    <w:rsid w:val="009E01FB"/>
    <w:rsid w:val="009E02C6"/>
    <w:rsid w:val="009E0419"/>
    <w:rsid w:val="009E0436"/>
    <w:rsid w:val="009E0643"/>
    <w:rsid w:val="009E07C7"/>
    <w:rsid w:val="009E0A9F"/>
    <w:rsid w:val="009E0C95"/>
    <w:rsid w:val="009E0CE1"/>
    <w:rsid w:val="009E0F06"/>
    <w:rsid w:val="009E14A1"/>
    <w:rsid w:val="009E16DD"/>
    <w:rsid w:val="009E1756"/>
    <w:rsid w:val="009E1877"/>
    <w:rsid w:val="009E1A2B"/>
    <w:rsid w:val="009E1A3E"/>
    <w:rsid w:val="009E1B66"/>
    <w:rsid w:val="009E1C37"/>
    <w:rsid w:val="009E23CE"/>
    <w:rsid w:val="009E258F"/>
    <w:rsid w:val="009E29CC"/>
    <w:rsid w:val="009E2C70"/>
    <w:rsid w:val="009E2EE2"/>
    <w:rsid w:val="009E32B5"/>
    <w:rsid w:val="009E36E7"/>
    <w:rsid w:val="009E371D"/>
    <w:rsid w:val="009E37BC"/>
    <w:rsid w:val="009E3824"/>
    <w:rsid w:val="009E3849"/>
    <w:rsid w:val="009E3E25"/>
    <w:rsid w:val="009E3FAE"/>
    <w:rsid w:val="009E4033"/>
    <w:rsid w:val="009E43F3"/>
    <w:rsid w:val="009E4409"/>
    <w:rsid w:val="009E443D"/>
    <w:rsid w:val="009E4447"/>
    <w:rsid w:val="009E44F6"/>
    <w:rsid w:val="009E490F"/>
    <w:rsid w:val="009E4C27"/>
    <w:rsid w:val="009E4CA9"/>
    <w:rsid w:val="009E4DE4"/>
    <w:rsid w:val="009E4E19"/>
    <w:rsid w:val="009E4F0D"/>
    <w:rsid w:val="009E4FCB"/>
    <w:rsid w:val="009E563B"/>
    <w:rsid w:val="009E5969"/>
    <w:rsid w:val="009E5C25"/>
    <w:rsid w:val="009E5C61"/>
    <w:rsid w:val="009E5C7A"/>
    <w:rsid w:val="009E5F05"/>
    <w:rsid w:val="009E6171"/>
    <w:rsid w:val="009E6968"/>
    <w:rsid w:val="009E6B5F"/>
    <w:rsid w:val="009E6C72"/>
    <w:rsid w:val="009E6E50"/>
    <w:rsid w:val="009E71A8"/>
    <w:rsid w:val="009E763E"/>
    <w:rsid w:val="009E768B"/>
    <w:rsid w:val="009E7767"/>
    <w:rsid w:val="009E783F"/>
    <w:rsid w:val="009E78AA"/>
    <w:rsid w:val="009E7AFD"/>
    <w:rsid w:val="009E7D32"/>
    <w:rsid w:val="009E7EB6"/>
    <w:rsid w:val="009F000A"/>
    <w:rsid w:val="009F026A"/>
    <w:rsid w:val="009F08E8"/>
    <w:rsid w:val="009F0A32"/>
    <w:rsid w:val="009F0E58"/>
    <w:rsid w:val="009F0EEC"/>
    <w:rsid w:val="009F123E"/>
    <w:rsid w:val="009F1408"/>
    <w:rsid w:val="009F145E"/>
    <w:rsid w:val="009F1BC9"/>
    <w:rsid w:val="009F1CEF"/>
    <w:rsid w:val="009F1D47"/>
    <w:rsid w:val="009F1E9B"/>
    <w:rsid w:val="009F2076"/>
    <w:rsid w:val="009F262B"/>
    <w:rsid w:val="009F2A63"/>
    <w:rsid w:val="009F2BBE"/>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A71"/>
    <w:rsid w:val="009F4D13"/>
    <w:rsid w:val="009F4F49"/>
    <w:rsid w:val="009F4FA2"/>
    <w:rsid w:val="009F5088"/>
    <w:rsid w:val="009F5319"/>
    <w:rsid w:val="009F5562"/>
    <w:rsid w:val="009F5567"/>
    <w:rsid w:val="009F5E0D"/>
    <w:rsid w:val="009F5E52"/>
    <w:rsid w:val="009F5F54"/>
    <w:rsid w:val="009F62A5"/>
    <w:rsid w:val="009F62FC"/>
    <w:rsid w:val="009F63D0"/>
    <w:rsid w:val="009F66C3"/>
    <w:rsid w:val="009F6740"/>
    <w:rsid w:val="009F68E0"/>
    <w:rsid w:val="009F69D4"/>
    <w:rsid w:val="009F6A20"/>
    <w:rsid w:val="009F6B22"/>
    <w:rsid w:val="009F6BF3"/>
    <w:rsid w:val="009F6D6F"/>
    <w:rsid w:val="009F6F26"/>
    <w:rsid w:val="009F7085"/>
    <w:rsid w:val="009F7193"/>
    <w:rsid w:val="009F71B3"/>
    <w:rsid w:val="009F75D6"/>
    <w:rsid w:val="009F76B4"/>
    <w:rsid w:val="009F79F1"/>
    <w:rsid w:val="009F7B20"/>
    <w:rsid w:val="009F7B8E"/>
    <w:rsid w:val="009F7C56"/>
    <w:rsid w:val="009F7CF6"/>
    <w:rsid w:val="009F7FB2"/>
    <w:rsid w:val="00A000FC"/>
    <w:rsid w:val="00A0013B"/>
    <w:rsid w:val="00A001E5"/>
    <w:rsid w:val="00A00B8B"/>
    <w:rsid w:val="00A00BA7"/>
    <w:rsid w:val="00A00DC3"/>
    <w:rsid w:val="00A010A5"/>
    <w:rsid w:val="00A01451"/>
    <w:rsid w:val="00A01489"/>
    <w:rsid w:val="00A01603"/>
    <w:rsid w:val="00A01828"/>
    <w:rsid w:val="00A0186E"/>
    <w:rsid w:val="00A018B9"/>
    <w:rsid w:val="00A01949"/>
    <w:rsid w:val="00A01C2D"/>
    <w:rsid w:val="00A01CB9"/>
    <w:rsid w:val="00A01CEA"/>
    <w:rsid w:val="00A01DFB"/>
    <w:rsid w:val="00A01ECA"/>
    <w:rsid w:val="00A0200F"/>
    <w:rsid w:val="00A02339"/>
    <w:rsid w:val="00A02765"/>
    <w:rsid w:val="00A027EC"/>
    <w:rsid w:val="00A02AB4"/>
    <w:rsid w:val="00A02E70"/>
    <w:rsid w:val="00A03085"/>
    <w:rsid w:val="00A0332C"/>
    <w:rsid w:val="00A038AA"/>
    <w:rsid w:val="00A039F5"/>
    <w:rsid w:val="00A03D04"/>
    <w:rsid w:val="00A04295"/>
    <w:rsid w:val="00A043B0"/>
    <w:rsid w:val="00A043ED"/>
    <w:rsid w:val="00A044DE"/>
    <w:rsid w:val="00A04536"/>
    <w:rsid w:val="00A0465B"/>
    <w:rsid w:val="00A04744"/>
    <w:rsid w:val="00A04A0B"/>
    <w:rsid w:val="00A04AE1"/>
    <w:rsid w:val="00A04BEB"/>
    <w:rsid w:val="00A04EB9"/>
    <w:rsid w:val="00A04FEF"/>
    <w:rsid w:val="00A05058"/>
    <w:rsid w:val="00A05167"/>
    <w:rsid w:val="00A05227"/>
    <w:rsid w:val="00A053E8"/>
    <w:rsid w:val="00A057BC"/>
    <w:rsid w:val="00A059B5"/>
    <w:rsid w:val="00A05DB8"/>
    <w:rsid w:val="00A05E31"/>
    <w:rsid w:val="00A05EDC"/>
    <w:rsid w:val="00A060C4"/>
    <w:rsid w:val="00A06112"/>
    <w:rsid w:val="00A06241"/>
    <w:rsid w:val="00A06253"/>
    <w:rsid w:val="00A06286"/>
    <w:rsid w:val="00A0630D"/>
    <w:rsid w:val="00A0676C"/>
    <w:rsid w:val="00A068A3"/>
    <w:rsid w:val="00A06910"/>
    <w:rsid w:val="00A06A8D"/>
    <w:rsid w:val="00A07018"/>
    <w:rsid w:val="00A07198"/>
    <w:rsid w:val="00A07425"/>
    <w:rsid w:val="00A07449"/>
    <w:rsid w:val="00A074C5"/>
    <w:rsid w:val="00A07521"/>
    <w:rsid w:val="00A07682"/>
    <w:rsid w:val="00A07702"/>
    <w:rsid w:val="00A077B1"/>
    <w:rsid w:val="00A07B33"/>
    <w:rsid w:val="00A07CD1"/>
    <w:rsid w:val="00A07D13"/>
    <w:rsid w:val="00A07DA8"/>
    <w:rsid w:val="00A100F2"/>
    <w:rsid w:val="00A10307"/>
    <w:rsid w:val="00A1049C"/>
    <w:rsid w:val="00A104E5"/>
    <w:rsid w:val="00A107E2"/>
    <w:rsid w:val="00A10B0B"/>
    <w:rsid w:val="00A10BC5"/>
    <w:rsid w:val="00A10BDB"/>
    <w:rsid w:val="00A10E99"/>
    <w:rsid w:val="00A11108"/>
    <w:rsid w:val="00A111BE"/>
    <w:rsid w:val="00A1120E"/>
    <w:rsid w:val="00A1189A"/>
    <w:rsid w:val="00A11A04"/>
    <w:rsid w:val="00A11B0F"/>
    <w:rsid w:val="00A11DF9"/>
    <w:rsid w:val="00A11F01"/>
    <w:rsid w:val="00A12250"/>
    <w:rsid w:val="00A122F2"/>
    <w:rsid w:val="00A126D6"/>
    <w:rsid w:val="00A129C2"/>
    <w:rsid w:val="00A129F5"/>
    <w:rsid w:val="00A12A6F"/>
    <w:rsid w:val="00A12ACD"/>
    <w:rsid w:val="00A12C06"/>
    <w:rsid w:val="00A12C3A"/>
    <w:rsid w:val="00A12E3E"/>
    <w:rsid w:val="00A131FE"/>
    <w:rsid w:val="00A13456"/>
    <w:rsid w:val="00A13481"/>
    <w:rsid w:val="00A135ED"/>
    <w:rsid w:val="00A1366C"/>
    <w:rsid w:val="00A13806"/>
    <w:rsid w:val="00A138BA"/>
    <w:rsid w:val="00A13982"/>
    <w:rsid w:val="00A13D22"/>
    <w:rsid w:val="00A13ED6"/>
    <w:rsid w:val="00A14038"/>
    <w:rsid w:val="00A143D6"/>
    <w:rsid w:val="00A14443"/>
    <w:rsid w:val="00A14554"/>
    <w:rsid w:val="00A14999"/>
    <w:rsid w:val="00A14B25"/>
    <w:rsid w:val="00A14D7E"/>
    <w:rsid w:val="00A14D90"/>
    <w:rsid w:val="00A14D99"/>
    <w:rsid w:val="00A14DC8"/>
    <w:rsid w:val="00A151D7"/>
    <w:rsid w:val="00A153A8"/>
    <w:rsid w:val="00A153D4"/>
    <w:rsid w:val="00A1542A"/>
    <w:rsid w:val="00A156AE"/>
    <w:rsid w:val="00A159DB"/>
    <w:rsid w:val="00A15AA1"/>
    <w:rsid w:val="00A15B08"/>
    <w:rsid w:val="00A15B40"/>
    <w:rsid w:val="00A15D5C"/>
    <w:rsid w:val="00A15DBC"/>
    <w:rsid w:val="00A15E77"/>
    <w:rsid w:val="00A161CD"/>
    <w:rsid w:val="00A163D9"/>
    <w:rsid w:val="00A16418"/>
    <w:rsid w:val="00A164F9"/>
    <w:rsid w:val="00A16915"/>
    <w:rsid w:val="00A16E70"/>
    <w:rsid w:val="00A16E7A"/>
    <w:rsid w:val="00A171BF"/>
    <w:rsid w:val="00A172F6"/>
    <w:rsid w:val="00A1738F"/>
    <w:rsid w:val="00A17428"/>
    <w:rsid w:val="00A1768C"/>
    <w:rsid w:val="00A17A06"/>
    <w:rsid w:val="00A17B74"/>
    <w:rsid w:val="00A2092A"/>
    <w:rsid w:val="00A20ECA"/>
    <w:rsid w:val="00A20EF9"/>
    <w:rsid w:val="00A211C3"/>
    <w:rsid w:val="00A21F7C"/>
    <w:rsid w:val="00A22170"/>
    <w:rsid w:val="00A22354"/>
    <w:rsid w:val="00A22361"/>
    <w:rsid w:val="00A227F3"/>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9D9"/>
    <w:rsid w:val="00A23B72"/>
    <w:rsid w:val="00A23E34"/>
    <w:rsid w:val="00A240FB"/>
    <w:rsid w:val="00A24447"/>
    <w:rsid w:val="00A24818"/>
    <w:rsid w:val="00A24884"/>
    <w:rsid w:val="00A24F84"/>
    <w:rsid w:val="00A25033"/>
    <w:rsid w:val="00A2516C"/>
    <w:rsid w:val="00A252DC"/>
    <w:rsid w:val="00A25442"/>
    <w:rsid w:val="00A2544D"/>
    <w:rsid w:val="00A258FC"/>
    <w:rsid w:val="00A25E27"/>
    <w:rsid w:val="00A26131"/>
    <w:rsid w:val="00A2627F"/>
    <w:rsid w:val="00A26376"/>
    <w:rsid w:val="00A266B4"/>
    <w:rsid w:val="00A2733A"/>
    <w:rsid w:val="00A275D5"/>
    <w:rsid w:val="00A279B9"/>
    <w:rsid w:val="00A279CF"/>
    <w:rsid w:val="00A27A40"/>
    <w:rsid w:val="00A27B74"/>
    <w:rsid w:val="00A27B76"/>
    <w:rsid w:val="00A27CC5"/>
    <w:rsid w:val="00A27CD3"/>
    <w:rsid w:val="00A30046"/>
    <w:rsid w:val="00A30315"/>
    <w:rsid w:val="00A303A0"/>
    <w:rsid w:val="00A3067F"/>
    <w:rsid w:val="00A3076D"/>
    <w:rsid w:val="00A30833"/>
    <w:rsid w:val="00A3085B"/>
    <w:rsid w:val="00A30A60"/>
    <w:rsid w:val="00A30CBA"/>
    <w:rsid w:val="00A30CE1"/>
    <w:rsid w:val="00A3126A"/>
    <w:rsid w:val="00A31286"/>
    <w:rsid w:val="00A314F4"/>
    <w:rsid w:val="00A317C8"/>
    <w:rsid w:val="00A319F3"/>
    <w:rsid w:val="00A31A1E"/>
    <w:rsid w:val="00A31A83"/>
    <w:rsid w:val="00A31CE5"/>
    <w:rsid w:val="00A31E2D"/>
    <w:rsid w:val="00A3202B"/>
    <w:rsid w:val="00A320B5"/>
    <w:rsid w:val="00A324AE"/>
    <w:rsid w:val="00A32B3B"/>
    <w:rsid w:val="00A32C87"/>
    <w:rsid w:val="00A32C88"/>
    <w:rsid w:val="00A32ECC"/>
    <w:rsid w:val="00A32F48"/>
    <w:rsid w:val="00A335C1"/>
    <w:rsid w:val="00A3362B"/>
    <w:rsid w:val="00A337A8"/>
    <w:rsid w:val="00A33971"/>
    <w:rsid w:val="00A33F61"/>
    <w:rsid w:val="00A3400A"/>
    <w:rsid w:val="00A340F9"/>
    <w:rsid w:val="00A34265"/>
    <w:rsid w:val="00A34487"/>
    <w:rsid w:val="00A34827"/>
    <w:rsid w:val="00A34B60"/>
    <w:rsid w:val="00A34C50"/>
    <w:rsid w:val="00A34D1A"/>
    <w:rsid w:val="00A34EDA"/>
    <w:rsid w:val="00A3542B"/>
    <w:rsid w:val="00A3579E"/>
    <w:rsid w:val="00A357C6"/>
    <w:rsid w:val="00A361FC"/>
    <w:rsid w:val="00A36503"/>
    <w:rsid w:val="00A369BE"/>
    <w:rsid w:val="00A36AAB"/>
    <w:rsid w:val="00A3752D"/>
    <w:rsid w:val="00A3760F"/>
    <w:rsid w:val="00A37885"/>
    <w:rsid w:val="00A37AE4"/>
    <w:rsid w:val="00A37D80"/>
    <w:rsid w:val="00A4094E"/>
    <w:rsid w:val="00A4097D"/>
    <w:rsid w:val="00A409B5"/>
    <w:rsid w:val="00A40B41"/>
    <w:rsid w:val="00A40BAC"/>
    <w:rsid w:val="00A413E9"/>
    <w:rsid w:val="00A41CE3"/>
    <w:rsid w:val="00A4203C"/>
    <w:rsid w:val="00A4209B"/>
    <w:rsid w:val="00A421D9"/>
    <w:rsid w:val="00A428BB"/>
    <w:rsid w:val="00A429DB"/>
    <w:rsid w:val="00A4307F"/>
    <w:rsid w:val="00A43658"/>
    <w:rsid w:val="00A437C7"/>
    <w:rsid w:val="00A439B5"/>
    <w:rsid w:val="00A43C38"/>
    <w:rsid w:val="00A43C3E"/>
    <w:rsid w:val="00A43D22"/>
    <w:rsid w:val="00A43DFD"/>
    <w:rsid w:val="00A43EA6"/>
    <w:rsid w:val="00A44046"/>
    <w:rsid w:val="00A44257"/>
    <w:rsid w:val="00A442CB"/>
    <w:rsid w:val="00A44373"/>
    <w:rsid w:val="00A444B2"/>
    <w:rsid w:val="00A445C8"/>
    <w:rsid w:val="00A44820"/>
    <w:rsid w:val="00A44B0E"/>
    <w:rsid w:val="00A44BE2"/>
    <w:rsid w:val="00A44BF0"/>
    <w:rsid w:val="00A45130"/>
    <w:rsid w:val="00A452F6"/>
    <w:rsid w:val="00A454A5"/>
    <w:rsid w:val="00A4552B"/>
    <w:rsid w:val="00A45D0B"/>
    <w:rsid w:val="00A45D68"/>
    <w:rsid w:val="00A462AA"/>
    <w:rsid w:val="00A4633E"/>
    <w:rsid w:val="00A465C6"/>
    <w:rsid w:val="00A46746"/>
    <w:rsid w:val="00A46868"/>
    <w:rsid w:val="00A46A33"/>
    <w:rsid w:val="00A46B7C"/>
    <w:rsid w:val="00A46D14"/>
    <w:rsid w:val="00A46DD6"/>
    <w:rsid w:val="00A4712E"/>
    <w:rsid w:val="00A47174"/>
    <w:rsid w:val="00A47350"/>
    <w:rsid w:val="00A47370"/>
    <w:rsid w:val="00A47754"/>
    <w:rsid w:val="00A47D95"/>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1BAB"/>
    <w:rsid w:val="00A5217B"/>
    <w:rsid w:val="00A52228"/>
    <w:rsid w:val="00A523AE"/>
    <w:rsid w:val="00A52481"/>
    <w:rsid w:val="00A527E7"/>
    <w:rsid w:val="00A528AE"/>
    <w:rsid w:val="00A528C6"/>
    <w:rsid w:val="00A52972"/>
    <w:rsid w:val="00A52A5F"/>
    <w:rsid w:val="00A52CC3"/>
    <w:rsid w:val="00A5314F"/>
    <w:rsid w:val="00A531CF"/>
    <w:rsid w:val="00A53610"/>
    <w:rsid w:val="00A536BE"/>
    <w:rsid w:val="00A53B16"/>
    <w:rsid w:val="00A53D07"/>
    <w:rsid w:val="00A53EFD"/>
    <w:rsid w:val="00A543BB"/>
    <w:rsid w:val="00A5455C"/>
    <w:rsid w:val="00A5457F"/>
    <w:rsid w:val="00A54621"/>
    <w:rsid w:val="00A5486E"/>
    <w:rsid w:val="00A54BC5"/>
    <w:rsid w:val="00A5519A"/>
    <w:rsid w:val="00A55240"/>
    <w:rsid w:val="00A5524E"/>
    <w:rsid w:val="00A55424"/>
    <w:rsid w:val="00A55A7D"/>
    <w:rsid w:val="00A55BDD"/>
    <w:rsid w:val="00A55C48"/>
    <w:rsid w:val="00A56115"/>
    <w:rsid w:val="00A562F0"/>
    <w:rsid w:val="00A56B1F"/>
    <w:rsid w:val="00A56C25"/>
    <w:rsid w:val="00A56D3E"/>
    <w:rsid w:val="00A56E60"/>
    <w:rsid w:val="00A56EE0"/>
    <w:rsid w:val="00A56FBE"/>
    <w:rsid w:val="00A570AF"/>
    <w:rsid w:val="00A571EB"/>
    <w:rsid w:val="00A574EB"/>
    <w:rsid w:val="00A575FD"/>
    <w:rsid w:val="00A577B1"/>
    <w:rsid w:val="00A57CC1"/>
    <w:rsid w:val="00A57DC7"/>
    <w:rsid w:val="00A57EE1"/>
    <w:rsid w:val="00A6026A"/>
    <w:rsid w:val="00A60609"/>
    <w:rsid w:val="00A60755"/>
    <w:rsid w:val="00A608E8"/>
    <w:rsid w:val="00A60A15"/>
    <w:rsid w:val="00A60B75"/>
    <w:rsid w:val="00A61291"/>
    <w:rsid w:val="00A61455"/>
    <w:rsid w:val="00A6158D"/>
    <w:rsid w:val="00A615CB"/>
    <w:rsid w:val="00A61839"/>
    <w:rsid w:val="00A618FD"/>
    <w:rsid w:val="00A61C6F"/>
    <w:rsid w:val="00A61D0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13"/>
    <w:rsid w:val="00A66160"/>
    <w:rsid w:val="00A663A7"/>
    <w:rsid w:val="00A6681D"/>
    <w:rsid w:val="00A66B7D"/>
    <w:rsid w:val="00A66FAF"/>
    <w:rsid w:val="00A6742E"/>
    <w:rsid w:val="00A674BC"/>
    <w:rsid w:val="00A674E2"/>
    <w:rsid w:val="00A6760B"/>
    <w:rsid w:val="00A677DB"/>
    <w:rsid w:val="00A67A17"/>
    <w:rsid w:val="00A7001C"/>
    <w:rsid w:val="00A704D2"/>
    <w:rsid w:val="00A705C7"/>
    <w:rsid w:val="00A706F2"/>
    <w:rsid w:val="00A7085D"/>
    <w:rsid w:val="00A70B6D"/>
    <w:rsid w:val="00A71119"/>
    <w:rsid w:val="00A711EE"/>
    <w:rsid w:val="00A71560"/>
    <w:rsid w:val="00A715B9"/>
    <w:rsid w:val="00A71B27"/>
    <w:rsid w:val="00A71B56"/>
    <w:rsid w:val="00A71F20"/>
    <w:rsid w:val="00A71F27"/>
    <w:rsid w:val="00A72132"/>
    <w:rsid w:val="00A721AA"/>
    <w:rsid w:val="00A723A2"/>
    <w:rsid w:val="00A725A9"/>
    <w:rsid w:val="00A7261E"/>
    <w:rsid w:val="00A72836"/>
    <w:rsid w:val="00A728BF"/>
    <w:rsid w:val="00A72A03"/>
    <w:rsid w:val="00A72C10"/>
    <w:rsid w:val="00A72C98"/>
    <w:rsid w:val="00A72D39"/>
    <w:rsid w:val="00A73665"/>
    <w:rsid w:val="00A73697"/>
    <w:rsid w:val="00A73E8C"/>
    <w:rsid w:val="00A74093"/>
    <w:rsid w:val="00A74C9B"/>
    <w:rsid w:val="00A74FAF"/>
    <w:rsid w:val="00A758E7"/>
    <w:rsid w:val="00A75E3A"/>
    <w:rsid w:val="00A75E43"/>
    <w:rsid w:val="00A7606E"/>
    <w:rsid w:val="00A76206"/>
    <w:rsid w:val="00A76360"/>
    <w:rsid w:val="00A76405"/>
    <w:rsid w:val="00A76829"/>
    <w:rsid w:val="00A76939"/>
    <w:rsid w:val="00A76B7B"/>
    <w:rsid w:val="00A77210"/>
    <w:rsid w:val="00A7734A"/>
    <w:rsid w:val="00A77486"/>
    <w:rsid w:val="00A77526"/>
    <w:rsid w:val="00A77614"/>
    <w:rsid w:val="00A77647"/>
    <w:rsid w:val="00A77B92"/>
    <w:rsid w:val="00A77E14"/>
    <w:rsid w:val="00A77F46"/>
    <w:rsid w:val="00A8006C"/>
    <w:rsid w:val="00A8023B"/>
    <w:rsid w:val="00A805DA"/>
    <w:rsid w:val="00A8073A"/>
    <w:rsid w:val="00A807B8"/>
    <w:rsid w:val="00A8097B"/>
    <w:rsid w:val="00A80DB7"/>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65E"/>
    <w:rsid w:val="00A82CF3"/>
    <w:rsid w:val="00A83350"/>
    <w:rsid w:val="00A83369"/>
    <w:rsid w:val="00A833F8"/>
    <w:rsid w:val="00A835B3"/>
    <w:rsid w:val="00A8398B"/>
    <w:rsid w:val="00A83CF6"/>
    <w:rsid w:val="00A83DE5"/>
    <w:rsid w:val="00A83F1E"/>
    <w:rsid w:val="00A84414"/>
    <w:rsid w:val="00A8478B"/>
    <w:rsid w:val="00A84819"/>
    <w:rsid w:val="00A84B14"/>
    <w:rsid w:val="00A84C56"/>
    <w:rsid w:val="00A84E0D"/>
    <w:rsid w:val="00A84EE2"/>
    <w:rsid w:val="00A852F2"/>
    <w:rsid w:val="00A853C6"/>
    <w:rsid w:val="00A853D0"/>
    <w:rsid w:val="00A855F3"/>
    <w:rsid w:val="00A85A3B"/>
    <w:rsid w:val="00A85ABB"/>
    <w:rsid w:val="00A85BE7"/>
    <w:rsid w:val="00A85C1A"/>
    <w:rsid w:val="00A85D5B"/>
    <w:rsid w:val="00A85D5D"/>
    <w:rsid w:val="00A85DA4"/>
    <w:rsid w:val="00A85F33"/>
    <w:rsid w:val="00A8610D"/>
    <w:rsid w:val="00A86132"/>
    <w:rsid w:val="00A86252"/>
    <w:rsid w:val="00A86812"/>
    <w:rsid w:val="00A86898"/>
    <w:rsid w:val="00A86BBB"/>
    <w:rsid w:val="00A86D1F"/>
    <w:rsid w:val="00A86DBB"/>
    <w:rsid w:val="00A86EA6"/>
    <w:rsid w:val="00A872EC"/>
    <w:rsid w:val="00A87485"/>
    <w:rsid w:val="00A8753A"/>
    <w:rsid w:val="00A875A3"/>
    <w:rsid w:val="00A87732"/>
    <w:rsid w:val="00A87866"/>
    <w:rsid w:val="00A90470"/>
    <w:rsid w:val="00A904FE"/>
    <w:rsid w:val="00A906B1"/>
    <w:rsid w:val="00A90B94"/>
    <w:rsid w:val="00A90BAA"/>
    <w:rsid w:val="00A90EEC"/>
    <w:rsid w:val="00A911C0"/>
    <w:rsid w:val="00A91362"/>
    <w:rsid w:val="00A91363"/>
    <w:rsid w:val="00A913D2"/>
    <w:rsid w:val="00A916BB"/>
    <w:rsid w:val="00A91B88"/>
    <w:rsid w:val="00A92017"/>
    <w:rsid w:val="00A921D3"/>
    <w:rsid w:val="00A92A42"/>
    <w:rsid w:val="00A92D5E"/>
    <w:rsid w:val="00A9315B"/>
    <w:rsid w:val="00A93352"/>
    <w:rsid w:val="00A935A9"/>
    <w:rsid w:val="00A93608"/>
    <w:rsid w:val="00A9385C"/>
    <w:rsid w:val="00A93956"/>
    <w:rsid w:val="00A93996"/>
    <w:rsid w:val="00A93AE1"/>
    <w:rsid w:val="00A93C86"/>
    <w:rsid w:val="00A93FCF"/>
    <w:rsid w:val="00A94414"/>
    <w:rsid w:val="00A9467F"/>
    <w:rsid w:val="00A9491C"/>
    <w:rsid w:val="00A94F8F"/>
    <w:rsid w:val="00A951CB"/>
    <w:rsid w:val="00A95345"/>
    <w:rsid w:val="00A95357"/>
    <w:rsid w:val="00A95459"/>
    <w:rsid w:val="00A954B5"/>
    <w:rsid w:val="00A954EF"/>
    <w:rsid w:val="00A95D9C"/>
    <w:rsid w:val="00A9603D"/>
    <w:rsid w:val="00A9604C"/>
    <w:rsid w:val="00A96066"/>
    <w:rsid w:val="00A960C7"/>
    <w:rsid w:val="00A960D9"/>
    <w:rsid w:val="00A9656E"/>
    <w:rsid w:val="00A96663"/>
    <w:rsid w:val="00A96733"/>
    <w:rsid w:val="00A967C1"/>
    <w:rsid w:val="00A96FB9"/>
    <w:rsid w:val="00A970B0"/>
    <w:rsid w:val="00A973FF"/>
    <w:rsid w:val="00A97519"/>
    <w:rsid w:val="00A97538"/>
    <w:rsid w:val="00A9788C"/>
    <w:rsid w:val="00A978FA"/>
    <w:rsid w:val="00A97C61"/>
    <w:rsid w:val="00A97DD7"/>
    <w:rsid w:val="00A97DF9"/>
    <w:rsid w:val="00AA0046"/>
    <w:rsid w:val="00AA047C"/>
    <w:rsid w:val="00AA0909"/>
    <w:rsid w:val="00AA0C99"/>
    <w:rsid w:val="00AA0ED1"/>
    <w:rsid w:val="00AA11A3"/>
    <w:rsid w:val="00AA1434"/>
    <w:rsid w:val="00AA18FE"/>
    <w:rsid w:val="00AA194F"/>
    <w:rsid w:val="00AA19C2"/>
    <w:rsid w:val="00AA1A01"/>
    <w:rsid w:val="00AA1CB3"/>
    <w:rsid w:val="00AA1F69"/>
    <w:rsid w:val="00AA2014"/>
    <w:rsid w:val="00AA2426"/>
    <w:rsid w:val="00AA24D1"/>
    <w:rsid w:val="00AA2926"/>
    <w:rsid w:val="00AA2C82"/>
    <w:rsid w:val="00AA3034"/>
    <w:rsid w:val="00AA340B"/>
    <w:rsid w:val="00AA3AC1"/>
    <w:rsid w:val="00AA3C7B"/>
    <w:rsid w:val="00AA3C89"/>
    <w:rsid w:val="00AA409E"/>
    <w:rsid w:val="00AA44F0"/>
    <w:rsid w:val="00AA4ACB"/>
    <w:rsid w:val="00AA4C65"/>
    <w:rsid w:val="00AA4CB1"/>
    <w:rsid w:val="00AA4E13"/>
    <w:rsid w:val="00AA501E"/>
    <w:rsid w:val="00AA50FB"/>
    <w:rsid w:val="00AA523C"/>
    <w:rsid w:val="00AA524C"/>
    <w:rsid w:val="00AA585E"/>
    <w:rsid w:val="00AA5C5E"/>
    <w:rsid w:val="00AA5E99"/>
    <w:rsid w:val="00AA5ED8"/>
    <w:rsid w:val="00AA5EE2"/>
    <w:rsid w:val="00AA6440"/>
    <w:rsid w:val="00AA671E"/>
    <w:rsid w:val="00AA6902"/>
    <w:rsid w:val="00AA69A3"/>
    <w:rsid w:val="00AA72AB"/>
    <w:rsid w:val="00AA72CE"/>
    <w:rsid w:val="00AA74AE"/>
    <w:rsid w:val="00AA74CF"/>
    <w:rsid w:val="00AA7865"/>
    <w:rsid w:val="00AA7AFB"/>
    <w:rsid w:val="00AA7C70"/>
    <w:rsid w:val="00AA7F05"/>
    <w:rsid w:val="00AA7F9D"/>
    <w:rsid w:val="00AB01FC"/>
    <w:rsid w:val="00AB02AA"/>
    <w:rsid w:val="00AB046A"/>
    <w:rsid w:val="00AB04AD"/>
    <w:rsid w:val="00AB063B"/>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4680"/>
    <w:rsid w:val="00AB47B9"/>
    <w:rsid w:val="00AB4872"/>
    <w:rsid w:val="00AB4BCF"/>
    <w:rsid w:val="00AB4BF9"/>
    <w:rsid w:val="00AB4E84"/>
    <w:rsid w:val="00AB4F36"/>
    <w:rsid w:val="00AB525A"/>
    <w:rsid w:val="00AB5377"/>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B7BE4"/>
    <w:rsid w:val="00AC0102"/>
    <w:rsid w:val="00AC0305"/>
    <w:rsid w:val="00AC04CA"/>
    <w:rsid w:val="00AC07F0"/>
    <w:rsid w:val="00AC0A3D"/>
    <w:rsid w:val="00AC0BB5"/>
    <w:rsid w:val="00AC0D7A"/>
    <w:rsid w:val="00AC0E6F"/>
    <w:rsid w:val="00AC108D"/>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6CB"/>
    <w:rsid w:val="00AC373C"/>
    <w:rsid w:val="00AC3A4F"/>
    <w:rsid w:val="00AC3F4F"/>
    <w:rsid w:val="00AC417F"/>
    <w:rsid w:val="00AC4188"/>
    <w:rsid w:val="00AC42EA"/>
    <w:rsid w:val="00AC442E"/>
    <w:rsid w:val="00AC44DB"/>
    <w:rsid w:val="00AC47B9"/>
    <w:rsid w:val="00AC4916"/>
    <w:rsid w:val="00AC4A88"/>
    <w:rsid w:val="00AC4BAF"/>
    <w:rsid w:val="00AC4FB8"/>
    <w:rsid w:val="00AC50E0"/>
    <w:rsid w:val="00AC5352"/>
    <w:rsid w:val="00AC5759"/>
    <w:rsid w:val="00AC5AF9"/>
    <w:rsid w:val="00AC67C9"/>
    <w:rsid w:val="00AC6AA3"/>
    <w:rsid w:val="00AC6BC4"/>
    <w:rsid w:val="00AC6FAC"/>
    <w:rsid w:val="00AC7D13"/>
    <w:rsid w:val="00AC7FD0"/>
    <w:rsid w:val="00AD0288"/>
    <w:rsid w:val="00AD0571"/>
    <w:rsid w:val="00AD067C"/>
    <w:rsid w:val="00AD0B16"/>
    <w:rsid w:val="00AD0E5D"/>
    <w:rsid w:val="00AD103C"/>
    <w:rsid w:val="00AD12BC"/>
    <w:rsid w:val="00AD15E3"/>
    <w:rsid w:val="00AD185A"/>
    <w:rsid w:val="00AD211C"/>
    <w:rsid w:val="00AD22FF"/>
    <w:rsid w:val="00AD2347"/>
    <w:rsid w:val="00AD24F9"/>
    <w:rsid w:val="00AD2608"/>
    <w:rsid w:val="00AD2ACA"/>
    <w:rsid w:val="00AD2BE6"/>
    <w:rsid w:val="00AD2CA1"/>
    <w:rsid w:val="00AD2D64"/>
    <w:rsid w:val="00AD2D8C"/>
    <w:rsid w:val="00AD2E2C"/>
    <w:rsid w:val="00AD2EED"/>
    <w:rsid w:val="00AD2F2C"/>
    <w:rsid w:val="00AD2FDE"/>
    <w:rsid w:val="00AD300F"/>
    <w:rsid w:val="00AD306A"/>
    <w:rsid w:val="00AD3271"/>
    <w:rsid w:val="00AD32A1"/>
    <w:rsid w:val="00AD337B"/>
    <w:rsid w:val="00AD338F"/>
    <w:rsid w:val="00AD35DD"/>
    <w:rsid w:val="00AD36F7"/>
    <w:rsid w:val="00AD3A33"/>
    <w:rsid w:val="00AD3E3A"/>
    <w:rsid w:val="00AD3F8A"/>
    <w:rsid w:val="00AD3FB5"/>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AD8"/>
    <w:rsid w:val="00AD5D4D"/>
    <w:rsid w:val="00AD5F0E"/>
    <w:rsid w:val="00AD5F1D"/>
    <w:rsid w:val="00AD62F7"/>
    <w:rsid w:val="00AD6413"/>
    <w:rsid w:val="00AD6473"/>
    <w:rsid w:val="00AD6799"/>
    <w:rsid w:val="00AD6957"/>
    <w:rsid w:val="00AD6C6B"/>
    <w:rsid w:val="00AD726C"/>
    <w:rsid w:val="00AD7385"/>
    <w:rsid w:val="00AD74E5"/>
    <w:rsid w:val="00AD76CE"/>
    <w:rsid w:val="00AD76F2"/>
    <w:rsid w:val="00AD7DF9"/>
    <w:rsid w:val="00AE0249"/>
    <w:rsid w:val="00AE0423"/>
    <w:rsid w:val="00AE044D"/>
    <w:rsid w:val="00AE08CF"/>
    <w:rsid w:val="00AE0A83"/>
    <w:rsid w:val="00AE0AC6"/>
    <w:rsid w:val="00AE0C66"/>
    <w:rsid w:val="00AE0C74"/>
    <w:rsid w:val="00AE0CD0"/>
    <w:rsid w:val="00AE1015"/>
    <w:rsid w:val="00AE1829"/>
    <w:rsid w:val="00AE1A03"/>
    <w:rsid w:val="00AE1A4B"/>
    <w:rsid w:val="00AE1E15"/>
    <w:rsid w:val="00AE2085"/>
    <w:rsid w:val="00AE20F1"/>
    <w:rsid w:val="00AE216E"/>
    <w:rsid w:val="00AE2549"/>
    <w:rsid w:val="00AE26F5"/>
    <w:rsid w:val="00AE272B"/>
    <w:rsid w:val="00AE2902"/>
    <w:rsid w:val="00AE2BD9"/>
    <w:rsid w:val="00AE2ECF"/>
    <w:rsid w:val="00AE32B8"/>
    <w:rsid w:val="00AE32C9"/>
    <w:rsid w:val="00AE331D"/>
    <w:rsid w:val="00AE332B"/>
    <w:rsid w:val="00AE3793"/>
    <w:rsid w:val="00AE394F"/>
    <w:rsid w:val="00AE39DA"/>
    <w:rsid w:val="00AE3A02"/>
    <w:rsid w:val="00AE3E20"/>
    <w:rsid w:val="00AE3EE2"/>
    <w:rsid w:val="00AE44B9"/>
    <w:rsid w:val="00AE4625"/>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B64"/>
    <w:rsid w:val="00AE7E19"/>
    <w:rsid w:val="00AE7E78"/>
    <w:rsid w:val="00AE7EC6"/>
    <w:rsid w:val="00AF0047"/>
    <w:rsid w:val="00AF03D3"/>
    <w:rsid w:val="00AF044C"/>
    <w:rsid w:val="00AF0591"/>
    <w:rsid w:val="00AF06A1"/>
    <w:rsid w:val="00AF0716"/>
    <w:rsid w:val="00AF0725"/>
    <w:rsid w:val="00AF08AF"/>
    <w:rsid w:val="00AF08BF"/>
    <w:rsid w:val="00AF0A6C"/>
    <w:rsid w:val="00AF0F24"/>
    <w:rsid w:val="00AF10C8"/>
    <w:rsid w:val="00AF11EF"/>
    <w:rsid w:val="00AF14DA"/>
    <w:rsid w:val="00AF158D"/>
    <w:rsid w:val="00AF17F5"/>
    <w:rsid w:val="00AF1A11"/>
    <w:rsid w:val="00AF1B11"/>
    <w:rsid w:val="00AF1DA6"/>
    <w:rsid w:val="00AF1DD1"/>
    <w:rsid w:val="00AF2082"/>
    <w:rsid w:val="00AF2096"/>
    <w:rsid w:val="00AF20B1"/>
    <w:rsid w:val="00AF21A3"/>
    <w:rsid w:val="00AF2511"/>
    <w:rsid w:val="00AF2719"/>
    <w:rsid w:val="00AF28F1"/>
    <w:rsid w:val="00AF29AB"/>
    <w:rsid w:val="00AF29DB"/>
    <w:rsid w:val="00AF2A37"/>
    <w:rsid w:val="00AF2BBE"/>
    <w:rsid w:val="00AF2EBE"/>
    <w:rsid w:val="00AF2F5A"/>
    <w:rsid w:val="00AF300F"/>
    <w:rsid w:val="00AF32C7"/>
    <w:rsid w:val="00AF339A"/>
    <w:rsid w:val="00AF356D"/>
    <w:rsid w:val="00AF3730"/>
    <w:rsid w:val="00AF38B2"/>
    <w:rsid w:val="00AF3A12"/>
    <w:rsid w:val="00AF3BFA"/>
    <w:rsid w:val="00AF3DAD"/>
    <w:rsid w:val="00AF3E34"/>
    <w:rsid w:val="00AF4171"/>
    <w:rsid w:val="00AF41B2"/>
    <w:rsid w:val="00AF4324"/>
    <w:rsid w:val="00AF4430"/>
    <w:rsid w:val="00AF44FD"/>
    <w:rsid w:val="00AF452D"/>
    <w:rsid w:val="00AF482B"/>
    <w:rsid w:val="00AF482D"/>
    <w:rsid w:val="00AF492F"/>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4BB"/>
    <w:rsid w:val="00AF65C7"/>
    <w:rsid w:val="00AF68F7"/>
    <w:rsid w:val="00AF69DF"/>
    <w:rsid w:val="00AF6D13"/>
    <w:rsid w:val="00AF6DA8"/>
    <w:rsid w:val="00AF6E07"/>
    <w:rsid w:val="00AF7091"/>
    <w:rsid w:val="00AF70D9"/>
    <w:rsid w:val="00AF7249"/>
    <w:rsid w:val="00AF79B9"/>
    <w:rsid w:val="00AF7BFB"/>
    <w:rsid w:val="00AF7F76"/>
    <w:rsid w:val="00B00095"/>
    <w:rsid w:val="00B0009A"/>
    <w:rsid w:val="00B00116"/>
    <w:rsid w:val="00B00260"/>
    <w:rsid w:val="00B002E8"/>
    <w:rsid w:val="00B0036D"/>
    <w:rsid w:val="00B004E5"/>
    <w:rsid w:val="00B00729"/>
    <w:rsid w:val="00B00C56"/>
    <w:rsid w:val="00B00E19"/>
    <w:rsid w:val="00B0123C"/>
    <w:rsid w:val="00B01383"/>
    <w:rsid w:val="00B0150C"/>
    <w:rsid w:val="00B019CA"/>
    <w:rsid w:val="00B01A43"/>
    <w:rsid w:val="00B01A6E"/>
    <w:rsid w:val="00B01B25"/>
    <w:rsid w:val="00B01C94"/>
    <w:rsid w:val="00B01F52"/>
    <w:rsid w:val="00B022CC"/>
    <w:rsid w:val="00B02559"/>
    <w:rsid w:val="00B0262A"/>
    <w:rsid w:val="00B02696"/>
    <w:rsid w:val="00B029A8"/>
    <w:rsid w:val="00B02E58"/>
    <w:rsid w:val="00B03040"/>
    <w:rsid w:val="00B03197"/>
    <w:rsid w:val="00B032E7"/>
    <w:rsid w:val="00B032F3"/>
    <w:rsid w:val="00B03886"/>
    <w:rsid w:val="00B03C0B"/>
    <w:rsid w:val="00B03C70"/>
    <w:rsid w:val="00B04041"/>
    <w:rsid w:val="00B043D1"/>
    <w:rsid w:val="00B04501"/>
    <w:rsid w:val="00B04613"/>
    <w:rsid w:val="00B04661"/>
    <w:rsid w:val="00B04731"/>
    <w:rsid w:val="00B0475F"/>
    <w:rsid w:val="00B04A62"/>
    <w:rsid w:val="00B04BF9"/>
    <w:rsid w:val="00B04CA5"/>
    <w:rsid w:val="00B053D4"/>
    <w:rsid w:val="00B053FA"/>
    <w:rsid w:val="00B05404"/>
    <w:rsid w:val="00B054F6"/>
    <w:rsid w:val="00B055A9"/>
    <w:rsid w:val="00B05947"/>
    <w:rsid w:val="00B05AAD"/>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951"/>
    <w:rsid w:val="00B10D74"/>
    <w:rsid w:val="00B10DA8"/>
    <w:rsid w:val="00B10E01"/>
    <w:rsid w:val="00B10E6A"/>
    <w:rsid w:val="00B10EE4"/>
    <w:rsid w:val="00B110EB"/>
    <w:rsid w:val="00B112A5"/>
    <w:rsid w:val="00B113AF"/>
    <w:rsid w:val="00B115E3"/>
    <w:rsid w:val="00B115F1"/>
    <w:rsid w:val="00B1160A"/>
    <w:rsid w:val="00B119E2"/>
    <w:rsid w:val="00B11AD7"/>
    <w:rsid w:val="00B11B35"/>
    <w:rsid w:val="00B11E4F"/>
    <w:rsid w:val="00B1217F"/>
    <w:rsid w:val="00B12741"/>
    <w:rsid w:val="00B1298F"/>
    <w:rsid w:val="00B129F2"/>
    <w:rsid w:val="00B13147"/>
    <w:rsid w:val="00B131D2"/>
    <w:rsid w:val="00B132F7"/>
    <w:rsid w:val="00B136A0"/>
    <w:rsid w:val="00B137F0"/>
    <w:rsid w:val="00B13A27"/>
    <w:rsid w:val="00B13B64"/>
    <w:rsid w:val="00B13BCE"/>
    <w:rsid w:val="00B13C0B"/>
    <w:rsid w:val="00B13C2B"/>
    <w:rsid w:val="00B13CBC"/>
    <w:rsid w:val="00B13F7B"/>
    <w:rsid w:val="00B13FE0"/>
    <w:rsid w:val="00B14048"/>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011"/>
    <w:rsid w:val="00B1658A"/>
    <w:rsid w:val="00B167C0"/>
    <w:rsid w:val="00B167E5"/>
    <w:rsid w:val="00B169AF"/>
    <w:rsid w:val="00B16A28"/>
    <w:rsid w:val="00B16AC8"/>
    <w:rsid w:val="00B16B56"/>
    <w:rsid w:val="00B16ED9"/>
    <w:rsid w:val="00B16F4B"/>
    <w:rsid w:val="00B17101"/>
    <w:rsid w:val="00B1715D"/>
    <w:rsid w:val="00B1717C"/>
    <w:rsid w:val="00B17226"/>
    <w:rsid w:val="00B173FA"/>
    <w:rsid w:val="00B1747F"/>
    <w:rsid w:val="00B17897"/>
    <w:rsid w:val="00B17A9C"/>
    <w:rsid w:val="00B17AF2"/>
    <w:rsid w:val="00B17D3B"/>
    <w:rsid w:val="00B20168"/>
    <w:rsid w:val="00B2036A"/>
    <w:rsid w:val="00B204E4"/>
    <w:rsid w:val="00B2074F"/>
    <w:rsid w:val="00B20E9A"/>
    <w:rsid w:val="00B20F56"/>
    <w:rsid w:val="00B21000"/>
    <w:rsid w:val="00B2132B"/>
    <w:rsid w:val="00B217A6"/>
    <w:rsid w:val="00B2190A"/>
    <w:rsid w:val="00B21B62"/>
    <w:rsid w:val="00B21BC5"/>
    <w:rsid w:val="00B21DA3"/>
    <w:rsid w:val="00B220CB"/>
    <w:rsid w:val="00B22212"/>
    <w:rsid w:val="00B2241B"/>
    <w:rsid w:val="00B22459"/>
    <w:rsid w:val="00B2290E"/>
    <w:rsid w:val="00B22A98"/>
    <w:rsid w:val="00B22C53"/>
    <w:rsid w:val="00B22C59"/>
    <w:rsid w:val="00B22C7E"/>
    <w:rsid w:val="00B23293"/>
    <w:rsid w:val="00B2354E"/>
    <w:rsid w:val="00B2356A"/>
    <w:rsid w:val="00B23E15"/>
    <w:rsid w:val="00B24435"/>
    <w:rsid w:val="00B248F2"/>
    <w:rsid w:val="00B2497A"/>
    <w:rsid w:val="00B24CAB"/>
    <w:rsid w:val="00B24EA4"/>
    <w:rsid w:val="00B24FB4"/>
    <w:rsid w:val="00B25066"/>
    <w:rsid w:val="00B25628"/>
    <w:rsid w:val="00B258ED"/>
    <w:rsid w:val="00B25A40"/>
    <w:rsid w:val="00B25B10"/>
    <w:rsid w:val="00B25CC1"/>
    <w:rsid w:val="00B25F03"/>
    <w:rsid w:val="00B26002"/>
    <w:rsid w:val="00B262EB"/>
    <w:rsid w:val="00B26445"/>
    <w:rsid w:val="00B26515"/>
    <w:rsid w:val="00B26DC7"/>
    <w:rsid w:val="00B26E18"/>
    <w:rsid w:val="00B2704C"/>
    <w:rsid w:val="00B2707E"/>
    <w:rsid w:val="00B27210"/>
    <w:rsid w:val="00B2724D"/>
    <w:rsid w:val="00B27425"/>
    <w:rsid w:val="00B2769B"/>
    <w:rsid w:val="00B277C7"/>
    <w:rsid w:val="00B27BBB"/>
    <w:rsid w:val="00B27EC2"/>
    <w:rsid w:val="00B30219"/>
    <w:rsid w:val="00B3030D"/>
    <w:rsid w:val="00B304DE"/>
    <w:rsid w:val="00B30994"/>
    <w:rsid w:val="00B30A23"/>
    <w:rsid w:val="00B30A32"/>
    <w:rsid w:val="00B30B6F"/>
    <w:rsid w:val="00B30D1D"/>
    <w:rsid w:val="00B30F47"/>
    <w:rsid w:val="00B30FF2"/>
    <w:rsid w:val="00B312BC"/>
    <w:rsid w:val="00B31374"/>
    <w:rsid w:val="00B31C42"/>
    <w:rsid w:val="00B31E4C"/>
    <w:rsid w:val="00B31E55"/>
    <w:rsid w:val="00B320D4"/>
    <w:rsid w:val="00B321EB"/>
    <w:rsid w:val="00B326F3"/>
    <w:rsid w:val="00B32C26"/>
    <w:rsid w:val="00B32D52"/>
    <w:rsid w:val="00B32F04"/>
    <w:rsid w:val="00B331CA"/>
    <w:rsid w:val="00B333E2"/>
    <w:rsid w:val="00B335A9"/>
    <w:rsid w:val="00B337E3"/>
    <w:rsid w:val="00B3387E"/>
    <w:rsid w:val="00B3392E"/>
    <w:rsid w:val="00B33B12"/>
    <w:rsid w:val="00B33BD8"/>
    <w:rsid w:val="00B33C0E"/>
    <w:rsid w:val="00B33C66"/>
    <w:rsid w:val="00B34660"/>
    <w:rsid w:val="00B3476B"/>
    <w:rsid w:val="00B34837"/>
    <w:rsid w:val="00B34AD0"/>
    <w:rsid w:val="00B34FB7"/>
    <w:rsid w:val="00B34FE9"/>
    <w:rsid w:val="00B35117"/>
    <w:rsid w:val="00B3529E"/>
    <w:rsid w:val="00B3535F"/>
    <w:rsid w:val="00B35464"/>
    <w:rsid w:val="00B355E4"/>
    <w:rsid w:val="00B35881"/>
    <w:rsid w:val="00B3593D"/>
    <w:rsid w:val="00B359C1"/>
    <w:rsid w:val="00B35A40"/>
    <w:rsid w:val="00B35AFD"/>
    <w:rsid w:val="00B3612F"/>
    <w:rsid w:val="00B361A2"/>
    <w:rsid w:val="00B362F7"/>
    <w:rsid w:val="00B3646E"/>
    <w:rsid w:val="00B36779"/>
    <w:rsid w:val="00B36CBF"/>
    <w:rsid w:val="00B36EA4"/>
    <w:rsid w:val="00B37087"/>
    <w:rsid w:val="00B37100"/>
    <w:rsid w:val="00B37196"/>
    <w:rsid w:val="00B37256"/>
    <w:rsid w:val="00B374C5"/>
    <w:rsid w:val="00B377A9"/>
    <w:rsid w:val="00B37B0A"/>
    <w:rsid w:val="00B37C49"/>
    <w:rsid w:val="00B37C92"/>
    <w:rsid w:val="00B4033F"/>
    <w:rsid w:val="00B4057B"/>
    <w:rsid w:val="00B40678"/>
    <w:rsid w:val="00B40A3B"/>
    <w:rsid w:val="00B40ABD"/>
    <w:rsid w:val="00B40F44"/>
    <w:rsid w:val="00B4117D"/>
    <w:rsid w:val="00B411A9"/>
    <w:rsid w:val="00B41459"/>
    <w:rsid w:val="00B41528"/>
    <w:rsid w:val="00B41939"/>
    <w:rsid w:val="00B41988"/>
    <w:rsid w:val="00B419E3"/>
    <w:rsid w:val="00B41D4C"/>
    <w:rsid w:val="00B42255"/>
    <w:rsid w:val="00B427F8"/>
    <w:rsid w:val="00B42961"/>
    <w:rsid w:val="00B42B42"/>
    <w:rsid w:val="00B42BB5"/>
    <w:rsid w:val="00B42F42"/>
    <w:rsid w:val="00B430FE"/>
    <w:rsid w:val="00B4314A"/>
    <w:rsid w:val="00B43222"/>
    <w:rsid w:val="00B43364"/>
    <w:rsid w:val="00B4361A"/>
    <w:rsid w:val="00B4369D"/>
    <w:rsid w:val="00B436E4"/>
    <w:rsid w:val="00B4378A"/>
    <w:rsid w:val="00B437AB"/>
    <w:rsid w:val="00B43B73"/>
    <w:rsid w:val="00B43BB1"/>
    <w:rsid w:val="00B43CBE"/>
    <w:rsid w:val="00B43D3A"/>
    <w:rsid w:val="00B43EE7"/>
    <w:rsid w:val="00B4402B"/>
    <w:rsid w:val="00B44088"/>
    <w:rsid w:val="00B44619"/>
    <w:rsid w:val="00B446EC"/>
    <w:rsid w:val="00B44754"/>
    <w:rsid w:val="00B44903"/>
    <w:rsid w:val="00B44AF4"/>
    <w:rsid w:val="00B44F42"/>
    <w:rsid w:val="00B44FA9"/>
    <w:rsid w:val="00B45088"/>
    <w:rsid w:val="00B4510F"/>
    <w:rsid w:val="00B45267"/>
    <w:rsid w:val="00B4580F"/>
    <w:rsid w:val="00B45B6A"/>
    <w:rsid w:val="00B45C1E"/>
    <w:rsid w:val="00B45D94"/>
    <w:rsid w:val="00B45F84"/>
    <w:rsid w:val="00B45FF4"/>
    <w:rsid w:val="00B460C3"/>
    <w:rsid w:val="00B46142"/>
    <w:rsid w:val="00B46356"/>
    <w:rsid w:val="00B46613"/>
    <w:rsid w:val="00B46896"/>
    <w:rsid w:val="00B46915"/>
    <w:rsid w:val="00B469DA"/>
    <w:rsid w:val="00B46A72"/>
    <w:rsid w:val="00B46CAA"/>
    <w:rsid w:val="00B46F9A"/>
    <w:rsid w:val="00B47254"/>
    <w:rsid w:val="00B4729C"/>
    <w:rsid w:val="00B472AE"/>
    <w:rsid w:val="00B473AB"/>
    <w:rsid w:val="00B4747D"/>
    <w:rsid w:val="00B474E7"/>
    <w:rsid w:val="00B475B1"/>
    <w:rsid w:val="00B4772A"/>
    <w:rsid w:val="00B477B2"/>
    <w:rsid w:val="00B47B2D"/>
    <w:rsid w:val="00B47D66"/>
    <w:rsid w:val="00B50762"/>
    <w:rsid w:val="00B507B5"/>
    <w:rsid w:val="00B507CD"/>
    <w:rsid w:val="00B50B5B"/>
    <w:rsid w:val="00B50CED"/>
    <w:rsid w:val="00B50D39"/>
    <w:rsid w:val="00B50E3F"/>
    <w:rsid w:val="00B50FBD"/>
    <w:rsid w:val="00B50FDC"/>
    <w:rsid w:val="00B5100C"/>
    <w:rsid w:val="00B51384"/>
    <w:rsid w:val="00B51736"/>
    <w:rsid w:val="00B51836"/>
    <w:rsid w:val="00B51953"/>
    <w:rsid w:val="00B51973"/>
    <w:rsid w:val="00B51B94"/>
    <w:rsid w:val="00B51BB3"/>
    <w:rsid w:val="00B51BCB"/>
    <w:rsid w:val="00B51D31"/>
    <w:rsid w:val="00B51DF3"/>
    <w:rsid w:val="00B51E41"/>
    <w:rsid w:val="00B51EE1"/>
    <w:rsid w:val="00B52364"/>
    <w:rsid w:val="00B52464"/>
    <w:rsid w:val="00B527BD"/>
    <w:rsid w:val="00B527FC"/>
    <w:rsid w:val="00B52818"/>
    <w:rsid w:val="00B5284F"/>
    <w:rsid w:val="00B52940"/>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09"/>
    <w:rsid w:val="00B55113"/>
    <w:rsid w:val="00B5519F"/>
    <w:rsid w:val="00B551FA"/>
    <w:rsid w:val="00B553BC"/>
    <w:rsid w:val="00B553D0"/>
    <w:rsid w:val="00B553F3"/>
    <w:rsid w:val="00B555E6"/>
    <w:rsid w:val="00B55914"/>
    <w:rsid w:val="00B55A7C"/>
    <w:rsid w:val="00B55D70"/>
    <w:rsid w:val="00B55D7D"/>
    <w:rsid w:val="00B56144"/>
    <w:rsid w:val="00B56166"/>
    <w:rsid w:val="00B56215"/>
    <w:rsid w:val="00B5681C"/>
    <w:rsid w:val="00B56971"/>
    <w:rsid w:val="00B56A31"/>
    <w:rsid w:val="00B56B58"/>
    <w:rsid w:val="00B56E38"/>
    <w:rsid w:val="00B56F11"/>
    <w:rsid w:val="00B571EB"/>
    <w:rsid w:val="00B57357"/>
    <w:rsid w:val="00B57908"/>
    <w:rsid w:val="00B57C54"/>
    <w:rsid w:val="00B57D02"/>
    <w:rsid w:val="00B57D09"/>
    <w:rsid w:val="00B57E01"/>
    <w:rsid w:val="00B57F38"/>
    <w:rsid w:val="00B57F67"/>
    <w:rsid w:val="00B60073"/>
    <w:rsid w:val="00B60120"/>
    <w:rsid w:val="00B60D03"/>
    <w:rsid w:val="00B60FDC"/>
    <w:rsid w:val="00B60FEC"/>
    <w:rsid w:val="00B61318"/>
    <w:rsid w:val="00B61334"/>
    <w:rsid w:val="00B6135C"/>
    <w:rsid w:val="00B61577"/>
    <w:rsid w:val="00B61728"/>
    <w:rsid w:val="00B61D0F"/>
    <w:rsid w:val="00B61DF1"/>
    <w:rsid w:val="00B61DFF"/>
    <w:rsid w:val="00B61E6C"/>
    <w:rsid w:val="00B61FE9"/>
    <w:rsid w:val="00B62136"/>
    <w:rsid w:val="00B621BE"/>
    <w:rsid w:val="00B624B2"/>
    <w:rsid w:val="00B6252B"/>
    <w:rsid w:val="00B62863"/>
    <w:rsid w:val="00B62CD5"/>
    <w:rsid w:val="00B6331B"/>
    <w:rsid w:val="00B63433"/>
    <w:rsid w:val="00B635CD"/>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39D"/>
    <w:rsid w:val="00B66705"/>
    <w:rsid w:val="00B66B5F"/>
    <w:rsid w:val="00B66C27"/>
    <w:rsid w:val="00B66C5D"/>
    <w:rsid w:val="00B66EA9"/>
    <w:rsid w:val="00B66EB3"/>
    <w:rsid w:val="00B66EC1"/>
    <w:rsid w:val="00B66EFF"/>
    <w:rsid w:val="00B66F25"/>
    <w:rsid w:val="00B671BD"/>
    <w:rsid w:val="00B67254"/>
    <w:rsid w:val="00B6788D"/>
    <w:rsid w:val="00B67AB7"/>
    <w:rsid w:val="00B67B2A"/>
    <w:rsid w:val="00B67BA9"/>
    <w:rsid w:val="00B67C33"/>
    <w:rsid w:val="00B67D0A"/>
    <w:rsid w:val="00B67EA5"/>
    <w:rsid w:val="00B67EA9"/>
    <w:rsid w:val="00B700C2"/>
    <w:rsid w:val="00B70161"/>
    <w:rsid w:val="00B70277"/>
    <w:rsid w:val="00B702FE"/>
    <w:rsid w:val="00B70463"/>
    <w:rsid w:val="00B70517"/>
    <w:rsid w:val="00B7063C"/>
    <w:rsid w:val="00B706B1"/>
    <w:rsid w:val="00B707BC"/>
    <w:rsid w:val="00B70A78"/>
    <w:rsid w:val="00B70C54"/>
    <w:rsid w:val="00B70F41"/>
    <w:rsid w:val="00B71037"/>
    <w:rsid w:val="00B710AC"/>
    <w:rsid w:val="00B713A2"/>
    <w:rsid w:val="00B7183C"/>
    <w:rsid w:val="00B71A58"/>
    <w:rsid w:val="00B71AE7"/>
    <w:rsid w:val="00B71B4E"/>
    <w:rsid w:val="00B71DCA"/>
    <w:rsid w:val="00B71F39"/>
    <w:rsid w:val="00B71F85"/>
    <w:rsid w:val="00B71FCD"/>
    <w:rsid w:val="00B722F1"/>
    <w:rsid w:val="00B725BF"/>
    <w:rsid w:val="00B72655"/>
    <w:rsid w:val="00B727C0"/>
    <w:rsid w:val="00B727CB"/>
    <w:rsid w:val="00B729B5"/>
    <w:rsid w:val="00B72A1F"/>
    <w:rsid w:val="00B72BC5"/>
    <w:rsid w:val="00B72CE0"/>
    <w:rsid w:val="00B72F19"/>
    <w:rsid w:val="00B72FAE"/>
    <w:rsid w:val="00B732D7"/>
    <w:rsid w:val="00B73482"/>
    <w:rsid w:val="00B73541"/>
    <w:rsid w:val="00B735AA"/>
    <w:rsid w:val="00B7382C"/>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9C"/>
    <w:rsid w:val="00B7513D"/>
    <w:rsid w:val="00B7520C"/>
    <w:rsid w:val="00B752FB"/>
    <w:rsid w:val="00B75424"/>
    <w:rsid w:val="00B7546E"/>
    <w:rsid w:val="00B75C01"/>
    <w:rsid w:val="00B75F49"/>
    <w:rsid w:val="00B7646F"/>
    <w:rsid w:val="00B767DC"/>
    <w:rsid w:val="00B76A3A"/>
    <w:rsid w:val="00B76D57"/>
    <w:rsid w:val="00B77330"/>
    <w:rsid w:val="00B7740F"/>
    <w:rsid w:val="00B775C0"/>
    <w:rsid w:val="00B777E7"/>
    <w:rsid w:val="00B77808"/>
    <w:rsid w:val="00B77A85"/>
    <w:rsid w:val="00B8061D"/>
    <w:rsid w:val="00B808E4"/>
    <w:rsid w:val="00B80AD0"/>
    <w:rsid w:val="00B80C77"/>
    <w:rsid w:val="00B80CF3"/>
    <w:rsid w:val="00B81035"/>
    <w:rsid w:val="00B812FA"/>
    <w:rsid w:val="00B81383"/>
    <w:rsid w:val="00B813D6"/>
    <w:rsid w:val="00B81459"/>
    <w:rsid w:val="00B819C2"/>
    <w:rsid w:val="00B81F0C"/>
    <w:rsid w:val="00B8205A"/>
    <w:rsid w:val="00B823AF"/>
    <w:rsid w:val="00B824B6"/>
    <w:rsid w:val="00B82729"/>
    <w:rsid w:val="00B82B05"/>
    <w:rsid w:val="00B82CC5"/>
    <w:rsid w:val="00B82D85"/>
    <w:rsid w:val="00B839B4"/>
    <w:rsid w:val="00B83B10"/>
    <w:rsid w:val="00B83EF9"/>
    <w:rsid w:val="00B8413E"/>
    <w:rsid w:val="00B84391"/>
    <w:rsid w:val="00B845BA"/>
    <w:rsid w:val="00B84E62"/>
    <w:rsid w:val="00B84F30"/>
    <w:rsid w:val="00B8543B"/>
    <w:rsid w:val="00B854F8"/>
    <w:rsid w:val="00B85598"/>
    <w:rsid w:val="00B8579A"/>
    <w:rsid w:val="00B857C5"/>
    <w:rsid w:val="00B85ADB"/>
    <w:rsid w:val="00B8600F"/>
    <w:rsid w:val="00B86385"/>
    <w:rsid w:val="00B865E4"/>
    <w:rsid w:val="00B866FA"/>
    <w:rsid w:val="00B868DE"/>
    <w:rsid w:val="00B87051"/>
    <w:rsid w:val="00B872D5"/>
    <w:rsid w:val="00B873D0"/>
    <w:rsid w:val="00B87455"/>
    <w:rsid w:val="00B87464"/>
    <w:rsid w:val="00B874FD"/>
    <w:rsid w:val="00B87709"/>
    <w:rsid w:val="00B87A5B"/>
    <w:rsid w:val="00B87C99"/>
    <w:rsid w:val="00B87DEF"/>
    <w:rsid w:val="00B9025A"/>
    <w:rsid w:val="00B90472"/>
    <w:rsid w:val="00B9050E"/>
    <w:rsid w:val="00B907C5"/>
    <w:rsid w:val="00B9080A"/>
    <w:rsid w:val="00B90EF6"/>
    <w:rsid w:val="00B9111E"/>
    <w:rsid w:val="00B9137D"/>
    <w:rsid w:val="00B91609"/>
    <w:rsid w:val="00B91B06"/>
    <w:rsid w:val="00B91ECA"/>
    <w:rsid w:val="00B9215B"/>
    <w:rsid w:val="00B921D7"/>
    <w:rsid w:val="00B92216"/>
    <w:rsid w:val="00B92A9C"/>
    <w:rsid w:val="00B92BD1"/>
    <w:rsid w:val="00B92D53"/>
    <w:rsid w:val="00B92D7D"/>
    <w:rsid w:val="00B92DA6"/>
    <w:rsid w:val="00B92EAE"/>
    <w:rsid w:val="00B93054"/>
    <w:rsid w:val="00B93262"/>
    <w:rsid w:val="00B9328A"/>
    <w:rsid w:val="00B933B9"/>
    <w:rsid w:val="00B935FB"/>
    <w:rsid w:val="00B93646"/>
    <w:rsid w:val="00B93976"/>
    <w:rsid w:val="00B93C9D"/>
    <w:rsid w:val="00B93FB5"/>
    <w:rsid w:val="00B940D1"/>
    <w:rsid w:val="00B940D9"/>
    <w:rsid w:val="00B941B9"/>
    <w:rsid w:val="00B94404"/>
    <w:rsid w:val="00B94561"/>
    <w:rsid w:val="00B945C4"/>
    <w:rsid w:val="00B94A18"/>
    <w:rsid w:val="00B94A2F"/>
    <w:rsid w:val="00B94DDB"/>
    <w:rsid w:val="00B95156"/>
    <w:rsid w:val="00B951B8"/>
    <w:rsid w:val="00B95393"/>
    <w:rsid w:val="00B95551"/>
    <w:rsid w:val="00B9565B"/>
    <w:rsid w:val="00B9588D"/>
    <w:rsid w:val="00B95C0A"/>
    <w:rsid w:val="00B95D44"/>
    <w:rsid w:val="00B95DBB"/>
    <w:rsid w:val="00B95EA9"/>
    <w:rsid w:val="00B95F48"/>
    <w:rsid w:val="00B95FEC"/>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41"/>
    <w:rsid w:val="00B97F97"/>
    <w:rsid w:val="00BA04E5"/>
    <w:rsid w:val="00BA0558"/>
    <w:rsid w:val="00BA09DD"/>
    <w:rsid w:val="00BA0AB1"/>
    <w:rsid w:val="00BA0AF4"/>
    <w:rsid w:val="00BA0F8F"/>
    <w:rsid w:val="00BA1064"/>
    <w:rsid w:val="00BA11EF"/>
    <w:rsid w:val="00BA1206"/>
    <w:rsid w:val="00BA1209"/>
    <w:rsid w:val="00BA13A3"/>
    <w:rsid w:val="00BA140E"/>
    <w:rsid w:val="00BA1419"/>
    <w:rsid w:val="00BA16EE"/>
    <w:rsid w:val="00BA1799"/>
    <w:rsid w:val="00BA19AB"/>
    <w:rsid w:val="00BA1A79"/>
    <w:rsid w:val="00BA1F05"/>
    <w:rsid w:val="00BA28B9"/>
    <w:rsid w:val="00BA29A6"/>
    <w:rsid w:val="00BA2AA4"/>
    <w:rsid w:val="00BA2CBD"/>
    <w:rsid w:val="00BA2CD6"/>
    <w:rsid w:val="00BA2F43"/>
    <w:rsid w:val="00BA2F51"/>
    <w:rsid w:val="00BA315F"/>
    <w:rsid w:val="00BA3498"/>
    <w:rsid w:val="00BA3636"/>
    <w:rsid w:val="00BA36C8"/>
    <w:rsid w:val="00BA3771"/>
    <w:rsid w:val="00BA37E2"/>
    <w:rsid w:val="00BA3857"/>
    <w:rsid w:val="00BA389A"/>
    <w:rsid w:val="00BA39D7"/>
    <w:rsid w:val="00BA3ADD"/>
    <w:rsid w:val="00BA3C47"/>
    <w:rsid w:val="00BA3D64"/>
    <w:rsid w:val="00BA4150"/>
    <w:rsid w:val="00BA43E7"/>
    <w:rsid w:val="00BA457D"/>
    <w:rsid w:val="00BA4863"/>
    <w:rsid w:val="00BA4A28"/>
    <w:rsid w:val="00BA4D37"/>
    <w:rsid w:val="00BA4F75"/>
    <w:rsid w:val="00BA50B3"/>
    <w:rsid w:val="00BA510C"/>
    <w:rsid w:val="00BA5504"/>
    <w:rsid w:val="00BA5505"/>
    <w:rsid w:val="00BA5634"/>
    <w:rsid w:val="00BA567E"/>
    <w:rsid w:val="00BA5AD9"/>
    <w:rsid w:val="00BA5CDE"/>
    <w:rsid w:val="00BA5F6F"/>
    <w:rsid w:val="00BA6445"/>
    <w:rsid w:val="00BA69D6"/>
    <w:rsid w:val="00BA6A3C"/>
    <w:rsid w:val="00BA6A45"/>
    <w:rsid w:val="00BA6F30"/>
    <w:rsid w:val="00BA7001"/>
    <w:rsid w:val="00BA7616"/>
    <w:rsid w:val="00BA7703"/>
    <w:rsid w:val="00BA783A"/>
    <w:rsid w:val="00BA78B9"/>
    <w:rsid w:val="00BA7ABE"/>
    <w:rsid w:val="00BA7B15"/>
    <w:rsid w:val="00BA7C58"/>
    <w:rsid w:val="00BB0050"/>
    <w:rsid w:val="00BB0130"/>
    <w:rsid w:val="00BB0305"/>
    <w:rsid w:val="00BB039A"/>
    <w:rsid w:val="00BB08F7"/>
    <w:rsid w:val="00BB092B"/>
    <w:rsid w:val="00BB0B61"/>
    <w:rsid w:val="00BB0BD7"/>
    <w:rsid w:val="00BB0D10"/>
    <w:rsid w:val="00BB0F0E"/>
    <w:rsid w:val="00BB108D"/>
    <w:rsid w:val="00BB1138"/>
    <w:rsid w:val="00BB1150"/>
    <w:rsid w:val="00BB14A0"/>
    <w:rsid w:val="00BB1585"/>
    <w:rsid w:val="00BB158F"/>
    <w:rsid w:val="00BB16DC"/>
    <w:rsid w:val="00BB1794"/>
    <w:rsid w:val="00BB1B6A"/>
    <w:rsid w:val="00BB1CE3"/>
    <w:rsid w:val="00BB1E32"/>
    <w:rsid w:val="00BB205E"/>
    <w:rsid w:val="00BB23B3"/>
    <w:rsid w:val="00BB28D0"/>
    <w:rsid w:val="00BB2E14"/>
    <w:rsid w:val="00BB2F2B"/>
    <w:rsid w:val="00BB31D4"/>
    <w:rsid w:val="00BB3216"/>
    <w:rsid w:val="00BB32DB"/>
    <w:rsid w:val="00BB3348"/>
    <w:rsid w:val="00BB34F4"/>
    <w:rsid w:val="00BB37CB"/>
    <w:rsid w:val="00BB38F8"/>
    <w:rsid w:val="00BB3A68"/>
    <w:rsid w:val="00BB3CB5"/>
    <w:rsid w:val="00BB3D63"/>
    <w:rsid w:val="00BB430A"/>
    <w:rsid w:val="00BB4827"/>
    <w:rsid w:val="00BB4BE2"/>
    <w:rsid w:val="00BB4CAE"/>
    <w:rsid w:val="00BB4CB5"/>
    <w:rsid w:val="00BB4DDD"/>
    <w:rsid w:val="00BB50C4"/>
    <w:rsid w:val="00BB5569"/>
    <w:rsid w:val="00BB5647"/>
    <w:rsid w:val="00BB56B9"/>
    <w:rsid w:val="00BB5A25"/>
    <w:rsid w:val="00BB5B71"/>
    <w:rsid w:val="00BB5D40"/>
    <w:rsid w:val="00BB5FC5"/>
    <w:rsid w:val="00BB61E2"/>
    <w:rsid w:val="00BB628A"/>
    <w:rsid w:val="00BB62BD"/>
    <w:rsid w:val="00BB64C9"/>
    <w:rsid w:val="00BB6754"/>
    <w:rsid w:val="00BB6AA5"/>
    <w:rsid w:val="00BB6C7C"/>
    <w:rsid w:val="00BB6D8B"/>
    <w:rsid w:val="00BB6D95"/>
    <w:rsid w:val="00BB718C"/>
    <w:rsid w:val="00BB7194"/>
    <w:rsid w:val="00BB71AB"/>
    <w:rsid w:val="00BB753A"/>
    <w:rsid w:val="00BB75AF"/>
    <w:rsid w:val="00BB792D"/>
    <w:rsid w:val="00BB7949"/>
    <w:rsid w:val="00BB7B6E"/>
    <w:rsid w:val="00BB7CB8"/>
    <w:rsid w:val="00BB7DFD"/>
    <w:rsid w:val="00BB7FD6"/>
    <w:rsid w:val="00BC0487"/>
    <w:rsid w:val="00BC0A0C"/>
    <w:rsid w:val="00BC0B15"/>
    <w:rsid w:val="00BC0E18"/>
    <w:rsid w:val="00BC0E21"/>
    <w:rsid w:val="00BC1157"/>
    <w:rsid w:val="00BC1279"/>
    <w:rsid w:val="00BC12E9"/>
    <w:rsid w:val="00BC1592"/>
    <w:rsid w:val="00BC1BC7"/>
    <w:rsid w:val="00BC1C77"/>
    <w:rsid w:val="00BC1CD0"/>
    <w:rsid w:val="00BC1D56"/>
    <w:rsid w:val="00BC1D86"/>
    <w:rsid w:val="00BC1ED2"/>
    <w:rsid w:val="00BC1F6B"/>
    <w:rsid w:val="00BC1F8B"/>
    <w:rsid w:val="00BC2008"/>
    <w:rsid w:val="00BC2B56"/>
    <w:rsid w:val="00BC32F4"/>
    <w:rsid w:val="00BC3309"/>
    <w:rsid w:val="00BC3578"/>
    <w:rsid w:val="00BC3607"/>
    <w:rsid w:val="00BC365B"/>
    <w:rsid w:val="00BC37E2"/>
    <w:rsid w:val="00BC397A"/>
    <w:rsid w:val="00BC399A"/>
    <w:rsid w:val="00BC3BDD"/>
    <w:rsid w:val="00BC445A"/>
    <w:rsid w:val="00BC4A13"/>
    <w:rsid w:val="00BC4A66"/>
    <w:rsid w:val="00BC4C56"/>
    <w:rsid w:val="00BC4CCE"/>
    <w:rsid w:val="00BC4D2B"/>
    <w:rsid w:val="00BC5182"/>
    <w:rsid w:val="00BC54C3"/>
    <w:rsid w:val="00BC57C7"/>
    <w:rsid w:val="00BC5B6B"/>
    <w:rsid w:val="00BC619B"/>
    <w:rsid w:val="00BC62D6"/>
    <w:rsid w:val="00BC62E1"/>
    <w:rsid w:val="00BC6411"/>
    <w:rsid w:val="00BC6415"/>
    <w:rsid w:val="00BC665C"/>
    <w:rsid w:val="00BC66A4"/>
    <w:rsid w:val="00BC67D5"/>
    <w:rsid w:val="00BC6CC7"/>
    <w:rsid w:val="00BC6DD9"/>
    <w:rsid w:val="00BC6E67"/>
    <w:rsid w:val="00BC749A"/>
    <w:rsid w:val="00BC754B"/>
    <w:rsid w:val="00BC7555"/>
    <w:rsid w:val="00BC76A1"/>
    <w:rsid w:val="00BC7713"/>
    <w:rsid w:val="00BC7B2C"/>
    <w:rsid w:val="00BD0096"/>
    <w:rsid w:val="00BD02B2"/>
    <w:rsid w:val="00BD04A5"/>
    <w:rsid w:val="00BD08FE"/>
    <w:rsid w:val="00BD0A53"/>
    <w:rsid w:val="00BD0D1B"/>
    <w:rsid w:val="00BD0D63"/>
    <w:rsid w:val="00BD0E15"/>
    <w:rsid w:val="00BD0E56"/>
    <w:rsid w:val="00BD0F9E"/>
    <w:rsid w:val="00BD1158"/>
    <w:rsid w:val="00BD116D"/>
    <w:rsid w:val="00BD11F5"/>
    <w:rsid w:val="00BD1283"/>
    <w:rsid w:val="00BD1330"/>
    <w:rsid w:val="00BD1575"/>
    <w:rsid w:val="00BD1609"/>
    <w:rsid w:val="00BD165A"/>
    <w:rsid w:val="00BD2101"/>
    <w:rsid w:val="00BD217A"/>
    <w:rsid w:val="00BD2396"/>
    <w:rsid w:val="00BD2469"/>
    <w:rsid w:val="00BD27C3"/>
    <w:rsid w:val="00BD27D9"/>
    <w:rsid w:val="00BD28CC"/>
    <w:rsid w:val="00BD29D0"/>
    <w:rsid w:val="00BD316D"/>
    <w:rsid w:val="00BD320A"/>
    <w:rsid w:val="00BD3351"/>
    <w:rsid w:val="00BD357E"/>
    <w:rsid w:val="00BD3762"/>
    <w:rsid w:val="00BD3AA3"/>
    <w:rsid w:val="00BD3B99"/>
    <w:rsid w:val="00BD4070"/>
    <w:rsid w:val="00BD421A"/>
    <w:rsid w:val="00BD43BA"/>
    <w:rsid w:val="00BD4C75"/>
    <w:rsid w:val="00BD4CFD"/>
    <w:rsid w:val="00BD4DE5"/>
    <w:rsid w:val="00BD554D"/>
    <w:rsid w:val="00BD5694"/>
    <w:rsid w:val="00BD5748"/>
    <w:rsid w:val="00BD5889"/>
    <w:rsid w:val="00BD59DD"/>
    <w:rsid w:val="00BD5B47"/>
    <w:rsid w:val="00BD5DA6"/>
    <w:rsid w:val="00BD61B6"/>
    <w:rsid w:val="00BD61D3"/>
    <w:rsid w:val="00BD628A"/>
    <w:rsid w:val="00BD62CD"/>
    <w:rsid w:val="00BD665C"/>
    <w:rsid w:val="00BD6CB4"/>
    <w:rsid w:val="00BD6D93"/>
    <w:rsid w:val="00BD6F17"/>
    <w:rsid w:val="00BD6F1E"/>
    <w:rsid w:val="00BD700F"/>
    <w:rsid w:val="00BD727A"/>
    <w:rsid w:val="00BD7404"/>
    <w:rsid w:val="00BD7710"/>
    <w:rsid w:val="00BD7979"/>
    <w:rsid w:val="00BD7AE4"/>
    <w:rsid w:val="00BE00A6"/>
    <w:rsid w:val="00BE014E"/>
    <w:rsid w:val="00BE04AD"/>
    <w:rsid w:val="00BE05E4"/>
    <w:rsid w:val="00BE0829"/>
    <w:rsid w:val="00BE0A41"/>
    <w:rsid w:val="00BE0D12"/>
    <w:rsid w:val="00BE0EE2"/>
    <w:rsid w:val="00BE10B5"/>
    <w:rsid w:val="00BE11F0"/>
    <w:rsid w:val="00BE1224"/>
    <w:rsid w:val="00BE1504"/>
    <w:rsid w:val="00BE1910"/>
    <w:rsid w:val="00BE1CDC"/>
    <w:rsid w:val="00BE1CE5"/>
    <w:rsid w:val="00BE1EFC"/>
    <w:rsid w:val="00BE213A"/>
    <w:rsid w:val="00BE224D"/>
    <w:rsid w:val="00BE22B5"/>
    <w:rsid w:val="00BE2387"/>
    <w:rsid w:val="00BE28C0"/>
    <w:rsid w:val="00BE2996"/>
    <w:rsid w:val="00BE2C6A"/>
    <w:rsid w:val="00BE2D6A"/>
    <w:rsid w:val="00BE2E8A"/>
    <w:rsid w:val="00BE32DF"/>
    <w:rsid w:val="00BE3482"/>
    <w:rsid w:val="00BE34D3"/>
    <w:rsid w:val="00BE34DA"/>
    <w:rsid w:val="00BE3736"/>
    <w:rsid w:val="00BE385C"/>
    <w:rsid w:val="00BE3E71"/>
    <w:rsid w:val="00BE3F39"/>
    <w:rsid w:val="00BE4383"/>
    <w:rsid w:val="00BE44CE"/>
    <w:rsid w:val="00BE4D4F"/>
    <w:rsid w:val="00BE4F09"/>
    <w:rsid w:val="00BE4FFD"/>
    <w:rsid w:val="00BE520C"/>
    <w:rsid w:val="00BE58FE"/>
    <w:rsid w:val="00BE5C02"/>
    <w:rsid w:val="00BE5CE4"/>
    <w:rsid w:val="00BE5DB5"/>
    <w:rsid w:val="00BE5FB9"/>
    <w:rsid w:val="00BE60B8"/>
    <w:rsid w:val="00BE62B1"/>
    <w:rsid w:val="00BE6494"/>
    <w:rsid w:val="00BE64C8"/>
    <w:rsid w:val="00BE653B"/>
    <w:rsid w:val="00BE654A"/>
    <w:rsid w:val="00BE683D"/>
    <w:rsid w:val="00BE6844"/>
    <w:rsid w:val="00BE6C0A"/>
    <w:rsid w:val="00BE6C4F"/>
    <w:rsid w:val="00BE6EE2"/>
    <w:rsid w:val="00BE6F6A"/>
    <w:rsid w:val="00BE70B2"/>
    <w:rsid w:val="00BE70E1"/>
    <w:rsid w:val="00BE70F9"/>
    <w:rsid w:val="00BE7387"/>
    <w:rsid w:val="00BE74F1"/>
    <w:rsid w:val="00BE776C"/>
    <w:rsid w:val="00BE782E"/>
    <w:rsid w:val="00BE795D"/>
    <w:rsid w:val="00BE7C98"/>
    <w:rsid w:val="00BE7DFD"/>
    <w:rsid w:val="00BE7E4A"/>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CCE"/>
    <w:rsid w:val="00BF2D5C"/>
    <w:rsid w:val="00BF2F70"/>
    <w:rsid w:val="00BF307C"/>
    <w:rsid w:val="00BF30F4"/>
    <w:rsid w:val="00BF328D"/>
    <w:rsid w:val="00BF3459"/>
    <w:rsid w:val="00BF3490"/>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22F"/>
    <w:rsid w:val="00BF5336"/>
    <w:rsid w:val="00BF5355"/>
    <w:rsid w:val="00BF55CC"/>
    <w:rsid w:val="00BF57EA"/>
    <w:rsid w:val="00BF6066"/>
    <w:rsid w:val="00BF61C3"/>
    <w:rsid w:val="00BF62D0"/>
    <w:rsid w:val="00BF62D3"/>
    <w:rsid w:val="00BF65C9"/>
    <w:rsid w:val="00BF67E3"/>
    <w:rsid w:val="00BF684A"/>
    <w:rsid w:val="00BF6972"/>
    <w:rsid w:val="00BF6A40"/>
    <w:rsid w:val="00BF6D06"/>
    <w:rsid w:val="00BF6DA9"/>
    <w:rsid w:val="00BF711A"/>
    <w:rsid w:val="00BF721C"/>
    <w:rsid w:val="00BF729B"/>
    <w:rsid w:val="00BF72C6"/>
    <w:rsid w:val="00BF739E"/>
    <w:rsid w:val="00BF73BF"/>
    <w:rsid w:val="00BF75B2"/>
    <w:rsid w:val="00BF781E"/>
    <w:rsid w:val="00BF7B89"/>
    <w:rsid w:val="00BF7CDA"/>
    <w:rsid w:val="00BF7DD0"/>
    <w:rsid w:val="00C00240"/>
    <w:rsid w:val="00C00377"/>
    <w:rsid w:val="00C003A7"/>
    <w:rsid w:val="00C004A7"/>
    <w:rsid w:val="00C004CC"/>
    <w:rsid w:val="00C009E7"/>
    <w:rsid w:val="00C00ACF"/>
    <w:rsid w:val="00C00ED5"/>
    <w:rsid w:val="00C010BB"/>
    <w:rsid w:val="00C01110"/>
    <w:rsid w:val="00C0113D"/>
    <w:rsid w:val="00C01207"/>
    <w:rsid w:val="00C01328"/>
    <w:rsid w:val="00C0160B"/>
    <w:rsid w:val="00C01751"/>
    <w:rsid w:val="00C01837"/>
    <w:rsid w:val="00C01851"/>
    <w:rsid w:val="00C018EE"/>
    <w:rsid w:val="00C01981"/>
    <w:rsid w:val="00C01BCB"/>
    <w:rsid w:val="00C01DAD"/>
    <w:rsid w:val="00C0218F"/>
    <w:rsid w:val="00C0239F"/>
    <w:rsid w:val="00C023B2"/>
    <w:rsid w:val="00C02790"/>
    <w:rsid w:val="00C02859"/>
    <w:rsid w:val="00C02B5C"/>
    <w:rsid w:val="00C02D89"/>
    <w:rsid w:val="00C02E6C"/>
    <w:rsid w:val="00C02EF1"/>
    <w:rsid w:val="00C0324E"/>
    <w:rsid w:val="00C033E1"/>
    <w:rsid w:val="00C036F0"/>
    <w:rsid w:val="00C039F9"/>
    <w:rsid w:val="00C03B09"/>
    <w:rsid w:val="00C03B0E"/>
    <w:rsid w:val="00C03B13"/>
    <w:rsid w:val="00C03D14"/>
    <w:rsid w:val="00C03F87"/>
    <w:rsid w:val="00C03FF7"/>
    <w:rsid w:val="00C041E1"/>
    <w:rsid w:val="00C0459E"/>
    <w:rsid w:val="00C046FE"/>
    <w:rsid w:val="00C04812"/>
    <w:rsid w:val="00C04A67"/>
    <w:rsid w:val="00C05176"/>
    <w:rsid w:val="00C052B4"/>
    <w:rsid w:val="00C054E6"/>
    <w:rsid w:val="00C05691"/>
    <w:rsid w:val="00C058E0"/>
    <w:rsid w:val="00C05BB2"/>
    <w:rsid w:val="00C05CE3"/>
    <w:rsid w:val="00C05F08"/>
    <w:rsid w:val="00C06045"/>
    <w:rsid w:val="00C060A1"/>
    <w:rsid w:val="00C060B4"/>
    <w:rsid w:val="00C06200"/>
    <w:rsid w:val="00C064A0"/>
    <w:rsid w:val="00C06570"/>
    <w:rsid w:val="00C066BB"/>
    <w:rsid w:val="00C067CA"/>
    <w:rsid w:val="00C068E9"/>
    <w:rsid w:val="00C06CE8"/>
    <w:rsid w:val="00C06D1C"/>
    <w:rsid w:val="00C06E89"/>
    <w:rsid w:val="00C072F4"/>
    <w:rsid w:val="00C079F7"/>
    <w:rsid w:val="00C07EED"/>
    <w:rsid w:val="00C10608"/>
    <w:rsid w:val="00C1062A"/>
    <w:rsid w:val="00C10761"/>
    <w:rsid w:val="00C107D0"/>
    <w:rsid w:val="00C10835"/>
    <w:rsid w:val="00C1087A"/>
    <w:rsid w:val="00C10896"/>
    <w:rsid w:val="00C10DEF"/>
    <w:rsid w:val="00C10F0F"/>
    <w:rsid w:val="00C10F43"/>
    <w:rsid w:val="00C10F5D"/>
    <w:rsid w:val="00C11195"/>
    <w:rsid w:val="00C11650"/>
    <w:rsid w:val="00C1173F"/>
    <w:rsid w:val="00C117A9"/>
    <w:rsid w:val="00C11CDC"/>
    <w:rsid w:val="00C11D0C"/>
    <w:rsid w:val="00C11DF0"/>
    <w:rsid w:val="00C11F55"/>
    <w:rsid w:val="00C11FF6"/>
    <w:rsid w:val="00C1255D"/>
    <w:rsid w:val="00C12692"/>
    <w:rsid w:val="00C1297F"/>
    <w:rsid w:val="00C129F4"/>
    <w:rsid w:val="00C12FC9"/>
    <w:rsid w:val="00C1301D"/>
    <w:rsid w:val="00C136FB"/>
    <w:rsid w:val="00C1371A"/>
    <w:rsid w:val="00C13A43"/>
    <w:rsid w:val="00C13B76"/>
    <w:rsid w:val="00C13D2F"/>
    <w:rsid w:val="00C13F81"/>
    <w:rsid w:val="00C13FD4"/>
    <w:rsid w:val="00C14372"/>
    <w:rsid w:val="00C145A3"/>
    <w:rsid w:val="00C14714"/>
    <w:rsid w:val="00C147EC"/>
    <w:rsid w:val="00C14C18"/>
    <w:rsid w:val="00C150E4"/>
    <w:rsid w:val="00C15199"/>
    <w:rsid w:val="00C15212"/>
    <w:rsid w:val="00C15489"/>
    <w:rsid w:val="00C1556D"/>
    <w:rsid w:val="00C156BF"/>
    <w:rsid w:val="00C15A20"/>
    <w:rsid w:val="00C15B0F"/>
    <w:rsid w:val="00C15B5E"/>
    <w:rsid w:val="00C15B65"/>
    <w:rsid w:val="00C15CC2"/>
    <w:rsid w:val="00C15CF9"/>
    <w:rsid w:val="00C1602D"/>
    <w:rsid w:val="00C160D8"/>
    <w:rsid w:val="00C16150"/>
    <w:rsid w:val="00C161D3"/>
    <w:rsid w:val="00C162FE"/>
    <w:rsid w:val="00C16814"/>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69E"/>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2BFF"/>
    <w:rsid w:val="00C22EF2"/>
    <w:rsid w:val="00C2326F"/>
    <w:rsid w:val="00C233DE"/>
    <w:rsid w:val="00C2355D"/>
    <w:rsid w:val="00C235BD"/>
    <w:rsid w:val="00C235CC"/>
    <w:rsid w:val="00C23601"/>
    <w:rsid w:val="00C237CD"/>
    <w:rsid w:val="00C2389F"/>
    <w:rsid w:val="00C2392F"/>
    <w:rsid w:val="00C23AD0"/>
    <w:rsid w:val="00C23B5F"/>
    <w:rsid w:val="00C24176"/>
    <w:rsid w:val="00C24196"/>
    <w:rsid w:val="00C24597"/>
    <w:rsid w:val="00C24782"/>
    <w:rsid w:val="00C24AA0"/>
    <w:rsid w:val="00C24D0C"/>
    <w:rsid w:val="00C24DAD"/>
    <w:rsid w:val="00C24DED"/>
    <w:rsid w:val="00C24ED4"/>
    <w:rsid w:val="00C24EED"/>
    <w:rsid w:val="00C24F0D"/>
    <w:rsid w:val="00C2501B"/>
    <w:rsid w:val="00C2581E"/>
    <w:rsid w:val="00C258CA"/>
    <w:rsid w:val="00C25A9D"/>
    <w:rsid w:val="00C25D97"/>
    <w:rsid w:val="00C25E54"/>
    <w:rsid w:val="00C25ED9"/>
    <w:rsid w:val="00C25F90"/>
    <w:rsid w:val="00C2689D"/>
    <w:rsid w:val="00C26CD2"/>
    <w:rsid w:val="00C27272"/>
    <w:rsid w:val="00C27764"/>
    <w:rsid w:val="00C27973"/>
    <w:rsid w:val="00C27AB8"/>
    <w:rsid w:val="00C27C5D"/>
    <w:rsid w:val="00C27D39"/>
    <w:rsid w:val="00C27F54"/>
    <w:rsid w:val="00C3002D"/>
    <w:rsid w:val="00C300AE"/>
    <w:rsid w:val="00C300BC"/>
    <w:rsid w:val="00C302A7"/>
    <w:rsid w:val="00C3039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04C"/>
    <w:rsid w:val="00C34222"/>
    <w:rsid w:val="00C3436A"/>
    <w:rsid w:val="00C3462E"/>
    <w:rsid w:val="00C34AD9"/>
    <w:rsid w:val="00C35436"/>
    <w:rsid w:val="00C354F3"/>
    <w:rsid w:val="00C358EF"/>
    <w:rsid w:val="00C36196"/>
    <w:rsid w:val="00C36579"/>
    <w:rsid w:val="00C366F0"/>
    <w:rsid w:val="00C36917"/>
    <w:rsid w:val="00C36B41"/>
    <w:rsid w:val="00C36BDA"/>
    <w:rsid w:val="00C36E21"/>
    <w:rsid w:val="00C36FC1"/>
    <w:rsid w:val="00C37120"/>
    <w:rsid w:val="00C371E0"/>
    <w:rsid w:val="00C3753B"/>
    <w:rsid w:val="00C3772B"/>
    <w:rsid w:val="00C37832"/>
    <w:rsid w:val="00C37974"/>
    <w:rsid w:val="00C37A24"/>
    <w:rsid w:val="00C37C0C"/>
    <w:rsid w:val="00C37F45"/>
    <w:rsid w:val="00C37F78"/>
    <w:rsid w:val="00C4006F"/>
    <w:rsid w:val="00C4007C"/>
    <w:rsid w:val="00C403AA"/>
    <w:rsid w:val="00C4041B"/>
    <w:rsid w:val="00C405D3"/>
    <w:rsid w:val="00C40875"/>
    <w:rsid w:val="00C408AF"/>
    <w:rsid w:val="00C40A7F"/>
    <w:rsid w:val="00C40C4D"/>
    <w:rsid w:val="00C40C75"/>
    <w:rsid w:val="00C40E96"/>
    <w:rsid w:val="00C40F20"/>
    <w:rsid w:val="00C412DE"/>
    <w:rsid w:val="00C414C2"/>
    <w:rsid w:val="00C417B7"/>
    <w:rsid w:val="00C418FD"/>
    <w:rsid w:val="00C419DE"/>
    <w:rsid w:val="00C41E9F"/>
    <w:rsid w:val="00C41FB7"/>
    <w:rsid w:val="00C42043"/>
    <w:rsid w:val="00C4216F"/>
    <w:rsid w:val="00C428CC"/>
    <w:rsid w:val="00C428FC"/>
    <w:rsid w:val="00C429EC"/>
    <w:rsid w:val="00C42F38"/>
    <w:rsid w:val="00C43CEE"/>
    <w:rsid w:val="00C442E6"/>
    <w:rsid w:val="00C444A8"/>
    <w:rsid w:val="00C448D7"/>
    <w:rsid w:val="00C44CB3"/>
    <w:rsid w:val="00C44F46"/>
    <w:rsid w:val="00C4506F"/>
    <w:rsid w:val="00C450D7"/>
    <w:rsid w:val="00C45150"/>
    <w:rsid w:val="00C45303"/>
    <w:rsid w:val="00C45316"/>
    <w:rsid w:val="00C454E3"/>
    <w:rsid w:val="00C454F3"/>
    <w:rsid w:val="00C45773"/>
    <w:rsid w:val="00C457B8"/>
    <w:rsid w:val="00C4597E"/>
    <w:rsid w:val="00C460DF"/>
    <w:rsid w:val="00C4619F"/>
    <w:rsid w:val="00C46612"/>
    <w:rsid w:val="00C467A3"/>
    <w:rsid w:val="00C467C8"/>
    <w:rsid w:val="00C46F7E"/>
    <w:rsid w:val="00C4753F"/>
    <w:rsid w:val="00C477EB"/>
    <w:rsid w:val="00C47A01"/>
    <w:rsid w:val="00C47A1B"/>
    <w:rsid w:val="00C47B61"/>
    <w:rsid w:val="00C47D5E"/>
    <w:rsid w:val="00C47FCD"/>
    <w:rsid w:val="00C501DB"/>
    <w:rsid w:val="00C504D0"/>
    <w:rsid w:val="00C5050C"/>
    <w:rsid w:val="00C5059A"/>
    <w:rsid w:val="00C507F4"/>
    <w:rsid w:val="00C508EB"/>
    <w:rsid w:val="00C50E46"/>
    <w:rsid w:val="00C511C1"/>
    <w:rsid w:val="00C5128E"/>
    <w:rsid w:val="00C51339"/>
    <w:rsid w:val="00C5136A"/>
    <w:rsid w:val="00C5184F"/>
    <w:rsid w:val="00C5196E"/>
    <w:rsid w:val="00C51B1E"/>
    <w:rsid w:val="00C51B4C"/>
    <w:rsid w:val="00C51D65"/>
    <w:rsid w:val="00C51EB7"/>
    <w:rsid w:val="00C51F4D"/>
    <w:rsid w:val="00C51FF0"/>
    <w:rsid w:val="00C521B8"/>
    <w:rsid w:val="00C52217"/>
    <w:rsid w:val="00C525F2"/>
    <w:rsid w:val="00C52913"/>
    <w:rsid w:val="00C52C28"/>
    <w:rsid w:val="00C52C29"/>
    <w:rsid w:val="00C52CDA"/>
    <w:rsid w:val="00C53102"/>
    <w:rsid w:val="00C53180"/>
    <w:rsid w:val="00C53229"/>
    <w:rsid w:val="00C5333A"/>
    <w:rsid w:val="00C537FA"/>
    <w:rsid w:val="00C53A3E"/>
    <w:rsid w:val="00C53F21"/>
    <w:rsid w:val="00C53F3F"/>
    <w:rsid w:val="00C541A9"/>
    <w:rsid w:val="00C54268"/>
    <w:rsid w:val="00C542A8"/>
    <w:rsid w:val="00C542D4"/>
    <w:rsid w:val="00C543CB"/>
    <w:rsid w:val="00C5470F"/>
    <w:rsid w:val="00C54825"/>
    <w:rsid w:val="00C5487F"/>
    <w:rsid w:val="00C54B63"/>
    <w:rsid w:val="00C54B9B"/>
    <w:rsid w:val="00C54FA3"/>
    <w:rsid w:val="00C5509A"/>
    <w:rsid w:val="00C550A8"/>
    <w:rsid w:val="00C55199"/>
    <w:rsid w:val="00C552A1"/>
    <w:rsid w:val="00C55308"/>
    <w:rsid w:val="00C55432"/>
    <w:rsid w:val="00C55495"/>
    <w:rsid w:val="00C55674"/>
    <w:rsid w:val="00C55A78"/>
    <w:rsid w:val="00C55DC6"/>
    <w:rsid w:val="00C55F2C"/>
    <w:rsid w:val="00C55F9D"/>
    <w:rsid w:val="00C562B6"/>
    <w:rsid w:val="00C56541"/>
    <w:rsid w:val="00C56746"/>
    <w:rsid w:val="00C568A4"/>
    <w:rsid w:val="00C56DBB"/>
    <w:rsid w:val="00C5711E"/>
    <w:rsid w:val="00C573E1"/>
    <w:rsid w:val="00C57619"/>
    <w:rsid w:val="00C579C6"/>
    <w:rsid w:val="00C57AA6"/>
    <w:rsid w:val="00C57AD9"/>
    <w:rsid w:val="00C57C1A"/>
    <w:rsid w:val="00C57CBB"/>
    <w:rsid w:val="00C57D76"/>
    <w:rsid w:val="00C57DF3"/>
    <w:rsid w:val="00C57E9B"/>
    <w:rsid w:val="00C57F1F"/>
    <w:rsid w:val="00C60194"/>
    <w:rsid w:val="00C601F0"/>
    <w:rsid w:val="00C604D1"/>
    <w:rsid w:val="00C60583"/>
    <w:rsid w:val="00C60834"/>
    <w:rsid w:val="00C609C2"/>
    <w:rsid w:val="00C60B77"/>
    <w:rsid w:val="00C60E00"/>
    <w:rsid w:val="00C60E0D"/>
    <w:rsid w:val="00C6119F"/>
    <w:rsid w:val="00C61276"/>
    <w:rsid w:val="00C613DF"/>
    <w:rsid w:val="00C61515"/>
    <w:rsid w:val="00C616E0"/>
    <w:rsid w:val="00C617C1"/>
    <w:rsid w:val="00C61964"/>
    <w:rsid w:val="00C61C60"/>
    <w:rsid w:val="00C61C67"/>
    <w:rsid w:val="00C61CFA"/>
    <w:rsid w:val="00C61E24"/>
    <w:rsid w:val="00C61EF8"/>
    <w:rsid w:val="00C62677"/>
    <w:rsid w:val="00C62745"/>
    <w:rsid w:val="00C627CD"/>
    <w:rsid w:val="00C62D96"/>
    <w:rsid w:val="00C62E01"/>
    <w:rsid w:val="00C6322A"/>
    <w:rsid w:val="00C63353"/>
    <w:rsid w:val="00C634A9"/>
    <w:rsid w:val="00C634DA"/>
    <w:rsid w:val="00C63531"/>
    <w:rsid w:val="00C6368E"/>
    <w:rsid w:val="00C63901"/>
    <w:rsid w:val="00C6390E"/>
    <w:rsid w:val="00C63B5D"/>
    <w:rsid w:val="00C63B72"/>
    <w:rsid w:val="00C63D17"/>
    <w:rsid w:val="00C640BF"/>
    <w:rsid w:val="00C64580"/>
    <w:rsid w:val="00C645D6"/>
    <w:rsid w:val="00C645ED"/>
    <w:rsid w:val="00C64864"/>
    <w:rsid w:val="00C6498E"/>
    <w:rsid w:val="00C64DBB"/>
    <w:rsid w:val="00C64F13"/>
    <w:rsid w:val="00C6514F"/>
    <w:rsid w:val="00C65626"/>
    <w:rsid w:val="00C65665"/>
    <w:rsid w:val="00C656B8"/>
    <w:rsid w:val="00C6580D"/>
    <w:rsid w:val="00C6605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43"/>
    <w:rsid w:val="00C70EC8"/>
    <w:rsid w:val="00C70EEB"/>
    <w:rsid w:val="00C7135F"/>
    <w:rsid w:val="00C7170A"/>
    <w:rsid w:val="00C71831"/>
    <w:rsid w:val="00C7186E"/>
    <w:rsid w:val="00C721F3"/>
    <w:rsid w:val="00C72376"/>
    <w:rsid w:val="00C72545"/>
    <w:rsid w:val="00C7290D"/>
    <w:rsid w:val="00C72AA0"/>
    <w:rsid w:val="00C72DC9"/>
    <w:rsid w:val="00C72E51"/>
    <w:rsid w:val="00C72EFE"/>
    <w:rsid w:val="00C72FA9"/>
    <w:rsid w:val="00C73198"/>
    <w:rsid w:val="00C73384"/>
    <w:rsid w:val="00C7340D"/>
    <w:rsid w:val="00C73489"/>
    <w:rsid w:val="00C73507"/>
    <w:rsid w:val="00C737B0"/>
    <w:rsid w:val="00C73811"/>
    <w:rsid w:val="00C73B3A"/>
    <w:rsid w:val="00C73D76"/>
    <w:rsid w:val="00C73DE4"/>
    <w:rsid w:val="00C73EBA"/>
    <w:rsid w:val="00C73EC5"/>
    <w:rsid w:val="00C745D2"/>
    <w:rsid w:val="00C7473F"/>
    <w:rsid w:val="00C74A66"/>
    <w:rsid w:val="00C74A8A"/>
    <w:rsid w:val="00C75103"/>
    <w:rsid w:val="00C75123"/>
    <w:rsid w:val="00C752CB"/>
    <w:rsid w:val="00C7545E"/>
    <w:rsid w:val="00C7549B"/>
    <w:rsid w:val="00C75900"/>
    <w:rsid w:val="00C75A26"/>
    <w:rsid w:val="00C75B25"/>
    <w:rsid w:val="00C75B6A"/>
    <w:rsid w:val="00C75C7A"/>
    <w:rsid w:val="00C7651A"/>
    <w:rsid w:val="00C76575"/>
    <w:rsid w:val="00C76A70"/>
    <w:rsid w:val="00C76B08"/>
    <w:rsid w:val="00C76D4C"/>
    <w:rsid w:val="00C76F7F"/>
    <w:rsid w:val="00C7700D"/>
    <w:rsid w:val="00C7710E"/>
    <w:rsid w:val="00C771B9"/>
    <w:rsid w:val="00C771BE"/>
    <w:rsid w:val="00C771D1"/>
    <w:rsid w:val="00C7797A"/>
    <w:rsid w:val="00C77A0F"/>
    <w:rsid w:val="00C77C6A"/>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DAF"/>
    <w:rsid w:val="00C82F2C"/>
    <w:rsid w:val="00C82FF4"/>
    <w:rsid w:val="00C835AB"/>
    <w:rsid w:val="00C837B2"/>
    <w:rsid w:val="00C8390F"/>
    <w:rsid w:val="00C83D58"/>
    <w:rsid w:val="00C83FB0"/>
    <w:rsid w:val="00C8401F"/>
    <w:rsid w:val="00C840EF"/>
    <w:rsid w:val="00C845E7"/>
    <w:rsid w:val="00C846AF"/>
    <w:rsid w:val="00C846FB"/>
    <w:rsid w:val="00C847BF"/>
    <w:rsid w:val="00C84842"/>
    <w:rsid w:val="00C84CEA"/>
    <w:rsid w:val="00C8567D"/>
    <w:rsid w:val="00C859CC"/>
    <w:rsid w:val="00C85C84"/>
    <w:rsid w:val="00C85F2C"/>
    <w:rsid w:val="00C85FC8"/>
    <w:rsid w:val="00C8623A"/>
    <w:rsid w:val="00C862E0"/>
    <w:rsid w:val="00C862E6"/>
    <w:rsid w:val="00C86328"/>
    <w:rsid w:val="00C864AD"/>
    <w:rsid w:val="00C86A40"/>
    <w:rsid w:val="00C86CF8"/>
    <w:rsid w:val="00C86D14"/>
    <w:rsid w:val="00C86DFA"/>
    <w:rsid w:val="00C86EC1"/>
    <w:rsid w:val="00C86F42"/>
    <w:rsid w:val="00C86FE6"/>
    <w:rsid w:val="00C870E4"/>
    <w:rsid w:val="00C8721D"/>
    <w:rsid w:val="00C87274"/>
    <w:rsid w:val="00C8727A"/>
    <w:rsid w:val="00C874A7"/>
    <w:rsid w:val="00C875D2"/>
    <w:rsid w:val="00C87E8C"/>
    <w:rsid w:val="00C87F4E"/>
    <w:rsid w:val="00C906D8"/>
    <w:rsid w:val="00C90858"/>
    <w:rsid w:val="00C90951"/>
    <w:rsid w:val="00C9099C"/>
    <w:rsid w:val="00C90C37"/>
    <w:rsid w:val="00C90FF1"/>
    <w:rsid w:val="00C91007"/>
    <w:rsid w:val="00C91115"/>
    <w:rsid w:val="00C913BE"/>
    <w:rsid w:val="00C91465"/>
    <w:rsid w:val="00C92010"/>
    <w:rsid w:val="00C9235B"/>
    <w:rsid w:val="00C923AD"/>
    <w:rsid w:val="00C923E3"/>
    <w:rsid w:val="00C92625"/>
    <w:rsid w:val="00C92AC1"/>
    <w:rsid w:val="00C92CB4"/>
    <w:rsid w:val="00C9311D"/>
    <w:rsid w:val="00C93339"/>
    <w:rsid w:val="00C933B3"/>
    <w:rsid w:val="00C93464"/>
    <w:rsid w:val="00C9349D"/>
    <w:rsid w:val="00C9349F"/>
    <w:rsid w:val="00C936F4"/>
    <w:rsid w:val="00C9387F"/>
    <w:rsid w:val="00C93B23"/>
    <w:rsid w:val="00C93E08"/>
    <w:rsid w:val="00C94042"/>
    <w:rsid w:val="00C94140"/>
    <w:rsid w:val="00C941E9"/>
    <w:rsid w:val="00C94770"/>
    <w:rsid w:val="00C94C5C"/>
    <w:rsid w:val="00C95146"/>
    <w:rsid w:val="00C95213"/>
    <w:rsid w:val="00C9533A"/>
    <w:rsid w:val="00C955FE"/>
    <w:rsid w:val="00C95900"/>
    <w:rsid w:val="00C959BB"/>
    <w:rsid w:val="00C95B30"/>
    <w:rsid w:val="00C95C24"/>
    <w:rsid w:val="00C95D7B"/>
    <w:rsid w:val="00C961BB"/>
    <w:rsid w:val="00C961F3"/>
    <w:rsid w:val="00C962E2"/>
    <w:rsid w:val="00C968FA"/>
    <w:rsid w:val="00C96A50"/>
    <w:rsid w:val="00C97606"/>
    <w:rsid w:val="00C97954"/>
    <w:rsid w:val="00C97A9D"/>
    <w:rsid w:val="00C97DE1"/>
    <w:rsid w:val="00C97F5A"/>
    <w:rsid w:val="00CA0149"/>
    <w:rsid w:val="00CA027B"/>
    <w:rsid w:val="00CA058D"/>
    <w:rsid w:val="00CA0771"/>
    <w:rsid w:val="00CA07EB"/>
    <w:rsid w:val="00CA0808"/>
    <w:rsid w:val="00CA0A2C"/>
    <w:rsid w:val="00CA0A60"/>
    <w:rsid w:val="00CA0D1C"/>
    <w:rsid w:val="00CA0D30"/>
    <w:rsid w:val="00CA1127"/>
    <w:rsid w:val="00CA11A7"/>
    <w:rsid w:val="00CA1E9D"/>
    <w:rsid w:val="00CA1F88"/>
    <w:rsid w:val="00CA1F92"/>
    <w:rsid w:val="00CA2272"/>
    <w:rsid w:val="00CA22DD"/>
    <w:rsid w:val="00CA25A2"/>
    <w:rsid w:val="00CA26BE"/>
    <w:rsid w:val="00CA27E2"/>
    <w:rsid w:val="00CA2B89"/>
    <w:rsid w:val="00CA2D1F"/>
    <w:rsid w:val="00CA315E"/>
    <w:rsid w:val="00CA3183"/>
    <w:rsid w:val="00CA32F6"/>
    <w:rsid w:val="00CA3479"/>
    <w:rsid w:val="00CA361E"/>
    <w:rsid w:val="00CA3713"/>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643"/>
    <w:rsid w:val="00CA5738"/>
    <w:rsid w:val="00CA595E"/>
    <w:rsid w:val="00CA5B15"/>
    <w:rsid w:val="00CA5BE5"/>
    <w:rsid w:val="00CA5C1E"/>
    <w:rsid w:val="00CA5C5E"/>
    <w:rsid w:val="00CA5EF5"/>
    <w:rsid w:val="00CA61B5"/>
    <w:rsid w:val="00CA6575"/>
    <w:rsid w:val="00CA6647"/>
    <w:rsid w:val="00CA699A"/>
    <w:rsid w:val="00CA6A0E"/>
    <w:rsid w:val="00CA6CDF"/>
    <w:rsid w:val="00CA707F"/>
    <w:rsid w:val="00CA7668"/>
    <w:rsid w:val="00CA7EE2"/>
    <w:rsid w:val="00CB0046"/>
    <w:rsid w:val="00CB0FFF"/>
    <w:rsid w:val="00CB1019"/>
    <w:rsid w:val="00CB118D"/>
    <w:rsid w:val="00CB12C7"/>
    <w:rsid w:val="00CB1599"/>
    <w:rsid w:val="00CB1774"/>
    <w:rsid w:val="00CB182F"/>
    <w:rsid w:val="00CB1A49"/>
    <w:rsid w:val="00CB1ABB"/>
    <w:rsid w:val="00CB1DE3"/>
    <w:rsid w:val="00CB23D3"/>
    <w:rsid w:val="00CB24C9"/>
    <w:rsid w:val="00CB2C50"/>
    <w:rsid w:val="00CB3006"/>
    <w:rsid w:val="00CB3036"/>
    <w:rsid w:val="00CB305F"/>
    <w:rsid w:val="00CB307F"/>
    <w:rsid w:val="00CB30DC"/>
    <w:rsid w:val="00CB33D4"/>
    <w:rsid w:val="00CB36A7"/>
    <w:rsid w:val="00CB3875"/>
    <w:rsid w:val="00CB3937"/>
    <w:rsid w:val="00CB3AA9"/>
    <w:rsid w:val="00CB3AC4"/>
    <w:rsid w:val="00CB3B79"/>
    <w:rsid w:val="00CB3BC0"/>
    <w:rsid w:val="00CB3CEA"/>
    <w:rsid w:val="00CB3DA4"/>
    <w:rsid w:val="00CB3DB6"/>
    <w:rsid w:val="00CB3EEF"/>
    <w:rsid w:val="00CB4138"/>
    <w:rsid w:val="00CB44D7"/>
    <w:rsid w:val="00CB4620"/>
    <w:rsid w:val="00CB4994"/>
    <w:rsid w:val="00CB4FC0"/>
    <w:rsid w:val="00CB51B1"/>
    <w:rsid w:val="00CB5230"/>
    <w:rsid w:val="00CB524D"/>
    <w:rsid w:val="00CB58CA"/>
    <w:rsid w:val="00CB5A87"/>
    <w:rsid w:val="00CB5AC6"/>
    <w:rsid w:val="00CB5C5C"/>
    <w:rsid w:val="00CB5CDB"/>
    <w:rsid w:val="00CB6130"/>
    <w:rsid w:val="00CB64BF"/>
    <w:rsid w:val="00CB660C"/>
    <w:rsid w:val="00CB691D"/>
    <w:rsid w:val="00CB6ADB"/>
    <w:rsid w:val="00CB6F28"/>
    <w:rsid w:val="00CB6F4E"/>
    <w:rsid w:val="00CB70CB"/>
    <w:rsid w:val="00CB7174"/>
    <w:rsid w:val="00CB74FD"/>
    <w:rsid w:val="00CB77EE"/>
    <w:rsid w:val="00CB7A52"/>
    <w:rsid w:val="00CB7A71"/>
    <w:rsid w:val="00CB7ACA"/>
    <w:rsid w:val="00CB7AFE"/>
    <w:rsid w:val="00CB7CCE"/>
    <w:rsid w:val="00CB7CDA"/>
    <w:rsid w:val="00CC01BD"/>
    <w:rsid w:val="00CC0387"/>
    <w:rsid w:val="00CC0566"/>
    <w:rsid w:val="00CC0740"/>
    <w:rsid w:val="00CC08FB"/>
    <w:rsid w:val="00CC0A87"/>
    <w:rsid w:val="00CC0BEC"/>
    <w:rsid w:val="00CC0D49"/>
    <w:rsid w:val="00CC0D4E"/>
    <w:rsid w:val="00CC0FFE"/>
    <w:rsid w:val="00CC1663"/>
    <w:rsid w:val="00CC189E"/>
    <w:rsid w:val="00CC1981"/>
    <w:rsid w:val="00CC1A8E"/>
    <w:rsid w:val="00CC221E"/>
    <w:rsid w:val="00CC232A"/>
    <w:rsid w:val="00CC23DB"/>
    <w:rsid w:val="00CC2446"/>
    <w:rsid w:val="00CC256F"/>
    <w:rsid w:val="00CC288B"/>
    <w:rsid w:val="00CC29B5"/>
    <w:rsid w:val="00CC29DD"/>
    <w:rsid w:val="00CC2A2F"/>
    <w:rsid w:val="00CC2D22"/>
    <w:rsid w:val="00CC2E6D"/>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88A"/>
    <w:rsid w:val="00CC4A02"/>
    <w:rsid w:val="00CC50E7"/>
    <w:rsid w:val="00CC513D"/>
    <w:rsid w:val="00CC5289"/>
    <w:rsid w:val="00CC535A"/>
    <w:rsid w:val="00CC5A16"/>
    <w:rsid w:val="00CC5BDF"/>
    <w:rsid w:val="00CC5D56"/>
    <w:rsid w:val="00CC5EAC"/>
    <w:rsid w:val="00CC5FD9"/>
    <w:rsid w:val="00CC624B"/>
    <w:rsid w:val="00CC62F3"/>
    <w:rsid w:val="00CC6319"/>
    <w:rsid w:val="00CC6482"/>
    <w:rsid w:val="00CC674B"/>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3FD"/>
    <w:rsid w:val="00CD263F"/>
    <w:rsid w:val="00CD26A9"/>
    <w:rsid w:val="00CD280D"/>
    <w:rsid w:val="00CD28E0"/>
    <w:rsid w:val="00CD2C98"/>
    <w:rsid w:val="00CD2EE8"/>
    <w:rsid w:val="00CD3086"/>
    <w:rsid w:val="00CD3274"/>
    <w:rsid w:val="00CD3BC2"/>
    <w:rsid w:val="00CD3BE3"/>
    <w:rsid w:val="00CD4116"/>
    <w:rsid w:val="00CD4330"/>
    <w:rsid w:val="00CD466B"/>
    <w:rsid w:val="00CD4775"/>
    <w:rsid w:val="00CD4A9B"/>
    <w:rsid w:val="00CD4B80"/>
    <w:rsid w:val="00CD4E74"/>
    <w:rsid w:val="00CD4EE7"/>
    <w:rsid w:val="00CD50EF"/>
    <w:rsid w:val="00CD51A6"/>
    <w:rsid w:val="00CD520B"/>
    <w:rsid w:val="00CD5458"/>
    <w:rsid w:val="00CD5A95"/>
    <w:rsid w:val="00CD5EEB"/>
    <w:rsid w:val="00CD5F02"/>
    <w:rsid w:val="00CD6492"/>
    <w:rsid w:val="00CD681F"/>
    <w:rsid w:val="00CD6BC6"/>
    <w:rsid w:val="00CD6D3B"/>
    <w:rsid w:val="00CD6D9A"/>
    <w:rsid w:val="00CD6EC5"/>
    <w:rsid w:val="00CD70FA"/>
    <w:rsid w:val="00CD717A"/>
    <w:rsid w:val="00CD7705"/>
    <w:rsid w:val="00CD799B"/>
    <w:rsid w:val="00CD79B6"/>
    <w:rsid w:val="00CD7ABF"/>
    <w:rsid w:val="00CD7C9F"/>
    <w:rsid w:val="00CD7DD0"/>
    <w:rsid w:val="00CE03E2"/>
    <w:rsid w:val="00CE05D3"/>
    <w:rsid w:val="00CE07D6"/>
    <w:rsid w:val="00CE093F"/>
    <w:rsid w:val="00CE0A48"/>
    <w:rsid w:val="00CE0A73"/>
    <w:rsid w:val="00CE0B00"/>
    <w:rsid w:val="00CE0C0B"/>
    <w:rsid w:val="00CE117F"/>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4BFB"/>
    <w:rsid w:val="00CE52C1"/>
    <w:rsid w:val="00CE5600"/>
    <w:rsid w:val="00CE5A9B"/>
    <w:rsid w:val="00CE5E26"/>
    <w:rsid w:val="00CE5F42"/>
    <w:rsid w:val="00CE5FAB"/>
    <w:rsid w:val="00CE62C7"/>
    <w:rsid w:val="00CE675A"/>
    <w:rsid w:val="00CE68B9"/>
    <w:rsid w:val="00CE6B62"/>
    <w:rsid w:val="00CE6C0E"/>
    <w:rsid w:val="00CE6D9B"/>
    <w:rsid w:val="00CE7553"/>
    <w:rsid w:val="00CE7A8A"/>
    <w:rsid w:val="00CE7D2A"/>
    <w:rsid w:val="00CF024A"/>
    <w:rsid w:val="00CF0590"/>
    <w:rsid w:val="00CF0966"/>
    <w:rsid w:val="00CF0C9F"/>
    <w:rsid w:val="00CF0D77"/>
    <w:rsid w:val="00CF1557"/>
    <w:rsid w:val="00CF17B1"/>
    <w:rsid w:val="00CF1A29"/>
    <w:rsid w:val="00CF1B81"/>
    <w:rsid w:val="00CF1BB3"/>
    <w:rsid w:val="00CF1C8F"/>
    <w:rsid w:val="00CF1CCE"/>
    <w:rsid w:val="00CF2200"/>
    <w:rsid w:val="00CF25C3"/>
    <w:rsid w:val="00CF25E8"/>
    <w:rsid w:val="00CF26BA"/>
    <w:rsid w:val="00CF28C7"/>
    <w:rsid w:val="00CF28ED"/>
    <w:rsid w:val="00CF2997"/>
    <w:rsid w:val="00CF2B82"/>
    <w:rsid w:val="00CF2D07"/>
    <w:rsid w:val="00CF2EF0"/>
    <w:rsid w:val="00CF342E"/>
    <w:rsid w:val="00CF3AA7"/>
    <w:rsid w:val="00CF3B42"/>
    <w:rsid w:val="00CF418D"/>
    <w:rsid w:val="00CF4209"/>
    <w:rsid w:val="00CF454C"/>
    <w:rsid w:val="00CF459E"/>
    <w:rsid w:val="00CF4F5A"/>
    <w:rsid w:val="00CF51CD"/>
    <w:rsid w:val="00CF51EB"/>
    <w:rsid w:val="00CF5305"/>
    <w:rsid w:val="00CF5596"/>
    <w:rsid w:val="00CF5738"/>
    <w:rsid w:val="00CF5784"/>
    <w:rsid w:val="00CF5AAB"/>
    <w:rsid w:val="00CF5DCF"/>
    <w:rsid w:val="00CF5F53"/>
    <w:rsid w:val="00CF5FAE"/>
    <w:rsid w:val="00CF6013"/>
    <w:rsid w:val="00CF637D"/>
    <w:rsid w:val="00CF64AB"/>
    <w:rsid w:val="00CF6A30"/>
    <w:rsid w:val="00CF6A32"/>
    <w:rsid w:val="00CF70ED"/>
    <w:rsid w:val="00CF72C7"/>
    <w:rsid w:val="00CF7323"/>
    <w:rsid w:val="00CF7440"/>
    <w:rsid w:val="00CF74B1"/>
    <w:rsid w:val="00CF7573"/>
    <w:rsid w:val="00CF76BB"/>
    <w:rsid w:val="00CF779C"/>
    <w:rsid w:val="00CF782E"/>
    <w:rsid w:val="00CF79E2"/>
    <w:rsid w:val="00CF7E92"/>
    <w:rsid w:val="00D000D2"/>
    <w:rsid w:val="00D002B6"/>
    <w:rsid w:val="00D006F5"/>
    <w:rsid w:val="00D0088F"/>
    <w:rsid w:val="00D00B1A"/>
    <w:rsid w:val="00D00B28"/>
    <w:rsid w:val="00D00B9A"/>
    <w:rsid w:val="00D01170"/>
    <w:rsid w:val="00D0166F"/>
    <w:rsid w:val="00D01756"/>
    <w:rsid w:val="00D017D7"/>
    <w:rsid w:val="00D01876"/>
    <w:rsid w:val="00D01CB1"/>
    <w:rsid w:val="00D020CF"/>
    <w:rsid w:val="00D0212A"/>
    <w:rsid w:val="00D02133"/>
    <w:rsid w:val="00D022C6"/>
    <w:rsid w:val="00D02607"/>
    <w:rsid w:val="00D0270B"/>
    <w:rsid w:val="00D02822"/>
    <w:rsid w:val="00D028D2"/>
    <w:rsid w:val="00D02A93"/>
    <w:rsid w:val="00D02CDB"/>
    <w:rsid w:val="00D02D73"/>
    <w:rsid w:val="00D030ED"/>
    <w:rsid w:val="00D0334B"/>
    <w:rsid w:val="00D0342D"/>
    <w:rsid w:val="00D034F9"/>
    <w:rsid w:val="00D035CB"/>
    <w:rsid w:val="00D038C8"/>
    <w:rsid w:val="00D0397B"/>
    <w:rsid w:val="00D039B7"/>
    <w:rsid w:val="00D03A9D"/>
    <w:rsid w:val="00D03AA6"/>
    <w:rsid w:val="00D03D3A"/>
    <w:rsid w:val="00D03DD4"/>
    <w:rsid w:val="00D03E3B"/>
    <w:rsid w:val="00D0404E"/>
    <w:rsid w:val="00D042DD"/>
    <w:rsid w:val="00D04312"/>
    <w:rsid w:val="00D043A3"/>
    <w:rsid w:val="00D043DD"/>
    <w:rsid w:val="00D04403"/>
    <w:rsid w:val="00D04A12"/>
    <w:rsid w:val="00D04CAB"/>
    <w:rsid w:val="00D04EC7"/>
    <w:rsid w:val="00D050A9"/>
    <w:rsid w:val="00D0514B"/>
    <w:rsid w:val="00D05541"/>
    <w:rsid w:val="00D05669"/>
    <w:rsid w:val="00D05883"/>
    <w:rsid w:val="00D05978"/>
    <w:rsid w:val="00D05D0C"/>
    <w:rsid w:val="00D06030"/>
    <w:rsid w:val="00D062BE"/>
    <w:rsid w:val="00D0634A"/>
    <w:rsid w:val="00D064FF"/>
    <w:rsid w:val="00D070FD"/>
    <w:rsid w:val="00D0737B"/>
    <w:rsid w:val="00D0757E"/>
    <w:rsid w:val="00D075E2"/>
    <w:rsid w:val="00D076AD"/>
    <w:rsid w:val="00D07870"/>
    <w:rsid w:val="00D078CA"/>
    <w:rsid w:val="00D07A8C"/>
    <w:rsid w:val="00D10142"/>
    <w:rsid w:val="00D101FC"/>
    <w:rsid w:val="00D10272"/>
    <w:rsid w:val="00D1035B"/>
    <w:rsid w:val="00D103F4"/>
    <w:rsid w:val="00D1058A"/>
    <w:rsid w:val="00D10C47"/>
    <w:rsid w:val="00D10D4B"/>
    <w:rsid w:val="00D10F31"/>
    <w:rsid w:val="00D110D4"/>
    <w:rsid w:val="00D11118"/>
    <w:rsid w:val="00D111F2"/>
    <w:rsid w:val="00D11648"/>
    <w:rsid w:val="00D11CEB"/>
    <w:rsid w:val="00D11E1F"/>
    <w:rsid w:val="00D1228D"/>
    <w:rsid w:val="00D12360"/>
    <w:rsid w:val="00D1274A"/>
    <w:rsid w:val="00D12897"/>
    <w:rsid w:val="00D12D0A"/>
    <w:rsid w:val="00D12D36"/>
    <w:rsid w:val="00D12F85"/>
    <w:rsid w:val="00D1308D"/>
    <w:rsid w:val="00D13116"/>
    <w:rsid w:val="00D1329E"/>
    <w:rsid w:val="00D13635"/>
    <w:rsid w:val="00D13AB1"/>
    <w:rsid w:val="00D13AB2"/>
    <w:rsid w:val="00D13CFD"/>
    <w:rsid w:val="00D13D11"/>
    <w:rsid w:val="00D13D6F"/>
    <w:rsid w:val="00D14192"/>
    <w:rsid w:val="00D14227"/>
    <w:rsid w:val="00D14275"/>
    <w:rsid w:val="00D1440E"/>
    <w:rsid w:val="00D1456A"/>
    <w:rsid w:val="00D147E3"/>
    <w:rsid w:val="00D14B2C"/>
    <w:rsid w:val="00D14D75"/>
    <w:rsid w:val="00D14D97"/>
    <w:rsid w:val="00D14ECA"/>
    <w:rsid w:val="00D14F32"/>
    <w:rsid w:val="00D14FC2"/>
    <w:rsid w:val="00D15254"/>
    <w:rsid w:val="00D1589D"/>
    <w:rsid w:val="00D15A1E"/>
    <w:rsid w:val="00D15B88"/>
    <w:rsid w:val="00D15C9B"/>
    <w:rsid w:val="00D16011"/>
    <w:rsid w:val="00D16118"/>
    <w:rsid w:val="00D1621A"/>
    <w:rsid w:val="00D1638C"/>
    <w:rsid w:val="00D16578"/>
    <w:rsid w:val="00D1671B"/>
    <w:rsid w:val="00D16799"/>
    <w:rsid w:val="00D16936"/>
    <w:rsid w:val="00D16985"/>
    <w:rsid w:val="00D169BE"/>
    <w:rsid w:val="00D16A1F"/>
    <w:rsid w:val="00D16A28"/>
    <w:rsid w:val="00D16BB5"/>
    <w:rsid w:val="00D16C8E"/>
    <w:rsid w:val="00D16C96"/>
    <w:rsid w:val="00D16CED"/>
    <w:rsid w:val="00D16FF0"/>
    <w:rsid w:val="00D16FF6"/>
    <w:rsid w:val="00D17085"/>
    <w:rsid w:val="00D17772"/>
    <w:rsid w:val="00D177A6"/>
    <w:rsid w:val="00D17B5D"/>
    <w:rsid w:val="00D17FD2"/>
    <w:rsid w:val="00D2042C"/>
    <w:rsid w:val="00D2074E"/>
    <w:rsid w:val="00D20C1C"/>
    <w:rsid w:val="00D21412"/>
    <w:rsid w:val="00D21425"/>
    <w:rsid w:val="00D21AC6"/>
    <w:rsid w:val="00D21F28"/>
    <w:rsid w:val="00D224EA"/>
    <w:rsid w:val="00D2260A"/>
    <w:rsid w:val="00D226FB"/>
    <w:rsid w:val="00D228C5"/>
    <w:rsid w:val="00D22A14"/>
    <w:rsid w:val="00D22C49"/>
    <w:rsid w:val="00D22C72"/>
    <w:rsid w:val="00D22F90"/>
    <w:rsid w:val="00D23090"/>
    <w:rsid w:val="00D232AC"/>
    <w:rsid w:val="00D2396A"/>
    <w:rsid w:val="00D23BF6"/>
    <w:rsid w:val="00D23C5E"/>
    <w:rsid w:val="00D24038"/>
    <w:rsid w:val="00D24518"/>
    <w:rsid w:val="00D246CA"/>
    <w:rsid w:val="00D2484C"/>
    <w:rsid w:val="00D248B1"/>
    <w:rsid w:val="00D249C3"/>
    <w:rsid w:val="00D25030"/>
    <w:rsid w:val="00D2536C"/>
    <w:rsid w:val="00D253CA"/>
    <w:rsid w:val="00D255EE"/>
    <w:rsid w:val="00D258EA"/>
    <w:rsid w:val="00D25D28"/>
    <w:rsid w:val="00D25EF6"/>
    <w:rsid w:val="00D266AF"/>
    <w:rsid w:val="00D26730"/>
    <w:rsid w:val="00D26884"/>
    <w:rsid w:val="00D26949"/>
    <w:rsid w:val="00D26DD0"/>
    <w:rsid w:val="00D26E53"/>
    <w:rsid w:val="00D2758E"/>
    <w:rsid w:val="00D27703"/>
    <w:rsid w:val="00D27BA4"/>
    <w:rsid w:val="00D27BC8"/>
    <w:rsid w:val="00D27E46"/>
    <w:rsid w:val="00D30257"/>
    <w:rsid w:val="00D302D0"/>
    <w:rsid w:val="00D3050E"/>
    <w:rsid w:val="00D30736"/>
    <w:rsid w:val="00D30779"/>
    <w:rsid w:val="00D30989"/>
    <w:rsid w:val="00D30D00"/>
    <w:rsid w:val="00D30D7D"/>
    <w:rsid w:val="00D30E6E"/>
    <w:rsid w:val="00D31122"/>
    <w:rsid w:val="00D311A4"/>
    <w:rsid w:val="00D311BF"/>
    <w:rsid w:val="00D312F1"/>
    <w:rsid w:val="00D314C8"/>
    <w:rsid w:val="00D31617"/>
    <w:rsid w:val="00D316B3"/>
    <w:rsid w:val="00D316B9"/>
    <w:rsid w:val="00D31778"/>
    <w:rsid w:val="00D3179A"/>
    <w:rsid w:val="00D317CB"/>
    <w:rsid w:val="00D319A5"/>
    <w:rsid w:val="00D31A41"/>
    <w:rsid w:val="00D31AA6"/>
    <w:rsid w:val="00D31E3E"/>
    <w:rsid w:val="00D31E5C"/>
    <w:rsid w:val="00D3203F"/>
    <w:rsid w:val="00D32076"/>
    <w:rsid w:val="00D3243A"/>
    <w:rsid w:val="00D32AF8"/>
    <w:rsid w:val="00D32CD9"/>
    <w:rsid w:val="00D32D28"/>
    <w:rsid w:val="00D32FBF"/>
    <w:rsid w:val="00D330EC"/>
    <w:rsid w:val="00D3317C"/>
    <w:rsid w:val="00D33350"/>
    <w:rsid w:val="00D333C3"/>
    <w:rsid w:val="00D3379B"/>
    <w:rsid w:val="00D33AAC"/>
    <w:rsid w:val="00D33EEC"/>
    <w:rsid w:val="00D33F99"/>
    <w:rsid w:val="00D34109"/>
    <w:rsid w:val="00D346A3"/>
    <w:rsid w:val="00D3470F"/>
    <w:rsid w:val="00D34814"/>
    <w:rsid w:val="00D34A12"/>
    <w:rsid w:val="00D34A4F"/>
    <w:rsid w:val="00D34A6B"/>
    <w:rsid w:val="00D34D52"/>
    <w:rsid w:val="00D34E9A"/>
    <w:rsid w:val="00D34EEE"/>
    <w:rsid w:val="00D351A3"/>
    <w:rsid w:val="00D35259"/>
    <w:rsid w:val="00D353AB"/>
    <w:rsid w:val="00D354C7"/>
    <w:rsid w:val="00D357C9"/>
    <w:rsid w:val="00D357E7"/>
    <w:rsid w:val="00D35FB9"/>
    <w:rsid w:val="00D36099"/>
    <w:rsid w:val="00D361A2"/>
    <w:rsid w:val="00D36285"/>
    <w:rsid w:val="00D362F9"/>
    <w:rsid w:val="00D365CC"/>
    <w:rsid w:val="00D366B9"/>
    <w:rsid w:val="00D367D7"/>
    <w:rsid w:val="00D36C92"/>
    <w:rsid w:val="00D36C9A"/>
    <w:rsid w:val="00D36D5D"/>
    <w:rsid w:val="00D36D5F"/>
    <w:rsid w:val="00D36DB5"/>
    <w:rsid w:val="00D37129"/>
    <w:rsid w:val="00D371B7"/>
    <w:rsid w:val="00D372B3"/>
    <w:rsid w:val="00D377C9"/>
    <w:rsid w:val="00D37985"/>
    <w:rsid w:val="00D37C5E"/>
    <w:rsid w:val="00D4037E"/>
    <w:rsid w:val="00D4056F"/>
    <w:rsid w:val="00D40576"/>
    <w:rsid w:val="00D409E8"/>
    <w:rsid w:val="00D40D36"/>
    <w:rsid w:val="00D40DA4"/>
    <w:rsid w:val="00D4109C"/>
    <w:rsid w:val="00D41219"/>
    <w:rsid w:val="00D412EE"/>
    <w:rsid w:val="00D413E1"/>
    <w:rsid w:val="00D41401"/>
    <w:rsid w:val="00D4145C"/>
    <w:rsid w:val="00D41468"/>
    <w:rsid w:val="00D414F6"/>
    <w:rsid w:val="00D419BE"/>
    <w:rsid w:val="00D41DF3"/>
    <w:rsid w:val="00D41E8E"/>
    <w:rsid w:val="00D4220D"/>
    <w:rsid w:val="00D42567"/>
    <w:rsid w:val="00D4281F"/>
    <w:rsid w:val="00D42822"/>
    <w:rsid w:val="00D42A19"/>
    <w:rsid w:val="00D42B01"/>
    <w:rsid w:val="00D42B50"/>
    <w:rsid w:val="00D42E1F"/>
    <w:rsid w:val="00D42E7D"/>
    <w:rsid w:val="00D42F2D"/>
    <w:rsid w:val="00D430B1"/>
    <w:rsid w:val="00D430FA"/>
    <w:rsid w:val="00D4334E"/>
    <w:rsid w:val="00D438A7"/>
    <w:rsid w:val="00D438C0"/>
    <w:rsid w:val="00D43AE0"/>
    <w:rsid w:val="00D43C79"/>
    <w:rsid w:val="00D43F8C"/>
    <w:rsid w:val="00D440FF"/>
    <w:rsid w:val="00D441E7"/>
    <w:rsid w:val="00D44307"/>
    <w:rsid w:val="00D44337"/>
    <w:rsid w:val="00D44705"/>
    <w:rsid w:val="00D44A86"/>
    <w:rsid w:val="00D44CC3"/>
    <w:rsid w:val="00D4524E"/>
    <w:rsid w:val="00D454BC"/>
    <w:rsid w:val="00D457C7"/>
    <w:rsid w:val="00D45812"/>
    <w:rsid w:val="00D45A31"/>
    <w:rsid w:val="00D45BDF"/>
    <w:rsid w:val="00D45C5C"/>
    <w:rsid w:val="00D45D54"/>
    <w:rsid w:val="00D4609C"/>
    <w:rsid w:val="00D46110"/>
    <w:rsid w:val="00D46162"/>
    <w:rsid w:val="00D4682B"/>
    <w:rsid w:val="00D469E6"/>
    <w:rsid w:val="00D46C86"/>
    <w:rsid w:val="00D46E0B"/>
    <w:rsid w:val="00D46EC3"/>
    <w:rsid w:val="00D471ED"/>
    <w:rsid w:val="00D474C0"/>
    <w:rsid w:val="00D47906"/>
    <w:rsid w:val="00D50111"/>
    <w:rsid w:val="00D5087C"/>
    <w:rsid w:val="00D50899"/>
    <w:rsid w:val="00D5098B"/>
    <w:rsid w:val="00D509DF"/>
    <w:rsid w:val="00D50AB4"/>
    <w:rsid w:val="00D50BCB"/>
    <w:rsid w:val="00D51430"/>
    <w:rsid w:val="00D516FC"/>
    <w:rsid w:val="00D51744"/>
    <w:rsid w:val="00D518F0"/>
    <w:rsid w:val="00D51A04"/>
    <w:rsid w:val="00D51A99"/>
    <w:rsid w:val="00D521AA"/>
    <w:rsid w:val="00D5233E"/>
    <w:rsid w:val="00D5239A"/>
    <w:rsid w:val="00D52C30"/>
    <w:rsid w:val="00D52D21"/>
    <w:rsid w:val="00D53582"/>
    <w:rsid w:val="00D5370D"/>
    <w:rsid w:val="00D53803"/>
    <w:rsid w:val="00D53D6F"/>
    <w:rsid w:val="00D53DF4"/>
    <w:rsid w:val="00D53FC5"/>
    <w:rsid w:val="00D5417F"/>
    <w:rsid w:val="00D5430E"/>
    <w:rsid w:val="00D543FA"/>
    <w:rsid w:val="00D5486B"/>
    <w:rsid w:val="00D54887"/>
    <w:rsid w:val="00D549E8"/>
    <w:rsid w:val="00D54BBA"/>
    <w:rsid w:val="00D5510E"/>
    <w:rsid w:val="00D55209"/>
    <w:rsid w:val="00D55394"/>
    <w:rsid w:val="00D5541C"/>
    <w:rsid w:val="00D55615"/>
    <w:rsid w:val="00D55632"/>
    <w:rsid w:val="00D556AD"/>
    <w:rsid w:val="00D557D9"/>
    <w:rsid w:val="00D55E74"/>
    <w:rsid w:val="00D55F57"/>
    <w:rsid w:val="00D56090"/>
    <w:rsid w:val="00D56163"/>
    <w:rsid w:val="00D561BA"/>
    <w:rsid w:val="00D56684"/>
    <w:rsid w:val="00D56686"/>
    <w:rsid w:val="00D567C3"/>
    <w:rsid w:val="00D56832"/>
    <w:rsid w:val="00D56935"/>
    <w:rsid w:val="00D56AA3"/>
    <w:rsid w:val="00D56B67"/>
    <w:rsid w:val="00D56C6A"/>
    <w:rsid w:val="00D57036"/>
    <w:rsid w:val="00D57B65"/>
    <w:rsid w:val="00D57CA3"/>
    <w:rsid w:val="00D57EC6"/>
    <w:rsid w:val="00D60058"/>
    <w:rsid w:val="00D6060E"/>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127"/>
    <w:rsid w:val="00D6243C"/>
    <w:rsid w:val="00D6250D"/>
    <w:rsid w:val="00D63046"/>
    <w:rsid w:val="00D63053"/>
    <w:rsid w:val="00D63085"/>
    <w:rsid w:val="00D631D9"/>
    <w:rsid w:val="00D63256"/>
    <w:rsid w:val="00D632DC"/>
    <w:rsid w:val="00D637D2"/>
    <w:rsid w:val="00D638DF"/>
    <w:rsid w:val="00D63CC1"/>
    <w:rsid w:val="00D64095"/>
    <w:rsid w:val="00D64143"/>
    <w:rsid w:val="00D643D7"/>
    <w:rsid w:val="00D64A29"/>
    <w:rsid w:val="00D64E5A"/>
    <w:rsid w:val="00D651AA"/>
    <w:rsid w:val="00D65296"/>
    <w:rsid w:val="00D65322"/>
    <w:rsid w:val="00D655CE"/>
    <w:rsid w:val="00D6571A"/>
    <w:rsid w:val="00D65841"/>
    <w:rsid w:val="00D65AA4"/>
    <w:rsid w:val="00D65ED8"/>
    <w:rsid w:val="00D65F46"/>
    <w:rsid w:val="00D661C6"/>
    <w:rsid w:val="00D6623A"/>
    <w:rsid w:val="00D66258"/>
    <w:rsid w:val="00D6632C"/>
    <w:rsid w:val="00D66465"/>
    <w:rsid w:val="00D667DD"/>
    <w:rsid w:val="00D66846"/>
    <w:rsid w:val="00D668D8"/>
    <w:rsid w:val="00D66AC7"/>
    <w:rsid w:val="00D66BD7"/>
    <w:rsid w:val="00D66CDA"/>
    <w:rsid w:val="00D66E05"/>
    <w:rsid w:val="00D6718F"/>
    <w:rsid w:val="00D671DA"/>
    <w:rsid w:val="00D6732A"/>
    <w:rsid w:val="00D6791E"/>
    <w:rsid w:val="00D67A3E"/>
    <w:rsid w:val="00D67DBD"/>
    <w:rsid w:val="00D7037B"/>
    <w:rsid w:val="00D704BD"/>
    <w:rsid w:val="00D709CE"/>
    <w:rsid w:val="00D70AE9"/>
    <w:rsid w:val="00D70CF5"/>
    <w:rsid w:val="00D70E10"/>
    <w:rsid w:val="00D71125"/>
    <w:rsid w:val="00D71258"/>
    <w:rsid w:val="00D71330"/>
    <w:rsid w:val="00D7156A"/>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7F8"/>
    <w:rsid w:val="00D73B5C"/>
    <w:rsid w:val="00D73BC7"/>
    <w:rsid w:val="00D741DA"/>
    <w:rsid w:val="00D7445E"/>
    <w:rsid w:val="00D7477D"/>
    <w:rsid w:val="00D74809"/>
    <w:rsid w:val="00D74875"/>
    <w:rsid w:val="00D74919"/>
    <w:rsid w:val="00D74923"/>
    <w:rsid w:val="00D74F2E"/>
    <w:rsid w:val="00D74FED"/>
    <w:rsid w:val="00D7510C"/>
    <w:rsid w:val="00D75117"/>
    <w:rsid w:val="00D752A5"/>
    <w:rsid w:val="00D7542C"/>
    <w:rsid w:val="00D75588"/>
    <w:rsid w:val="00D7597D"/>
    <w:rsid w:val="00D759F3"/>
    <w:rsid w:val="00D75ACB"/>
    <w:rsid w:val="00D76072"/>
    <w:rsid w:val="00D7653A"/>
    <w:rsid w:val="00D765D6"/>
    <w:rsid w:val="00D76601"/>
    <w:rsid w:val="00D767B3"/>
    <w:rsid w:val="00D76923"/>
    <w:rsid w:val="00D7701C"/>
    <w:rsid w:val="00D77236"/>
    <w:rsid w:val="00D772C7"/>
    <w:rsid w:val="00D777B7"/>
    <w:rsid w:val="00D77F0B"/>
    <w:rsid w:val="00D77FD5"/>
    <w:rsid w:val="00D80112"/>
    <w:rsid w:val="00D801B8"/>
    <w:rsid w:val="00D80210"/>
    <w:rsid w:val="00D8062A"/>
    <w:rsid w:val="00D80F03"/>
    <w:rsid w:val="00D80F1B"/>
    <w:rsid w:val="00D810D1"/>
    <w:rsid w:val="00D815A2"/>
    <w:rsid w:val="00D81694"/>
    <w:rsid w:val="00D8170B"/>
    <w:rsid w:val="00D8178D"/>
    <w:rsid w:val="00D81838"/>
    <w:rsid w:val="00D818E1"/>
    <w:rsid w:val="00D81A2A"/>
    <w:rsid w:val="00D82032"/>
    <w:rsid w:val="00D8208D"/>
    <w:rsid w:val="00D82A34"/>
    <w:rsid w:val="00D82A85"/>
    <w:rsid w:val="00D82E72"/>
    <w:rsid w:val="00D82F85"/>
    <w:rsid w:val="00D83642"/>
    <w:rsid w:val="00D83960"/>
    <w:rsid w:val="00D8406C"/>
    <w:rsid w:val="00D840E3"/>
    <w:rsid w:val="00D84341"/>
    <w:rsid w:val="00D843A3"/>
    <w:rsid w:val="00D843C0"/>
    <w:rsid w:val="00D84656"/>
    <w:rsid w:val="00D84A43"/>
    <w:rsid w:val="00D8507B"/>
    <w:rsid w:val="00D8520A"/>
    <w:rsid w:val="00D8521E"/>
    <w:rsid w:val="00D852C9"/>
    <w:rsid w:val="00D85304"/>
    <w:rsid w:val="00D855AF"/>
    <w:rsid w:val="00D857CA"/>
    <w:rsid w:val="00D858EF"/>
    <w:rsid w:val="00D85B58"/>
    <w:rsid w:val="00D85B9F"/>
    <w:rsid w:val="00D85E76"/>
    <w:rsid w:val="00D862D3"/>
    <w:rsid w:val="00D86539"/>
    <w:rsid w:val="00D8688F"/>
    <w:rsid w:val="00D86FAC"/>
    <w:rsid w:val="00D8701D"/>
    <w:rsid w:val="00D871F1"/>
    <w:rsid w:val="00D878D2"/>
    <w:rsid w:val="00D87AFE"/>
    <w:rsid w:val="00D90497"/>
    <w:rsid w:val="00D904BC"/>
    <w:rsid w:val="00D90716"/>
    <w:rsid w:val="00D907DD"/>
    <w:rsid w:val="00D909C8"/>
    <w:rsid w:val="00D90AC8"/>
    <w:rsid w:val="00D90D8C"/>
    <w:rsid w:val="00D91039"/>
    <w:rsid w:val="00D9136A"/>
    <w:rsid w:val="00D91458"/>
    <w:rsid w:val="00D914FC"/>
    <w:rsid w:val="00D91554"/>
    <w:rsid w:val="00D91889"/>
    <w:rsid w:val="00D91BE9"/>
    <w:rsid w:val="00D91C39"/>
    <w:rsid w:val="00D91E2D"/>
    <w:rsid w:val="00D92168"/>
    <w:rsid w:val="00D92170"/>
    <w:rsid w:val="00D92250"/>
    <w:rsid w:val="00D923B0"/>
    <w:rsid w:val="00D9261B"/>
    <w:rsid w:val="00D926C5"/>
    <w:rsid w:val="00D92E0E"/>
    <w:rsid w:val="00D92EB3"/>
    <w:rsid w:val="00D933B3"/>
    <w:rsid w:val="00D93445"/>
    <w:rsid w:val="00D935BD"/>
    <w:rsid w:val="00D93610"/>
    <w:rsid w:val="00D936BF"/>
    <w:rsid w:val="00D9383A"/>
    <w:rsid w:val="00D939F9"/>
    <w:rsid w:val="00D93BE8"/>
    <w:rsid w:val="00D93E56"/>
    <w:rsid w:val="00D949B1"/>
    <w:rsid w:val="00D94C8C"/>
    <w:rsid w:val="00D94D8D"/>
    <w:rsid w:val="00D94E90"/>
    <w:rsid w:val="00D94FC8"/>
    <w:rsid w:val="00D95214"/>
    <w:rsid w:val="00D9521E"/>
    <w:rsid w:val="00D95690"/>
    <w:rsid w:val="00D95787"/>
    <w:rsid w:val="00D95E4E"/>
    <w:rsid w:val="00D95FE6"/>
    <w:rsid w:val="00D962F5"/>
    <w:rsid w:val="00D96309"/>
    <w:rsid w:val="00D96776"/>
    <w:rsid w:val="00D967DC"/>
    <w:rsid w:val="00D967E1"/>
    <w:rsid w:val="00D96A46"/>
    <w:rsid w:val="00D96A82"/>
    <w:rsid w:val="00D96D76"/>
    <w:rsid w:val="00D96DC2"/>
    <w:rsid w:val="00D96E4B"/>
    <w:rsid w:val="00D97039"/>
    <w:rsid w:val="00D97062"/>
    <w:rsid w:val="00D9718A"/>
    <w:rsid w:val="00D971A0"/>
    <w:rsid w:val="00D97309"/>
    <w:rsid w:val="00D9735C"/>
    <w:rsid w:val="00D975DB"/>
    <w:rsid w:val="00D97AC8"/>
    <w:rsid w:val="00D97B9B"/>
    <w:rsid w:val="00D97C73"/>
    <w:rsid w:val="00D97E93"/>
    <w:rsid w:val="00D97F1E"/>
    <w:rsid w:val="00D97FC6"/>
    <w:rsid w:val="00DA003F"/>
    <w:rsid w:val="00DA00B1"/>
    <w:rsid w:val="00DA01E3"/>
    <w:rsid w:val="00DA046A"/>
    <w:rsid w:val="00DA0768"/>
    <w:rsid w:val="00DA07B7"/>
    <w:rsid w:val="00DA0B3A"/>
    <w:rsid w:val="00DA0CC4"/>
    <w:rsid w:val="00DA0E72"/>
    <w:rsid w:val="00DA102D"/>
    <w:rsid w:val="00DA1108"/>
    <w:rsid w:val="00DA13B1"/>
    <w:rsid w:val="00DA16AB"/>
    <w:rsid w:val="00DA16F5"/>
    <w:rsid w:val="00DA1701"/>
    <w:rsid w:val="00DA197D"/>
    <w:rsid w:val="00DA19A5"/>
    <w:rsid w:val="00DA19E9"/>
    <w:rsid w:val="00DA1AA7"/>
    <w:rsid w:val="00DA1AF3"/>
    <w:rsid w:val="00DA1D1B"/>
    <w:rsid w:val="00DA1D45"/>
    <w:rsid w:val="00DA2450"/>
    <w:rsid w:val="00DA24A3"/>
    <w:rsid w:val="00DA283F"/>
    <w:rsid w:val="00DA29D0"/>
    <w:rsid w:val="00DA2BBE"/>
    <w:rsid w:val="00DA2BC2"/>
    <w:rsid w:val="00DA2C61"/>
    <w:rsid w:val="00DA304C"/>
    <w:rsid w:val="00DA34DF"/>
    <w:rsid w:val="00DA34F9"/>
    <w:rsid w:val="00DA35A4"/>
    <w:rsid w:val="00DA360C"/>
    <w:rsid w:val="00DA3955"/>
    <w:rsid w:val="00DA3A5E"/>
    <w:rsid w:val="00DA3A98"/>
    <w:rsid w:val="00DA3AC5"/>
    <w:rsid w:val="00DA3C99"/>
    <w:rsid w:val="00DA3E5F"/>
    <w:rsid w:val="00DA40B6"/>
    <w:rsid w:val="00DA4138"/>
    <w:rsid w:val="00DA4448"/>
    <w:rsid w:val="00DA4D50"/>
    <w:rsid w:val="00DA5617"/>
    <w:rsid w:val="00DA59E5"/>
    <w:rsid w:val="00DA5A58"/>
    <w:rsid w:val="00DA5BD4"/>
    <w:rsid w:val="00DA5D9C"/>
    <w:rsid w:val="00DA5FBE"/>
    <w:rsid w:val="00DA65AB"/>
    <w:rsid w:val="00DA6618"/>
    <w:rsid w:val="00DA6879"/>
    <w:rsid w:val="00DA69C0"/>
    <w:rsid w:val="00DA6A5A"/>
    <w:rsid w:val="00DA6F43"/>
    <w:rsid w:val="00DA6F5A"/>
    <w:rsid w:val="00DA6F6E"/>
    <w:rsid w:val="00DA6FD1"/>
    <w:rsid w:val="00DA704F"/>
    <w:rsid w:val="00DA75E3"/>
    <w:rsid w:val="00DA7776"/>
    <w:rsid w:val="00DA78EB"/>
    <w:rsid w:val="00DA799E"/>
    <w:rsid w:val="00DA79D6"/>
    <w:rsid w:val="00DA7F75"/>
    <w:rsid w:val="00DA7FE8"/>
    <w:rsid w:val="00DB03EB"/>
    <w:rsid w:val="00DB0614"/>
    <w:rsid w:val="00DB06A8"/>
    <w:rsid w:val="00DB0835"/>
    <w:rsid w:val="00DB0A9B"/>
    <w:rsid w:val="00DB0E63"/>
    <w:rsid w:val="00DB102F"/>
    <w:rsid w:val="00DB1262"/>
    <w:rsid w:val="00DB15AF"/>
    <w:rsid w:val="00DB164C"/>
    <w:rsid w:val="00DB1783"/>
    <w:rsid w:val="00DB1984"/>
    <w:rsid w:val="00DB1B89"/>
    <w:rsid w:val="00DB1C61"/>
    <w:rsid w:val="00DB2058"/>
    <w:rsid w:val="00DB2298"/>
    <w:rsid w:val="00DB246E"/>
    <w:rsid w:val="00DB27BD"/>
    <w:rsid w:val="00DB2930"/>
    <w:rsid w:val="00DB2D37"/>
    <w:rsid w:val="00DB2E62"/>
    <w:rsid w:val="00DB321D"/>
    <w:rsid w:val="00DB331B"/>
    <w:rsid w:val="00DB3338"/>
    <w:rsid w:val="00DB345A"/>
    <w:rsid w:val="00DB3478"/>
    <w:rsid w:val="00DB34C6"/>
    <w:rsid w:val="00DB3DD1"/>
    <w:rsid w:val="00DB3F49"/>
    <w:rsid w:val="00DB4260"/>
    <w:rsid w:val="00DB42CE"/>
    <w:rsid w:val="00DB4534"/>
    <w:rsid w:val="00DB47B4"/>
    <w:rsid w:val="00DB49C0"/>
    <w:rsid w:val="00DB4B44"/>
    <w:rsid w:val="00DB4CB5"/>
    <w:rsid w:val="00DB4DE9"/>
    <w:rsid w:val="00DB5223"/>
    <w:rsid w:val="00DB5992"/>
    <w:rsid w:val="00DB5997"/>
    <w:rsid w:val="00DB5C36"/>
    <w:rsid w:val="00DB5E35"/>
    <w:rsid w:val="00DB5F14"/>
    <w:rsid w:val="00DB5F5E"/>
    <w:rsid w:val="00DB5FA1"/>
    <w:rsid w:val="00DB5FC6"/>
    <w:rsid w:val="00DB6150"/>
    <w:rsid w:val="00DB61F6"/>
    <w:rsid w:val="00DB625A"/>
    <w:rsid w:val="00DB629D"/>
    <w:rsid w:val="00DB6A2E"/>
    <w:rsid w:val="00DB6C09"/>
    <w:rsid w:val="00DB6F36"/>
    <w:rsid w:val="00DB706F"/>
    <w:rsid w:val="00DB7147"/>
    <w:rsid w:val="00DB741D"/>
    <w:rsid w:val="00DB765D"/>
    <w:rsid w:val="00DB7AFF"/>
    <w:rsid w:val="00DB7DB3"/>
    <w:rsid w:val="00DC00E3"/>
    <w:rsid w:val="00DC06F5"/>
    <w:rsid w:val="00DC07F9"/>
    <w:rsid w:val="00DC0E02"/>
    <w:rsid w:val="00DC1237"/>
    <w:rsid w:val="00DC1315"/>
    <w:rsid w:val="00DC1371"/>
    <w:rsid w:val="00DC176C"/>
    <w:rsid w:val="00DC2134"/>
    <w:rsid w:val="00DC22C3"/>
    <w:rsid w:val="00DC2317"/>
    <w:rsid w:val="00DC237D"/>
    <w:rsid w:val="00DC2404"/>
    <w:rsid w:val="00DC24D0"/>
    <w:rsid w:val="00DC26E2"/>
    <w:rsid w:val="00DC2875"/>
    <w:rsid w:val="00DC295B"/>
    <w:rsid w:val="00DC2BE7"/>
    <w:rsid w:val="00DC2F80"/>
    <w:rsid w:val="00DC305D"/>
    <w:rsid w:val="00DC30EE"/>
    <w:rsid w:val="00DC336C"/>
    <w:rsid w:val="00DC3784"/>
    <w:rsid w:val="00DC3829"/>
    <w:rsid w:val="00DC3EB4"/>
    <w:rsid w:val="00DC3EE2"/>
    <w:rsid w:val="00DC3F0A"/>
    <w:rsid w:val="00DC406C"/>
    <w:rsid w:val="00DC4398"/>
    <w:rsid w:val="00DC45E8"/>
    <w:rsid w:val="00DC462E"/>
    <w:rsid w:val="00DC46A1"/>
    <w:rsid w:val="00DC46C3"/>
    <w:rsid w:val="00DC49DF"/>
    <w:rsid w:val="00DC4A7F"/>
    <w:rsid w:val="00DC4BEB"/>
    <w:rsid w:val="00DC4E14"/>
    <w:rsid w:val="00DC4F8D"/>
    <w:rsid w:val="00DC5058"/>
    <w:rsid w:val="00DC523B"/>
    <w:rsid w:val="00DC52B9"/>
    <w:rsid w:val="00DC5521"/>
    <w:rsid w:val="00DC56E7"/>
    <w:rsid w:val="00DC59C9"/>
    <w:rsid w:val="00DC5CFB"/>
    <w:rsid w:val="00DC5FB7"/>
    <w:rsid w:val="00DC6997"/>
    <w:rsid w:val="00DC6E77"/>
    <w:rsid w:val="00DC71BE"/>
    <w:rsid w:val="00DC7205"/>
    <w:rsid w:val="00DC7279"/>
    <w:rsid w:val="00DC76EF"/>
    <w:rsid w:val="00DC77D0"/>
    <w:rsid w:val="00DC7E3F"/>
    <w:rsid w:val="00DC7EB9"/>
    <w:rsid w:val="00DC7F4E"/>
    <w:rsid w:val="00DD00BA"/>
    <w:rsid w:val="00DD0126"/>
    <w:rsid w:val="00DD0236"/>
    <w:rsid w:val="00DD0327"/>
    <w:rsid w:val="00DD032E"/>
    <w:rsid w:val="00DD09B5"/>
    <w:rsid w:val="00DD09B9"/>
    <w:rsid w:val="00DD0D0A"/>
    <w:rsid w:val="00DD15E7"/>
    <w:rsid w:val="00DD16DC"/>
    <w:rsid w:val="00DD1730"/>
    <w:rsid w:val="00DD1732"/>
    <w:rsid w:val="00DD18B0"/>
    <w:rsid w:val="00DD19E5"/>
    <w:rsid w:val="00DD1B27"/>
    <w:rsid w:val="00DD1BE4"/>
    <w:rsid w:val="00DD1C69"/>
    <w:rsid w:val="00DD1D42"/>
    <w:rsid w:val="00DD1E1C"/>
    <w:rsid w:val="00DD2110"/>
    <w:rsid w:val="00DD218D"/>
    <w:rsid w:val="00DD2695"/>
    <w:rsid w:val="00DD2A84"/>
    <w:rsid w:val="00DD2AF7"/>
    <w:rsid w:val="00DD2AFD"/>
    <w:rsid w:val="00DD31B6"/>
    <w:rsid w:val="00DD31C3"/>
    <w:rsid w:val="00DD3343"/>
    <w:rsid w:val="00DD392B"/>
    <w:rsid w:val="00DD406A"/>
    <w:rsid w:val="00DD408D"/>
    <w:rsid w:val="00DD40EB"/>
    <w:rsid w:val="00DD41CB"/>
    <w:rsid w:val="00DD4A46"/>
    <w:rsid w:val="00DD4BD7"/>
    <w:rsid w:val="00DD4CC2"/>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8FD"/>
    <w:rsid w:val="00DD6986"/>
    <w:rsid w:val="00DD6CF6"/>
    <w:rsid w:val="00DD6E7E"/>
    <w:rsid w:val="00DD72CD"/>
    <w:rsid w:val="00DD7670"/>
    <w:rsid w:val="00DD7869"/>
    <w:rsid w:val="00DD7A34"/>
    <w:rsid w:val="00DD7B6C"/>
    <w:rsid w:val="00DD7C95"/>
    <w:rsid w:val="00DE0182"/>
    <w:rsid w:val="00DE0199"/>
    <w:rsid w:val="00DE01D9"/>
    <w:rsid w:val="00DE0449"/>
    <w:rsid w:val="00DE05BE"/>
    <w:rsid w:val="00DE08BF"/>
    <w:rsid w:val="00DE08C1"/>
    <w:rsid w:val="00DE0A77"/>
    <w:rsid w:val="00DE0BF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CD6"/>
    <w:rsid w:val="00DE2FDB"/>
    <w:rsid w:val="00DE3008"/>
    <w:rsid w:val="00DE3484"/>
    <w:rsid w:val="00DE35C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52A"/>
    <w:rsid w:val="00DF0E0D"/>
    <w:rsid w:val="00DF0E61"/>
    <w:rsid w:val="00DF11FC"/>
    <w:rsid w:val="00DF1487"/>
    <w:rsid w:val="00DF1759"/>
    <w:rsid w:val="00DF1768"/>
    <w:rsid w:val="00DF1D4B"/>
    <w:rsid w:val="00DF2242"/>
    <w:rsid w:val="00DF229A"/>
    <w:rsid w:val="00DF2621"/>
    <w:rsid w:val="00DF267B"/>
    <w:rsid w:val="00DF28BD"/>
    <w:rsid w:val="00DF310C"/>
    <w:rsid w:val="00DF31A8"/>
    <w:rsid w:val="00DF33CE"/>
    <w:rsid w:val="00DF387D"/>
    <w:rsid w:val="00DF3DDB"/>
    <w:rsid w:val="00DF3E45"/>
    <w:rsid w:val="00DF418A"/>
    <w:rsid w:val="00DF41C0"/>
    <w:rsid w:val="00DF4354"/>
    <w:rsid w:val="00DF45B9"/>
    <w:rsid w:val="00DF4798"/>
    <w:rsid w:val="00DF498C"/>
    <w:rsid w:val="00DF4A17"/>
    <w:rsid w:val="00DF4C6E"/>
    <w:rsid w:val="00DF4E5A"/>
    <w:rsid w:val="00DF5195"/>
    <w:rsid w:val="00DF5455"/>
    <w:rsid w:val="00DF58C0"/>
    <w:rsid w:val="00DF60E8"/>
    <w:rsid w:val="00DF61B7"/>
    <w:rsid w:val="00DF6561"/>
    <w:rsid w:val="00DF6A19"/>
    <w:rsid w:val="00DF6A51"/>
    <w:rsid w:val="00DF6D24"/>
    <w:rsid w:val="00DF6D46"/>
    <w:rsid w:val="00DF6DCA"/>
    <w:rsid w:val="00DF6EEC"/>
    <w:rsid w:val="00DF70BA"/>
    <w:rsid w:val="00DF70BF"/>
    <w:rsid w:val="00DF739C"/>
    <w:rsid w:val="00DF7630"/>
    <w:rsid w:val="00DF7BF0"/>
    <w:rsid w:val="00DF7D68"/>
    <w:rsid w:val="00E0048B"/>
    <w:rsid w:val="00E004A8"/>
    <w:rsid w:val="00E00749"/>
    <w:rsid w:val="00E0083E"/>
    <w:rsid w:val="00E00BFF"/>
    <w:rsid w:val="00E00C9E"/>
    <w:rsid w:val="00E00E60"/>
    <w:rsid w:val="00E0143F"/>
    <w:rsid w:val="00E01847"/>
    <w:rsid w:val="00E01864"/>
    <w:rsid w:val="00E01D37"/>
    <w:rsid w:val="00E01F05"/>
    <w:rsid w:val="00E021AB"/>
    <w:rsid w:val="00E02730"/>
    <w:rsid w:val="00E0278F"/>
    <w:rsid w:val="00E02798"/>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EB3"/>
    <w:rsid w:val="00E04F76"/>
    <w:rsid w:val="00E04F78"/>
    <w:rsid w:val="00E0514A"/>
    <w:rsid w:val="00E051C0"/>
    <w:rsid w:val="00E051C4"/>
    <w:rsid w:val="00E05377"/>
    <w:rsid w:val="00E05605"/>
    <w:rsid w:val="00E05800"/>
    <w:rsid w:val="00E05C18"/>
    <w:rsid w:val="00E05E2A"/>
    <w:rsid w:val="00E05EA2"/>
    <w:rsid w:val="00E06680"/>
    <w:rsid w:val="00E06819"/>
    <w:rsid w:val="00E069C0"/>
    <w:rsid w:val="00E06A77"/>
    <w:rsid w:val="00E06B1B"/>
    <w:rsid w:val="00E06E6B"/>
    <w:rsid w:val="00E0703F"/>
    <w:rsid w:val="00E0767C"/>
    <w:rsid w:val="00E07708"/>
    <w:rsid w:val="00E0787E"/>
    <w:rsid w:val="00E079D3"/>
    <w:rsid w:val="00E10148"/>
    <w:rsid w:val="00E1019F"/>
    <w:rsid w:val="00E1037E"/>
    <w:rsid w:val="00E1066E"/>
    <w:rsid w:val="00E109A0"/>
    <w:rsid w:val="00E109E9"/>
    <w:rsid w:val="00E10DC6"/>
    <w:rsid w:val="00E11137"/>
    <w:rsid w:val="00E11258"/>
    <w:rsid w:val="00E11487"/>
    <w:rsid w:val="00E114C8"/>
    <w:rsid w:val="00E11B6A"/>
    <w:rsid w:val="00E11BA6"/>
    <w:rsid w:val="00E11F8A"/>
    <w:rsid w:val="00E11FD5"/>
    <w:rsid w:val="00E1201E"/>
    <w:rsid w:val="00E1274A"/>
    <w:rsid w:val="00E127D7"/>
    <w:rsid w:val="00E12DF3"/>
    <w:rsid w:val="00E12E98"/>
    <w:rsid w:val="00E13379"/>
    <w:rsid w:val="00E1344E"/>
    <w:rsid w:val="00E137C4"/>
    <w:rsid w:val="00E13D6A"/>
    <w:rsid w:val="00E13E84"/>
    <w:rsid w:val="00E1464A"/>
    <w:rsid w:val="00E1486C"/>
    <w:rsid w:val="00E14B02"/>
    <w:rsid w:val="00E14BE8"/>
    <w:rsid w:val="00E14BFB"/>
    <w:rsid w:val="00E14E21"/>
    <w:rsid w:val="00E14FDB"/>
    <w:rsid w:val="00E1507F"/>
    <w:rsid w:val="00E1511B"/>
    <w:rsid w:val="00E153FE"/>
    <w:rsid w:val="00E158E7"/>
    <w:rsid w:val="00E159ED"/>
    <w:rsid w:val="00E15A37"/>
    <w:rsid w:val="00E163A7"/>
    <w:rsid w:val="00E166E6"/>
    <w:rsid w:val="00E1671A"/>
    <w:rsid w:val="00E16799"/>
    <w:rsid w:val="00E16B35"/>
    <w:rsid w:val="00E16BAB"/>
    <w:rsid w:val="00E16CC4"/>
    <w:rsid w:val="00E16EAF"/>
    <w:rsid w:val="00E16EF7"/>
    <w:rsid w:val="00E16F22"/>
    <w:rsid w:val="00E1719E"/>
    <w:rsid w:val="00E1728D"/>
    <w:rsid w:val="00E17652"/>
    <w:rsid w:val="00E1786F"/>
    <w:rsid w:val="00E17CE5"/>
    <w:rsid w:val="00E2038A"/>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D2B"/>
    <w:rsid w:val="00E21E45"/>
    <w:rsid w:val="00E2200C"/>
    <w:rsid w:val="00E22280"/>
    <w:rsid w:val="00E22660"/>
    <w:rsid w:val="00E22B43"/>
    <w:rsid w:val="00E22B74"/>
    <w:rsid w:val="00E22B7A"/>
    <w:rsid w:val="00E22D92"/>
    <w:rsid w:val="00E22DD9"/>
    <w:rsid w:val="00E2303C"/>
    <w:rsid w:val="00E236C5"/>
    <w:rsid w:val="00E23717"/>
    <w:rsid w:val="00E23A7B"/>
    <w:rsid w:val="00E23AF2"/>
    <w:rsid w:val="00E23B95"/>
    <w:rsid w:val="00E244E6"/>
    <w:rsid w:val="00E24641"/>
    <w:rsid w:val="00E246B2"/>
    <w:rsid w:val="00E24B59"/>
    <w:rsid w:val="00E24D3E"/>
    <w:rsid w:val="00E24EE1"/>
    <w:rsid w:val="00E24F2B"/>
    <w:rsid w:val="00E25251"/>
    <w:rsid w:val="00E25280"/>
    <w:rsid w:val="00E25687"/>
    <w:rsid w:val="00E2594D"/>
    <w:rsid w:val="00E25A1E"/>
    <w:rsid w:val="00E25AF5"/>
    <w:rsid w:val="00E25C80"/>
    <w:rsid w:val="00E25EB1"/>
    <w:rsid w:val="00E260A2"/>
    <w:rsid w:val="00E264DB"/>
    <w:rsid w:val="00E265A1"/>
    <w:rsid w:val="00E26647"/>
    <w:rsid w:val="00E26786"/>
    <w:rsid w:val="00E26AB5"/>
    <w:rsid w:val="00E26DCB"/>
    <w:rsid w:val="00E27278"/>
    <w:rsid w:val="00E272D3"/>
    <w:rsid w:val="00E2774F"/>
    <w:rsid w:val="00E278C5"/>
    <w:rsid w:val="00E27BE3"/>
    <w:rsid w:val="00E27E97"/>
    <w:rsid w:val="00E27FB0"/>
    <w:rsid w:val="00E30446"/>
    <w:rsid w:val="00E30455"/>
    <w:rsid w:val="00E3047F"/>
    <w:rsid w:val="00E30627"/>
    <w:rsid w:val="00E30739"/>
    <w:rsid w:val="00E3086E"/>
    <w:rsid w:val="00E30A20"/>
    <w:rsid w:val="00E30ADF"/>
    <w:rsid w:val="00E30B3A"/>
    <w:rsid w:val="00E30C18"/>
    <w:rsid w:val="00E30C6F"/>
    <w:rsid w:val="00E30CB2"/>
    <w:rsid w:val="00E31244"/>
    <w:rsid w:val="00E317C0"/>
    <w:rsid w:val="00E31B35"/>
    <w:rsid w:val="00E31B5D"/>
    <w:rsid w:val="00E31BF9"/>
    <w:rsid w:val="00E31E6E"/>
    <w:rsid w:val="00E32307"/>
    <w:rsid w:val="00E3235B"/>
    <w:rsid w:val="00E325D4"/>
    <w:rsid w:val="00E326E3"/>
    <w:rsid w:val="00E32755"/>
    <w:rsid w:val="00E32843"/>
    <w:rsid w:val="00E32D58"/>
    <w:rsid w:val="00E32DCE"/>
    <w:rsid w:val="00E32DD1"/>
    <w:rsid w:val="00E32F67"/>
    <w:rsid w:val="00E3302E"/>
    <w:rsid w:val="00E33317"/>
    <w:rsid w:val="00E3340F"/>
    <w:rsid w:val="00E33533"/>
    <w:rsid w:val="00E3359A"/>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955"/>
    <w:rsid w:val="00E36B97"/>
    <w:rsid w:val="00E36ECF"/>
    <w:rsid w:val="00E37155"/>
    <w:rsid w:val="00E37502"/>
    <w:rsid w:val="00E37591"/>
    <w:rsid w:val="00E378B9"/>
    <w:rsid w:val="00E37984"/>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2AC"/>
    <w:rsid w:val="00E413EC"/>
    <w:rsid w:val="00E41434"/>
    <w:rsid w:val="00E41740"/>
    <w:rsid w:val="00E418B9"/>
    <w:rsid w:val="00E418D1"/>
    <w:rsid w:val="00E41A9D"/>
    <w:rsid w:val="00E41E6B"/>
    <w:rsid w:val="00E41F44"/>
    <w:rsid w:val="00E41F82"/>
    <w:rsid w:val="00E42054"/>
    <w:rsid w:val="00E4205B"/>
    <w:rsid w:val="00E4220F"/>
    <w:rsid w:val="00E42375"/>
    <w:rsid w:val="00E4252C"/>
    <w:rsid w:val="00E42815"/>
    <w:rsid w:val="00E429FE"/>
    <w:rsid w:val="00E42AE1"/>
    <w:rsid w:val="00E42CCF"/>
    <w:rsid w:val="00E430E8"/>
    <w:rsid w:val="00E43AFD"/>
    <w:rsid w:val="00E43C2E"/>
    <w:rsid w:val="00E43CCC"/>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6E6"/>
    <w:rsid w:val="00E467B8"/>
    <w:rsid w:val="00E467BE"/>
    <w:rsid w:val="00E46D52"/>
    <w:rsid w:val="00E47374"/>
    <w:rsid w:val="00E47565"/>
    <w:rsid w:val="00E4770A"/>
    <w:rsid w:val="00E478B7"/>
    <w:rsid w:val="00E47AF8"/>
    <w:rsid w:val="00E47E54"/>
    <w:rsid w:val="00E50125"/>
    <w:rsid w:val="00E50133"/>
    <w:rsid w:val="00E50BE3"/>
    <w:rsid w:val="00E51257"/>
    <w:rsid w:val="00E512F4"/>
    <w:rsid w:val="00E512FF"/>
    <w:rsid w:val="00E51489"/>
    <w:rsid w:val="00E51614"/>
    <w:rsid w:val="00E51981"/>
    <w:rsid w:val="00E519E7"/>
    <w:rsid w:val="00E51A7D"/>
    <w:rsid w:val="00E51B02"/>
    <w:rsid w:val="00E51B93"/>
    <w:rsid w:val="00E51B98"/>
    <w:rsid w:val="00E526E4"/>
    <w:rsid w:val="00E52893"/>
    <w:rsid w:val="00E5297A"/>
    <w:rsid w:val="00E52D65"/>
    <w:rsid w:val="00E52EC9"/>
    <w:rsid w:val="00E53109"/>
    <w:rsid w:val="00E5355F"/>
    <w:rsid w:val="00E535A0"/>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B11"/>
    <w:rsid w:val="00E55CE5"/>
    <w:rsid w:val="00E55D8E"/>
    <w:rsid w:val="00E562F5"/>
    <w:rsid w:val="00E56550"/>
    <w:rsid w:val="00E565AC"/>
    <w:rsid w:val="00E5666A"/>
    <w:rsid w:val="00E5669A"/>
    <w:rsid w:val="00E56825"/>
    <w:rsid w:val="00E568F2"/>
    <w:rsid w:val="00E56B6F"/>
    <w:rsid w:val="00E56C44"/>
    <w:rsid w:val="00E56D2C"/>
    <w:rsid w:val="00E57042"/>
    <w:rsid w:val="00E570DE"/>
    <w:rsid w:val="00E57235"/>
    <w:rsid w:val="00E57468"/>
    <w:rsid w:val="00E5789E"/>
    <w:rsid w:val="00E57BF0"/>
    <w:rsid w:val="00E57E4C"/>
    <w:rsid w:val="00E60036"/>
    <w:rsid w:val="00E600FE"/>
    <w:rsid w:val="00E604E1"/>
    <w:rsid w:val="00E607F6"/>
    <w:rsid w:val="00E608D5"/>
    <w:rsid w:val="00E609CD"/>
    <w:rsid w:val="00E60A22"/>
    <w:rsid w:val="00E60DBF"/>
    <w:rsid w:val="00E60FB9"/>
    <w:rsid w:val="00E6112F"/>
    <w:rsid w:val="00E611BA"/>
    <w:rsid w:val="00E61283"/>
    <w:rsid w:val="00E61539"/>
    <w:rsid w:val="00E61858"/>
    <w:rsid w:val="00E61BE2"/>
    <w:rsid w:val="00E62345"/>
    <w:rsid w:val="00E625A2"/>
    <w:rsid w:val="00E62714"/>
    <w:rsid w:val="00E62811"/>
    <w:rsid w:val="00E628CC"/>
    <w:rsid w:val="00E62946"/>
    <w:rsid w:val="00E62967"/>
    <w:rsid w:val="00E62AFC"/>
    <w:rsid w:val="00E62CD9"/>
    <w:rsid w:val="00E62CFA"/>
    <w:rsid w:val="00E62E1E"/>
    <w:rsid w:val="00E6328E"/>
    <w:rsid w:val="00E637A8"/>
    <w:rsid w:val="00E6402A"/>
    <w:rsid w:val="00E64132"/>
    <w:rsid w:val="00E6431B"/>
    <w:rsid w:val="00E643DE"/>
    <w:rsid w:val="00E64555"/>
    <w:rsid w:val="00E64813"/>
    <w:rsid w:val="00E64AB0"/>
    <w:rsid w:val="00E64DE8"/>
    <w:rsid w:val="00E64E05"/>
    <w:rsid w:val="00E6518B"/>
    <w:rsid w:val="00E65190"/>
    <w:rsid w:val="00E6543D"/>
    <w:rsid w:val="00E6568A"/>
    <w:rsid w:val="00E656C9"/>
    <w:rsid w:val="00E656F1"/>
    <w:rsid w:val="00E65B37"/>
    <w:rsid w:val="00E65F5E"/>
    <w:rsid w:val="00E65FA9"/>
    <w:rsid w:val="00E66115"/>
    <w:rsid w:val="00E66346"/>
    <w:rsid w:val="00E66448"/>
    <w:rsid w:val="00E664EC"/>
    <w:rsid w:val="00E664F9"/>
    <w:rsid w:val="00E66A78"/>
    <w:rsid w:val="00E66D71"/>
    <w:rsid w:val="00E66E93"/>
    <w:rsid w:val="00E66F7D"/>
    <w:rsid w:val="00E6709B"/>
    <w:rsid w:val="00E67102"/>
    <w:rsid w:val="00E67281"/>
    <w:rsid w:val="00E67334"/>
    <w:rsid w:val="00E675E9"/>
    <w:rsid w:val="00E676DB"/>
    <w:rsid w:val="00E677DF"/>
    <w:rsid w:val="00E677EA"/>
    <w:rsid w:val="00E67908"/>
    <w:rsid w:val="00E67FCA"/>
    <w:rsid w:val="00E700BA"/>
    <w:rsid w:val="00E70A81"/>
    <w:rsid w:val="00E70CE6"/>
    <w:rsid w:val="00E70D1A"/>
    <w:rsid w:val="00E70EB0"/>
    <w:rsid w:val="00E71388"/>
    <w:rsid w:val="00E7145E"/>
    <w:rsid w:val="00E71618"/>
    <w:rsid w:val="00E71693"/>
    <w:rsid w:val="00E716DC"/>
    <w:rsid w:val="00E7181C"/>
    <w:rsid w:val="00E71835"/>
    <w:rsid w:val="00E718B8"/>
    <w:rsid w:val="00E718F6"/>
    <w:rsid w:val="00E71A66"/>
    <w:rsid w:val="00E71A85"/>
    <w:rsid w:val="00E720FE"/>
    <w:rsid w:val="00E7221D"/>
    <w:rsid w:val="00E7224B"/>
    <w:rsid w:val="00E724CE"/>
    <w:rsid w:val="00E72933"/>
    <w:rsid w:val="00E72C69"/>
    <w:rsid w:val="00E72DF8"/>
    <w:rsid w:val="00E72F94"/>
    <w:rsid w:val="00E73196"/>
    <w:rsid w:val="00E73211"/>
    <w:rsid w:val="00E73304"/>
    <w:rsid w:val="00E739B5"/>
    <w:rsid w:val="00E73AEE"/>
    <w:rsid w:val="00E73C67"/>
    <w:rsid w:val="00E73EE1"/>
    <w:rsid w:val="00E73F0D"/>
    <w:rsid w:val="00E74054"/>
    <w:rsid w:val="00E741BD"/>
    <w:rsid w:val="00E742D8"/>
    <w:rsid w:val="00E74530"/>
    <w:rsid w:val="00E7469E"/>
    <w:rsid w:val="00E746B8"/>
    <w:rsid w:val="00E74952"/>
    <w:rsid w:val="00E74BC1"/>
    <w:rsid w:val="00E74BC5"/>
    <w:rsid w:val="00E74D88"/>
    <w:rsid w:val="00E74ECF"/>
    <w:rsid w:val="00E74FE2"/>
    <w:rsid w:val="00E75003"/>
    <w:rsid w:val="00E750F5"/>
    <w:rsid w:val="00E75CC9"/>
    <w:rsid w:val="00E76076"/>
    <w:rsid w:val="00E7633A"/>
    <w:rsid w:val="00E7638B"/>
    <w:rsid w:val="00E764E4"/>
    <w:rsid w:val="00E766F5"/>
    <w:rsid w:val="00E76767"/>
    <w:rsid w:val="00E76BBA"/>
    <w:rsid w:val="00E76D97"/>
    <w:rsid w:val="00E76EA7"/>
    <w:rsid w:val="00E772DB"/>
    <w:rsid w:val="00E7747A"/>
    <w:rsid w:val="00E77728"/>
    <w:rsid w:val="00E77878"/>
    <w:rsid w:val="00E77C15"/>
    <w:rsid w:val="00E77F82"/>
    <w:rsid w:val="00E80295"/>
    <w:rsid w:val="00E80384"/>
    <w:rsid w:val="00E80437"/>
    <w:rsid w:val="00E806F0"/>
    <w:rsid w:val="00E806F4"/>
    <w:rsid w:val="00E807B4"/>
    <w:rsid w:val="00E80875"/>
    <w:rsid w:val="00E80B8A"/>
    <w:rsid w:val="00E80C1E"/>
    <w:rsid w:val="00E80CF9"/>
    <w:rsid w:val="00E813C6"/>
    <w:rsid w:val="00E8157D"/>
    <w:rsid w:val="00E81582"/>
    <w:rsid w:val="00E815A2"/>
    <w:rsid w:val="00E81741"/>
    <w:rsid w:val="00E818A2"/>
    <w:rsid w:val="00E81AA3"/>
    <w:rsid w:val="00E81E58"/>
    <w:rsid w:val="00E81E9B"/>
    <w:rsid w:val="00E82671"/>
    <w:rsid w:val="00E82934"/>
    <w:rsid w:val="00E82C1B"/>
    <w:rsid w:val="00E82C32"/>
    <w:rsid w:val="00E82C98"/>
    <w:rsid w:val="00E82D79"/>
    <w:rsid w:val="00E82E28"/>
    <w:rsid w:val="00E82EB2"/>
    <w:rsid w:val="00E83184"/>
    <w:rsid w:val="00E8353A"/>
    <w:rsid w:val="00E83581"/>
    <w:rsid w:val="00E8372A"/>
    <w:rsid w:val="00E837B5"/>
    <w:rsid w:val="00E837D0"/>
    <w:rsid w:val="00E8381F"/>
    <w:rsid w:val="00E838EE"/>
    <w:rsid w:val="00E83C07"/>
    <w:rsid w:val="00E83CD7"/>
    <w:rsid w:val="00E83E34"/>
    <w:rsid w:val="00E83E5C"/>
    <w:rsid w:val="00E842EC"/>
    <w:rsid w:val="00E8442C"/>
    <w:rsid w:val="00E84627"/>
    <w:rsid w:val="00E84758"/>
    <w:rsid w:val="00E8476D"/>
    <w:rsid w:val="00E849E5"/>
    <w:rsid w:val="00E84A19"/>
    <w:rsid w:val="00E84DD9"/>
    <w:rsid w:val="00E8524D"/>
    <w:rsid w:val="00E852DF"/>
    <w:rsid w:val="00E854CA"/>
    <w:rsid w:val="00E856C2"/>
    <w:rsid w:val="00E8577E"/>
    <w:rsid w:val="00E85F90"/>
    <w:rsid w:val="00E85FA2"/>
    <w:rsid w:val="00E86065"/>
    <w:rsid w:val="00E860C7"/>
    <w:rsid w:val="00E86139"/>
    <w:rsid w:val="00E867A9"/>
    <w:rsid w:val="00E86A3E"/>
    <w:rsid w:val="00E86EE4"/>
    <w:rsid w:val="00E870AE"/>
    <w:rsid w:val="00E8763F"/>
    <w:rsid w:val="00E876DD"/>
    <w:rsid w:val="00E87A45"/>
    <w:rsid w:val="00E87A56"/>
    <w:rsid w:val="00E87BAA"/>
    <w:rsid w:val="00E87BD4"/>
    <w:rsid w:val="00E90016"/>
    <w:rsid w:val="00E901D1"/>
    <w:rsid w:val="00E90559"/>
    <w:rsid w:val="00E90799"/>
    <w:rsid w:val="00E9095B"/>
    <w:rsid w:val="00E90C6A"/>
    <w:rsid w:val="00E90DF3"/>
    <w:rsid w:val="00E90E62"/>
    <w:rsid w:val="00E912E9"/>
    <w:rsid w:val="00E915CA"/>
    <w:rsid w:val="00E91D5F"/>
    <w:rsid w:val="00E91F21"/>
    <w:rsid w:val="00E91F61"/>
    <w:rsid w:val="00E920E8"/>
    <w:rsid w:val="00E922B3"/>
    <w:rsid w:val="00E92EA1"/>
    <w:rsid w:val="00E92FF1"/>
    <w:rsid w:val="00E931ED"/>
    <w:rsid w:val="00E9389D"/>
    <w:rsid w:val="00E939C8"/>
    <w:rsid w:val="00E93A3F"/>
    <w:rsid w:val="00E93A96"/>
    <w:rsid w:val="00E93D92"/>
    <w:rsid w:val="00E94863"/>
    <w:rsid w:val="00E949EC"/>
    <w:rsid w:val="00E94B73"/>
    <w:rsid w:val="00E94C62"/>
    <w:rsid w:val="00E94D7C"/>
    <w:rsid w:val="00E94DCB"/>
    <w:rsid w:val="00E94DFE"/>
    <w:rsid w:val="00E94F98"/>
    <w:rsid w:val="00E951AD"/>
    <w:rsid w:val="00E952D2"/>
    <w:rsid w:val="00E953C0"/>
    <w:rsid w:val="00E956EF"/>
    <w:rsid w:val="00E95946"/>
    <w:rsid w:val="00E959B5"/>
    <w:rsid w:val="00E95ABB"/>
    <w:rsid w:val="00E95BB5"/>
    <w:rsid w:val="00E95C03"/>
    <w:rsid w:val="00E962A8"/>
    <w:rsid w:val="00E962CC"/>
    <w:rsid w:val="00E964C7"/>
    <w:rsid w:val="00E96D18"/>
    <w:rsid w:val="00E96D48"/>
    <w:rsid w:val="00E96D62"/>
    <w:rsid w:val="00E96E7F"/>
    <w:rsid w:val="00E96F86"/>
    <w:rsid w:val="00E97183"/>
    <w:rsid w:val="00E971B8"/>
    <w:rsid w:val="00E97236"/>
    <w:rsid w:val="00E973DF"/>
    <w:rsid w:val="00E977C8"/>
    <w:rsid w:val="00E97B58"/>
    <w:rsid w:val="00E97D08"/>
    <w:rsid w:val="00EA018A"/>
    <w:rsid w:val="00EA022D"/>
    <w:rsid w:val="00EA0298"/>
    <w:rsid w:val="00EA04FB"/>
    <w:rsid w:val="00EA0670"/>
    <w:rsid w:val="00EA07A0"/>
    <w:rsid w:val="00EA09D5"/>
    <w:rsid w:val="00EA0B45"/>
    <w:rsid w:val="00EA0C68"/>
    <w:rsid w:val="00EA0C78"/>
    <w:rsid w:val="00EA0D0F"/>
    <w:rsid w:val="00EA0F1F"/>
    <w:rsid w:val="00EA125B"/>
    <w:rsid w:val="00EA14CA"/>
    <w:rsid w:val="00EA15D5"/>
    <w:rsid w:val="00EA15F4"/>
    <w:rsid w:val="00EA17D2"/>
    <w:rsid w:val="00EA1838"/>
    <w:rsid w:val="00EA18B3"/>
    <w:rsid w:val="00EA1AC2"/>
    <w:rsid w:val="00EA1DE2"/>
    <w:rsid w:val="00EA1E06"/>
    <w:rsid w:val="00EA20F6"/>
    <w:rsid w:val="00EA2277"/>
    <w:rsid w:val="00EA241B"/>
    <w:rsid w:val="00EA2891"/>
    <w:rsid w:val="00EA2981"/>
    <w:rsid w:val="00EA3511"/>
    <w:rsid w:val="00EA389C"/>
    <w:rsid w:val="00EA3AE6"/>
    <w:rsid w:val="00EA3C14"/>
    <w:rsid w:val="00EA3C1F"/>
    <w:rsid w:val="00EA3E8A"/>
    <w:rsid w:val="00EA4048"/>
    <w:rsid w:val="00EA40CF"/>
    <w:rsid w:val="00EA41E2"/>
    <w:rsid w:val="00EA4506"/>
    <w:rsid w:val="00EA470C"/>
    <w:rsid w:val="00EA47A7"/>
    <w:rsid w:val="00EA47E3"/>
    <w:rsid w:val="00EA4872"/>
    <w:rsid w:val="00EA4C74"/>
    <w:rsid w:val="00EA5127"/>
    <w:rsid w:val="00EA521C"/>
    <w:rsid w:val="00EA53DE"/>
    <w:rsid w:val="00EA5469"/>
    <w:rsid w:val="00EA54FE"/>
    <w:rsid w:val="00EA5595"/>
    <w:rsid w:val="00EA5BF5"/>
    <w:rsid w:val="00EA5BF7"/>
    <w:rsid w:val="00EA6213"/>
    <w:rsid w:val="00EA6266"/>
    <w:rsid w:val="00EA62BF"/>
    <w:rsid w:val="00EA6348"/>
    <w:rsid w:val="00EA6766"/>
    <w:rsid w:val="00EA6817"/>
    <w:rsid w:val="00EA69EE"/>
    <w:rsid w:val="00EA6AD4"/>
    <w:rsid w:val="00EA6B3C"/>
    <w:rsid w:val="00EA6FE7"/>
    <w:rsid w:val="00EA706F"/>
    <w:rsid w:val="00EA7266"/>
    <w:rsid w:val="00EA74CE"/>
    <w:rsid w:val="00EB00F7"/>
    <w:rsid w:val="00EB0160"/>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974"/>
    <w:rsid w:val="00EB1E63"/>
    <w:rsid w:val="00EB21FE"/>
    <w:rsid w:val="00EB2282"/>
    <w:rsid w:val="00EB2344"/>
    <w:rsid w:val="00EB23DC"/>
    <w:rsid w:val="00EB2476"/>
    <w:rsid w:val="00EB2641"/>
    <w:rsid w:val="00EB29A5"/>
    <w:rsid w:val="00EB2CEC"/>
    <w:rsid w:val="00EB3067"/>
    <w:rsid w:val="00EB3094"/>
    <w:rsid w:val="00EB315D"/>
    <w:rsid w:val="00EB34FA"/>
    <w:rsid w:val="00EB361E"/>
    <w:rsid w:val="00EB3A61"/>
    <w:rsid w:val="00EB3D9C"/>
    <w:rsid w:val="00EB3E57"/>
    <w:rsid w:val="00EB4128"/>
    <w:rsid w:val="00EB43FA"/>
    <w:rsid w:val="00EB49C7"/>
    <w:rsid w:val="00EB50EA"/>
    <w:rsid w:val="00EB51B7"/>
    <w:rsid w:val="00EB520E"/>
    <w:rsid w:val="00EB54EF"/>
    <w:rsid w:val="00EB5665"/>
    <w:rsid w:val="00EB581E"/>
    <w:rsid w:val="00EB5865"/>
    <w:rsid w:val="00EB60D8"/>
    <w:rsid w:val="00EB61D2"/>
    <w:rsid w:val="00EB65F2"/>
    <w:rsid w:val="00EB6A0B"/>
    <w:rsid w:val="00EB6C26"/>
    <w:rsid w:val="00EB6E8A"/>
    <w:rsid w:val="00EB700C"/>
    <w:rsid w:val="00EB73B7"/>
    <w:rsid w:val="00EB74E1"/>
    <w:rsid w:val="00EB78A0"/>
    <w:rsid w:val="00EB7AB9"/>
    <w:rsid w:val="00EB7DE0"/>
    <w:rsid w:val="00EB7F24"/>
    <w:rsid w:val="00EB7F5B"/>
    <w:rsid w:val="00EC086A"/>
    <w:rsid w:val="00EC0878"/>
    <w:rsid w:val="00EC0A83"/>
    <w:rsid w:val="00EC0BA9"/>
    <w:rsid w:val="00EC0E80"/>
    <w:rsid w:val="00EC123C"/>
    <w:rsid w:val="00EC1290"/>
    <w:rsid w:val="00EC14C5"/>
    <w:rsid w:val="00EC14F4"/>
    <w:rsid w:val="00EC1846"/>
    <w:rsid w:val="00EC18CA"/>
    <w:rsid w:val="00EC1B75"/>
    <w:rsid w:val="00EC1F5E"/>
    <w:rsid w:val="00EC2013"/>
    <w:rsid w:val="00EC29A1"/>
    <w:rsid w:val="00EC2E49"/>
    <w:rsid w:val="00EC2FC8"/>
    <w:rsid w:val="00EC300F"/>
    <w:rsid w:val="00EC30A8"/>
    <w:rsid w:val="00EC31C0"/>
    <w:rsid w:val="00EC32DC"/>
    <w:rsid w:val="00EC33FC"/>
    <w:rsid w:val="00EC3A02"/>
    <w:rsid w:val="00EC3BC8"/>
    <w:rsid w:val="00EC3BF8"/>
    <w:rsid w:val="00EC3C50"/>
    <w:rsid w:val="00EC3E17"/>
    <w:rsid w:val="00EC40FF"/>
    <w:rsid w:val="00EC43A5"/>
    <w:rsid w:val="00EC465D"/>
    <w:rsid w:val="00EC4666"/>
    <w:rsid w:val="00EC486A"/>
    <w:rsid w:val="00EC4E05"/>
    <w:rsid w:val="00EC4F7A"/>
    <w:rsid w:val="00EC5406"/>
    <w:rsid w:val="00EC547F"/>
    <w:rsid w:val="00EC5496"/>
    <w:rsid w:val="00EC5B08"/>
    <w:rsid w:val="00EC5F44"/>
    <w:rsid w:val="00EC611E"/>
    <w:rsid w:val="00EC61E2"/>
    <w:rsid w:val="00EC62C6"/>
    <w:rsid w:val="00EC670C"/>
    <w:rsid w:val="00EC6772"/>
    <w:rsid w:val="00EC6A64"/>
    <w:rsid w:val="00EC6AE8"/>
    <w:rsid w:val="00EC6CC3"/>
    <w:rsid w:val="00EC6CCA"/>
    <w:rsid w:val="00EC6FAC"/>
    <w:rsid w:val="00EC7004"/>
    <w:rsid w:val="00EC7559"/>
    <w:rsid w:val="00EC7658"/>
    <w:rsid w:val="00EC7775"/>
    <w:rsid w:val="00EC797A"/>
    <w:rsid w:val="00EC7BCD"/>
    <w:rsid w:val="00EC7C41"/>
    <w:rsid w:val="00ED00E3"/>
    <w:rsid w:val="00ED03B3"/>
    <w:rsid w:val="00ED0433"/>
    <w:rsid w:val="00ED04AD"/>
    <w:rsid w:val="00ED058C"/>
    <w:rsid w:val="00ED063A"/>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2EA0"/>
    <w:rsid w:val="00ED31D3"/>
    <w:rsid w:val="00ED3261"/>
    <w:rsid w:val="00ED333E"/>
    <w:rsid w:val="00ED33DE"/>
    <w:rsid w:val="00ED378C"/>
    <w:rsid w:val="00ED38DD"/>
    <w:rsid w:val="00ED3EC9"/>
    <w:rsid w:val="00ED40BA"/>
    <w:rsid w:val="00ED412C"/>
    <w:rsid w:val="00ED4280"/>
    <w:rsid w:val="00ED4284"/>
    <w:rsid w:val="00ED46F4"/>
    <w:rsid w:val="00ED471C"/>
    <w:rsid w:val="00ED4916"/>
    <w:rsid w:val="00ED4B2E"/>
    <w:rsid w:val="00ED4CC4"/>
    <w:rsid w:val="00ED4DC8"/>
    <w:rsid w:val="00ED4E87"/>
    <w:rsid w:val="00ED5106"/>
    <w:rsid w:val="00ED53B2"/>
    <w:rsid w:val="00ED5807"/>
    <w:rsid w:val="00ED58E1"/>
    <w:rsid w:val="00ED591D"/>
    <w:rsid w:val="00ED5982"/>
    <w:rsid w:val="00ED5C35"/>
    <w:rsid w:val="00ED5EA2"/>
    <w:rsid w:val="00ED5FBD"/>
    <w:rsid w:val="00ED6217"/>
    <w:rsid w:val="00ED655E"/>
    <w:rsid w:val="00ED67C2"/>
    <w:rsid w:val="00ED6819"/>
    <w:rsid w:val="00ED687F"/>
    <w:rsid w:val="00ED6924"/>
    <w:rsid w:val="00ED6A23"/>
    <w:rsid w:val="00ED6C38"/>
    <w:rsid w:val="00ED6C7D"/>
    <w:rsid w:val="00ED7367"/>
    <w:rsid w:val="00ED7498"/>
    <w:rsid w:val="00ED79C5"/>
    <w:rsid w:val="00ED7A0B"/>
    <w:rsid w:val="00ED7A1E"/>
    <w:rsid w:val="00ED7EBB"/>
    <w:rsid w:val="00ED7F4B"/>
    <w:rsid w:val="00ED7FB2"/>
    <w:rsid w:val="00EE031F"/>
    <w:rsid w:val="00EE0344"/>
    <w:rsid w:val="00EE03FF"/>
    <w:rsid w:val="00EE04E0"/>
    <w:rsid w:val="00EE055C"/>
    <w:rsid w:val="00EE0630"/>
    <w:rsid w:val="00EE0648"/>
    <w:rsid w:val="00EE0B61"/>
    <w:rsid w:val="00EE0CAA"/>
    <w:rsid w:val="00EE0D01"/>
    <w:rsid w:val="00EE0D21"/>
    <w:rsid w:val="00EE0EDF"/>
    <w:rsid w:val="00EE10C2"/>
    <w:rsid w:val="00EE1365"/>
    <w:rsid w:val="00EE14F1"/>
    <w:rsid w:val="00EE1706"/>
    <w:rsid w:val="00EE1862"/>
    <w:rsid w:val="00EE193A"/>
    <w:rsid w:val="00EE1995"/>
    <w:rsid w:val="00EE1A7B"/>
    <w:rsid w:val="00EE1E2F"/>
    <w:rsid w:val="00EE1E97"/>
    <w:rsid w:val="00EE20B8"/>
    <w:rsid w:val="00EE25CC"/>
    <w:rsid w:val="00EE2B7C"/>
    <w:rsid w:val="00EE2F93"/>
    <w:rsid w:val="00EE3353"/>
    <w:rsid w:val="00EE33AC"/>
    <w:rsid w:val="00EE3423"/>
    <w:rsid w:val="00EE3784"/>
    <w:rsid w:val="00EE388E"/>
    <w:rsid w:val="00EE4001"/>
    <w:rsid w:val="00EE415C"/>
    <w:rsid w:val="00EE448D"/>
    <w:rsid w:val="00EE453F"/>
    <w:rsid w:val="00EE475F"/>
    <w:rsid w:val="00EE477B"/>
    <w:rsid w:val="00EE4DA7"/>
    <w:rsid w:val="00EE4E3C"/>
    <w:rsid w:val="00EE54E1"/>
    <w:rsid w:val="00EE5768"/>
    <w:rsid w:val="00EE58CE"/>
    <w:rsid w:val="00EE5939"/>
    <w:rsid w:val="00EE5961"/>
    <w:rsid w:val="00EE59A1"/>
    <w:rsid w:val="00EE5AFB"/>
    <w:rsid w:val="00EE5E64"/>
    <w:rsid w:val="00EE5F0C"/>
    <w:rsid w:val="00EE5FF5"/>
    <w:rsid w:val="00EE5FFA"/>
    <w:rsid w:val="00EE610F"/>
    <w:rsid w:val="00EE65B1"/>
    <w:rsid w:val="00EE671F"/>
    <w:rsid w:val="00EE6750"/>
    <w:rsid w:val="00EE67E5"/>
    <w:rsid w:val="00EE6884"/>
    <w:rsid w:val="00EE6945"/>
    <w:rsid w:val="00EE69C8"/>
    <w:rsid w:val="00EE6BCC"/>
    <w:rsid w:val="00EE6C73"/>
    <w:rsid w:val="00EE7025"/>
    <w:rsid w:val="00EE71D5"/>
    <w:rsid w:val="00EE7AE3"/>
    <w:rsid w:val="00EE7BE0"/>
    <w:rsid w:val="00EE7EB2"/>
    <w:rsid w:val="00EF0281"/>
    <w:rsid w:val="00EF0634"/>
    <w:rsid w:val="00EF09CF"/>
    <w:rsid w:val="00EF09D2"/>
    <w:rsid w:val="00EF0F0B"/>
    <w:rsid w:val="00EF125C"/>
    <w:rsid w:val="00EF137E"/>
    <w:rsid w:val="00EF154F"/>
    <w:rsid w:val="00EF1C3C"/>
    <w:rsid w:val="00EF1D77"/>
    <w:rsid w:val="00EF1DBB"/>
    <w:rsid w:val="00EF2277"/>
    <w:rsid w:val="00EF232C"/>
    <w:rsid w:val="00EF23DA"/>
    <w:rsid w:val="00EF23F5"/>
    <w:rsid w:val="00EF268F"/>
    <w:rsid w:val="00EF2715"/>
    <w:rsid w:val="00EF2856"/>
    <w:rsid w:val="00EF2877"/>
    <w:rsid w:val="00EF2950"/>
    <w:rsid w:val="00EF2FB8"/>
    <w:rsid w:val="00EF309A"/>
    <w:rsid w:val="00EF30F7"/>
    <w:rsid w:val="00EF32F0"/>
    <w:rsid w:val="00EF33BE"/>
    <w:rsid w:val="00EF3743"/>
    <w:rsid w:val="00EF3E3A"/>
    <w:rsid w:val="00EF46EE"/>
    <w:rsid w:val="00EF486E"/>
    <w:rsid w:val="00EF4930"/>
    <w:rsid w:val="00EF4D42"/>
    <w:rsid w:val="00EF4FF3"/>
    <w:rsid w:val="00EF503F"/>
    <w:rsid w:val="00EF513F"/>
    <w:rsid w:val="00EF5674"/>
    <w:rsid w:val="00EF59F6"/>
    <w:rsid w:val="00EF5D5D"/>
    <w:rsid w:val="00EF5D89"/>
    <w:rsid w:val="00EF5DF1"/>
    <w:rsid w:val="00EF61EC"/>
    <w:rsid w:val="00EF6247"/>
    <w:rsid w:val="00EF6384"/>
    <w:rsid w:val="00EF6401"/>
    <w:rsid w:val="00EF66D8"/>
    <w:rsid w:val="00EF6972"/>
    <w:rsid w:val="00EF6A29"/>
    <w:rsid w:val="00EF6B14"/>
    <w:rsid w:val="00EF6C4A"/>
    <w:rsid w:val="00EF6D1C"/>
    <w:rsid w:val="00EF7073"/>
    <w:rsid w:val="00EF7431"/>
    <w:rsid w:val="00EF77F6"/>
    <w:rsid w:val="00EF78EA"/>
    <w:rsid w:val="00EF7B33"/>
    <w:rsid w:val="00F00009"/>
    <w:rsid w:val="00F001B0"/>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49F"/>
    <w:rsid w:val="00F0354E"/>
    <w:rsid w:val="00F0375F"/>
    <w:rsid w:val="00F03D2E"/>
    <w:rsid w:val="00F03D44"/>
    <w:rsid w:val="00F03EF4"/>
    <w:rsid w:val="00F03FA1"/>
    <w:rsid w:val="00F04237"/>
    <w:rsid w:val="00F0452C"/>
    <w:rsid w:val="00F0461F"/>
    <w:rsid w:val="00F04892"/>
    <w:rsid w:val="00F0547B"/>
    <w:rsid w:val="00F05608"/>
    <w:rsid w:val="00F05892"/>
    <w:rsid w:val="00F05A64"/>
    <w:rsid w:val="00F061DE"/>
    <w:rsid w:val="00F06373"/>
    <w:rsid w:val="00F0650B"/>
    <w:rsid w:val="00F06749"/>
    <w:rsid w:val="00F06B2F"/>
    <w:rsid w:val="00F06EBB"/>
    <w:rsid w:val="00F06F01"/>
    <w:rsid w:val="00F0711D"/>
    <w:rsid w:val="00F07210"/>
    <w:rsid w:val="00F0722B"/>
    <w:rsid w:val="00F073D2"/>
    <w:rsid w:val="00F0765D"/>
    <w:rsid w:val="00F076B0"/>
    <w:rsid w:val="00F07870"/>
    <w:rsid w:val="00F078AF"/>
    <w:rsid w:val="00F07A13"/>
    <w:rsid w:val="00F07A19"/>
    <w:rsid w:val="00F07C5F"/>
    <w:rsid w:val="00F07CA1"/>
    <w:rsid w:val="00F07DAA"/>
    <w:rsid w:val="00F10347"/>
    <w:rsid w:val="00F103B7"/>
    <w:rsid w:val="00F10507"/>
    <w:rsid w:val="00F10542"/>
    <w:rsid w:val="00F10682"/>
    <w:rsid w:val="00F108A7"/>
    <w:rsid w:val="00F109E4"/>
    <w:rsid w:val="00F10ACC"/>
    <w:rsid w:val="00F10D8F"/>
    <w:rsid w:val="00F111CD"/>
    <w:rsid w:val="00F11652"/>
    <w:rsid w:val="00F11775"/>
    <w:rsid w:val="00F11C2E"/>
    <w:rsid w:val="00F11D73"/>
    <w:rsid w:val="00F12205"/>
    <w:rsid w:val="00F12275"/>
    <w:rsid w:val="00F123A0"/>
    <w:rsid w:val="00F1253B"/>
    <w:rsid w:val="00F12594"/>
    <w:rsid w:val="00F127A0"/>
    <w:rsid w:val="00F12A6E"/>
    <w:rsid w:val="00F12B3F"/>
    <w:rsid w:val="00F12D5E"/>
    <w:rsid w:val="00F12D9F"/>
    <w:rsid w:val="00F130AE"/>
    <w:rsid w:val="00F13118"/>
    <w:rsid w:val="00F13606"/>
    <w:rsid w:val="00F13ADE"/>
    <w:rsid w:val="00F13CF9"/>
    <w:rsid w:val="00F13FBD"/>
    <w:rsid w:val="00F14323"/>
    <w:rsid w:val="00F14412"/>
    <w:rsid w:val="00F144C3"/>
    <w:rsid w:val="00F14A68"/>
    <w:rsid w:val="00F14AB4"/>
    <w:rsid w:val="00F14F8E"/>
    <w:rsid w:val="00F151DF"/>
    <w:rsid w:val="00F1528E"/>
    <w:rsid w:val="00F158B5"/>
    <w:rsid w:val="00F1592B"/>
    <w:rsid w:val="00F15AFE"/>
    <w:rsid w:val="00F15E44"/>
    <w:rsid w:val="00F15F35"/>
    <w:rsid w:val="00F15FC8"/>
    <w:rsid w:val="00F16052"/>
    <w:rsid w:val="00F1626D"/>
    <w:rsid w:val="00F166E4"/>
    <w:rsid w:val="00F1671C"/>
    <w:rsid w:val="00F167C8"/>
    <w:rsid w:val="00F167CA"/>
    <w:rsid w:val="00F16CD3"/>
    <w:rsid w:val="00F17191"/>
    <w:rsid w:val="00F171FE"/>
    <w:rsid w:val="00F173E4"/>
    <w:rsid w:val="00F17D11"/>
    <w:rsid w:val="00F17EE6"/>
    <w:rsid w:val="00F17F93"/>
    <w:rsid w:val="00F17FC8"/>
    <w:rsid w:val="00F20298"/>
    <w:rsid w:val="00F2042B"/>
    <w:rsid w:val="00F204CF"/>
    <w:rsid w:val="00F2057D"/>
    <w:rsid w:val="00F2083A"/>
    <w:rsid w:val="00F20ABA"/>
    <w:rsid w:val="00F20D1D"/>
    <w:rsid w:val="00F20D4C"/>
    <w:rsid w:val="00F20F61"/>
    <w:rsid w:val="00F20FA0"/>
    <w:rsid w:val="00F2124D"/>
    <w:rsid w:val="00F21372"/>
    <w:rsid w:val="00F214A2"/>
    <w:rsid w:val="00F21515"/>
    <w:rsid w:val="00F21AA3"/>
    <w:rsid w:val="00F21C5B"/>
    <w:rsid w:val="00F21D08"/>
    <w:rsid w:val="00F21E7C"/>
    <w:rsid w:val="00F2224B"/>
    <w:rsid w:val="00F2251B"/>
    <w:rsid w:val="00F2252C"/>
    <w:rsid w:val="00F2258B"/>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C4E"/>
    <w:rsid w:val="00F24D1E"/>
    <w:rsid w:val="00F24EC9"/>
    <w:rsid w:val="00F250A6"/>
    <w:rsid w:val="00F25421"/>
    <w:rsid w:val="00F255FA"/>
    <w:rsid w:val="00F2566B"/>
    <w:rsid w:val="00F2575D"/>
    <w:rsid w:val="00F2583D"/>
    <w:rsid w:val="00F25870"/>
    <w:rsid w:val="00F25C3C"/>
    <w:rsid w:val="00F25C92"/>
    <w:rsid w:val="00F25CED"/>
    <w:rsid w:val="00F25EA5"/>
    <w:rsid w:val="00F25FB8"/>
    <w:rsid w:val="00F25FBF"/>
    <w:rsid w:val="00F25FCD"/>
    <w:rsid w:val="00F261A7"/>
    <w:rsid w:val="00F26335"/>
    <w:rsid w:val="00F26CB8"/>
    <w:rsid w:val="00F26E3A"/>
    <w:rsid w:val="00F26EB1"/>
    <w:rsid w:val="00F26FE4"/>
    <w:rsid w:val="00F2715D"/>
    <w:rsid w:val="00F272AA"/>
    <w:rsid w:val="00F272D0"/>
    <w:rsid w:val="00F274CB"/>
    <w:rsid w:val="00F2764D"/>
    <w:rsid w:val="00F277A6"/>
    <w:rsid w:val="00F27ACA"/>
    <w:rsid w:val="00F27B22"/>
    <w:rsid w:val="00F27B26"/>
    <w:rsid w:val="00F27C5E"/>
    <w:rsid w:val="00F27E6A"/>
    <w:rsid w:val="00F27FAB"/>
    <w:rsid w:val="00F30040"/>
    <w:rsid w:val="00F30287"/>
    <w:rsid w:val="00F3028F"/>
    <w:rsid w:val="00F30392"/>
    <w:rsid w:val="00F3060D"/>
    <w:rsid w:val="00F306CB"/>
    <w:rsid w:val="00F309E6"/>
    <w:rsid w:val="00F30B82"/>
    <w:rsid w:val="00F30E04"/>
    <w:rsid w:val="00F31110"/>
    <w:rsid w:val="00F3118B"/>
    <w:rsid w:val="00F312C1"/>
    <w:rsid w:val="00F31693"/>
    <w:rsid w:val="00F317F1"/>
    <w:rsid w:val="00F31890"/>
    <w:rsid w:val="00F31B3A"/>
    <w:rsid w:val="00F31B4D"/>
    <w:rsid w:val="00F31B9D"/>
    <w:rsid w:val="00F31E1A"/>
    <w:rsid w:val="00F31F58"/>
    <w:rsid w:val="00F32454"/>
    <w:rsid w:val="00F324E0"/>
    <w:rsid w:val="00F32570"/>
    <w:rsid w:val="00F3257B"/>
    <w:rsid w:val="00F32AF9"/>
    <w:rsid w:val="00F32B4A"/>
    <w:rsid w:val="00F32CD6"/>
    <w:rsid w:val="00F32D50"/>
    <w:rsid w:val="00F32F91"/>
    <w:rsid w:val="00F330DF"/>
    <w:rsid w:val="00F332DA"/>
    <w:rsid w:val="00F33311"/>
    <w:rsid w:val="00F3378C"/>
    <w:rsid w:val="00F338BD"/>
    <w:rsid w:val="00F34021"/>
    <w:rsid w:val="00F34329"/>
    <w:rsid w:val="00F3441C"/>
    <w:rsid w:val="00F3449B"/>
    <w:rsid w:val="00F34508"/>
    <w:rsid w:val="00F34592"/>
    <w:rsid w:val="00F34749"/>
    <w:rsid w:val="00F34988"/>
    <w:rsid w:val="00F34A8F"/>
    <w:rsid w:val="00F34D6F"/>
    <w:rsid w:val="00F35053"/>
    <w:rsid w:val="00F359F8"/>
    <w:rsid w:val="00F35CA2"/>
    <w:rsid w:val="00F35DF9"/>
    <w:rsid w:val="00F360D6"/>
    <w:rsid w:val="00F36675"/>
    <w:rsid w:val="00F366A1"/>
    <w:rsid w:val="00F36855"/>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739"/>
    <w:rsid w:val="00F41759"/>
    <w:rsid w:val="00F41AE5"/>
    <w:rsid w:val="00F41DFC"/>
    <w:rsid w:val="00F42005"/>
    <w:rsid w:val="00F4217B"/>
    <w:rsid w:val="00F4222D"/>
    <w:rsid w:val="00F42293"/>
    <w:rsid w:val="00F42327"/>
    <w:rsid w:val="00F4240E"/>
    <w:rsid w:val="00F42722"/>
    <w:rsid w:val="00F428B9"/>
    <w:rsid w:val="00F42D72"/>
    <w:rsid w:val="00F4320C"/>
    <w:rsid w:val="00F435FD"/>
    <w:rsid w:val="00F4363E"/>
    <w:rsid w:val="00F4367E"/>
    <w:rsid w:val="00F4368F"/>
    <w:rsid w:val="00F43A74"/>
    <w:rsid w:val="00F43D25"/>
    <w:rsid w:val="00F43DCC"/>
    <w:rsid w:val="00F43E6A"/>
    <w:rsid w:val="00F43ED2"/>
    <w:rsid w:val="00F441BC"/>
    <w:rsid w:val="00F442A3"/>
    <w:rsid w:val="00F44313"/>
    <w:rsid w:val="00F4445B"/>
    <w:rsid w:val="00F4454C"/>
    <w:rsid w:val="00F445C9"/>
    <w:rsid w:val="00F44701"/>
    <w:rsid w:val="00F447DA"/>
    <w:rsid w:val="00F447F2"/>
    <w:rsid w:val="00F4480E"/>
    <w:rsid w:val="00F44A7F"/>
    <w:rsid w:val="00F44BCA"/>
    <w:rsid w:val="00F44D48"/>
    <w:rsid w:val="00F450A2"/>
    <w:rsid w:val="00F451B4"/>
    <w:rsid w:val="00F454C8"/>
    <w:rsid w:val="00F45A3E"/>
    <w:rsid w:val="00F45D16"/>
    <w:rsid w:val="00F463F4"/>
    <w:rsid w:val="00F4645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F62"/>
    <w:rsid w:val="00F5116C"/>
    <w:rsid w:val="00F511AF"/>
    <w:rsid w:val="00F513C2"/>
    <w:rsid w:val="00F516BD"/>
    <w:rsid w:val="00F519D0"/>
    <w:rsid w:val="00F51E90"/>
    <w:rsid w:val="00F520C1"/>
    <w:rsid w:val="00F5211E"/>
    <w:rsid w:val="00F5220C"/>
    <w:rsid w:val="00F52211"/>
    <w:rsid w:val="00F522E7"/>
    <w:rsid w:val="00F52388"/>
    <w:rsid w:val="00F523BB"/>
    <w:rsid w:val="00F524BF"/>
    <w:rsid w:val="00F525B9"/>
    <w:rsid w:val="00F526D7"/>
    <w:rsid w:val="00F52ABF"/>
    <w:rsid w:val="00F52C8D"/>
    <w:rsid w:val="00F52D83"/>
    <w:rsid w:val="00F52DF3"/>
    <w:rsid w:val="00F52F8A"/>
    <w:rsid w:val="00F5304F"/>
    <w:rsid w:val="00F53196"/>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8E0"/>
    <w:rsid w:val="00F5599E"/>
    <w:rsid w:val="00F559F5"/>
    <w:rsid w:val="00F55A86"/>
    <w:rsid w:val="00F55C96"/>
    <w:rsid w:val="00F55FD3"/>
    <w:rsid w:val="00F566E5"/>
    <w:rsid w:val="00F56CBB"/>
    <w:rsid w:val="00F56D59"/>
    <w:rsid w:val="00F56EDA"/>
    <w:rsid w:val="00F56F16"/>
    <w:rsid w:val="00F601AD"/>
    <w:rsid w:val="00F601CD"/>
    <w:rsid w:val="00F6057E"/>
    <w:rsid w:val="00F6073A"/>
    <w:rsid w:val="00F607E0"/>
    <w:rsid w:val="00F60BEB"/>
    <w:rsid w:val="00F6117F"/>
    <w:rsid w:val="00F611BF"/>
    <w:rsid w:val="00F612FE"/>
    <w:rsid w:val="00F61578"/>
    <w:rsid w:val="00F61702"/>
    <w:rsid w:val="00F61871"/>
    <w:rsid w:val="00F61CAB"/>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433"/>
    <w:rsid w:val="00F64569"/>
    <w:rsid w:val="00F647B6"/>
    <w:rsid w:val="00F647D4"/>
    <w:rsid w:val="00F649B0"/>
    <w:rsid w:val="00F64B6F"/>
    <w:rsid w:val="00F64F2A"/>
    <w:rsid w:val="00F6501A"/>
    <w:rsid w:val="00F65028"/>
    <w:rsid w:val="00F653E7"/>
    <w:rsid w:val="00F65748"/>
    <w:rsid w:val="00F65825"/>
    <w:rsid w:val="00F65A4D"/>
    <w:rsid w:val="00F65BD1"/>
    <w:rsid w:val="00F65C7E"/>
    <w:rsid w:val="00F65FF7"/>
    <w:rsid w:val="00F6609A"/>
    <w:rsid w:val="00F6659A"/>
    <w:rsid w:val="00F66B1F"/>
    <w:rsid w:val="00F66BDE"/>
    <w:rsid w:val="00F66D46"/>
    <w:rsid w:val="00F66F21"/>
    <w:rsid w:val="00F66FFD"/>
    <w:rsid w:val="00F67B10"/>
    <w:rsid w:val="00F67FCD"/>
    <w:rsid w:val="00F7000E"/>
    <w:rsid w:val="00F7038C"/>
    <w:rsid w:val="00F7076A"/>
    <w:rsid w:val="00F708F6"/>
    <w:rsid w:val="00F70917"/>
    <w:rsid w:val="00F70C6E"/>
    <w:rsid w:val="00F70E22"/>
    <w:rsid w:val="00F70F4D"/>
    <w:rsid w:val="00F710CE"/>
    <w:rsid w:val="00F71168"/>
    <w:rsid w:val="00F7172D"/>
    <w:rsid w:val="00F71BC6"/>
    <w:rsid w:val="00F71C46"/>
    <w:rsid w:val="00F72272"/>
    <w:rsid w:val="00F724CD"/>
    <w:rsid w:val="00F7289B"/>
    <w:rsid w:val="00F7293B"/>
    <w:rsid w:val="00F72FA2"/>
    <w:rsid w:val="00F73181"/>
    <w:rsid w:val="00F73183"/>
    <w:rsid w:val="00F731A8"/>
    <w:rsid w:val="00F731AB"/>
    <w:rsid w:val="00F7333F"/>
    <w:rsid w:val="00F73AE7"/>
    <w:rsid w:val="00F73C34"/>
    <w:rsid w:val="00F73DA4"/>
    <w:rsid w:val="00F73DE9"/>
    <w:rsid w:val="00F74151"/>
    <w:rsid w:val="00F74177"/>
    <w:rsid w:val="00F742F5"/>
    <w:rsid w:val="00F744C5"/>
    <w:rsid w:val="00F744E1"/>
    <w:rsid w:val="00F7477E"/>
    <w:rsid w:val="00F74B9D"/>
    <w:rsid w:val="00F752D8"/>
    <w:rsid w:val="00F75527"/>
    <w:rsid w:val="00F75810"/>
    <w:rsid w:val="00F75B30"/>
    <w:rsid w:val="00F75BB0"/>
    <w:rsid w:val="00F75BE6"/>
    <w:rsid w:val="00F75CF8"/>
    <w:rsid w:val="00F766CD"/>
    <w:rsid w:val="00F768C6"/>
    <w:rsid w:val="00F768C9"/>
    <w:rsid w:val="00F76AEC"/>
    <w:rsid w:val="00F76B0C"/>
    <w:rsid w:val="00F76E19"/>
    <w:rsid w:val="00F770C2"/>
    <w:rsid w:val="00F770F5"/>
    <w:rsid w:val="00F77100"/>
    <w:rsid w:val="00F77363"/>
    <w:rsid w:val="00F77948"/>
    <w:rsid w:val="00F77D43"/>
    <w:rsid w:val="00F77EE9"/>
    <w:rsid w:val="00F77F90"/>
    <w:rsid w:val="00F77FB4"/>
    <w:rsid w:val="00F8072C"/>
    <w:rsid w:val="00F80859"/>
    <w:rsid w:val="00F80930"/>
    <w:rsid w:val="00F809D2"/>
    <w:rsid w:val="00F809DB"/>
    <w:rsid w:val="00F80A7E"/>
    <w:rsid w:val="00F80EE3"/>
    <w:rsid w:val="00F8151D"/>
    <w:rsid w:val="00F81533"/>
    <w:rsid w:val="00F8154C"/>
    <w:rsid w:val="00F81576"/>
    <w:rsid w:val="00F818CB"/>
    <w:rsid w:val="00F81A4C"/>
    <w:rsid w:val="00F81AC6"/>
    <w:rsid w:val="00F81EDA"/>
    <w:rsid w:val="00F81EDF"/>
    <w:rsid w:val="00F81F96"/>
    <w:rsid w:val="00F8200B"/>
    <w:rsid w:val="00F8238C"/>
    <w:rsid w:val="00F823BA"/>
    <w:rsid w:val="00F82536"/>
    <w:rsid w:val="00F8270E"/>
    <w:rsid w:val="00F82787"/>
    <w:rsid w:val="00F82897"/>
    <w:rsid w:val="00F82E01"/>
    <w:rsid w:val="00F83161"/>
    <w:rsid w:val="00F833B8"/>
    <w:rsid w:val="00F83446"/>
    <w:rsid w:val="00F835E2"/>
    <w:rsid w:val="00F83833"/>
    <w:rsid w:val="00F839E1"/>
    <w:rsid w:val="00F83BD2"/>
    <w:rsid w:val="00F83BD7"/>
    <w:rsid w:val="00F83C11"/>
    <w:rsid w:val="00F83EC3"/>
    <w:rsid w:val="00F840E5"/>
    <w:rsid w:val="00F844FC"/>
    <w:rsid w:val="00F8466E"/>
    <w:rsid w:val="00F8489B"/>
    <w:rsid w:val="00F848EA"/>
    <w:rsid w:val="00F84AA3"/>
    <w:rsid w:val="00F84F26"/>
    <w:rsid w:val="00F8515E"/>
    <w:rsid w:val="00F85586"/>
    <w:rsid w:val="00F85667"/>
    <w:rsid w:val="00F85A04"/>
    <w:rsid w:val="00F865A0"/>
    <w:rsid w:val="00F86BAC"/>
    <w:rsid w:val="00F86CE8"/>
    <w:rsid w:val="00F86DE9"/>
    <w:rsid w:val="00F86E77"/>
    <w:rsid w:val="00F8714F"/>
    <w:rsid w:val="00F875D9"/>
    <w:rsid w:val="00F8779E"/>
    <w:rsid w:val="00F87816"/>
    <w:rsid w:val="00F878EC"/>
    <w:rsid w:val="00F878F2"/>
    <w:rsid w:val="00F87BFD"/>
    <w:rsid w:val="00F87BFF"/>
    <w:rsid w:val="00F87FB8"/>
    <w:rsid w:val="00F901E5"/>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3E"/>
    <w:rsid w:val="00F92A43"/>
    <w:rsid w:val="00F92AC2"/>
    <w:rsid w:val="00F92BED"/>
    <w:rsid w:val="00F933B2"/>
    <w:rsid w:val="00F93726"/>
    <w:rsid w:val="00F93B32"/>
    <w:rsid w:val="00F93B7C"/>
    <w:rsid w:val="00F93EAF"/>
    <w:rsid w:val="00F93EE2"/>
    <w:rsid w:val="00F93F4E"/>
    <w:rsid w:val="00F93FDF"/>
    <w:rsid w:val="00F94203"/>
    <w:rsid w:val="00F942E9"/>
    <w:rsid w:val="00F9464B"/>
    <w:rsid w:val="00F94A18"/>
    <w:rsid w:val="00F94D9B"/>
    <w:rsid w:val="00F94E97"/>
    <w:rsid w:val="00F94F40"/>
    <w:rsid w:val="00F9508E"/>
    <w:rsid w:val="00F950ED"/>
    <w:rsid w:val="00F952B3"/>
    <w:rsid w:val="00F95333"/>
    <w:rsid w:val="00F9546E"/>
    <w:rsid w:val="00F95588"/>
    <w:rsid w:val="00F9636A"/>
    <w:rsid w:val="00F964FE"/>
    <w:rsid w:val="00F9654B"/>
    <w:rsid w:val="00F966D7"/>
    <w:rsid w:val="00F968D1"/>
    <w:rsid w:val="00F96B3F"/>
    <w:rsid w:val="00F96D01"/>
    <w:rsid w:val="00F96D32"/>
    <w:rsid w:val="00F96EB6"/>
    <w:rsid w:val="00F97022"/>
    <w:rsid w:val="00F97047"/>
    <w:rsid w:val="00F97485"/>
    <w:rsid w:val="00F9789E"/>
    <w:rsid w:val="00F978F6"/>
    <w:rsid w:val="00F97B47"/>
    <w:rsid w:val="00F97C02"/>
    <w:rsid w:val="00F97C14"/>
    <w:rsid w:val="00F97F1A"/>
    <w:rsid w:val="00FA008F"/>
    <w:rsid w:val="00FA042D"/>
    <w:rsid w:val="00FA057B"/>
    <w:rsid w:val="00FA05B1"/>
    <w:rsid w:val="00FA064D"/>
    <w:rsid w:val="00FA080D"/>
    <w:rsid w:val="00FA083F"/>
    <w:rsid w:val="00FA08D4"/>
    <w:rsid w:val="00FA0B24"/>
    <w:rsid w:val="00FA0DD1"/>
    <w:rsid w:val="00FA1174"/>
    <w:rsid w:val="00FA149F"/>
    <w:rsid w:val="00FA1A0A"/>
    <w:rsid w:val="00FA1A1B"/>
    <w:rsid w:val="00FA1B50"/>
    <w:rsid w:val="00FA1F24"/>
    <w:rsid w:val="00FA218C"/>
    <w:rsid w:val="00FA2423"/>
    <w:rsid w:val="00FA27F1"/>
    <w:rsid w:val="00FA2DF4"/>
    <w:rsid w:val="00FA318C"/>
    <w:rsid w:val="00FA3398"/>
    <w:rsid w:val="00FA3711"/>
    <w:rsid w:val="00FA3825"/>
    <w:rsid w:val="00FA3A08"/>
    <w:rsid w:val="00FA3AAA"/>
    <w:rsid w:val="00FA3F10"/>
    <w:rsid w:val="00FA4007"/>
    <w:rsid w:val="00FA405E"/>
    <w:rsid w:val="00FA42B2"/>
    <w:rsid w:val="00FA4435"/>
    <w:rsid w:val="00FA4469"/>
    <w:rsid w:val="00FA4613"/>
    <w:rsid w:val="00FA463C"/>
    <w:rsid w:val="00FA49CC"/>
    <w:rsid w:val="00FA4A5D"/>
    <w:rsid w:val="00FA4B6B"/>
    <w:rsid w:val="00FA4E4D"/>
    <w:rsid w:val="00FA5219"/>
    <w:rsid w:val="00FA53A5"/>
    <w:rsid w:val="00FA5460"/>
    <w:rsid w:val="00FA54AB"/>
    <w:rsid w:val="00FA5694"/>
    <w:rsid w:val="00FA578F"/>
    <w:rsid w:val="00FA57B1"/>
    <w:rsid w:val="00FA5ACA"/>
    <w:rsid w:val="00FA5C5F"/>
    <w:rsid w:val="00FA5CAE"/>
    <w:rsid w:val="00FA5D59"/>
    <w:rsid w:val="00FA5D6A"/>
    <w:rsid w:val="00FA5F4B"/>
    <w:rsid w:val="00FA62E5"/>
    <w:rsid w:val="00FA67E6"/>
    <w:rsid w:val="00FA69D9"/>
    <w:rsid w:val="00FA6A19"/>
    <w:rsid w:val="00FA6B18"/>
    <w:rsid w:val="00FA71DC"/>
    <w:rsid w:val="00FA722F"/>
    <w:rsid w:val="00FA72B7"/>
    <w:rsid w:val="00FA730B"/>
    <w:rsid w:val="00FA74BE"/>
    <w:rsid w:val="00FA784E"/>
    <w:rsid w:val="00FA78A5"/>
    <w:rsid w:val="00FA7B26"/>
    <w:rsid w:val="00FA7D30"/>
    <w:rsid w:val="00FA7D8E"/>
    <w:rsid w:val="00FB0456"/>
    <w:rsid w:val="00FB064C"/>
    <w:rsid w:val="00FB07D1"/>
    <w:rsid w:val="00FB086B"/>
    <w:rsid w:val="00FB08F6"/>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C59"/>
    <w:rsid w:val="00FB2E37"/>
    <w:rsid w:val="00FB2F14"/>
    <w:rsid w:val="00FB2F8A"/>
    <w:rsid w:val="00FB30C9"/>
    <w:rsid w:val="00FB3424"/>
    <w:rsid w:val="00FB389D"/>
    <w:rsid w:val="00FB3C53"/>
    <w:rsid w:val="00FB3D19"/>
    <w:rsid w:val="00FB3DD6"/>
    <w:rsid w:val="00FB41AA"/>
    <w:rsid w:val="00FB43CA"/>
    <w:rsid w:val="00FB43F6"/>
    <w:rsid w:val="00FB451C"/>
    <w:rsid w:val="00FB4543"/>
    <w:rsid w:val="00FB49F2"/>
    <w:rsid w:val="00FB5600"/>
    <w:rsid w:val="00FB560E"/>
    <w:rsid w:val="00FB5E56"/>
    <w:rsid w:val="00FB63CD"/>
    <w:rsid w:val="00FB67B6"/>
    <w:rsid w:val="00FB6874"/>
    <w:rsid w:val="00FB68FE"/>
    <w:rsid w:val="00FB725F"/>
    <w:rsid w:val="00FB769F"/>
    <w:rsid w:val="00FB76AD"/>
    <w:rsid w:val="00FB79C0"/>
    <w:rsid w:val="00FB7AB2"/>
    <w:rsid w:val="00FB7B9E"/>
    <w:rsid w:val="00FB7F9B"/>
    <w:rsid w:val="00FC002C"/>
    <w:rsid w:val="00FC05FC"/>
    <w:rsid w:val="00FC09D9"/>
    <w:rsid w:val="00FC0BF0"/>
    <w:rsid w:val="00FC0CC8"/>
    <w:rsid w:val="00FC0D5B"/>
    <w:rsid w:val="00FC0DE9"/>
    <w:rsid w:val="00FC0E16"/>
    <w:rsid w:val="00FC0FB1"/>
    <w:rsid w:val="00FC1128"/>
    <w:rsid w:val="00FC13B5"/>
    <w:rsid w:val="00FC141B"/>
    <w:rsid w:val="00FC16E6"/>
    <w:rsid w:val="00FC1A26"/>
    <w:rsid w:val="00FC1B97"/>
    <w:rsid w:val="00FC1C87"/>
    <w:rsid w:val="00FC1D1F"/>
    <w:rsid w:val="00FC1D68"/>
    <w:rsid w:val="00FC1E18"/>
    <w:rsid w:val="00FC20A6"/>
    <w:rsid w:val="00FC21E8"/>
    <w:rsid w:val="00FC3046"/>
    <w:rsid w:val="00FC3064"/>
    <w:rsid w:val="00FC3081"/>
    <w:rsid w:val="00FC34E3"/>
    <w:rsid w:val="00FC3D05"/>
    <w:rsid w:val="00FC3D57"/>
    <w:rsid w:val="00FC3DB6"/>
    <w:rsid w:val="00FC3EA3"/>
    <w:rsid w:val="00FC4315"/>
    <w:rsid w:val="00FC449A"/>
    <w:rsid w:val="00FC458E"/>
    <w:rsid w:val="00FC4B61"/>
    <w:rsid w:val="00FC4C3A"/>
    <w:rsid w:val="00FC4C8E"/>
    <w:rsid w:val="00FC4D8E"/>
    <w:rsid w:val="00FC501C"/>
    <w:rsid w:val="00FC5054"/>
    <w:rsid w:val="00FC511C"/>
    <w:rsid w:val="00FC53BF"/>
    <w:rsid w:val="00FC54FF"/>
    <w:rsid w:val="00FC560A"/>
    <w:rsid w:val="00FC58BF"/>
    <w:rsid w:val="00FC58FE"/>
    <w:rsid w:val="00FC5A6A"/>
    <w:rsid w:val="00FC5F2F"/>
    <w:rsid w:val="00FC604B"/>
    <w:rsid w:val="00FC6140"/>
    <w:rsid w:val="00FC6352"/>
    <w:rsid w:val="00FC6634"/>
    <w:rsid w:val="00FC6776"/>
    <w:rsid w:val="00FC679F"/>
    <w:rsid w:val="00FC67B6"/>
    <w:rsid w:val="00FC69B4"/>
    <w:rsid w:val="00FC6C34"/>
    <w:rsid w:val="00FC6DCE"/>
    <w:rsid w:val="00FC6E2F"/>
    <w:rsid w:val="00FC6FE3"/>
    <w:rsid w:val="00FC7414"/>
    <w:rsid w:val="00FC74A3"/>
    <w:rsid w:val="00FC74CF"/>
    <w:rsid w:val="00FC794B"/>
    <w:rsid w:val="00FC798C"/>
    <w:rsid w:val="00FC7A72"/>
    <w:rsid w:val="00FC7CE1"/>
    <w:rsid w:val="00FD014F"/>
    <w:rsid w:val="00FD02F6"/>
    <w:rsid w:val="00FD03E6"/>
    <w:rsid w:val="00FD0697"/>
    <w:rsid w:val="00FD06E4"/>
    <w:rsid w:val="00FD0A86"/>
    <w:rsid w:val="00FD0B00"/>
    <w:rsid w:val="00FD10B0"/>
    <w:rsid w:val="00FD13A2"/>
    <w:rsid w:val="00FD16E3"/>
    <w:rsid w:val="00FD176C"/>
    <w:rsid w:val="00FD1784"/>
    <w:rsid w:val="00FD18E4"/>
    <w:rsid w:val="00FD19D0"/>
    <w:rsid w:val="00FD1C67"/>
    <w:rsid w:val="00FD1CF3"/>
    <w:rsid w:val="00FD1E4D"/>
    <w:rsid w:val="00FD2475"/>
    <w:rsid w:val="00FD292B"/>
    <w:rsid w:val="00FD2DBC"/>
    <w:rsid w:val="00FD3CCD"/>
    <w:rsid w:val="00FD3D84"/>
    <w:rsid w:val="00FD3E3B"/>
    <w:rsid w:val="00FD3EA5"/>
    <w:rsid w:val="00FD407E"/>
    <w:rsid w:val="00FD425C"/>
    <w:rsid w:val="00FD447D"/>
    <w:rsid w:val="00FD45BF"/>
    <w:rsid w:val="00FD492A"/>
    <w:rsid w:val="00FD49D2"/>
    <w:rsid w:val="00FD4E1D"/>
    <w:rsid w:val="00FD4E46"/>
    <w:rsid w:val="00FD4E86"/>
    <w:rsid w:val="00FD5356"/>
    <w:rsid w:val="00FD53C8"/>
    <w:rsid w:val="00FD56EB"/>
    <w:rsid w:val="00FD5924"/>
    <w:rsid w:val="00FD5B62"/>
    <w:rsid w:val="00FD5B6E"/>
    <w:rsid w:val="00FD5C57"/>
    <w:rsid w:val="00FD5CDC"/>
    <w:rsid w:val="00FD604F"/>
    <w:rsid w:val="00FD619C"/>
    <w:rsid w:val="00FD61C6"/>
    <w:rsid w:val="00FD62F3"/>
    <w:rsid w:val="00FD6489"/>
    <w:rsid w:val="00FD671B"/>
    <w:rsid w:val="00FD6C8F"/>
    <w:rsid w:val="00FD6CED"/>
    <w:rsid w:val="00FD6E3D"/>
    <w:rsid w:val="00FD6ED0"/>
    <w:rsid w:val="00FD72FD"/>
    <w:rsid w:val="00FD7538"/>
    <w:rsid w:val="00FD757D"/>
    <w:rsid w:val="00FD7833"/>
    <w:rsid w:val="00FD7884"/>
    <w:rsid w:val="00FD7ADC"/>
    <w:rsid w:val="00FD7E97"/>
    <w:rsid w:val="00FE00A1"/>
    <w:rsid w:val="00FE0157"/>
    <w:rsid w:val="00FE0164"/>
    <w:rsid w:val="00FE0532"/>
    <w:rsid w:val="00FE05BC"/>
    <w:rsid w:val="00FE06C3"/>
    <w:rsid w:val="00FE06E6"/>
    <w:rsid w:val="00FE07CE"/>
    <w:rsid w:val="00FE0875"/>
    <w:rsid w:val="00FE09DD"/>
    <w:rsid w:val="00FE0A94"/>
    <w:rsid w:val="00FE0D0A"/>
    <w:rsid w:val="00FE0D37"/>
    <w:rsid w:val="00FE0D55"/>
    <w:rsid w:val="00FE0E20"/>
    <w:rsid w:val="00FE1140"/>
    <w:rsid w:val="00FE1176"/>
    <w:rsid w:val="00FE1190"/>
    <w:rsid w:val="00FE1323"/>
    <w:rsid w:val="00FE1484"/>
    <w:rsid w:val="00FE1600"/>
    <w:rsid w:val="00FE1A00"/>
    <w:rsid w:val="00FE1A99"/>
    <w:rsid w:val="00FE1EF8"/>
    <w:rsid w:val="00FE2020"/>
    <w:rsid w:val="00FE2328"/>
    <w:rsid w:val="00FE2942"/>
    <w:rsid w:val="00FE2D73"/>
    <w:rsid w:val="00FE332C"/>
    <w:rsid w:val="00FE3B87"/>
    <w:rsid w:val="00FE3BBA"/>
    <w:rsid w:val="00FE3BFE"/>
    <w:rsid w:val="00FE3CFD"/>
    <w:rsid w:val="00FE3E57"/>
    <w:rsid w:val="00FE3EAB"/>
    <w:rsid w:val="00FE42BC"/>
    <w:rsid w:val="00FE445A"/>
    <w:rsid w:val="00FE44B5"/>
    <w:rsid w:val="00FE44E7"/>
    <w:rsid w:val="00FE451D"/>
    <w:rsid w:val="00FE4941"/>
    <w:rsid w:val="00FE4D01"/>
    <w:rsid w:val="00FE4F2E"/>
    <w:rsid w:val="00FE513B"/>
    <w:rsid w:val="00FE51A0"/>
    <w:rsid w:val="00FE5816"/>
    <w:rsid w:val="00FE5947"/>
    <w:rsid w:val="00FE59A7"/>
    <w:rsid w:val="00FE59D7"/>
    <w:rsid w:val="00FE5CC8"/>
    <w:rsid w:val="00FE5D4F"/>
    <w:rsid w:val="00FE60CA"/>
    <w:rsid w:val="00FE6134"/>
    <w:rsid w:val="00FE6259"/>
    <w:rsid w:val="00FE629A"/>
    <w:rsid w:val="00FE6503"/>
    <w:rsid w:val="00FE65FC"/>
    <w:rsid w:val="00FE6605"/>
    <w:rsid w:val="00FE6E52"/>
    <w:rsid w:val="00FE6EA6"/>
    <w:rsid w:val="00FE7899"/>
    <w:rsid w:val="00FE7BB6"/>
    <w:rsid w:val="00FE7C39"/>
    <w:rsid w:val="00FE7E49"/>
    <w:rsid w:val="00FF04DF"/>
    <w:rsid w:val="00FF050E"/>
    <w:rsid w:val="00FF0725"/>
    <w:rsid w:val="00FF0B29"/>
    <w:rsid w:val="00FF0FBA"/>
    <w:rsid w:val="00FF106E"/>
    <w:rsid w:val="00FF148C"/>
    <w:rsid w:val="00FF17A4"/>
    <w:rsid w:val="00FF1873"/>
    <w:rsid w:val="00FF1B13"/>
    <w:rsid w:val="00FF1B56"/>
    <w:rsid w:val="00FF2011"/>
    <w:rsid w:val="00FF23E0"/>
    <w:rsid w:val="00FF27B2"/>
    <w:rsid w:val="00FF29D6"/>
    <w:rsid w:val="00FF29DD"/>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636"/>
    <w:rsid w:val="00FF565C"/>
    <w:rsid w:val="00FF5710"/>
    <w:rsid w:val="00FF576C"/>
    <w:rsid w:val="00FF5A40"/>
    <w:rsid w:val="00FF5E39"/>
    <w:rsid w:val="00FF6084"/>
    <w:rsid w:val="00FF6717"/>
    <w:rsid w:val="00FF676C"/>
    <w:rsid w:val="00FF6941"/>
    <w:rsid w:val="00FF6995"/>
    <w:rsid w:val="00FF71FF"/>
    <w:rsid w:val="00FF732C"/>
    <w:rsid w:val="00FF73B0"/>
    <w:rsid w:val="00FF7B6D"/>
    <w:rsid w:val="00FF7B94"/>
    <w:rsid w:val="00FF7E55"/>
    <w:rsid w:val="00FF7F35"/>
    <w:rsid w:val="04753641"/>
    <w:rsid w:val="048E1388"/>
    <w:rsid w:val="064C7AAF"/>
    <w:rsid w:val="0EFF5A98"/>
    <w:rsid w:val="138F3E05"/>
    <w:rsid w:val="19564ABE"/>
    <w:rsid w:val="237F1281"/>
    <w:rsid w:val="2433701E"/>
    <w:rsid w:val="246C62EA"/>
    <w:rsid w:val="24FA6221"/>
    <w:rsid w:val="37310DFC"/>
    <w:rsid w:val="43CD00D1"/>
    <w:rsid w:val="4BAE7491"/>
    <w:rsid w:val="69F726E9"/>
    <w:rsid w:val="75145EF9"/>
    <w:rsid w:val="78861E4A"/>
    <w:rsid w:val="7D162F9D"/>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211808"/>
  <w15:docId w15:val="{4924F064-7ED2-1847-85B2-118A7D4B6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unhideWhenUsed="1" w:qFormat="1"/>
    <w:lsdException w:name="footer" w:unhideWhenUsed="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iPriority="0" w:qFormat="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qFormat="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E0C"/>
    <w:pPr>
      <w:spacing w:line="360" w:lineRule="auto"/>
      <w:jc w:val="both"/>
    </w:pPr>
    <w:rPr>
      <w:rFonts w:eastAsiaTheme="minorHAnsi" w:cstheme="minorBidi"/>
      <w:sz w:val="24"/>
      <w:szCs w:val="22"/>
      <w:shd w:val="clear" w:color="auto" w:fill="FFFFFF"/>
      <w:lang w:val="en-GB" w:eastAsia="en-US"/>
    </w:rPr>
  </w:style>
  <w:style w:type="paragraph" w:styleId="Heading1">
    <w:name w:val="heading 1"/>
    <w:basedOn w:val="Normal"/>
    <w:next w:val="Normal"/>
    <w:link w:val="Heading1Char"/>
    <w:uiPriority w:val="9"/>
    <w:qFormat/>
    <w:rsid w:val="0062414A"/>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62414A"/>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62414A"/>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62414A"/>
    <w:pPr>
      <w:keepNext/>
      <w:keepLines/>
      <w:spacing w:before="200"/>
      <w:outlineLvl w:val="3"/>
    </w:pPr>
    <w:rPr>
      <w:rFonts w:eastAsiaTheme="majorEastAsia" w:cstheme="majorBidi"/>
      <w:b/>
      <w:bCs/>
      <w:iCs/>
      <w:color w:val="4F81BD" w:themeColor="accent1"/>
    </w:rPr>
  </w:style>
  <w:style w:type="paragraph" w:styleId="Heading5">
    <w:name w:val="heading 5"/>
    <w:basedOn w:val="Normal"/>
    <w:next w:val="Normal"/>
    <w:link w:val="Heading5Char"/>
    <w:uiPriority w:val="9"/>
    <w:unhideWhenUsed/>
    <w:qFormat/>
    <w:rsid w:val="0062414A"/>
    <w:pPr>
      <w:keepNext/>
      <w:keepLines/>
      <w:spacing w:before="20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unhideWhenUsed/>
    <w:qFormat/>
    <w:rsid w:val="0062414A"/>
    <w:pPr>
      <w:keepNext/>
      <w:keepLines/>
      <w:spacing w:before="200"/>
      <w:outlineLvl w:val="5"/>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414A"/>
    <w:pPr>
      <w:spacing w:line="240" w:lineRule="auto"/>
    </w:pPr>
    <w:rPr>
      <w:rFonts w:ascii="Tahoma" w:hAnsi="Tahoma" w:cs="Tahoma"/>
      <w:sz w:val="16"/>
      <w:szCs w:val="16"/>
    </w:rPr>
  </w:style>
  <w:style w:type="paragraph" w:styleId="BodyText">
    <w:name w:val="Body Text"/>
    <w:basedOn w:val="Normal"/>
    <w:link w:val="BodyTextChar"/>
    <w:uiPriority w:val="99"/>
    <w:semiHidden/>
    <w:unhideWhenUsed/>
    <w:qFormat/>
    <w:rsid w:val="0062414A"/>
    <w:pPr>
      <w:spacing w:after="120"/>
    </w:pPr>
  </w:style>
  <w:style w:type="paragraph" w:styleId="BodyText3">
    <w:name w:val="Body Text 3"/>
    <w:basedOn w:val="Normal"/>
    <w:link w:val="BodyText3Char"/>
    <w:qFormat/>
    <w:rsid w:val="0062414A"/>
    <w:pPr>
      <w:spacing w:line="240" w:lineRule="auto"/>
      <w:jc w:val="left"/>
    </w:pPr>
    <w:rPr>
      <w:rFonts w:ascii="Arial" w:eastAsia="Times New Roman" w:hAnsi="Arial" w:cs="Times New Roman"/>
      <w:b/>
      <w:bCs/>
      <w:szCs w:val="20"/>
      <w:shd w:val="clear" w:color="auto" w:fill="auto"/>
      <w:lang w:val="lv-LV"/>
    </w:rPr>
  </w:style>
  <w:style w:type="paragraph" w:styleId="BodyTextIndent2">
    <w:name w:val="Body Text Indent 2"/>
    <w:basedOn w:val="Normal"/>
    <w:link w:val="BodyTextIndent2Char"/>
    <w:uiPriority w:val="99"/>
    <w:semiHidden/>
    <w:unhideWhenUsed/>
    <w:rsid w:val="0062414A"/>
    <w:pPr>
      <w:spacing w:after="120" w:line="480" w:lineRule="auto"/>
      <w:ind w:left="283"/>
    </w:pPr>
  </w:style>
  <w:style w:type="paragraph" w:styleId="Caption">
    <w:name w:val="caption"/>
    <w:basedOn w:val="Normal"/>
    <w:next w:val="Normal"/>
    <w:uiPriority w:val="35"/>
    <w:unhideWhenUsed/>
    <w:qFormat/>
    <w:rsid w:val="0062414A"/>
    <w:pPr>
      <w:spacing w:after="200" w:line="240" w:lineRule="auto"/>
    </w:pPr>
    <w:rPr>
      <w:b/>
      <w:bCs/>
      <w:color w:val="4F81BD" w:themeColor="accent1"/>
      <w:sz w:val="18"/>
      <w:szCs w:val="18"/>
    </w:rPr>
  </w:style>
  <w:style w:type="character" w:styleId="CommentReference">
    <w:name w:val="annotation reference"/>
    <w:basedOn w:val="DefaultParagraphFont"/>
    <w:uiPriority w:val="99"/>
    <w:semiHidden/>
    <w:unhideWhenUsed/>
    <w:rsid w:val="0062414A"/>
    <w:rPr>
      <w:sz w:val="16"/>
      <w:szCs w:val="16"/>
    </w:rPr>
  </w:style>
  <w:style w:type="paragraph" w:styleId="CommentText">
    <w:name w:val="annotation text"/>
    <w:basedOn w:val="Normal"/>
    <w:link w:val="CommentTextChar"/>
    <w:uiPriority w:val="99"/>
    <w:semiHidden/>
    <w:unhideWhenUsed/>
    <w:rsid w:val="0062414A"/>
    <w:pPr>
      <w:spacing w:line="240" w:lineRule="auto"/>
      <w:jc w:val="left"/>
    </w:pPr>
    <w:rPr>
      <w:rFonts w:ascii="Arial" w:eastAsia="Arial" w:hAnsi="Arial" w:cs="Arial"/>
      <w:sz w:val="20"/>
      <w:szCs w:val="20"/>
      <w:shd w:val="clear" w:color="auto" w:fill="auto"/>
    </w:rPr>
  </w:style>
  <w:style w:type="paragraph" w:styleId="CommentSubject">
    <w:name w:val="annotation subject"/>
    <w:basedOn w:val="CommentText"/>
    <w:next w:val="CommentText"/>
    <w:link w:val="CommentSubjectChar"/>
    <w:uiPriority w:val="99"/>
    <w:semiHidden/>
    <w:unhideWhenUsed/>
    <w:rsid w:val="0062414A"/>
    <w:pPr>
      <w:jc w:val="both"/>
    </w:pPr>
    <w:rPr>
      <w:rFonts w:ascii="Times New Roman" w:eastAsiaTheme="minorHAnsi" w:hAnsi="Times New Roman" w:cstheme="minorBidi"/>
      <w:b/>
      <w:bCs/>
      <w:color w:val="000000" w:themeColor="text1"/>
    </w:rPr>
  </w:style>
  <w:style w:type="paragraph" w:styleId="DocumentMap">
    <w:name w:val="Document Map"/>
    <w:basedOn w:val="Normal"/>
    <w:link w:val="DocumentMapChar"/>
    <w:uiPriority w:val="99"/>
    <w:semiHidden/>
    <w:unhideWhenUsed/>
    <w:qFormat/>
    <w:rsid w:val="0062414A"/>
    <w:pPr>
      <w:spacing w:line="240" w:lineRule="auto"/>
    </w:pPr>
    <w:rPr>
      <w:rFonts w:ascii="Tahoma" w:hAnsi="Tahoma" w:cs="Tahoma"/>
      <w:sz w:val="16"/>
      <w:szCs w:val="16"/>
    </w:rPr>
  </w:style>
  <w:style w:type="character" w:styleId="Emphasis">
    <w:name w:val="Emphasis"/>
    <w:basedOn w:val="DefaultParagraphFont"/>
    <w:uiPriority w:val="20"/>
    <w:qFormat/>
    <w:rsid w:val="0062414A"/>
    <w:rPr>
      <w:i/>
      <w:iCs/>
    </w:rPr>
  </w:style>
  <w:style w:type="character" w:styleId="FollowedHyperlink">
    <w:name w:val="FollowedHyperlink"/>
    <w:basedOn w:val="DefaultParagraphFont"/>
    <w:uiPriority w:val="99"/>
    <w:semiHidden/>
    <w:unhideWhenUsed/>
    <w:rsid w:val="0062414A"/>
    <w:rPr>
      <w:color w:val="800080" w:themeColor="followedHyperlink"/>
      <w:u w:val="single"/>
    </w:rPr>
  </w:style>
  <w:style w:type="paragraph" w:styleId="Footer">
    <w:name w:val="footer"/>
    <w:basedOn w:val="Normal"/>
    <w:link w:val="FooterChar"/>
    <w:uiPriority w:val="99"/>
    <w:unhideWhenUsed/>
    <w:rsid w:val="0062414A"/>
    <w:pPr>
      <w:tabs>
        <w:tab w:val="center" w:pos="4680"/>
        <w:tab w:val="right" w:pos="9360"/>
      </w:tabs>
      <w:spacing w:line="240" w:lineRule="auto"/>
    </w:pPr>
  </w:style>
  <w:style w:type="character" w:styleId="FootnoteReference">
    <w:name w:val="footnote reference"/>
    <w:basedOn w:val="DefaultParagraphFont"/>
    <w:uiPriority w:val="99"/>
    <w:semiHidden/>
    <w:unhideWhenUsed/>
    <w:rsid w:val="0062414A"/>
    <w:rPr>
      <w:vertAlign w:val="superscript"/>
    </w:rPr>
  </w:style>
  <w:style w:type="paragraph" w:styleId="FootnoteText">
    <w:name w:val="footnote text"/>
    <w:basedOn w:val="Normal"/>
    <w:link w:val="FootnoteTextChar"/>
    <w:uiPriority w:val="99"/>
    <w:semiHidden/>
    <w:unhideWhenUsed/>
    <w:qFormat/>
    <w:rsid w:val="0062414A"/>
    <w:pPr>
      <w:spacing w:line="240" w:lineRule="auto"/>
    </w:pPr>
    <w:rPr>
      <w:sz w:val="20"/>
      <w:szCs w:val="20"/>
    </w:rPr>
  </w:style>
  <w:style w:type="paragraph" w:styleId="Header">
    <w:name w:val="header"/>
    <w:basedOn w:val="Normal"/>
    <w:link w:val="HeaderChar"/>
    <w:uiPriority w:val="99"/>
    <w:unhideWhenUsed/>
    <w:qFormat/>
    <w:rsid w:val="0062414A"/>
    <w:pPr>
      <w:tabs>
        <w:tab w:val="center" w:pos="4680"/>
        <w:tab w:val="right" w:pos="9360"/>
      </w:tabs>
      <w:spacing w:line="240" w:lineRule="auto"/>
    </w:pPr>
  </w:style>
  <w:style w:type="character" w:styleId="Hyperlink">
    <w:name w:val="Hyperlink"/>
    <w:basedOn w:val="DefaultParagraphFont"/>
    <w:uiPriority w:val="99"/>
    <w:unhideWhenUsed/>
    <w:qFormat/>
    <w:rsid w:val="0062414A"/>
    <w:rPr>
      <w:color w:val="0000FF" w:themeColor="hyperlink"/>
      <w:u w:val="single"/>
    </w:rPr>
  </w:style>
  <w:style w:type="paragraph" w:styleId="NormalWeb">
    <w:name w:val="Normal (Web)"/>
    <w:basedOn w:val="Normal"/>
    <w:uiPriority w:val="99"/>
    <w:unhideWhenUsed/>
    <w:qFormat/>
    <w:rsid w:val="0062414A"/>
    <w:pPr>
      <w:spacing w:before="100" w:beforeAutospacing="1" w:after="100" w:afterAutospacing="1" w:line="240" w:lineRule="auto"/>
      <w:jc w:val="left"/>
    </w:pPr>
    <w:rPr>
      <w:rFonts w:eastAsia="Times New Roman" w:cs="Times New Roman"/>
      <w:szCs w:val="24"/>
      <w:shd w:val="clear" w:color="auto" w:fill="auto"/>
    </w:rPr>
  </w:style>
  <w:style w:type="character" w:styleId="Strong">
    <w:name w:val="Strong"/>
    <w:basedOn w:val="DefaultParagraphFont"/>
    <w:uiPriority w:val="22"/>
    <w:qFormat/>
    <w:rsid w:val="0062414A"/>
    <w:rPr>
      <w:b/>
      <w:bCs/>
    </w:rPr>
  </w:style>
  <w:style w:type="paragraph" w:styleId="Subtitle">
    <w:name w:val="Subtitle"/>
    <w:basedOn w:val="Normal"/>
    <w:next w:val="Normal"/>
    <w:link w:val="SubtitleChar"/>
    <w:uiPriority w:val="11"/>
    <w:qFormat/>
    <w:rsid w:val="0062414A"/>
    <w:rPr>
      <w:rFonts w:asciiTheme="majorHAnsi" w:eastAsiaTheme="majorEastAsia" w:hAnsiTheme="majorHAnsi" w:cstheme="majorBidi"/>
      <w:i/>
      <w:iCs/>
      <w:color w:val="4F81BD" w:themeColor="accent1"/>
      <w:spacing w:val="15"/>
      <w:szCs w:val="24"/>
    </w:rPr>
  </w:style>
  <w:style w:type="table" w:styleId="TableGrid">
    <w:name w:val="Table Grid"/>
    <w:basedOn w:val="TableNormal"/>
    <w:uiPriority w:val="39"/>
    <w:qFormat/>
    <w:rsid w:val="0062414A"/>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leofFigures">
    <w:name w:val="table of figures"/>
    <w:basedOn w:val="Normal"/>
    <w:next w:val="Normal"/>
    <w:uiPriority w:val="99"/>
    <w:unhideWhenUsed/>
    <w:qFormat/>
    <w:rsid w:val="0062414A"/>
  </w:style>
  <w:style w:type="paragraph" w:styleId="Title">
    <w:name w:val="Title"/>
    <w:basedOn w:val="Normal"/>
    <w:next w:val="Normal"/>
    <w:link w:val="TitleChar"/>
    <w:uiPriority w:val="10"/>
    <w:qFormat/>
    <w:rsid w:val="0062414A"/>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paragraph" w:styleId="TOC1">
    <w:name w:val="toc 1"/>
    <w:basedOn w:val="Normal"/>
    <w:next w:val="Normal"/>
    <w:autoRedefine/>
    <w:uiPriority w:val="39"/>
    <w:unhideWhenUsed/>
    <w:rsid w:val="0062414A"/>
    <w:pPr>
      <w:spacing w:after="100"/>
    </w:pPr>
  </w:style>
  <w:style w:type="paragraph" w:styleId="TOC2">
    <w:name w:val="toc 2"/>
    <w:basedOn w:val="Normal"/>
    <w:next w:val="Normal"/>
    <w:autoRedefine/>
    <w:uiPriority w:val="39"/>
    <w:unhideWhenUsed/>
    <w:qFormat/>
    <w:rsid w:val="0062414A"/>
    <w:pPr>
      <w:spacing w:after="100"/>
      <w:ind w:left="240"/>
    </w:pPr>
  </w:style>
  <w:style w:type="paragraph" w:styleId="TOC3">
    <w:name w:val="toc 3"/>
    <w:basedOn w:val="Normal"/>
    <w:next w:val="Normal"/>
    <w:autoRedefine/>
    <w:uiPriority w:val="39"/>
    <w:unhideWhenUsed/>
    <w:qFormat/>
    <w:rsid w:val="0062414A"/>
    <w:pPr>
      <w:spacing w:after="100"/>
      <w:ind w:left="480"/>
    </w:pPr>
  </w:style>
  <w:style w:type="table" w:styleId="LightShading-Accent2">
    <w:name w:val="Light Shading Accent 2"/>
    <w:basedOn w:val="TableNormal"/>
    <w:uiPriority w:val="60"/>
    <w:qFormat/>
    <w:rsid w:val="0062414A"/>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4">
    <w:name w:val="Light Shading Accent 4"/>
    <w:basedOn w:val="TableNormal"/>
    <w:uiPriority w:val="60"/>
    <w:qFormat/>
    <w:rsid w:val="0062414A"/>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customStyle="1" w:styleId="m15408485597120198gmail-apple-converted-space">
    <w:name w:val="m_15408485597120198gmail-apple-converted-space"/>
    <w:basedOn w:val="DefaultParagraphFont"/>
    <w:qFormat/>
    <w:rsid w:val="0062414A"/>
  </w:style>
  <w:style w:type="character" w:customStyle="1" w:styleId="Heading1Char">
    <w:name w:val="Heading 1 Char"/>
    <w:basedOn w:val="DefaultParagraphFont"/>
    <w:link w:val="Heading1"/>
    <w:uiPriority w:val="9"/>
    <w:rsid w:val="0062414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62414A"/>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62414A"/>
    <w:pPr>
      <w:ind w:left="720"/>
      <w:contextualSpacing/>
    </w:pPr>
    <w:rPr>
      <w:lang w:val="ms-MY"/>
    </w:rPr>
  </w:style>
  <w:style w:type="character" w:customStyle="1" w:styleId="FootnoteTextChar">
    <w:name w:val="Footnote Text Char"/>
    <w:basedOn w:val="DefaultParagraphFont"/>
    <w:link w:val="FootnoteText"/>
    <w:uiPriority w:val="99"/>
    <w:semiHidden/>
    <w:rsid w:val="0062414A"/>
    <w:rPr>
      <w:rFonts w:ascii="Times New Roman" w:hAnsi="Times New Roman"/>
      <w:sz w:val="20"/>
      <w:szCs w:val="20"/>
    </w:rPr>
  </w:style>
  <w:style w:type="character" w:customStyle="1" w:styleId="BalloonTextChar">
    <w:name w:val="Balloon Text Char"/>
    <w:basedOn w:val="DefaultParagraphFont"/>
    <w:link w:val="BalloonText"/>
    <w:uiPriority w:val="99"/>
    <w:semiHidden/>
    <w:qFormat/>
    <w:rsid w:val="0062414A"/>
    <w:rPr>
      <w:rFonts w:ascii="Tahoma" w:hAnsi="Tahoma" w:cs="Tahoma"/>
      <w:sz w:val="16"/>
      <w:szCs w:val="16"/>
    </w:rPr>
  </w:style>
  <w:style w:type="character" w:customStyle="1" w:styleId="HeaderChar">
    <w:name w:val="Header Char"/>
    <w:basedOn w:val="DefaultParagraphFont"/>
    <w:link w:val="Header"/>
    <w:uiPriority w:val="99"/>
    <w:qFormat/>
    <w:rsid w:val="0062414A"/>
    <w:rPr>
      <w:rFonts w:ascii="Times New Roman" w:hAnsi="Times New Roman"/>
      <w:sz w:val="24"/>
    </w:rPr>
  </w:style>
  <w:style w:type="character" w:customStyle="1" w:styleId="FooterChar">
    <w:name w:val="Footer Char"/>
    <w:basedOn w:val="DefaultParagraphFont"/>
    <w:link w:val="Footer"/>
    <w:uiPriority w:val="99"/>
    <w:qFormat/>
    <w:rsid w:val="0062414A"/>
    <w:rPr>
      <w:rFonts w:ascii="Times New Roman" w:hAnsi="Times New Roman"/>
      <w:sz w:val="24"/>
    </w:rPr>
  </w:style>
  <w:style w:type="character" w:customStyle="1" w:styleId="aqj">
    <w:name w:val="aqj"/>
    <w:basedOn w:val="DefaultParagraphFont"/>
    <w:qFormat/>
    <w:rsid w:val="0062414A"/>
  </w:style>
  <w:style w:type="paragraph" w:customStyle="1" w:styleId="Bibliography1">
    <w:name w:val="Bibliography1"/>
    <w:basedOn w:val="Normal"/>
    <w:next w:val="Normal"/>
    <w:uiPriority w:val="37"/>
    <w:unhideWhenUsed/>
    <w:qFormat/>
    <w:rsid w:val="0062414A"/>
  </w:style>
  <w:style w:type="character" w:customStyle="1" w:styleId="TitleChar">
    <w:name w:val="Title Char"/>
    <w:basedOn w:val="DefaultParagraphFont"/>
    <w:link w:val="Title"/>
    <w:uiPriority w:val="10"/>
    <w:qFormat/>
    <w:rsid w:val="0062414A"/>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62414A"/>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qFormat/>
    <w:rsid w:val="0062414A"/>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62414A"/>
    <w:rPr>
      <w:rFonts w:ascii="Times New Roman" w:eastAsiaTheme="majorEastAsia" w:hAnsi="Times New Roman" w:cstheme="majorBidi"/>
      <w:b/>
      <w:bCs/>
      <w:iCs/>
      <w:color w:val="4F81BD" w:themeColor="accent1"/>
      <w:sz w:val="24"/>
    </w:rPr>
  </w:style>
  <w:style w:type="paragraph" w:customStyle="1" w:styleId="TOCHeading1">
    <w:name w:val="TOC Heading1"/>
    <w:basedOn w:val="Heading1"/>
    <w:next w:val="Normal"/>
    <w:uiPriority w:val="39"/>
    <w:unhideWhenUsed/>
    <w:qFormat/>
    <w:rsid w:val="0062414A"/>
    <w:pPr>
      <w:spacing w:before="480" w:line="276" w:lineRule="auto"/>
      <w:outlineLvl w:val="9"/>
    </w:pPr>
    <w:rPr>
      <w:rFonts w:asciiTheme="majorHAnsi" w:hAnsiTheme="majorHAnsi"/>
      <w:color w:val="365F91" w:themeColor="accent1" w:themeShade="BF"/>
    </w:rPr>
  </w:style>
  <w:style w:type="table" w:customStyle="1" w:styleId="LightGrid-Accent11">
    <w:name w:val="Light Grid - Accent 11"/>
    <w:basedOn w:val="TableNormal"/>
    <w:uiPriority w:val="62"/>
    <w:rsid w:val="0062414A"/>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paragraph" w:styleId="NoSpacing">
    <w:name w:val="No Spacing"/>
    <w:uiPriority w:val="1"/>
    <w:qFormat/>
    <w:rsid w:val="0062414A"/>
    <w:pPr>
      <w:jc w:val="both"/>
    </w:pPr>
    <w:rPr>
      <w:rFonts w:eastAsiaTheme="minorHAnsi" w:cstheme="minorBidi"/>
      <w:sz w:val="24"/>
      <w:szCs w:val="22"/>
      <w:lang w:val="en-US" w:eastAsia="en-US"/>
    </w:rPr>
  </w:style>
  <w:style w:type="character" w:styleId="PlaceholderText">
    <w:name w:val="Placeholder Text"/>
    <w:basedOn w:val="DefaultParagraphFont"/>
    <w:uiPriority w:val="99"/>
    <w:semiHidden/>
    <w:rsid w:val="0062414A"/>
    <w:rPr>
      <w:color w:val="808080"/>
    </w:rPr>
  </w:style>
  <w:style w:type="paragraph" w:customStyle="1" w:styleId="m-4188834022657756158gmail-msolistparagraph">
    <w:name w:val="m_-4188834022657756158gmail-msolistparagraph"/>
    <w:basedOn w:val="Normal"/>
    <w:qFormat/>
    <w:rsid w:val="0062414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qFormat/>
    <w:rsid w:val="0062414A"/>
    <w:pPr>
      <w:spacing w:line="276" w:lineRule="auto"/>
    </w:pPr>
    <w:rPr>
      <w:rFonts w:ascii="Arial" w:eastAsia="Arial" w:hAnsi="Arial" w:cs="Arial"/>
      <w:sz w:val="22"/>
      <w:szCs w:val="22"/>
      <w:lang w:val="en-US" w:eastAsia="en-US"/>
    </w:rPr>
  </w:style>
  <w:style w:type="character" w:customStyle="1" w:styleId="CommentTextChar">
    <w:name w:val="Comment Text Char"/>
    <w:basedOn w:val="DefaultParagraphFont"/>
    <w:link w:val="CommentText"/>
    <w:uiPriority w:val="99"/>
    <w:semiHidden/>
    <w:qFormat/>
    <w:rsid w:val="0062414A"/>
    <w:rPr>
      <w:rFonts w:ascii="Arial" w:eastAsia="Arial" w:hAnsi="Arial" w:cs="Arial"/>
      <w:sz w:val="20"/>
      <w:szCs w:val="20"/>
    </w:rPr>
  </w:style>
  <w:style w:type="character" w:customStyle="1" w:styleId="CommentSubjectChar">
    <w:name w:val="Comment Subject Char"/>
    <w:basedOn w:val="CommentTextChar"/>
    <w:link w:val="CommentSubject"/>
    <w:uiPriority w:val="99"/>
    <w:semiHidden/>
    <w:rsid w:val="0062414A"/>
    <w:rPr>
      <w:rFonts w:ascii="Times New Roman" w:eastAsia="Arial" w:hAnsi="Times New Roman" w:cs="Arial"/>
      <w:b/>
      <w:bCs/>
      <w:color w:val="000000" w:themeColor="text1"/>
      <w:sz w:val="20"/>
      <w:szCs w:val="20"/>
      <w:lang w:val="en-GB"/>
    </w:rPr>
  </w:style>
  <w:style w:type="paragraph" w:customStyle="1" w:styleId="Default">
    <w:name w:val="Default"/>
    <w:rsid w:val="0062414A"/>
    <w:pPr>
      <w:autoSpaceDE w:val="0"/>
      <w:autoSpaceDN w:val="0"/>
      <w:adjustRightInd w:val="0"/>
    </w:pPr>
    <w:rPr>
      <w:rFonts w:ascii="Arial" w:eastAsiaTheme="minorHAnsi" w:hAnsi="Arial" w:cs="Arial"/>
      <w:color w:val="000000"/>
      <w:sz w:val="24"/>
      <w:szCs w:val="24"/>
      <w:lang w:val="en-US" w:eastAsia="en-US"/>
    </w:rPr>
  </w:style>
  <w:style w:type="character" w:customStyle="1" w:styleId="Heading5Char">
    <w:name w:val="Heading 5 Char"/>
    <w:basedOn w:val="DefaultParagraphFont"/>
    <w:link w:val="Heading5"/>
    <w:uiPriority w:val="9"/>
    <w:rsid w:val="0062414A"/>
    <w:rPr>
      <w:rFonts w:asciiTheme="majorHAnsi" w:eastAsiaTheme="majorEastAsia" w:hAnsiTheme="majorHAnsi" w:cstheme="majorBidi"/>
      <w:color w:val="244061" w:themeColor="accent1" w:themeShade="80"/>
      <w:sz w:val="24"/>
    </w:rPr>
  </w:style>
  <w:style w:type="character" w:customStyle="1" w:styleId="Heading6Char">
    <w:name w:val="Heading 6 Char"/>
    <w:basedOn w:val="DefaultParagraphFont"/>
    <w:link w:val="Heading6"/>
    <w:uiPriority w:val="9"/>
    <w:rsid w:val="0062414A"/>
    <w:rPr>
      <w:rFonts w:asciiTheme="majorHAnsi" w:eastAsiaTheme="majorEastAsia" w:hAnsiTheme="majorHAnsi" w:cstheme="majorBidi"/>
      <w:i/>
      <w:iCs/>
      <w:color w:val="244061" w:themeColor="accent1" w:themeShade="80"/>
      <w:sz w:val="24"/>
    </w:rPr>
  </w:style>
  <w:style w:type="paragraph" w:customStyle="1" w:styleId="TableParagraph">
    <w:name w:val="Table Paragraph"/>
    <w:basedOn w:val="Normal"/>
    <w:uiPriority w:val="1"/>
    <w:qFormat/>
    <w:rsid w:val="0062414A"/>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qFormat/>
    <w:rsid w:val="0062414A"/>
    <w:rPr>
      <w:rFonts w:ascii="Arial-BoldMT" w:hAnsi="Arial-BoldMT" w:hint="default"/>
      <w:b/>
      <w:bCs/>
      <w:color w:val="000000"/>
      <w:sz w:val="22"/>
      <w:szCs w:val="22"/>
    </w:rPr>
  </w:style>
  <w:style w:type="character" w:customStyle="1" w:styleId="DocumentMapChar">
    <w:name w:val="Document Map Char"/>
    <w:basedOn w:val="DefaultParagraphFont"/>
    <w:link w:val="DocumentMap"/>
    <w:uiPriority w:val="99"/>
    <w:semiHidden/>
    <w:rsid w:val="0062414A"/>
    <w:rPr>
      <w:rFonts w:ascii="Tahoma" w:hAnsi="Tahoma" w:cs="Tahoma"/>
      <w:sz w:val="16"/>
      <w:szCs w:val="16"/>
    </w:rPr>
  </w:style>
  <w:style w:type="character" w:customStyle="1" w:styleId="BodyText3Char">
    <w:name w:val="Body Text 3 Char"/>
    <w:basedOn w:val="DefaultParagraphFont"/>
    <w:link w:val="BodyText3"/>
    <w:rsid w:val="0062414A"/>
    <w:rPr>
      <w:rFonts w:ascii="Arial" w:eastAsia="Times New Roman" w:hAnsi="Arial" w:cs="Times New Roman"/>
      <w:b/>
      <w:bCs/>
      <w:sz w:val="24"/>
      <w:szCs w:val="20"/>
      <w:lang w:val="lv-LV"/>
    </w:rPr>
  </w:style>
  <w:style w:type="paragraph" w:customStyle="1" w:styleId="ID-text">
    <w:name w:val="ID-text"/>
    <w:basedOn w:val="Normal"/>
    <w:qFormat/>
    <w:rsid w:val="0062414A"/>
    <w:pPr>
      <w:ind w:firstLine="567"/>
    </w:pPr>
    <w:rPr>
      <w:rFonts w:eastAsia="Times New Roman" w:cs="Times New Roman"/>
      <w:szCs w:val="24"/>
      <w:shd w:val="clear" w:color="auto" w:fill="auto"/>
      <w:lang w:val="ru-RU" w:eastAsia="lv-LV"/>
    </w:rPr>
  </w:style>
  <w:style w:type="character" w:customStyle="1" w:styleId="BodyTextChar">
    <w:name w:val="Body Text Char"/>
    <w:basedOn w:val="DefaultParagraphFont"/>
    <w:link w:val="BodyText"/>
    <w:uiPriority w:val="99"/>
    <w:semiHidden/>
    <w:rsid w:val="0062414A"/>
    <w:rPr>
      <w:rFonts w:ascii="Times New Roman" w:hAnsi="Times New Roman"/>
      <w:sz w:val="24"/>
    </w:rPr>
  </w:style>
  <w:style w:type="table" w:customStyle="1" w:styleId="LightGrid-Accent12">
    <w:name w:val="Light Grid - Accent 12"/>
    <w:basedOn w:val="TableNormal"/>
    <w:uiPriority w:val="62"/>
    <w:qFormat/>
    <w:rsid w:val="0062414A"/>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character" w:customStyle="1" w:styleId="ListParagraphChar">
    <w:name w:val="List Paragraph Char"/>
    <w:link w:val="ListParagraph"/>
    <w:uiPriority w:val="34"/>
    <w:locked/>
    <w:rsid w:val="0062414A"/>
    <w:rPr>
      <w:rFonts w:ascii="Times New Roman" w:hAnsi="Times New Roman"/>
      <w:sz w:val="24"/>
      <w:lang w:val="ms-MY"/>
    </w:rPr>
  </w:style>
  <w:style w:type="table" w:customStyle="1" w:styleId="LightShading-Accent11">
    <w:name w:val="Light Shading - Accent 11"/>
    <w:basedOn w:val="TableNormal"/>
    <w:uiPriority w:val="60"/>
    <w:qFormat/>
    <w:rsid w:val="0062414A"/>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qFormat/>
    <w:rsid w:val="0062414A"/>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BodyTextIndent2Char">
    <w:name w:val="Body Text Indent 2 Char"/>
    <w:basedOn w:val="DefaultParagraphFont"/>
    <w:link w:val="BodyTextIndent2"/>
    <w:uiPriority w:val="99"/>
    <w:semiHidden/>
    <w:qFormat/>
    <w:rsid w:val="0062414A"/>
    <w:rPr>
      <w:rFonts w:ascii="Times New Roman" w:hAnsi="Times New Roman"/>
      <w:sz w:val="24"/>
    </w:rPr>
  </w:style>
  <w:style w:type="character" w:customStyle="1" w:styleId="SubtitleChar">
    <w:name w:val="Subtitle Char"/>
    <w:basedOn w:val="DefaultParagraphFont"/>
    <w:link w:val="Subtitle"/>
    <w:uiPriority w:val="11"/>
    <w:qFormat/>
    <w:rsid w:val="0062414A"/>
    <w:rPr>
      <w:rFonts w:asciiTheme="majorHAnsi" w:eastAsiaTheme="majorEastAsia" w:hAnsiTheme="majorHAnsi" w:cstheme="majorBidi"/>
      <w:i/>
      <w:iCs/>
      <w:color w:val="4F81BD" w:themeColor="accent1"/>
      <w:spacing w:val="15"/>
      <w:sz w:val="24"/>
      <w:szCs w:val="24"/>
    </w:rPr>
  </w:style>
  <w:style w:type="character" w:customStyle="1" w:styleId="UnresolvedMention1">
    <w:name w:val="Unresolved Mention1"/>
    <w:basedOn w:val="DefaultParagraphFont"/>
    <w:uiPriority w:val="99"/>
    <w:semiHidden/>
    <w:unhideWhenUsed/>
    <w:qFormat/>
    <w:rsid w:val="0062414A"/>
    <w:rPr>
      <w:color w:val="605E5C"/>
      <w:shd w:val="clear" w:color="auto" w:fill="E1DFDD"/>
    </w:rPr>
  </w:style>
  <w:style w:type="table" w:customStyle="1" w:styleId="PlainTable11">
    <w:name w:val="Plain Table 11"/>
    <w:basedOn w:val="TableNormal"/>
    <w:uiPriority w:val="41"/>
    <w:qFormat/>
    <w:rsid w:val="0062414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qFormat/>
    <w:rsid w:val="0062414A"/>
    <w:tblPr>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paragraph" w:customStyle="1" w:styleId="Revision1">
    <w:name w:val="Revision1"/>
    <w:hidden/>
    <w:uiPriority w:val="99"/>
    <w:semiHidden/>
    <w:qFormat/>
    <w:rsid w:val="0062414A"/>
    <w:rPr>
      <w:rFonts w:eastAsiaTheme="minorHAnsi" w:cstheme="minorBidi"/>
      <w:sz w:val="24"/>
      <w:szCs w:val="22"/>
      <w:shd w:val="clear" w:color="auto" w:fill="FFFFFF"/>
      <w:lang w:val="en-US" w:eastAsia="en-US"/>
    </w:rPr>
  </w:style>
  <w:style w:type="character" w:customStyle="1" w:styleId="UnresolvedMention2">
    <w:name w:val="Unresolved Mention2"/>
    <w:basedOn w:val="DefaultParagraphFont"/>
    <w:uiPriority w:val="99"/>
    <w:semiHidden/>
    <w:unhideWhenUsed/>
    <w:rsid w:val="008B3B13"/>
    <w:rPr>
      <w:color w:val="605E5C"/>
      <w:shd w:val="clear" w:color="auto" w:fill="E1DFDD"/>
    </w:rPr>
  </w:style>
  <w:style w:type="paragraph" w:styleId="TOCHeading">
    <w:name w:val="TOC Heading"/>
    <w:basedOn w:val="Heading1"/>
    <w:next w:val="Normal"/>
    <w:uiPriority w:val="39"/>
    <w:unhideWhenUsed/>
    <w:qFormat/>
    <w:rsid w:val="003609EE"/>
    <w:pPr>
      <w:spacing w:before="240" w:line="259" w:lineRule="auto"/>
      <w:outlineLvl w:val="9"/>
    </w:pPr>
    <w:rPr>
      <w:rFonts w:asciiTheme="majorHAnsi" w:hAnsiTheme="majorHAnsi"/>
      <w:b w:val="0"/>
      <w:bCs w:val="0"/>
      <w:color w:val="365F91" w:themeColor="accent1" w:themeShade="BF"/>
      <w:sz w:val="32"/>
      <w:szCs w:val="32"/>
      <w:shd w:val="clear" w:color="auto" w:fill="auto"/>
      <w:lang w:val="en-US"/>
    </w:rPr>
  </w:style>
  <w:style w:type="table" w:styleId="LightList">
    <w:name w:val="Light List"/>
    <w:basedOn w:val="TableNormal"/>
    <w:uiPriority w:val="61"/>
    <w:rsid w:val="00C64864"/>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225000">
      <w:bodyDiv w:val="1"/>
      <w:marLeft w:val="0"/>
      <w:marRight w:val="0"/>
      <w:marTop w:val="0"/>
      <w:marBottom w:val="0"/>
      <w:divBdr>
        <w:top w:val="none" w:sz="0" w:space="0" w:color="auto"/>
        <w:left w:val="none" w:sz="0" w:space="0" w:color="auto"/>
        <w:bottom w:val="none" w:sz="0" w:space="0" w:color="auto"/>
        <w:right w:val="none" w:sz="0" w:space="0" w:color="auto"/>
      </w:divBdr>
    </w:div>
    <w:div w:id="433012894">
      <w:bodyDiv w:val="1"/>
      <w:marLeft w:val="0"/>
      <w:marRight w:val="0"/>
      <w:marTop w:val="0"/>
      <w:marBottom w:val="0"/>
      <w:divBdr>
        <w:top w:val="none" w:sz="0" w:space="0" w:color="auto"/>
        <w:left w:val="none" w:sz="0" w:space="0" w:color="auto"/>
        <w:bottom w:val="none" w:sz="0" w:space="0" w:color="auto"/>
        <w:right w:val="none" w:sz="0" w:space="0" w:color="auto"/>
      </w:divBdr>
    </w:div>
    <w:div w:id="1349019347">
      <w:bodyDiv w:val="1"/>
      <w:marLeft w:val="0"/>
      <w:marRight w:val="0"/>
      <w:marTop w:val="0"/>
      <w:marBottom w:val="0"/>
      <w:divBdr>
        <w:top w:val="none" w:sz="0" w:space="0" w:color="auto"/>
        <w:left w:val="none" w:sz="0" w:space="0" w:color="auto"/>
        <w:bottom w:val="none" w:sz="0" w:space="0" w:color="auto"/>
        <w:right w:val="none" w:sz="0" w:space="0" w:color="auto"/>
      </w:divBdr>
    </w:div>
    <w:div w:id="1548755206">
      <w:bodyDiv w:val="1"/>
      <w:marLeft w:val="0"/>
      <w:marRight w:val="0"/>
      <w:marTop w:val="0"/>
      <w:marBottom w:val="0"/>
      <w:divBdr>
        <w:top w:val="none" w:sz="0" w:space="0" w:color="auto"/>
        <w:left w:val="none" w:sz="0" w:space="0" w:color="auto"/>
        <w:bottom w:val="none" w:sz="0" w:space="0" w:color="auto"/>
        <w:right w:val="none" w:sz="0" w:space="0" w:color="auto"/>
      </w:divBdr>
    </w:div>
    <w:div w:id="1926373900">
      <w:bodyDiv w:val="1"/>
      <w:marLeft w:val="0"/>
      <w:marRight w:val="0"/>
      <w:marTop w:val="0"/>
      <w:marBottom w:val="0"/>
      <w:divBdr>
        <w:top w:val="none" w:sz="0" w:space="0" w:color="auto"/>
        <w:left w:val="none" w:sz="0" w:space="0" w:color="auto"/>
        <w:bottom w:val="none" w:sz="0" w:space="0" w:color="auto"/>
        <w:right w:val="none" w:sz="0" w:space="0" w:color="auto"/>
      </w:divBdr>
    </w:div>
    <w:div w:id="21349043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bn.idsi.md/sites/default/files/imag_file/105-120_1.pdf" TargetMode="External"/><Relationship Id="rId18" Type="http://schemas.openxmlformats.org/officeDocument/2006/relationships/hyperlink" Target="https://www.sciencedirect.com/science/article/pii/S0040162522003699" TargetMode="External"/><Relationship Id="rId26" Type="http://schemas.openxmlformats.org/officeDocument/2006/relationships/hyperlink" Target="https://papers.ssrn.com/sol3/Delivery.cfm?abstractid=3380881" TargetMode="External"/><Relationship Id="rId39" Type="http://schemas.openxmlformats.org/officeDocument/2006/relationships/hyperlink" Target="https://www.volkswagen-group.com/en/about-us-16013" TargetMode="External"/><Relationship Id="rId21" Type="http://schemas.openxmlformats.org/officeDocument/2006/relationships/hyperlink" Target="https://jurnal.unismuhpalu.ac.id/index.php/IJHESS/article/download/3611/2789" TargetMode="External"/><Relationship Id="rId34" Type="http://schemas.openxmlformats.org/officeDocument/2006/relationships/hyperlink" Target="https://books.google.com/books?hl=en&amp;lr=&amp;id=PAEJEQAAQBAJ&amp;oi=fnd&amp;pg=PA226&amp;dq=Enhancing+liquidity+involves+managing+the+working+capital+elements,+such+as+inventory,+receivable+and+payable+comprehensively&amp;ots=b9pTIh-AfW&amp;sig=D-7O2U9O7wgXXpa4h9newv-rt_4" TargetMode="External"/><Relationship Id="rId42" Type="http://schemas.openxmlformats.org/officeDocument/2006/relationships/image" Target="media/image2.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tlantis-press.com/article/125971510.pdf" TargetMode="External"/><Relationship Id="rId29" Type="http://schemas.openxmlformats.org/officeDocument/2006/relationships/hyperlink" Target="https://ojs.apspublisher.com/index.php/apemr/article/download/799/6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utocarpro.in/news/bev-sales-in-europe-jump-27-to-159746-units-in-august-128871" TargetMode="External"/><Relationship Id="rId24" Type="http://schemas.openxmlformats.org/officeDocument/2006/relationships/hyperlink" Target="https://www.sciencedirect.com/science/article/pii/S2199853123001415" TargetMode="External"/><Relationship Id="rId32" Type="http://schemas.openxmlformats.org/officeDocument/2006/relationships/hyperlink" Target="https://books.google.com/books?hl=en&amp;lr=&amp;id=o3wpEQAAQBAJ&amp;oi=fnd&amp;pg=PP1&amp;dq=Accounting+rate+of+return+(ARR)+is+u&amp;ots=pFYUPtCXun&amp;sig=ydgMDCkugSIryHDqkxZqUi7lf44" TargetMode="External"/><Relationship Id="rId37" Type="http://schemas.openxmlformats.org/officeDocument/2006/relationships/hyperlink" Target="https://www.ijfrah.org/journal/article/download/54/55" TargetMode="External"/><Relationship Id="rId40" Type="http://schemas.openxmlformats.org/officeDocument/2006/relationships/hyperlink" Target="https://www.volkswagen-group.com/en/financial-reports-18134"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apers.ssrn.com/sol3/Delivery.cfm?abstractid=3183777" TargetMode="External"/><Relationship Id="rId23" Type="http://schemas.openxmlformats.org/officeDocument/2006/relationships/hyperlink" Target="https://pmc.ncbi.nlm.nih.gov/articles/PMC9307712/pdf/43069_2022_Article_155.pdf" TargetMode="External"/><Relationship Id="rId28" Type="http://schemas.openxmlformats.org/officeDocument/2006/relationships/hyperlink" Target="https://pubsonline.informs.org/doi/full/10.1287/mnsc.2021.02755" TargetMode="External"/><Relationship Id="rId36" Type="http://schemas.openxmlformats.org/officeDocument/2006/relationships/hyperlink" Target="https://www.researchgate.net/profile/Navid-Asgari-2/publication/363391042_Divestment_of_relational_assets_following_acquisitions_Evidence_from_the_biopharmaceutical_industry/links/632f783b86b22d3db4dc126c/Divestment-of-relational-assets-following-acquisitions-Evidence-from-the-biopharmaceutical-industry.pdf" TargetMode="External"/><Relationship Id="rId10" Type="http://schemas.openxmlformats.org/officeDocument/2006/relationships/hyperlink" Target="https://www.academia.edu/download/106769993/cash-conversion-cycle-and-firms-performance.pdf" TargetMode="External"/><Relationship Id="rId19" Type="http://schemas.openxmlformats.org/officeDocument/2006/relationships/hyperlink" Target="https://www.academia.edu/download/78884993/219_JIFM.pdf" TargetMode="External"/><Relationship Id="rId31" Type="http://schemas.openxmlformats.org/officeDocument/2006/relationships/hyperlink" Target="https://onlinelibrary.wiley.com/doi/pdf/10.1111/twec.13345"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dfs.semanticscholar.org/b297/a823988fa5f3b58516df9f08c16c2c20d0e5.pdf" TargetMode="External"/><Relationship Id="rId14" Type="http://schemas.openxmlformats.org/officeDocument/2006/relationships/hyperlink" Target="https://blogs.kcl.ac.uk/kslr/files/2024/04/Choudhury-and-Madhia-Article.pdf" TargetMode="External"/><Relationship Id="rId22" Type="http://schemas.openxmlformats.org/officeDocument/2006/relationships/hyperlink" Target="https://papers.ssrn.com/sol3/Delivery.cfm?abstractid=4242277" TargetMode="External"/><Relationship Id="rId27" Type="http://schemas.openxmlformats.org/officeDocument/2006/relationships/hyperlink" Target="https://jurnal.tazkia.ac.id/index.php/jicab/article/download/445/405" TargetMode="External"/><Relationship Id="rId30" Type="http://schemas.openxmlformats.org/officeDocument/2006/relationships/hyperlink" Target="https://papers.ssrn.com/sol3/Delivery.cfm?abstractid=4584665" TargetMode="External"/><Relationship Id="rId35" Type="http://schemas.openxmlformats.org/officeDocument/2006/relationships/hyperlink" Target="https://pdfs.semanticscholar.org/35f5/923a958b071288b38d4e960e8268477ec19a.pdf" TargetMode="External"/><Relationship Id="rId43" Type="http://schemas.openxmlformats.org/officeDocument/2006/relationships/image" Target="media/image3.emf"/><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ir-library.ku.ac.ke/server/api/core/bitstreams/a97b1122-d953-4ed9-a64d-c72c7ffe57a7/content" TargetMode="External"/><Relationship Id="rId17" Type="http://schemas.openxmlformats.org/officeDocument/2006/relationships/hyperlink" Target="https://rku.ac.in/icostart2022/books/14-management-jenil-gandhi-(127-141).pdf" TargetMode="External"/><Relationship Id="rId25" Type="http://schemas.openxmlformats.org/officeDocument/2006/relationships/hyperlink" Target="https://ijsetm.my.id/index.php/ijsetm/article/download/1/1" TargetMode="External"/><Relationship Id="rId33" Type="http://schemas.openxmlformats.org/officeDocument/2006/relationships/hyperlink" Targe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 TargetMode="External"/><Relationship Id="rId38" Type="http://schemas.openxmlformats.org/officeDocument/2006/relationships/hyperlink" Target="https://dspace.tul.cz/bitstreams/3ed2d733-548f-4e3b-b76d-005d52aa482e/download" TargetMode="External"/><Relationship Id="rId46" Type="http://schemas.openxmlformats.org/officeDocument/2006/relationships/theme" Target="theme/theme1.xml"/><Relationship Id="rId20" Type="http://schemas.openxmlformats.org/officeDocument/2006/relationships/hyperlink" Target="https://www.academia.edu/download/103244501/COLLECTIONS_POLICY_AND_FINANCIAL_PERFROMANCE.pdf" TargetMode="External"/><Relationship Id="rId41" Type="http://schemas.openxmlformats.org/officeDocument/2006/relationships/hyperlink" Target="https://www.atlantis-press.com/article/12597169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8045E15F-B74F-419C-9AE3-1C5F4C6EF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29</Pages>
  <Words>7793</Words>
  <Characters>44422</Characters>
  <Application>Microsoft Office Word</Application>
  <DocSecurity>0</DocSecurity>
  <Lines>370</Lines>
  <Paragraphs>104</Paragraphs>
  <ScaleCrop>false</ScaleCrop>
  <Company/>
  <LinksUpToDate>false</LinksUpToDate>
  <CharactersWithSpaces>52111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Om Alpeshbhai Patel</cp:lastModifiedBy>
  <cp:revision>8</cp:revision>
  <dcterms:created xsi:type="dcterms:W3CDTF">2026-04-24T08:33:00Z</dcterms:created>
  <dcterms:modified xsi:type="dcterms:W3CDTF">2026-04-24T11:16:00Z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0e655e9b95e139f7760fabf4e9ffac22441c9681461ef6e1f4ef1d01ef6a5c9d</vt:lpwstr>
  </property>
  <property fmtid="{D5CDD505-2E9C-101B-9397-08002B2CF9AE}" pid="3" name="Mendeley Citation Style_1">
    <vt:lpwstr>http://www.zotero.org/styles/harvard-educational-review</vt:lpwstr>
  </property>
  <property fmtid="{D5CDD505-2E9C-101B-9397-08002B2CF9AE}" pid="4" name="Mendeley Document_1">
    <vt:lpwstr>True</vt:lpwstr>
  </property>
  <property fmtid="{D5CDD505-2E9C-101B-9397-08002B2CF9AE}" pid="5" name="Mendeley Recent Style Id 0_1">
    <vt:lpwstr>http://www.zotero.org/styles/american-political-science-association</vt:lpwstr>
  </property>
  <property fmtid="{D5CDD505-2E9C-101B-9397-08002B2CF9AE}" pid="6" name="Mendeley Recent Style Id 1_1">
    <vt:lpwstr>http://www.zotero.org/styles/apa</vt:lpwstr>
  </property>
  <property fmtid="{D5CDD505-2E9C-101B-9397-08002B2CF9AE}" pid="7" name="Mendeley Recent Style Id 2_1">
    <vt:lpwstr>http://www.zotero.org/styles/american-sociological-association</vt:lpwstr>
  </property>
  <property fmtid="{D5CDD505-2E9C-101B-9397-08002B2CF9AE}" pid="8" name="Mendeley Recent Style Id 3_1">
    <vt:lpwstr>http://www.zotero.org/styles/chicago-author-date</vt:lpwstr>
  </property>
  <property fmtid="{D5CDD505-2E9C-101B-9397-08002B2CF9AE}" pid="9" name="Mendeley Recent Style Id 4_1">
    <vt:lpwstr>http://www.zotero.org/styles/harvard-cite-them-right</vt:lpwstr>
  </property>
  <property fmtid="{D5CDD505-2E9C-101B-9397-08002B2CF9AE}" pid="10" name="Mendeley Recent Style Id 5_1">
    <vt:lpwstr>http://www.zotero.org/styles/harvard-educational-review</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Political Science Association</vt:lpwstr>
  </property>
  <property fmtid="{D5CDD505-2E9C-101B-9397-08002B2CF9AE}" pid="16" name="Mendeley Recent Style Name 1_1">
    <vt:lpwstr>American Psychological Association 6th edition</vt:lpwstr>
  </property>
  <property fmtid="{D5CDD505-2E9C-101B-9397-08002B2CF9AE}" pid="17" name="Mendeley Recent Style Name 2_1">
    <vt:lpwstr>American Sociological Association</vt:lpwstr>
  </property>
  <property fmtid="{D5CDD505-2E9C-101B-9397-08002B2CF9AE}" pid="18" name="Mendeley Recent Style Name 3_1">
    <vt:lpwstr>Chicago Manual of Style 17th edition (author-date)</vt:lpwstr>
  </property>
  <property fmtid="{D5CDD505-2E9C-101B-9397-08002B2CF9AE}" pid="19" name="Mendeley Recent Style Name 4_1">
    <vt:lpwstr>Cite Them Right 10th edition - Harvard</vt:lpwstr>
  </property>
  <property fmtid="{D5CDD505-2E9C-101B-9397-08002B2CF9AE}" pid="20" name="Mendeley Recent Style Name 5_1">
    <vt:lpwstr>Harvard Educational Review</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491cc77e-80c4-362a-b90b-4735051bf006</vt:lpwstr>
  </property>
  <property fmtid="{D5CDD505-2E9C-101B-9397-08002B2CF9AE}" pid="26" name="KSOProductBuildVer">
    <vt:lpwstr>1033-12.2.0.22549</vt:lpwstr>
  </property>
  <property fmtid="{D5CDD505-2E9C-101B-9397-08002B2CF9AE}" pid="27" name="ICV">
    <vt:lpwstr>812999182EDD4FCA85C1793CA805BE73_12</vt:lpwstr>
  </property>
</Properties>
</file>