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F2068B" w14:textId="77777777" w:rsidR="008D43DA" w:rsidRDefault="008D43DA" w:rsidP="008D43DA">
      <w:pPr>
        <w:spacing w:line="259" w:lineRule="auto"/>
        <w:jc w:val="center"/>
        <w:rPr>
          <w:rFonts w:asciiTheme="minorBidi" w:hAnsiTheme="minorBidi"/>
          <w:sz w:val="22"/>
        </w:rPr>
      </w:pPr>
      <w:bookmarkStart w:id="0" w:name="_GoBack"/>
      <w:bookmarkEnd w:id="0"/>
    </w:p>
    <w:p w14:paraId="32579DB3" w14:textId="77777777" w:rsidR="008D43DA" w:rsidRDefault="008D43DA" w:rsidP="008D43DA">
      <w:pPr>
        <w:spacing w:line="259" w:lineRule="auto"/>
        <w:jc w:val="center"/>
        <w:rPr>
          <w:rFonts w:asciiTheme="minorBidi" w:hAnsiTheme="minorBidi"/>
          <w:sz w:val="22"/>
        </w:rPr>
      </w:pPr>
    </w:p>
    <w:p w14:paraId="31D079FB" w14:textId="77777777" w:rsidR="008D43DA" w:rsidRDefault="008D43DA" w:rsidP="008D43DA">
      <w:pPr>
        <w:spacing w:line="259" w:lineRule="auto"/>
        <w:jc w:val="center"/>
        <w:rPr>
          <w:rFonts w:asciiTheme="minorBidi" w:hAnsiTheme="minorBidi"/>
          <w:sz w:val="22"/>
        </w:rPr>
      </w:pPr>
    </w:p>
    <w:p w14:paraId="45C94298" w14:textId="77777777" w:rsidR="008D43DA" w:rsidRDefault="008D43DA" w:rsidP="008D43DA">
      <w:pPr>
        <w:spacing w:line="259" w:lineRule="auto"/>
        <w:jc w:val="center"/>
        <w:rPr>
          <w:rFonts w:asciiTheme="minorBidi" w:hAnsiTheme="minorBidi"/>
          <w:sz w:val="22"/>
        </w:rPr>
      </w:pPr>
    </w:p>
    <w:p w14:paraId="51264183" w14:textId="1656B050" w:rsidR="00423F46" w:rsidRPr="001F566B" w:rsidRDefault="00423F46" w:rsidP="00423F46">
      <w:pPr>
        <w:jc w:val="center"/>
        <w:rPr>
          <w:rFonts w:ascii="Arial" w:hAnsi="Arial" w:cs="Arial"/>
          <w:sz w:val="22"/>
        </w:rPr>
      </w:pPr>
      <w:r w:rsidRPr="001F566B">
        <w:rPr>
          <w:rFonts w:ascii="Arial" w:hAnsi="Arial" w:cs="Arial"/>
          <w:sz w:val="22"/>
        </w:rPr>
        <w:t>Student Name: Alaur Rahman</w:t>
      </w:r>
    </w:p>
    <w:p w14:paraId="16B6B7D8" w14:textId="79AA8931" w:rsidR="00423F46" w:rsidRPr="001F566B" w:rsidRDefault="00423F46" w:rsidP="00423F46">
      <w:pPr>
        <w:jc w:val="center"/>
        <w:rPr>
          <w:rFonts w:ascii="Arial" w:hAnsi="Arial" w:cs="Arial"/>
          <w:sz w:val="22"/>
        </w:rPr>
      </w:pPr>
      <w:r w:rsidRPr="001F566B">
        <w:rPr>
          <w:rFonts w:ascii="Arial" w:hAnsi="Arial" w:cs="Arial"/>
          <w:sz w:val="22"/>
        </w:rPr>
        <w:t>Student ID: 212348</w:t>
      </w:r>
    </w:p>
    <w:p w14:paraId="1FF37363" w14:textId="3971692A" w:rsidR="00640FC0" w:rsidRPr="001F566B" w:rsidRDefault="00640FC0" w:rsidP="008D43DA">
      <w:pPr>
        <w:spacing w:line="259" w:lineRule="auto"/>
        <w:jc w:val="center"/>
        <w:rPr>
          <w:rFonts w:ascii="Arial" w:hAnsi="Arial" w:cs="Arial"/>
          <w:sz w:val="22"/>
        </w:rPr>
      </w:pPr>
      <w:r w:rsidRPr="001F566B">
        <w:rPr>
          <w:rFonts w:ascii="Arial" w:hAnsi="Arial" w:cs="Arial"/>
          <w:sz w:val="22"/>
        </w:rPr>
        <w:t xml:space="preserve">Module Code and Name: </w:t>
      </w:r>
      <w:r w:rsidR="00EB2FBA" w:rsidRPr="001F566B">
        <w:rPr>
          <w:rFonts w:ascii="Arial" w:hAnsi="Arial" w:cs="Arial"/>
          <w:sz w:val="22"/>
        </w:rPr>
        <w:t>LCHS4004</w:t>
      </w:r>
      <w:r w:rsidRPr="001F566B">
        <w:rPr>
          <w:rFonts w:ascii="Arial" w:hAnsi="Arial" w:cs="Arial"/>
          <w:sz w:val="22"/>
        </w:rPr>
        <w:t xml:space="preserve"> </w:t>
      </w:r>
      <w:r w:rsidR="00EB2FBA" w:rsidRPr="001F566B">
        <w:rPr>
          <w:rFonts w:ascii="Arial" w:hAnsi="Arial" w:cs="Arial"/>
          <w:bCs/>
          <w:sz w:val="22"/>
        </w:rPr>
        <w:t>Introduction to Public Health</w:t>
      </w:r>
    </w:p>
    <w:p w14:paraId="426CB2DB" w14:textId="3C967A92" w:rsidR="00446E1D" w:rsidRPr="008D43DA" w:rsidRDefault="00640FC0" w:rsidP="008D43DA">
      <w:pPr>
        <w:spacing w:line="259" w:lineRule="auto"/>
        <w:jc w:val="center"/>
        <w:rPr>
          <w:rFonts w:ascii="Arial" w:hAnsi="Arial" w:cs="Arial"/>
          <w:bCs/>
          <w:sz w:val="22"/>
        </w:rPr>
      </w:pPr>
      <w:r w:rsidRPr="001F566B">
        <w:rPr>
          <w:rFonts w:ascii="Arial" w:hAnsi="Arial" w:cs="Arial"/>
          <w:bCs/>
          <w:sz w:val="22"/>
        </w:rPr>
        <w:t>Assignment Title: Component 1 – Incidence of disease in communities.</w:t>
      </w:r>
      <w:r w:rsidRPr="008D43DA">
        <w:rPr>
          <w:rFonts w:ascii="Arial" w:hAnsi="Arial" w:cs="Arial"/>
          <w:bCs/>
          <w:sz w:val="22"/>
        </w:rPr>
        <w:t xml:space="preserve"> </w:t>
      </w:r>
      <w:r w:rsidR="00446E1D" w:rsidRPr="008D43DA">
        <w:rPr>
          <w:rFonts w:ascii="Arial" w:hAnsi="Arial" w:cs="Arial"/>
          <w:sz w:val="22"/>
        </w:rPr>
        <w:br w:type="page"/>
      </w:r>
    </w:p>
    <w:sdt>
      <w:sdtPr>
        <w:rPr>
          <w:rFonts w:ascii="Arial" w:eastAsiaTheme="minorHAnsi" w:hAnsi="Arial" w:cs="Arial"/>
          <w:color w:val="auto"/>
          <w:sz w:val="22"/>
          <w:szCs w:val="22"/>
          <w:lang w:val="en-GB"/>
        </w:rPr>
        <w:id w:val="1572924285"/>
        <w:docPartObj>
          <w:docPartGallery w:val="Table of Contents"/>
          <w:docPartUnique/>
        </w:docPartObj>
      </w:sdtPr>
      <w:sdtEndPr>
        <w:rPr>
          <w:b/>
          <w:bCs/>
          <w:noProof/>
        </w:rPr>
      </w:sdtEndPr>
      <w:sdtContent>
        <w:p w14:paraId="5F164CEE" w14:textId="77777777" w:rsidR="00446E1D" w:rsidRPr="008D43DA" w:rsidRDefault="00446E1D">
          <w:pPr>
            <w:pStyle w:val="TOCHeading"/>
            <w:rPr>
              <w:rFonts w:ascii="Arial" w:hAnsi="Arial" w:cs="Arial"/>
              <w:sz w:val="22"/>
              <w:szCs w:val="22"/>
              <w:lang w:val="en-GB"/>
            </w:rPr>
          </w:pPr>
          <w:r w:rsidRPr="008D43DA">
            <w:rPr>
              <w:rFonts w:ascii="Arial" w:hAnsi="Arial" w:cs="Arial"/>
              <w:sz w:val="22"/>
              <w:szCs w:val="22"/>
              <w:lang w:val="en-GB"/>
            </w:rPr>
            <w:t>Contents</w:t>
          </w:r>
        </w:p>
        <w:p w14:paraId="764543C1" w14:textId="63A468AA" w:rsidR="008D43DA" w:rsidRPr="008D43DA" w:rsidRDefault="00446E1D">
          <w:pPr>
            <w:pStyle w:val="TOC1"/>
            <w:tabs>
              <w:tab w:val="right" w:leader="dot" w:pos="9350"/>
            </w:tabs>
            <w:rPr>
              <w:rFonts w:asciiTheme="minorHAnsi" w:eastAsiaTheme="minorEastAsia" w:hAnsiTheme="minorHAnsi"/>
              <w:noProof/>
              <w:sz w:val="22"/>
              <w:lang w:val="en-US"/>
            </w:rPr>
          </w:pPr>
          <w:r w:rsidRPr="008D43DA">
            <w:rPr>
              <w:rFonts w:ascii="Arial" w:hAnsi="Arial" w:cs="Arial"/>
              <w:sz w:val="22"/>
            </w:rPr>
            <w:fldChar w:fldCharType="begin"/>
          </w:r>
          <w:r w:rsidRPr="008D43DA">
            <w:rPr>
              <w:rFonts w:ascii="Arial" w:hAnsi="Arial" w:cs="Arial"/>
              <w:sz w:val="22"/>
            </w:rPr>
            <w:instrText xml:space="preserve"> TOC \o "1-3" \h \z \u </w:instrText>
          </w:r>
          <w:r w:rsidRPr="008D43DA">
            <w:rPr>
              <w:rFonts w:ascii="Arial" w:hAnsi="Arial" w:cs="Arial"/>
              <w:sz w:val="22"/>
            </w:rPr>
            <w:fldChar w:fldCharType="separate"/>
          </w:r>
          <w:hyperlink w:anchor="_Toc117894926" w:history="1">
            <w:r w:rsidR="008D43DA" w:rsidRPr="008D43DA">
              <w:rPr>
                <w:rStyle w:val="Hyperlink"/>
                <w:rFonts w:ascii="Arial" w:hAnsi="Arial" w:cs="Arial"/>
                <w:noProof/>
                <w:sz w:val="22"/>
              </w:rPr>
              <w:t>Introduction</w:t>
            </w:r>
            <w:r w:rsidR="008D43DA" w:rsidRPr="008D43DA">
              <w:rPr>
                <w:noProof/>
                <w:webHidden/>
                <w:sz w:val="22"/>
              </w:rPr>
              <w:tab/>
            </w:r>
            <w:r w:rsidR="008D43DA" w:rsidRPr="008D43DA">
              <w:rPr>
                <w:noProof/>
                <w:webHidden/>
                <w:sz w:val="22"/>
              </w:rPr>
              <w:fldChar w:fldCharType="begin"/>
            </w:r>
            <w:r w:rsidR="008D43DA" w:rsidRPr="008D43DA">
              <w:rPr>
                <w:noProof/>
                <w:webHidden/>
                <w:sz w:val="22"/>
              </w:rPr>
              <w:instrText xml:space="preserve"> PAGEREF _Toc117894926 \h </w:instrText>
            </w:r>
            <w:r w:rsidR="008D43DA" w:rsidRPr="008D43DA">
              <w:rPr>
                <w:noProof/>
                <w:webHidden/>
                <w:sz w:val="22"/>
              </w:rPr>
            </w:r>
            <w:r w:rsidR="008D43DA" w:rsidRPr="008D43DA">
              <w:rPr>
                <w:noProof/>
                <w:webHidden/>
                <w:sz w:val="22"/>
              </w:rPr>
              <w:fldChar w:fldCharType="separate"/>
            </w:r>
            <w:r w:rsidR="008D43DA" w:rsidRPr="008D43DA">
              <w:rPr>
                <w:noProof/>
                <w:webHidden/>
                <w:sz w:val="22"/>
              </w:rPr>
              <w:t>3</w:t>
            </w:r>
            <w:r w:rsidR="008D43DA" w:rsidRPr="008D43DA">
              <w:rPr>
                <w:noProof/>
                <w:webHidden/>
                <w:sz w:val="22"/>
              </w:rPr>
              <w:fldChar w:fldCharType="end"/>
            </w:r>
          </w:hyperlink>
        </w:p>
        <w:p w14:paraId="5A4536F3" w14:textId="14698E7D" w:rsidR="008D43DA" w:rsidRPr="008D43DA" w:rsidRDefault="008E78BA">
          <w:pPr>
            <w:pStyle w:val="TOC1"/>
            <w:tabs>
              <w:tab w:val="right" w:leader="dot" w:pos="9350"/>
            </w:tabs>
            <w:rPr>
              <w:rFonts w:asciiTheme="minorHAnsi" w:eastAsiaTheme="minorEastAsia" w:hAnsiTheme="minorHAnsi"/>
              <w:noProof/>
              <w:sz w:val="22"/>
              <w:lang w:val="en-US"/>
            </w:rPr>
          </w:pPr>
          <w:hyperlink w:anchor="_Toc117894927" w:history="1">
            <w:r w:rsidR="008D43DA" w:rsidRPr="008D43DA">
              <w:rPr>
                <w:rStyle w:val="Hyperlink"/>
                <w:rFonts w:ascii="Arial" w:hAnsi="Arial" w:cs="Arial"/>
                <w:noProof/>
                <w:sz w:val="22"/>
              </w:rPr>
              <w:t>Strategies to measure TB in the United Kingdom</w:t>
            </w:r>
            <w:r w:rsidR="008D43DA" w:rsidRPr="008D43DA">
              <w:rPr>
                <w:noProof/>
                <w:webHidden/>
                <w:sz w:val="22"/>
              </w:rPr>
              <w:tab/>
            </w:r>
            <w:r w:rsidR="008D43DA" w:rsidRPr="008D43DA">
              <w:rPr>
                <w:noProof/>
                <w:webHidden/>
                <w:sz w:val="22"/>
              </w:rPr>
              <w:fldChar w:fldCharType="begin"/>
            </w:r>
            <w:r w:rsidR="008D43DA" w:rsidRPr="008D43DA">
              <w:rPr>
                <w:noProof/>
                <w:webHidden/>
                <w:sz w:val="22"/>
              </w:rPr>
              <w:instrText xml:space="preserve"> PAGEREF _Toc117894927 \h </w:instrText>
            </w:r>
            <w:r w:rsidR="008D43DA" w:rsidRPr="008D43DA">
              <w:rPr>
                <w:noProof/>
                <w:webHidden/>
                <w:sz w:val="22"/>
              </w:rPr>
            </w:r>
            <w:r w:rsidR="008D43DA" w:rsidRPr="008D43DA">
              <w:rPr>
                <w:noProof/>
                <w:webHidden/>
                <w:sz w:val="22"/>
              </w:rPr>
              <w:fldChar w:fldCharType="separate"/>
            </w:r>
            <w:r w:rsidR="008D43DA" w:rsidRPr="008D43DA">
              <w:rPr>
                <w:noProof/>
                <w:webHidden/>
                <w:sz w:val="22"/>
              </w:rPr>
              <w:t>3</w:t>
            </w:r>
            <w:r w:rsidR="008D43DA" w:rsidRPr="008D43DA">
              <w:rPr>
                <w:noProof/>
                <w:webHidden/>
                <w:sz w:val="22"/>
              </w:rPr>
              <w:fldChar w:fldCharType="end"/>
            </w:r>
          </w:hyperlink>
        </w:p>
        <w:p w14:paraId="2C5A0196" w14:textId="692D2BEE" w:rsidR="008D43DA" w:rsidRPr="008D43DA" w:rsidRDefault="008E78BA">
          <w:pPr>
            <w:pStyle w:val="TOC1"/>
            <w:tabs>
              <w:tab w:val="right" w:leader="dot" w:pos="9350"/>
            </w:tabs>
            <w:rPr>
              <w:rFonts w:asciiTheme="minorHAnsi" w:eastAsiaTheme="minorEastAsia" w:hAnsiTheme="minorHAnsi"/>
              <w:noProof/>
              <w:sz w:val="22"/>
              <w:lang w:val="en-US"/>
            </w:rPr>
          </w:pPr>
          <w:hyperlink w:anchor="_Toc117894928" w:history="1">
            <w:r w:rsidR="008D43DA" w:rsidRPr="008D43DA">
              <w:rPr>
                <w:rStyle w:val="Hyperlink"/>
                <w:rFonts w:ascii="Arial" w:hAnsi="Arial" w:cs="Arial"/>
                <w:noProof/>
                <w:sz w:val="22"/>
              </w:rPr>
              <w:t>Strategies to monitor TB in the United Kingdom</w:t>
            </w:r>
            <w:r w:rsidR="008D43DA" w:rsidRPr="008D43DA">
              <w:rPr>
                <w:noProof/>
                <w:webHidden/>
                <w:sz w:val="22"/>
              </w:rPr>
              <w:tab/>
            </w:r>
            <w:r w:rsidR="008D43DA" w:rsidRPr="008D43DA">
              <w:rPr>
                <w:noProof/>
                <w:webHidden/>
                <w:sz w:val="22"/>
              </w:rPr>
              <w:fldChar w:fldCharType="begin"/>
            </w:r>
            <w:r w:rsidR="008D43DA" w:rsidRPr="008D43DA">
              <w:rPr>
                <w:noProof/>
                <w:webHidden/>
                <w:sz w:val="22"/>
              </w:rPr>
              <w:instrText xml:space="preserve"> PAGEREF _Toc117894928 \h </w:instrText>
            </w:r>
            <w:r w:rsidR="008D43DA" w:rsidRPr="008D43DA">
              <w:rPr>
                <w:noProof/>
                <w:webHidden/>
                <w:sz w:val="22"/>
              </w:rPr>
            </w:r>
            <w:r w:rsidR="008D43DA" w:rsidRPr="008D43DA">
              <w:rPr>
                <w:noProof/>
                <w:webHidden/>
                <w:sz w:val="22"/>
              </w:rPr>
              <w:fldChar w:fldCharType="separate"/>
            </w:r>
            <w:r w:rsidR="008D43DA" w:rsidRPr="008D43DA">
              <w:rPr>
                <w:noProof/>
                <w:webHidden/>
                <w:sz w:val="22"/>
              </w:rPr>
              <w:t>4</w:t>
            </w:r>
            <w:r w:rsidR="008D43DA" w:rsidRPr="008D43DA">
              <w:rPr>
                <w:noProof/>
                <w:webHidden/>
                <w:sz w:val="22"/>
              </w:rPr>
              <w:fldChar w:fldCharType="end"/>
            </w:r>
          </w:hyperlink>
        </w:p>
        <w:p w14:paraId="13FBB442" w14:textId="7453F0AA" w:rsidR="008D43DA" w:rsidRPr="008D43DA" w:rsidRDefault="008E78BA">
          <w:pPr>
            <w:pStyle w:val="TOC1"/>
            <w:tabs>
              <w:tab w:val="right" w:leader="dot" w:pos="9350"/>
            </w:tabs>
            <w:rPr>
              <w:rFonts w:asciiTheme="minorHAnsi" w:eastAsiaTheme="minorEastAsia" w:hAnsiTheme="minorHAnsi"/>
              <w:noProof/>
              <w:sz w:val="22"/>
              <w:lang w:val="en-US"/>
            </w:rPr>
          </w:pPr>
          <w:hyperlink w:anchor="_Toc117894929" w:history="1">
            <w:r w:rsidR="008D43DA" w:rsidRPr="008D43DA">
              <w:rPr>
                <w:rStyle w:val="Hyperlink"/>
                <w:rFonts w:ascii="Arial" w:hAnsi="Arial" w:cs="Arial"/>
                <w:noProof/>
                <w:sz w:val="22"/>
              </w:rPr>
              <w:t>Strategies to control TB in the United Kingdom</w:t>
            </w:r>
            <w:r w:rsidR="008D43DA" w:rsidRPr="008D43DA">
              <w:rPr>
                <w:noProof/>
                <w:webHidden/>
                <w:sz w:val="22"/>
              </w:rPr>
              <w:tab/>
            </w:r>
            <w:r w:rsidR="008D43DA" w:rsidRPr="008D43DA">
              <w:rPr>
                <w:noProof/>
                <w:webHidden/>
                <w:sz w:val="22"/>
              </w:rPr>
              <w:fldChar w:fldCharType="begin"/>
            </w:r>
            <w:r w:rsidR="008D43DA" w:rsidRPr="008D43DA">
              <w:rPr>
                <w:noProof/>
                <w:webHidden/>
                <w:sz w:val="22"/>
              </w:rPr>
              <w:instrText xml:space="preserve"> PAGEREF _Toc117894929 \h </w:instrText>
            </w:r>
            <w:r w:rsidR="008D43DA" w:rsidRPr="008D43DA">
              <w:rPr>
                <w:noProof/>
                <w:webHidden/>
                <w:sz w:val="22"/>
              </w:rPr>
            </w:r>
            <w:r w:rsidR="008D43DA" w:rsidRPr="008D43DA">
              <w:rPr>
                <w:noProof/>
                <w:webHidden/>
                <w:sz w:val="22"/>
              </w:rPr>
              <w:fldChar w:fldCharType="separate"/>
            </w:r>
            <w:r w:rsidR="008D43DA" w:rsidRPr="008D43DA">
              <w:rPr>
                <w:noProof/>
                <w:webHidden/>
                <w:sz w:val="22"/>
              </w:rPr>
              <w:t>6</w:t>
            </w:r>
            <w:r w:rsidR="008D43DA" w:rsidRPr="008D43DA">
              <w:rPr>
                <w:noProof/>
                <w:webHidden/>
                <w:sz w:val="22"/>
              </w:rPr>
              <w:fldChar w:fldCharType="end"/>
            </w:r>
          </w:hyperlink>
        </w:p>
        <w:p w14:paraId="3A3EF682" w14:textId="72DED0A3" w:rsidR="008D43DA" w:rsidRPr="008D43DA" w:rsidRDefault="008E78BA">
          <w:pPr>
            <w:pStyle w:val="TOC1"/>
            <w:tabs>
              <w:tab w:val="right" w:leader="dot" w:pos="9350"/>
            </w:tabs>
            <w:rPr>
              <w:rFonts w:asciiTheme="minorHAnsi" w:eastAsiaTheme="minorEastAsia" w:hAnsiTheme="minorHAnsi"/>
              <w:noProof/>
              <w:sz w:val="22"/>
              <w:lang w:val="en-US"/>
            </w:rPr>
          </w:pPr>
          <w:hyperlink w:anchor="_Toc117894930" w:history="1">
            <w:r w:rsidR="008D43DA" w:rsidRPr="008D43DA">
              <w:rPr>
                <w:rStyle w:val="Hyperlink"/>
                <w:rFonts w:ascii="Arial" w:hAnsi="Arial" w:cs="Arial"/>
                <w:noProof/>
                <w:sz w:val="22"/>
              </w:rPr>
              <w:t>Conclusion</w:t>
            </w:r>
            <w:r w:rsidR="008D43DA" w:rsidRPr="008D43DA">
              <w:rPr>
                <w:noProof/>
                <w:webHidden/>
                <w:sz w:val="22"/>
              </w:rPr>
              <w:tab/>
            </w:r>
            <w:r w:rsidR="008D43DA" w:rsidRPr="008D43DA">
              <w:rPr>
                <w:noProof/>
                <w:webHidden/>
                <w:sz w:val="22"/>
              </w:rPr>
              <w:fldChar w:fldCharType="begin"/>
            </w:r>
            <w:r w:rsidR="008D43DA" w:rsidRPr="008D43DA">
              <w:rPr>
                <w:noProof/>
                <w:webHidden/>
                <w:sz w:val="22"/>
              </w:rPr>
              <w:instrText xml:space="preserve"> PAGEREF _Toc117894930 \h </w:instrText>
            </w:r>
            <w:r w:rsidR="008D43DA" w:rsidRPr="008D43DA">
              <w:rPr>
                <w:noProof/>
                <w:webHidden/>
                <w:sz w:val="22"/>
              </w:rPr>
            </w:r>
            <w:r w:rsidR="008D43DA" w:rsidRPr="008D43DA">
              <w:rPr>
                <w:noProof/>
                <w:webHidden/>
                <w:sz w:val="22"/>
              </w:rPr>
              <w:fldChar w:fldCharType="separate"/>
            </w:r>
            <w:r w:rsidR="008D43DA" w:rsidRPr="008D43DA">
              <w:rPr>
                <w:noProof/>
                <w:webHidden/>
                <w:sz w:val="22"/>
              </w:rPr>
              <w:t>8</w:t>
            </w:r>
            <w:r w:rsidR="008D43DA" w:rsidRPr="008D43DA">
              <w:rPr>
                <w:noProof/>
                <w:webHidden/>
                <w:sz w:val="22"/>
              </w:rPr>
              <w:fldChar w:fldCharType="end"/>
            </w:r>
          </w:hyperlink>
        </w:p>
        <w:p w14:paraId="1C83AB5A" w14:textId="01075F7B" w:rsidR="008D43DA" w:rsidRPr="008D43DA" w:rsidRDefault="008E78BA">
          <w:pPr>
            <w:pStyle w:val="TOC1"/>
            <w:tabs>
              <w:tab w:val="right" w:leader="dot" w:pos="9350"/>
            </w:tabs>
            <w:rPr>
              <w:rFonts w:asciiTheme="minorHAnsi" w:eastAsiaTheme="minorEastAsia" w:hAnsiTheme="minorHAnsi"/>
              <w:noProof/>
              <w:sz w:val="22"/>
              <w:lang w:val="en-US"/>
            </w:rPr>
          </w:pPr>
          <w:hyperlink w:anchor="_Toc117894931" w:history="1">
            <w:r w:rsidR="008D43DA" w:rsidRPr="008D43DA">
              <w:rPr>
                <w:rStyle w:val="Hyperlink"/>
                <w:rFonts w:asciiTheme="minorBidi" w:hAnsiTheme="minorBidi"/>
                <w:noProof/>
                <w:sz w:val="22"/>
              </w:rPr>
              <w:t>Reference</w:t>
            </w:r>
            <w:r w:rsidR="008D43DA" w:rsidRPr="008D43DA">
              <w:rPr>
                <w:noProof/>
                <w:webHidden/>
                <w:sz w:val="22"/>
              </w:rPr>
              <w:tab/>
            </w:r>
            <w:r w:rsidR="008D43DA" w:rsidRPr="008D43DA">
              <w:rPr>
                <w:noProof/>
                <w:webHidden/>
                <w:sz w:val="22"/>
              </w:rPr>
              <w:fldChar w:fldCharType="begin"/>
            </w:r>
            <w:r w:rsidR="008D43DA" w:rsidRPr="008D43DA">
              <w:rPr>
                <w:noProof/>
                <w:webHidden/>
                <w:sz w:val="22"/>
              </w:rPr>
              <w:instrText xml:space="preserve"> PAGEREF _Toc117894931 \h </w:instrText>
            </w:r>
            <w:r w:rsidR="008D43DA" w:rsidRPr="008D43DA">
              <w:rPr>
                <w:noProof/>
                <w:webHidden/>
                <w:sz w:val="22"/>
              </w:rPr>
            </w:r>
            <w:r w:rsidR="008D43DA" w:rsidRPr="008D43DA">
              <w:rPr>
                <w:noProof/>
                <w:webHidden/>
                <w:sz w:val="22"/>
              </w:rPr>
              <w:fldChar w:fldCharType="separate"/>
            </w:r>
            <w:r w:rsidR="008D43DA" w:rsidRPr="008D43DA">
              <w:rPr>
                <w:noProof/>
                <w:webHidden/>
                <w:sz w:val="22"/>
              </w:rPr>
              <w:t>9</w:t>
            </w:r>
            <w:r w:rsidR="008D43DA" w:rsidRPr="008D43DA">
              <w:rPr>
                <w:noProof/>
                <w:webHidden/>
                <w:sz w:val="22"/>
              </w:rPr>
              <w:fldChar w:fldCharType="end"/>
            </w:r>
          </w:hyperlink>
        </w:p>
        <w:p w14:paraId="72345476" w14:textId="17CB88A1" w:rsidR="00446E1D" w:rsidRPr="008D43DA" w:rsidRDefault="00446E1D">
          <w:pPr>
            <w:rPr>
              <w:rFonts w:ascii="Arial" w:hAnsi="Arial" w:cs="Arial"/>
              <w:sz w:val="22"/>
            </w:rPr>
          </w:pPr>
          <w:r w:rsidRPr="008D43DA">
            <w:rPr>
              <w:rFonts w:ascii="Arial" w:hAnsi="Arial" w:cs="Arial"/>
              <w:b/>
              <w:bCs/>
              <w:noProof/>
              <w:sz w:val="22"/>
            </w:rPr>
            <w:fldChar w:fldCharType="end"/>
          </w:r>
        </w:p>
      </w:sdtContent>
    </w:sdt>
    <w:p w14:paraId="5C991A7E" w14:textId="77777777" w:rsidR="00EE7737" w:rsidRPr="008D43DA" w:rsidRDefault="00EE7737">
      <w:pPr>
        <w:spacing w:line="259" w:lineRule="auto"/>
        <w:jc w:val="left"/>
        <w:rPr>
          <w:rFonts w:ascii="Arial" w:eastAsiaTheme="majorEastAsia" w:hAnsi="Arial" w:cs="Arial"/>
          <w:b/>
          <w:color w:val="000000" w:themeColor="text1"/>
          <w:sz w:val="22"/>
        </w:rPr>
      </w:pPr>
      <w:r w:rsidRPr="008D43DA">
        <w:rPr>
          <w:rFonts w:ascii="Arial" w:hAnsi="Arial" w:cs="Arial"/>
          <w:sz w:val="22"/>
        </w:rPr>
        <w:br w:type="page"/>
      </w:r>
    </w:p>
    <w:p w14:paraId="789A35B4" w14:textId="77777777" w:rsidR="00EE7737" w:rsidRPr="008D43DA" w:rsidRDefault="00EE7737" w:rsidP="00EE7737">
      <w:pPr>
        <w:pStyle w:val="Heading1"/>
        <w:rPr>
          <w:rFonts w:ascii="Arial" w:hAnsi="Arial" w:cs="Arial"/>
          <w:sz w:val="22"/>
          <w:szCs w:val="22"/>
        </w:rPr>
      </w:pPr>
      <w:bookmarkStart w:id="1" w:name="_Toc117894926"/>
      <w:r w:rsidRPr="008D43DA">
        <w:rPr>
          <w:rFonts w:ascii="Arial" w:hAnsi="Arial" w:cs="Arial"/>
          <w:sz w:val="22"/>
          <w:szCs w:val="22"/>
        </w:rPr>
        <w:lastRenderedPageBreak/>
        <w:t>Introduction</w:t>
      </w:r>
      <w:bookmarkEnd w:id="1"/>
    </w:p>
    <w:p w14:paraId="4F0B23BD" w14:textId="723EDDC3" w:rsidR="00EE7737" w:rsidRPr="008D43DA" w:rsidRDefault="00876B3A" w:rsidP="00EE7737">
      <w:pPr>
        <w:rPr>
          <w:rFonts w:ascii="Arial" w:hAnsi="Arial" w:cs="Arial"/>
          <w:sz w:val="22"/>
        </w:rPr>
      </w:pPr>
      <w:r w:rsidRPr="008D43DA">
        <w:rPr>
          <w:rFonts w:ascii="Arial" w:hAnsi="Arial" w:cs="Arial"/>
          <w:sz w:val="22"/>
        </w:rPr>
        <w:t>Th</w:t>
      </w:r>
      <w:r w:rsidR="00640FC0" w:rsidRPr="008D43DA">
        <w:rPr>
          <w:rFonts w:ascii="Arial" w:hAnsi="Arial" w:cs="Arial"/>
          <w:sz w:val="22"/>
        </w:rPr>
        <w:t>is supporting paper based on the group discussion</w:t>
      </w:r>
      <w:r w:rsidRPr="008D43DA">
        <w:rPr>
          <w:rFonts w:ascii="Arial" w:hAnsi="Arial" w:cs="Arial"/>
          <w:sz w:val="22"/>
        </w:rPr>
        <w:t xml:space="preserve"> tells about the approaches and strategies of an infectious disease in the context of the United Kingdom. The chosen infectious disease is Tuberculosis or TB. The report discusses strategies to measure disease in the </w:t>
      </w:r>
      <w:r w:rsidR="008D43DA" w:rsidRPr="008D43DA">
        <w:rPr>
          <w:rFonts w:ascii="Arial" w:hAnsi="Arial" w:cs="Arial"/>
          <w:sz w:val="22"/>
        </w:rPr>
        <w:t>UK</w:t>
      </w:r>
      <w:r w:rsidRPr="008D43DA">
        <w:rPr>
          <w:rFonts w:ascii="Arial" w:hAnsi="Arial" w:cs="Arial"/>
          <w:sz w:val="22"/>
        </w:rPr>
        <w:t xml:space="preserve">. Mortality and morbidity two factors relate to taking measures for reducing infectious disease. Statistical representations helped to understand how the Government in the UK taking measures in the case of TB. Moreover, the report finds monitoring strategies from the perspectives of NHS of the UK. Finally, the report discloses how the government is controlling and making improvement in reduction of spread of TB. Finally, some of the recommendations are provided.  </w:t>
      </w:r>
    </w:p>
    <w:p w14:paraId="7966F27B" w14:textId="77777777" w:rsidR="00362846" w:rsidRPr="008D43DA" w:rsidRDefault="00362846" w:rsidP="00EE7737">
      <w:pPr>
        <w:pStyle w:val="Heading1"/>
        <w:rPr>
          <w:rFonts w:ascii="Arial" w:hAnsi="Arial" w:cs="Arial"/>
          <w:sz w:val="22"/>
          <w:szCs w:val="22"/>
        </w:rPr>
      </w:pPr>
      <w:bookmarkStart w:id="2" w:name="_Toc117894927"/>
      <w:r w:rsidRPr="008D43DA">
        <w:rPr>
          <w:rFonts w:ascii="Arial" w:hAnsi="Arial" w:cs="Arial"/>
          <w:sz w:val="22"/>
          <w:szCs w:val="22"/>
        </w:rPr>
        <w:t xml:space="preserve">Strategies </w:t>
      </w:r>
      <w:r w:rsidR="00EE7737" w:rsidRPr="008D43DA">
        <w:rPr>
          <w:rFonts w:ascii="Arial" w:hAnsi="Arial" w:cs="Arial"/>
          <w:sz w:val="22"/>
          <w:szCs w:val="22"/>
        </w:rPr>
        <w:t>to measure TB in the United Kingdom</w:t>
      </w:r>
      <w:bookmarkEnd w:id="2"/>
      <w:r w:rsidR="00593A99" w:rsidRPr="008D43DA">
        <w:rPr>
          <w:rFonts w:ascii="Arial" w:hAnsi="Arial" w:cs="Arial"/>
          <w:sz w:val="22"/>
          <w:szCs w:val="22"/>
        </w:rPr>
        <w:t xml:space="preserve"> </w:t>
      </w:r>
    </w:p>
    <w:p w14:paraId="7D715D4E" w14:textId="77777777" w:rsidR="008C1A4E" w:rsidRPr="008D43DA" w:rsidRDefault="008C1A4E" w:rsidP="00CD473F">
      <w:pPr>
        <w:rPr>
          <w:rFonts w:ascii="Arial" w:hAnsi="Arial" w:cs="Arial"/>
          <w:b/>
          <w:bCs/>
          <w:i/>
          <w:iCs/>
          <w:sz w:val="22"/>
        </w:rPr>
      </w:pPr>
      <w:r w:rsidRPr="008D43DA">
        <w:rPr>
          <w:rFonts w:ascii="Arial" w:hAnsi="Arial" w:cs="Arial"/>
          <w:b/>
          <w:bCs/>
          <w:i/>
          <w:iCs/>
          <w:sz w:val="22"/>
        </w:rPr>
        <w:t>Mortality of TB</w:t>
      </w:r>
    </w:p>
    <w:p w14:paraId="011566A9" w14:textId="7F7E5943" w:rsidR="00065014" w:rsidRPr="008D43DA" w:rsidRDefault="00BE7394" w:rsidP="00065014">
      <w:pPr>
        <w:rPr>
          <w:rFonts w:ascii="Arial" w:hAnsi="Arial" w:cs="Arial"/>
          <w:sz w:val="22"/>
        </w:rPr>
      </w:pPr>
      <w:r w:rsidRPr="008D43DA">
        <w:rPr>
          <w:rFonts w:ascii="Arial" w:hAnsi="Arial" w:cs="Arial"/>
          <w:noProof/>
          <w:sz w:val="22"/>
          <w:lang w:eastAsia="en-GB"/>
        </w:rPr>
        <w:drawing>
          <wp:anchor distT="0" distB="0" distL="114300" distR="114300" simplePos="0" relativeHeight="251667456" behindDoc="0" locked="0" layoutInCell="1" allowOverlap="1" wp14:anchorId="1F60210C" wp14:editId="45E08AEC">
            <wp:simplePos x="0" y="0"/>
            <wp:positionH relativeFrom="column">
              <wp:posOffset>140335</wp:posOffset>
            </wp:positionH>
            <wp:positionV relativeFrom="paragraph">
              <wp:posOffset>1967865</wp:posOffset>
            </wp:positionV>
            <wp:extent cx="5708650" cy="2743200"/>
            <wp:effectExtent l="0" t="0" r="635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08650" cy="2743200"/>
                    </a:xfrm>
                    <a:prstGeom prst="rect">
                      <a:avLst/>
                    </a:prstGeom>
                  </pic:spPr>
                </pic:pic>
              </a:graphicData>
            </a:graphic>
            <wp14:sizeRelH relativeFrom="margin">
              <wp14:pctWidth>0</wp14:pctWidth>
            </wp14:sizeRelH>
            <wp14:sizeRelV relativeFrom="margin">
              <wp14:pctHeight>0</wp14:pctHeight>
            </wp14:sizeRelV>
          </wp:anchor>
        </w:drawing>
      </w:r>
      <w:r w:rsidR="0028551F" w:rsidRPr="008D43DA">
        <w:rPr>
          <w:rFonts w:ascii="Arial" w:hAnsi="Arial" w:cs="Arial"/>
          <w:sz w:val="22"/>
        </w:rPr>
        <w:t>From 2002 to 2014, the annual death rate for TB patients in the UK decreased substantially, going from 7.1% to 5.5%</w:t>
      </w:r>
      <w:r w:rsidRPr="008D43DA">
        <w:rPr>
          <w:rFonts w:ascii="Arial" w:hAnsi="Arial" w:cs="Arial"/>
          <w:sz w:val="22"/>
        </w:rPr>
        <w:t xml:space="preserve"> (</w:t>
      </w:r>
      <w:r w:rsidRPr="008D43DA">
        <w:rPr>
          <w:rFonts w:ascii="Arial" w:hAnsi="Arial" w:cs="Arial"/>
          <w:sz w:val="22"/>
          <w:shd w:val="clear" w:color="auto" w:fill="FFFFFF"/>
        </w:rPr>
        <w:t>Savage, 2016)</w:t>
      </w:r>
      <w:r w:rsidR="0028551F" w:rsidRPr="008D43DA">
        <w:rPr>
          <w:rFonts w:ascii="Arial" w:hAnsi="Arial" w:cs="Arial"/>
          <w:sz w:val="22"/>
        </w:rPr>
        <w:t>. After death, tuberculosis was found in 21.3% of patients. Nearly half of the deaths, in cases where data is available, happened during the first two months of treatment. Demographic, disease-specific, and social factors all contributed to increased mortality rates. With patients over the age of 80 having greater risk of death compared to those under the age of 15</w:t>
      </w:r>
      <w:r w:rsidR="00D6030F" w:rsidRPr="008D43DA">
        <w:rPr>
          <w:rFonts w:ascii="Arial" w:hAnsi="Arial" w:cs="Arial"/>
          <w:sz w:val="22"/>
        </w:rPr>
        <w:t>.</w:t>
      </w:r>
      <w:r w:rsidR="0028551F" w:rsidRPr="008D43DA">
        <w:rPr>
          <w:rFonts w:ascii="Arial" w:hAnsi="Arial" w:cs="Arial"/>
          <w:sz w:val="22"/>
        </w:rPr>
        <w:t xml:space="preserve"> In contrast, incidence ratios comparing all-cause mortality between TB patients and the general population found that the excess mortality was largest among children and people of working age (15–64 years old)</w:t>
      </w:r>
      <w:r w:rsidR="00423F46">
        <w:rPr>
          <w:rFonts w:ascii="Arial" w:hAnsi="Arial" w:cs="Arial"/>
          <w:sz w:val="22"/>
        </w:rPr>
        <w:t xml:space="preserve"> (Public Health England, 2020)</w:t>
      </w:r>
      <w:r w:rsidR="0028551F" w:rsidRPr="008D43DA">
        <w:rPr>
          <w:rFonts w:ascii="Arial" w:hAnsi="Arial" w:cs="Arial"/>
          <w:sz w:val="22"/>
        </w:rPr>
        <w:t>.</w:t>
      </w:r>
    </w:p>
    <w:p w14:paraId="2D101579" w14:textId="77777777" w:rsidR="00533BA0" w:rsidRPr="008D43DA" w:rsidRDefault="00BE7394" w:rsidP="00BE7394">
      <w:pPr>
        <w:jc w:val="center"/>
        <w:rPr>
          <w:rFonts w:ascii="Arial" w:hAnsi="Arial" w:cs="Arial"/>
          <w:b/>
          <w:bCs/>
          <w:sz w:val="22"/>
        </w:rPr>
      </w:pPr>
      <w:r w:rsidRPr="008D43DA">
        <w:rPr>
          <w:rFonts w:ascii="Arial" w:hAnsi="Arial" w:cs="Arial"/>
          <w:b/>
          <w:bCs/>
          <w:sz w:val="22"/>
        </w:rPr>
        <w:t>Figure</w:t>
      </w:r>
      <w:r w:rsidR="00065014" w:rsidRPr="008D43DA">
        <w:rPr>
          <w:rFonts w:ascii="Arial" w:hAnsi="Arial" w:cs="Arial"/>
          <w:b/>
          <w:bCs/>
          <w:sz w:val="22"/>
        </w:rPr>
        <w:t xml:space="preserve"> 1</w:t>
      </w:r>
      <w:r w:rsidRPr="008D43DA">
        <w:rPr>
          <w:rFonts w:ascii="Arial" w:hAnsi="Arial" w:cs="Arial"/>
          <w:b/>
          <w:bCs/>
          <w:sz w:val="22"/>
        </w:rPr>
        <w:t>: Mortality rate (</w:t>
      </w:r>
      <w:r w:rsidRPr="008D43DA">
        <w:rPr>
          <w:rFonts w:ascii="Arial" w:hAnsi="Arial" w:cs="Arial"/>
          <w:b/>
          <w:bCs/>
          <w:sz w:val="22"/>
          <w:shd w:val="clear" w:color="auto" w:fill="FFFFFF"/>
        </w:rPr>
        <w:t>Savage, 2016)</w:t>
      </w:r>
    </w:p>
    <w:p w14:paraId="5D147FA6" w14:textId="77777777" w:rsidR="008C1A4E" w:rsidRPr="008D43DA" w:rsidRDefault="008C1A4E" w:rsidP="00CD473F">
      <w:pPr>
        <w:rPr>
          <w:rFonts w:ascii="Arial" w:hAnsi="Arial" w:cs="Arial"/>
          <w:b/>
          <w:bCs/>
          <w:i/>
          <w:iCs/>
          <w:sz w:val="22"/>
        </w:rPr>
      </w:pPr>
      <w:r w:rsidRPr="008D43DA">
        <w:rPr>
          <w:rFonts w:ascii="Arial" w:hAnsi="Arial" w:cs="Arial"/>
          <w:b/>
          <w:bCs/>
          <w:i/>
          <w:iCs/>
          <w:sz w:val="22"/>
        </w:rPr>
        <w:lastRenderedPageBreak/>
        <w:t>Morbidity of TB</w:t>
      </w:r>
    </w:p>
    <w:p w14:paraId="7671ED96" w14:textId="0CA49F2D" w:rsidR="0028551F" w:rsidRPr="008D43DA" w:rsidRDefault="0028551F" w:rsidP="0028551F">
      <w:pPr>
        <w:rPr>
          <w:rFonts w:ascii="Arial" w:hAnsi="Arial" w:cs="Arial"/>
          <w:sz w:val="22"/>
        </w:rPr>
      </w:pPr>
      <w:r w:rsidRPr="008D43DA">
        <w:rPr>
          <w:rFonts w:ascii="Arial" w:hAnsi="Arial" w:cs="Arial"/>
          <w:sz w:val="22"/>
        </w:rPr>
        <w:t xml:space="preserve">In England, TB was found in 4,125 people in 2020, which is a rate of 7.3% per 100,000 people. Compared to 2019, this rate went down by 13.1%, and it is still below the 10 per 100,000 WHO </w:t>
      </w:r>
      <w:r w:rsidR="00640FC0" w:rsidRPr="008D43DA">
        <w:rPr>
          <w:rFonts w:ascii="Arial" w:hAnsi="Arial" w:cs="Arial"/>
          <w:sz w:val="22"/>
        </w:rPr>
        <w:t>thresholds</w:t>
      </w:r>
      <w:r w:rsidRPr="008D43DA">
        <w:rPr>
          <w:rFonts w:ascii="Arial" w:hAnsi="Arial" w:cs="Arial"/>
          <w:sz w:val="22"/>
        </w:rPr>
        <w:t xml:space="preserve"> for a low incidence country. 72.8% of 2020 notifications came from people who were born outside of the UK</w:t>
      </w:r>
      <w:r w:rsidR="00BE7394" w:rsidRPr="008D43DA">
        <w:rPr>
          <w:rFonts w:ascii="Arial" w:hAnsi="Arial" w:cs="Arial"/>
          <w:sz w:val="22"/>
        </w:rPr>
        <w:t xml:space="preserve"> (</w:t>
      </w:r>
      <w:r w:rsidR="00BE7394" w:rsidRPr="008D43DA">
        <w:rPr>
          <w:rFonts w:ascii="Arial" w:hAnsi="Arial" w:cs="Arial"/>
          <w:sz w:val="22"/>
          <w:shd w:val="clear" w:color="auto" w:fill="FFFFFF"/>
        </w:rPr>
        <w:t>Dodd, Sismanidis and Glaziou, 2021)</w:t>
      </w:r>
      <w:r w:rsidRPr="008D43DA">
        <w:rPr>
          <w:rFonts w:ascii="Arial" w:hAnsi="Arial" w:cs="Arial"/>
          <w:sz w:val="22"/>
        </w:rPr>
        <w:t>.</w:t>
      </w:r>
    </w:p>
    <w:p w14:paraId="0BB499C4" w14:textId="77777777" w:rsidR="00533BA0" w:rsidRPr="008D43DA" w:rsidRDefault="00533BA0" w:rsidP="0028551F">
      <w:pPr>
        <w:rPr>
          <w:rFonts w:ascii="Arial" w:hAnsi="Arial" w:cs="Arial"/>
          <w:b/>
          <w:bCs/>
          <w:i/>
          <w:iCs/>
          <w:sz w:val="22"/>
        </w:rPr>
      </w:pPr>
      <w:r w:rsidRPr="008D43DA">
        <w:rPr>
          <w:rFonts w:ascii="Arial" w:hAnsi="Arial" w:cs="Arial"/>
          <w:b/>
          <w:bCs/>
          <w:i/>
          <w:iCs/>
          <w:sz w:val="22"/>
        </w:rPr>
        <w:t>Strategies/Action Plan by the Government of the UK</w:t>
      </w:r>
    </w:p>
    <w:p w14:paraId="6608E720" w14:textId="6E5F33E2" w:rsidR="00883EDE" w:rsidRPr="00883EDE" w:rsidRDefault="00883EDE" w:rsidP="00883EDE">
      <w:pPr>
        <w:rPr>
          <w:rFonts w:ascii="Arial" w:hAnsi="Arial" w:cs="Arial"/>
          <w:sz w:val="22"/>
        </w:rPr>
      </w:pPr>
      <w:r w:rsidRPr="00883EDE">
        <w:rPr>
          <w:rFonts w:ascii="Arial" w:hAnsi="Arial" w:cs="Arial"/>
          <w:sz w:val="22"/>
        </w:rPr>
        <w:t>In response to the high incidence of tuberculosis (TB) in England, Public Health England (PHE) and NHS England created a collaborative Tuberculosis strategy of 2015 to 2020 for England. This strategy sought to reduce the number of TB cases each year, minimise health inequities brought on by TB, and ultimately eradicate TB as a public health issue in accordance with the WHO's End TB Strategy (Glaziou, Floyd and Raviglione, 2018).</w:t>
      </w:r>
    </w:p>
    <w:p w14:paraId="60C665D6" w14:textId="14C89740" w:rsidR="00593A99" w:rsidRPr="008D43DA" w:rsidRDefault="00883EDE" w:rsidP="00883EDE">
      <w:pPr>
        <w:rPr>
          <w:rFonts w:ascii="Arial" w:hAnsi="Arial" w:cs="Arial"/>
          <w:sz w:val="22"/>
        </w:rPr>
      </w:pPr>
      <w:r w:rsidRPr="00883EDE">
        <w:rPr>
          <w:rFonts w:ascii="Arial" w:hAnsi="Arial" w:cs="Arial"/>
          <w:sz w:val="22"/>
        </w:rPr>
        <w:t>The Strategy's implementation was overseen by a small national team, while local implementation was handled by seven multi-agency TB Control Boards and the NHS (Vynnycky and Fine, 1999). Things were managed by the National TB Programme Board and the National TB Delivery Board</w:t>
      </w:r>
      <w:r>
        <w:rPr>
          <w:rFonts w:ascii="Arial" w:hAnsi="Arial" w:cs="Arial"/>
          <w:sz w:val="22"/>
        </w:rPr>
        <w:t xml:space="preserve"> </w:t>
      </w:r>
      <w:r w:rsidR="00BE7394" w:rsidRPr="008D43DA">
        <w:rPr>
          <w:rFonts w:ascii="Arial" w:hAnsi="Arial" w:cs="Arial"/>
          <w:sz w:val="22"/>
          <w:shd w:val="clear" w:color="auto" w:fill="FFFFFF"/>
        </w:rPr>
        <w:t>(Glaziou, Floyd and Raviglione, 2018)</w:t>
      </w:r>
      <w:r w:rsidR="0028551F" w:rsidRPr="008D43DA">
        <w:rPr>
          <w:rFonts w:ascii="Arial" w:hAnsi="Arial" w:cs="Arial"/>
          <w:sz w:val="22"/>
        </w:rPr>
        <w:t xml:space="preserve">. Ten </w:t>
      </w:r>
      <w:r w:rsidR="0028551F" w:rsidRPr="008D43DA">
        <w:rPr>
          <w:rFonts w:ascii="Arial" w:hAnsi="Arial" w:cs="Arial"/>
          <w:b/>
          <w:bCs/>
          <w:i/>
          <w:iCs/>
          <w:sz w:val="22"/>
        </w:rPr>
        <w:t>"areas for action"</w:t>
      </w:r>
      <w:r w:rsidR="0028551F" w:rsidRPr="008D43DA">
        <w:rPr>
          <w:rFonts w:ascii="Arial" w:hAnsi="Arial" w:cs="Arial"/>
          <w:sz w:val="22"/>
        </w:rPr>
        <w:t xml:space="preserve"> were the main focus of the work.</w:t>
      </w:r>
    </w:p>
    <w:p w14:paraId="06E309B0" w14:textId="77777777" w:rsidR="00883EDE" w:rsidRDefault="00362846" w:rsidP="00EE7737">
      <w:pPr>
        <w:pStyle w:val="Heading1"/>
        <w:rPr>
          <w:rFonts w:ascii="Arial" w:hAnsi="Arial" w:cs="Arial"/>
          <w:sz w:val="22"/>
          <w:szCs w:val="22"/>
        </w:rPr>
      </w:pPr>
      <w:bookmarkStart w:id="3" w:name="_Toc117894928"/>
      <w:r w:rsidRPr="008D43DA">
        <w:rPr>
          <w:rFonts w:ascii="Arial" w:hAnsi="Arial" w:cs="Arial"/>
          <w:sz w:val="22"/>
          <w:szCs w:val="22"/>
        </w:rPr>
        <w:t xml:space="preserve">Strategies </w:t>
      </w:r>
      <w:r w:rsidR="00EE7737" w:rsidRPr="008D43DA">
        <w:rPr>
          <w:rFonts w:ascii="Arial" w:hAnsi="Arial" w:cs="Arial"/>
          <w:sz w:val="22"/>
          <w:szCs w:val="22"/>
        </w:rPr>
        <w:t>to monitor TB in the United Kingdom</w:t>
      </w:r>
      <w:bookmarkEnd w:id="3"/>
    </w:p>
    <w:p w14:paraId="1C510976" w14:textId="77777777" w:rsidR="00883EDE" w:rsidRPr="00883EDE" w:rsidRDefault="00883EDE" w:rsidP="00883EDE">
      <w:pPr>
        <w:rPr>
          <w:rFonts w:ascii="Arial" w:hAnsi="Arial" w:cs="Arial"/>
          <w:sz w:val="22"/>
        </w:rPr>
      </w:pPr>
      <w:r w:rsidRPr="00883EDE">
        <w:rPr>
          <w:rFonts w:ascii="Arial" w:hAnsi="Arial" w:cs="Arial"/>
          <w:sz w:val="22"/>
        </w:rPr>
        <w:t>To replace and enhance existing TB surveillance systems, Public Health England (PHE) financed a new one. PHE Field services get detailed TB notifications and early releases (Zumla, 2012). The full deployment of the NTBS, including direct access for TB clinics, is planned for 2021. On World TB Day 2015, PHE released TB Strategy monitoring indicators (using the PHE TB Fingertips portal), allowing local authorities and CCGs to examine interactive data.</w:t>
      </w:r>
    </w:p>
    <w:p w14:paraId="0357FD0D" w14:textId="0F587866" w:rsidR="00883EDE" w:rsidRDefault="00883EDE" w:rsidP="00883EDE">
      <w:pPr>
        <w:rPr>
          <w:rFonts w:ascii="Arial" w:hAnsi="Arial" w:cs="Arial"/>
          <w:sz w:val="22"/>
        </w:rPr>
      </w:pPr>
      <w:r w:rsidRPr="00883EDE">
        <w:rPr>
          <w:rFonts w:ascii="Arial" w:hAnsi="Arial" w:cs="Arial"/>
          <w:sz w:val="22"/>
        </w:rPr>
        <w:t>Up until AJ Vaccines released a new, UK-licensed BCG vaccine (formerly known as SSI), there were significant international shortages of the Bacille Calmette Guérin (BCG) vaccine from 2016 to 2018 (Dodd, Sismanidis and Glaziou, 2021). To aid in the use of the new vaccination, PHE published informational materials and a PowerPoint presentation in August 2018. A national BCG Board monitors BCG uptake and makes that high-risk children are identified and immunised in low-incidence areas.</w:t>
      </w:r>
    </w:p>
    <w:p w14:paraId="500FAC0F" w14:textId="04488E79" w:rsidR="00883EDE" w:rsidRDefault="00883EDE" w:rsidP="00883EDE">
      <w:pPr>
        <w:rPr>
          <w:rFonts w:ascii="Arial" w:hAnsi="Arial" w:cs="Arial"/>
          <w:sz w:val="22"/>
        </w:rPr>
      </w:pPr>
    </w:p>
    <w:p w14:paraId="6E8E7552" w14:textId="6A37C1EC" w:rsidR="00883EDE" w:rsidRDefault="00883EDE" w:rsidP="00883EDE">
      <w:pPr>
        <w:rPr>
          <w:rFonts w:ascii="Arial" w:hAnsi="Arial" w:cs="Arial"/>
          <w:sz w:val="22"/>
        </w:rPr>
      </w:pPr>
      <w:r w:rsidRPr="008D43DA">
        <w:rPr>
          <w:rFonts w:ascii="Arial" w:hAnsi="Arial" w:cs="Arial"/>
          <w:noProof/>
          <w:sz w:val="22"/>
          <w:lang w:eastAsia="en-GB"/>
        </w:rPr>
        <w:lastRenderedPageBreak/>
        <w:drawing>
          <wp:anchor distT="0" distB="0" distL="114300" distR="114300" simplePos="0" relativeHeight="251669504" behindDoc="0" locked="0" layoutInCell="1" allowOverlap="1" wp14:anchorId="781773BE" wp14:editId="36C02747">
            <wp:simplePos x="0" y="0"/>
            <wp:positionH relativeFrom="column">
              <wp:posOffset>0</wp:posOffset>
            </wp:positionH>
            <wp:positionV relativeFrom="paragraph">
              <wp:posOffset>342900</wp:posOffset>
            </wp:positionV>
            <wp:extent cx="5932170" cy="317055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32170" cy="3170555"/>
                    </a:xfrm>
                    <a:prstGeom prst="rect">
                      <a:avLst/>
                    </a:prstGeom>
                  </pic:spPr>
                </pic:pic>
              </a:graphicData>
            </a:graphic>
            <wp14:sizeRelH relativeFrom="margin">
              <wp14:pctWidth>0</wp14:pctWidth>
            </wp14:sizeRelH>
            <wp14:sizeRelV relativeFrom="margin">
              <wp14:pctHeight>0</wp14:pctHeight>
            </wp14:sizeRelV>
          </wp:anchor>
        </w:drawing>
      </w:r>
    </w:p>
    <w:p w14:paraId="28CF736F" w14:textId="77777777" w:rsidR="00065014" w:rsidRPr="008D43DA" w:rsidRDefault="00065014" w:rsidP="00883EDE">
      <w:pPr>
        <w:rPr>
          <w:rFonts w:ascii="Arial" w:hAnsi="Arial" w:cs="Arial"/>
          <w:b/>
          <w:bCs/>
          <w:i/>
          <w:iCs/>
          <w:sz w:val="22"/>
        </w:rPr>
      </w:pPr>
    </w:p>
    <w:p w14:paraId="54A8F78D" w14:textId="1DFE6255" w:rsidR="00CD473F" w:rsidRPr="00883EDE" w:rsidRDefault="00BE7394" w:rsidP="00883EDE">
      <w:pPr>
        <w:jc w:val="center"/>
        <w:rPr>
          <w:rFonts w:ascii="Arial" w:hAnsi="Arial" w:cs="Arial"/>
          <w:b/>
          <w:bCs/>
          <w:i/>
          <w:iCs/>
          <w:sz w:val="22"/>
        </w:rPr>
      </w:pPr>
      <w:r w:rsidRPr="008D43DA">
        <w:rPr>
          <w:rFonts w:ascii="Arial" w:hAnsi="Arial" w:cs="Arial"/>
          <w:b/>
          <w:bCs/>
          <w:i/>
          <w:iCs/>
          <w:sz w:val="22"/>
        </w:rPr>
        <w:t>Figure</w:t>
      </w:r>
      <w:r w:rsidR="00065014" w:rsidRPr="008D43DA">
        <w:rPr>
          <w:rFonts w:ascii="Arial" w:hAnsi="Arial" w:cs="Arial"/>
          <w:b/>
          <w:bCs/>
          <w:i/>
          <w:iCs/>
          <w:sz w:val="22"/>
        </w:rPr>
        <w:t xml:space="preserve"> 2</w:t>
      </w:r>
      <w:r w:rsidRPr="008D43DA">
        <w:rPr>
          <w:rFonts w:ascii="Arial" w:hAnsi="Arial" w:cs="Arial"/>
          <w:b/>
          <w:bCs/>
          <w:i/>
          <w:iCs/>
          <w:sz w:val="22"/>
        </w:rPr>
        <w:t>: Indicators (</w:t>
      </w:r>
      <w:r w:rsidRPr="008D43DA">
        <w:rPr>
          <w:rFonts w:ascii="Arial" w:hAnsi="Arial" w:cs="Arial"/>
          <w:b/>
          <w:bCs/>
          <w:i/>
          <w:iCs/>
          <w:sz w:val="22"/>
          <w:shd w:val="clear" w:color="auto" w:fill="FFFFFF"/>
        </w:rPr>
        <w:t>Dodd, Sismanidis and Glaziou, 2021)</w:t>
      </w:r>
    </w:p>
    <w:p w14:paraId="27A4BE7D" w14:textId="17460326" w:rsidR="00065014" w:rsidRPr="00883EDE" w:rsidRDefault="00883EDE" w:rsidP="00883EDE">
      <w:pPr>
        <w:rPr>
          <w:rFonts w:ascii="Arial" w:hAnsi="Arial" w:cs="Arial"/>
          <w:sz w:val="22"/>
        </w:rPr>
      </w:pPr>
      <w:r w:rsidRPr="008D43DA">
        <w:rPr>
          <w:rFonts w:ascii="Arial" w:hAnsi="Arial" w:cs="Arial"/>
          <w:noProof/>
          <w:sz w:val="22"/>
          <w:lang w:eastAsia="en-GB"/>
        </w:rPr>
        <w:drawing>
          <wp:anchor distT="0" distB="0" distL="114300" distR="114300" simplePos="0" relativeHeight="251665408" behindDoc="0" locked="0" layoutInCell="1" allowOverlap="1" wp14:anchorId="6D83C1E6" wp14:editId="0FECC97F">
            <wp:simplePos x="0" y="0"/>
            <wp:positionH relativeFrom="column">
              <wp:posOffset>708660</wp:posOffset>
            </wp:positionH>
            <wp:positionV relativeFrom="paragraph">
              <wp:posOffset>1141730</wp:posOffset>
            </wp:positionV>
            <wp:extent cx="4310709" cy="2886241"/>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10709" cy="2886241"/>
                    </a:xfrm>
                    <a:prstGeom prst="rect">
                      <a:avLst/>
                    </a:prstGeom>
                  </pic:spPr>
                </pic:pic>
              </a:graphicData>
            </a:graphic>
            <wp14:sizeRelH relativeFrom="margin">
              <wp14:pctWidth>0</wp14:pctWidth>
            </wp14:sizeRelH>
            <wp14:sizeRelV relativeFrom="margin">
              <wp14:pctHeight>0</wp14:pctHeight>
            </wp14:sizeRelV>
          </wp:anchor>
        </w:drawing>
      </w:r>
      <w:r w:rsidRPr="00883EDE">
        <w:rPr>
          <w:rFonts w:ascii="Arial" w:hAnsi="Arial" w:cs="Arial"/>
          <w:sz w:val="22"/>
        </w:rPr>
        <w:t>On the other hand, the only group whose TB infections increased in 2015 were those with social risk factors. From 539 cases in 2014 to 579 cases in 2015, the percentage of TB cases with a social risk factor increased to 12% (579) (Pedrazzoli et al., 2019). This population is twice as likely to die and receives less medical care.</w:t>
      </w:r>
    </w:p>
    <w:p w14:paraId="762C8837" w14:textId="42163231" w:rsidR="00176AD8" w:rsidRPr="008D43DA" w:rsidRDefault="00BE7394" w:rsidP="00BE7394">
      <w:pPr>
        <w:jc w:val="center"/>
        <w:rPr>
          <w:rFonts w:ascii="Arial" w:hAnsi="Arial" w:cs="Arial"/>
          <w:b/>
          <w:bCs/>
          <w:i/>
          <w:iCs/>
          <w:sz w:val="22"/>
        </w:rPr>
      </w:pPr>
      <w:r w:rsidRPr="008D43DA">
        <w:rPr>
          <w:rFonts w:ascii="Arial" w:hAnsi="Arial" w:cs="Arial"/>
          <w:b/>
          <w:bCs/>
          <w:i/>
          <w:iCs/>
          <w:sz w:val="22"/>
        </w:rPr>
        <w:lastRenderedPageBreak/>
        <w:t>Figure</w:t>
      </w:r>
      <w:r w:rsidR="00065014" w:rsidRPr="008D43DA">
        <w:rPr>
          <w:rFonts w:ascii="Arial" w:hAnsi="Arial" w:cs="Arial"/>
          <w:b/>
          <w:bCs/>
          <w:i/>
          <w:iCs/>
          <w:sz w:val="22"/>
        </w:rPr>
        <w:t xml:space="preserve"> 3</w:t>
      </w:r>
      <w:r w:rsidRPr="008D43DA">
        <w:rPr>
          <w:rFonts w:ascii="Arial" w:hAnsi="Arial" w:cs="Arial"/>
          <w:b/>
          <w:bCs/>
          <w:i/>
          <w:iCs/>
          <w:sz w:val="22"/>
        </w:rPr>
        <w:t>: TB cases with social risks (</w:t>
      </w:r>
      <w:r w:rsidRPr="008D43DA">
        <w:rPr>
          <w:rFonts w:ascii="Arial" w:hAnsi="Arial" w:cs="Arial"/>
          <w:b/>
          <w:bCs/>
          <w:i/>
          <w:iCs/>
          <w:sz w:val="22"/>
          <w:shd w:val="clear" w:color="auto" w:fill="FFFFFF"/>
        </w:rPr>
        <w:t>Pedrazzoli et al., 2019)</w:t>
      </w:r>
    </w:p>
    <w:p w14:paraId="257298C6" w14:textId="77777777" w:rsidR="00176AD8" w:rsidRPr="008D43DA" w:rsidRDefault="00176AD8" w:rsidP="00362846">
      <w:pPr>
        <w:rPr>
          <w:rFonts w:ascii="Arial" w:hAnsi="Arial" w:cs="Arial"/>
          <w:sz w:val="22"/>
        </w:rPr>
      </w:pPr>
    </w:p>
    <w:p w14:paraId="385BA1E5" w14:textId="77777777" w:rsidR="00362846" w:rsidRPr="008D43DA" w:rsidRDefault="00362846" w:rsidP="00EE7737">
      <w:pPr>
        <w:pStyle w:val="Heading1"/>
        <w:rPr>
          <w:rFonts w:ascii="Arial" w:hAnsi="Arial" w:cs="Arial"/>
          <w:sz w:val="22"/>
          <w:szCs w:val="22"/>
        </w:rPr>
      </w:pPr>
      <w:bookmarkStart w:id="4" w:name="_Toc117894929"/>
      <w:r w:rsidRPr="008D43DA">
        <w:rPr>
          <w:rFonts w:ascii="Arial" w:hAnsi="Arial" w:cs="Arial"/>
          <w:sz w:val="22"/>
          <w:szCs w:val="22"/>
        </w:rPr>
        <w:t xml:space="preserve">Strategies </w:t>
      </w:r>
      <w:r w:rsidR="00EE7737" w:rsidRPr="008D43DA">
        <w:rPr>
          <w:rFonts w:ascii="Arial" w:hAnsi="Arial" w:cs="Arial"/>
          <w:sz w:val="22"/>
          <w:szCs w:val="22"/>
        </w:rPr>
        <w:t>to control TB in the United Kingdom</w:t>
      </w:r>
      <w:bookmarkEnd w:id="4"/>
      <w:r w:rsidR="00593A99" w:rsidRPr="008D43DA">
        <w:rPr>
          <w:rFonts w:ascii="Arial" w:hAnsi="Arial" w:cs="Arial"/>
          <w:sz w:val="22"/>
          <w:szCs w:val="22"/>
        </w:rPr>
        <w:t xml:space="preserve"> </w:t>
      </w:r>
    </w:p>
    <w:p w14:paraId="73E1795E" w14:textId="4922EA94" w:rsidR="00883EDE" w:rsidRPr="008D43DA" w:rsidRDefault="00817C60" w:rsidP="009D5A56">
      <w:pPr>
        <w:rPr>
          <w:rFonts w:ascii="Arial" w:hAnsi="Arial" w:cs="Arial"/>
          <w:sz w:val="22"/>
        </w:rPr>
      </w:pPr>
      <w:r w:rsidRPr="008D43DA">
        <w:rPr>
          <w:rFonts w:ascii="Arial" w:hAnsi="Arial" w:cs="Arial"/>
          <w:sz w:val="22"/>
        </w:rPr>
        <w:t>In England, the incidence of tuberculosis decreased by 29% during the five years</w:t>
      </w:r>
      <w:r w:rsidR="00BE7394" w:rsidRPr="008D43DA">
        <w:rPr>
          <w:rFonts w:ascii="Arial" w:hAnsi="Arial" w:cs="Arial"/>
          <w:sz w:val="22"/>
        </w:rPr>
        <w:t xml:space="preserve"> </w:t>
      </w:r>
      <w:r w:rsidR="00BE7394" w:rsidRPr="008D43DA">
        <w:rPr>
          <w:rFonts w:ascii="Arial" w:hAnsi="Arial" w:cs="Arial"/>
          <w:sz w:val="22"/>
          <w:shd w:val="clear" w:color="auto" w:fill="FFFFFF"/>
        </w:rPr>
        <w:t>(Glaziou, Floyd and Raviglione, 2018)</w:t>
      </w:r>
      <w:r w:rsidR="009D5A56" w:rsidRPr="008D43DA">
        <w:rPr>
          <w:rFonts w:ascii="Arial" w:hAnsi="Arial" w:cs="Arial"/>
          <w:sz w:val="22"/>
        </w:rPr>
        <w:t xml:space="preserve">. This happened due to effective implementation of the strategy by the UK government (11.9 per 100,000 in 2014 </w:t>
      </w:r>
      <w:r w:rsidRPr="008D43DA">
        <w:rPr>
          <w:rFonts w:ascii="Arial" w:hAnsi="Arial" w:cs="Arial"/>
          <w:sz w:val="22"/>
        </w:rPr>
        <w:t>to 8.4 per 100,000 in 2019</w:t>
      </w:r>
      <w:r w:rsidR="009D5A56" w:rsidRPr="008D43DA">
        <w:rPr>
          <w:rFonts w:ascii="Arial" w:hAnsi="Arial" w:cs="Arial"/>
          <w:sz w:val="22"/>
        </w:rPr>
        <w:t>)</w:t>
      </w:r>
      <w:r w:rsidRPr="008D43DA">
        <w:rPr>
          <w:rFonts w:ascii="Arial" w:hAnsi="Arial" w:cs="Arial"/>
          <w:sz w:val="22"/>
        </w:rPr>
        <w:t>. On the other hand, tuberculosis cases in England increased for the first time in the past nine years in 2019, by 2.4%.</w:t>
      </w:r>
    </w:p>
    <w:p w14:paraId="01A01E3A" w14:textId="77777777" w:rsidR="00CD473F" w:rsidRPr="008D43DA" w:rsidRDefault="00CD473F" w:rsidP="00CD473F">
      <w:pPr>
        <w:rPr>
          <w:rFonts w:ascii="Arial" w:hAnsi="Arial" w:cs="Arial"/>
          <w:sz w:val="22"/>
        </w:rPr>
      </w:pPr>
      <w:r w:rsidRPr="008D43DA">
        <w:rPr>
          <w:rFonts w:ascii="Arial" w:hAnsi="Arial" w:cs="Arial"/>
          <w:noProof/>
          <w:sz w:val="22"/>
          <w:lang w:eastAsia="en-GB"/>
        </w:rPr>
        <w:drawing>
          <wp:anchor distT="0" distB="0" distL="114300" distR="114300" simplePos="0" relativeHeight="251659264" behindDoc="0" locked="0" layoutInCell="1" allowOverlap="1" wp14:anchorId="4469D19C" wp14:editId="2A9B1621">
            <wp:simplePos x="0" y="0"/>
            <wp:positionH relativeFrom="column">
              <wp:posOffset>-125896</wp:posOffset>
            </wp:positionH>
            <wp:positionV relativeFrom="paragraph">
              <wp:posOffset>251267</wp:posOffset>
            </wp:positionV>
            <wp:extent cx="5943600" cy="306832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068320"/>
                    </a:xfrm>
                    <a:prstGeom prst="rect">
                      <a:avLst/>
                    </a:prstGeom>
                  </pic:spPr>
                </pic:pic>
              </a:graphicData>
            </a:graphic>
          </wp:anchor>
        </w:drawing>
      </w:r>
    </w:p>
    <w:p w14:paraId="7DFB8A43" w14:textId="23609CCB" w:rsidR="00BE7394" w:rsidRPr="008D43DA" w:rsidRDefault="00F21F25" w:rsidP="008D43DA">
      <w:pPr>
        <w:jc w:val="center"/>
        <w:rPr>
          <w:rFonts w:ascii="Arial" w:hAnsi="Arial" w:cs="Arial"/>
          <w:b/>
          <w:bCs/>
          <w:sz w:val="22"/>
        </w:rPr>
      </w:pPr>
      <w:r w:rsidRPr="008D43DA">
        <w:rPr>
          <w:rFonts w:ascii="Arial" w:hAnsi="Arial" w:cs="Arial"/>
          <w:b/>
          <w:bCs/>
          <w:sz w:val="22"/>
        </w:rPr>
        <w:t>Figure</w:t>
      </w:r>
      <w:r w:rsidR="00065014" w:rsidRPr="008D43DA">
        <w:rPr>
          <w:rFonts w:ascii="Arial" w:hAnsi="Arial" w:cs="Arial"/>
          <w:b/>
          <w:bCs/>
          <w:sz w:val="22"/>
        </w:rPr>
        <w:t xml:space="preserve"> 4</w:t>
      </w:r>
      <w:r w:rsidRPr="008D43DA">
        <w:rPr>
          <w:rFonts w:ascii="Arial" w:hAnsi="Arial" w:cs="Arial"/>
          <w:b/>
          <w:bCs/>
          <w:sz w:val="22"/>
        </w:rPr>
        <w:t xml:space="preserve">: </w:t>
      </w:r>
      <w:r w:rsidR="00CD473F" w:rsidRPr="008D43DA">
        <w:rPr>
          <w:rFonts w:ascii="Arial" w:hAnsi="Arial" w:cs="Arial"/>
          <w:b/>
          <w:bCs/>
          <w:sz w:val="22"/>
        </w:rPr>
        <w:t>Number of TB notifications and rates, England, 2000 to 2019</w:t>
      </w:r>
      <w:r w:rsidR="008D43DA" w:rsidRPr="008D43DA">
        <w:rPr>
          <w:rFonts w:ascii="Arial" w:hAnsi="Arial" w:cs="Arial"/>
          <w:b/>
          <w:bCs/>
          <w:sz w:val="22"/>
        </w:rPr>
        <w:t xml:space="preserve"> </w:t>
      </w:r>
      <w:r w:rsidR="00BE7394" w:rsidRPr="008D43DA">
        <w:rPr>
          <w:rFonts w:ascii="Arial" w:hAnsi="Arial" w:cs="Arial"/>
          <w:b/>
          <w:bCs/>
          <w:sz w:val="22"/>
        </w:rPr>
        <w:t>(</w:t>
      </w:r>
      <w:r w:rsidR="00BE7394" w:rsidRPr="008D43DA">
        <w:rPr>
          <w:rFonts w:ascii="Arial" w:hAnsi="Arial" w:cs="Arial"/>
          <w:b/>
          <w:bCs/>
          <w:sz w:val="22"/>
          <w:shd w:val="clear" w:color="auto" w:fill="FFFFFF"/>
        </w:rPr>
        <w:t>Dodd, Sismanidis and Glaziou, 2021)</w:t>
      </w:r>
    </w:p>
    <w:p w14:paraId="35F422CD" w14:textId="6263A982" w:rsidR="009D5A56" w:rsidRPr="008D43DA" w:rsidRDefault="00817C60" w:rsidP="009D5A56">
      <w:pPr>
        <w:rPr>
          <w:rFonts w:ascii="Arial" w:hAnsi="Arial" w:cs="Arial"/>
          <w:sz w:val="22"/>
          <w:shd w:val="clear" w:color="auto" w:fill="FFFFFF"/>
        </w:rPr>
      </w:pPr>
      <w:r w:rsidRPr="008D43DA">
        <w:rPr>
          <w:rFonts w:ascii="Arial" w:hAnsi="Arial" w:cs="Arial"/>
          <w:sz w:val="22"/>
          <w:shd w:val="clear" w:color="auto" w:fill="FFFFFF"/>
        </w:rPr>
        <w:t>Dodd, Sismanidis, and Glaziou (2021) give an effective epidemiological analysis of the causes for the rece</w:t>
      </w:r>
      <w:r w:rsidR="009D5A56" w:rsidRPr="008D43DA">
        <w:rPr>
          <w:rFonts w:ascii="Arial" w:hAnsi="Arial" w:cs="Arial"/>
          <w:sz w:val="22"/>
          <w:shd w:val="clear" w:color="auto" w:fill="FFFFFF"/>
        </w:rPr>
        <w:t>nt reversal in TB notifications</w:t>
      </w:r>
      <w:r w:rsidRPr="008D43DA">
        <w:rPr>
          <w:rFonts w:ascii="Arial" w:hAnsi="Arial" w:cs="Arial"/>
          <w:sz w:val="22"/>
          <w:shd w:val="clear" w:color="auto" w:fill="FFFFFF"/>
        </w:rPr>
        <w:t xml:space="preserve">. </w:t>
      </w:r>
      <w:r w:rsidR="009D5A56" w:rsidRPr="008D43DA">
        <w:rPr>
          <w:rFonts w:ascii="Arial" w:hAnsi="Arial" w:cs="Arial"/>
          <w:sz w:val="22"/>
          <w:shd w:val="clear" w:color="auto" w:fill="FFFFFF"/>
        </w:rPr>
        <w:t xml:space="preserve">The analysis </w:t>
      </w:r>
      <w:r w:rsidR="00883EDE" w:rsidRPr="008D43DA">
        <w:rPr>
          <w:rFonts w:ascii="Arial" w:hAnsi="Arial" w:cs="Arial"/>
          <w:sz w:val="22"/>
          <w:shd w:val="clear" w:color="auto" w:fill="FFFFFF"/>
        </w:rPr>
        <w:t>reveals</w:t>
      </w:r>
      <w:r w:rsidRPr="008D43DA">
        <w:rPr>
          <w:rFonts w:ascii="Arial" w:hAnsi="Arial" w:cs="Arial"/>
          <w:sz w:val="22"/>
          <w:shd w:val="clear" w:color="auto" w:fill="FFFFFF"/>
        </w:rPr>
        <w:t xml:space="preserve"> four factors</w:t>
      </w:r>
      <w:r w:rsidR="00883EDE">
        <w:rPr>
          <w:rFonts w:ascii="Arial" w:hAnsi="Arial" w:cs="Arial"/>
          <w:sz w:val="22"/>
          <w:shd w:val="clear" w:color="auto" w:fill="FFFFFF"/>
        </w:rPr>
        <w:t xml:space="preserve"> as follows:</w:t>
      </w:r>
    </w:p>
    <w:p w14:paraId="67456670" w14:textId="77777777" w:rsidR="00883EDE" w:rsidRPr="00883EDE" w:rsidRDefault="00883EDE" w:rsidP="00883EDE">
      <w:pPr>
        <w:pStyle w:val="ListParagraph"/>
        <w:rPr>
          <w:rFonts w:ascii="Arial" w:hAnsi="Arial" w:cs="Arial"/>
          <w:sz w:val="22"/>
          <w:shd w:val="clear" w:color="auto" w:fill="FFFFFF"/>
        </w:rPr>
      </w:pPr>
      <w:r w:rsidRPr="00883EDE">
        <w:rPr>
          <w:rFonts w:ascii="Arial" w:hAnsi="Arial" w:cs="Arial"/>
          <w:sz w:val="22"/>
          <w:shd w:val="clear" w:color="auto" w:fill="FFFFFF"/>
        </w:rPr>
        <w:t>• The immigrant pre-entry screening programme.</w:t>
      </w:r>
    </w:p>
    <w:p w14:paraId="6C77BD43" w14:textId="77777777" w:rsidR="00883EDE" w:rsidRPr="00883EDE" w:rsidRDefault="00883EDE" w:rsidP="00883EDE">
      <w:pPr>
        <w:pStyle w:val="ListParagraph"/>
        <w:rPr>
          <w:rFonts w:ascii="Arial" w:hAnsi="Arial" w:cs="Arial"/>
          <w:sz w:val="22"/>
          <w:shd w:val="clear" w:color="auto" w:fill="FFFFFF"/>
        </w:rPr>
      </w:pPr>
      <w:r w:rsidRPr="00883EDE">
        <w:rPr>
          <w:rFonts w:ascii="Arial" w:hAnsi="Arial" w:cs="Arial"/>
          <w:sz w:val="22"/>
          <w:shd w:val="clear" w:color="auto" w:fill="FFFFFF"/>
        </w:rPr>
        <w:t>• A decline in the number of new immigrants from nations with a high TB prevalence.</w:t>
      </w:r>
    </w:p>
    <w:p w14:paraId="48A4A6BB" w14:textId="77777777" w:rsidR="00883EDE" w:rsidRPr="00883EDE" w:rsidRDefault="00883EDE" w:rsidP="00883EDE">
      <w:pPr>
        <w:pStyle w:val="ListParagraph"/>
        <w:rPr>
          <w:rFonts w:ascii="Arial" w:hAnsi="Arial" w:cs="Arial"/>
          <w:sz w:val="22"/>
          <w:shd w:val="clear" w:color="auto" w:fill="FFFFFF"/>
        </w:rPr>
      </w:pPr>
      <w:r w:rsidRPr="00883EDE">
        <w:rPr>
          <w:rFonts w:ascii="Arial" w:hAnsi="Arial" w:cs="Arial"/>
          <w:sz w:val="22"/>
          <w:shd w:val="clear" w:color="auto" w:fill="FFFFFF"/>
        </w:rPr>
        <w:t>• An improvement in TB management that reduces the spread of TB.</w:t>
      </w:r>
    </w:p>
    <w:p w14:paraId="310E8635" w14:textId="6F9D2348" w:rsidR="00883EDE" w:rsidRPr="008D43DA" w:rsidRDefault="00883EDE" w:rsidP="00883EDE">
      <w:pPr>
        <w:pStyle w:val="ListParagraph"/>
        <w:rPr>
          <w:rFonts w:ascii="Arial" w:hAnsi="Arial" w:cs="Arial"/>
          <w:sz w:val="22"/>
          <w:shd w:val="clear" w:color="auto" w:fill="FFFFFF"/>
        </w:rPr>
      </w:pPr>
      <w:r w:rsidRPr="00883EDE">
        <w:rPr>
          <w:rFonts w:ascii="Arial" w:hAnsi="Arial" w:cs="Arial"/>
          <w:sz w:val="22"/>
          <w:shd w:val="clear" w:color="auto" w:fill="FFFFFF"/>
        </w:rPr>
        <w:t>• The early effects of diagnosing and treating people with latent TB infections.</w:t>
      </w:r>
    </w:p>
    <w:p w14:paraId="4750C94D" w14:textId="77777777" w:rsidR="00883EDE" w:rsidRPr="00883EDE" w:rsidRDefault="00883EDE" w:rsidP="00883EDE">
      <w:pPr>
        <w:rPr>
          <w:rFonts w:ascii="Arial" w:hAnsi="Arial" w:cs="Arial"/>
          <w:sz w:val="22"/>
          <w:shd w:val="clear" w:color="auto" w:fill="FFFFFF"/>
        </w:rPr>
      </w:pPr>
      <w:r w:rsidRPr="00883EDE">
        <w:rPr>
          <w:rFonts w:ascii="Arial" w:hAnsi="Arial" w:cs="Arial"/>
          <w:sz w:val="22"/>
          <w:shd w:val="clear" w:color="auto" w:fill="FFFFFF"/>
        </w:rPr>
        <w:t>These factors have caused TB rates to decline in practically all subpopulations and to be close to eradication levels in the non-foreign-born population of the UK (Zumla, 2012). In other high-</w:t>
      </w:r>
      <w:r w:rsidRPr="00883EDE">
        <w:rPr>
          <w:rFonts w:ascii="Arial" w:hAnsi="Arial" w:cs="Arial"/>
          <w:sz w:val="22"/>
          <w:shd w:val="clear" w:color="auto" w:fill="FFFFFF"/>
        </w:rPr>
        <w:lastRenderedPageBreak/>
        <w:t>income nations, this pattern has also been observed. In today's globalised environment, when there are much fewer boundaries between nations and more convenient and quicker travel alternatives, TB can be acquired anywhere and promptly "exported" globally. The effectiveness of global strategies to treat, control, and prevent tuberculosis will have a significant impact on the likelihood of future progress toward elimination in low-incidence countries (Ploubidis, 2012).</w:t>
      </w:r>
    </w:p>
    <w:p w14:paraId="3940C2CB" w14:textId="014756C2" w:rsidR="00883EDE" w:rsidRPr="008D43DA" w:rsidRDefault="00883EDE" w:rsidP="00883EDE">
      <w:pPr>
        <w:rPr>
          <w:rFonts w:ascii="Arial" w:hAnsi="Arial" w:cs="Arial"/>
          <w:sz w:val="22"/>
          <w:shd w:val="clear" w:color="auto" w:fill="FFFFFF"/>
        </w:rPr>
      </w:pPr>
      <w:r w:rsidRPr="00883EDE">
        <w:rPr>
          <w:rFonts w:ascii="Arial" w:hAnsi="Arial" w:cs="Arial"/>
          <w:sz w:val="22"/>
          <w:shd w:val="clear" w:color="auto" w:fill="FFFFFF"/>
        </w:rPr>
        <w:t>Actually, one of the greatest dangers that public health experts and everyone else working in anti-TB activities must deal with is complacency (Glaziou, Floyd and Raviglione, 2018). Lower visibility could stem from the decreased prevalence of tuberculosis in the UK, a trend that was evident almost everywhere in the latter decades of the 20th century when the success of treatment initiatives led many to conclude that the multicentury fight against tuberculosis had been won.</w:t>
      </w:r>
    </w:p>
    <w:p w14:paraId="50A78C7A" w14:textId="77777777" w:rsidR="00CD473F" w:rsidRPr="008D43DA" w:rsidRDefault="00CD473F" w:rsidP="00EE7737">
      <w:pPr>
        <w:pStyle w:val="Heading1"/>
        <w:rPr>
          <w:rFonts w:ascii="Arial" w:hAnsi="Arial" w:cs="Arial"/>
          <w:sz w:val="22"/>
          <w:szCs w:val="22"/>
        </w:rPr>
      </w:pPr>
      <w:bookmarkStart w:id="5" w:name="_Toc117894930"/>
      <w:r w:rsidRPr="008D43DA">
        <w:rPr>
          <w:rFonts w:ascii="Arial" w:hAnsi="Arial" w:cs="Arial"/>
          <w:sz w:val="22"/>
          <w:szCs w:val="22"/>
        </w:rPr>
        <w:t>Conclusion</w:t>
      </w:r>
      <w:bookmarkEnd w:id="5"/>
    </w:p>
    <w:p w14:paraId="46C50487" w14:textId="5A4F9574" w:rsidR="00817C60" w:rsidRPr="008D43DA" w:rsidRDefault="00876B3A" w:rsidP="00362846">
      <w:pPr>
        <w:rPr>
          <w:rFonts w:ascii="Arial" w:hAnsi="Arial" w:cs="Arial"/>
          <w:sz w:val="22"/>
        </w:rPr>
      </w:pPr>
      <w:r w:rsidRPr="008D43DA">
        <w:rPr>
          <w:rFonts w:ascii="Arial" w:hAnsi="Arial" w:cs="Arial"/>
          <w:sz w:val="22"/>
        </w:rPr>
        <w:t xml:space="preserve">The report emphasised on strategies from the government of the UK in terms of measures, monitoring and control of TB. A comparison from other countries helped to position these strategies of the UK. </w:t>
      </w:r>
      <w:r w:rsidR="00817C60" w:rsidRPr="008D43DA">
        <w:rPr>
          <w:rFonts w:ascii="Arial" w:hAnsi="Arial" w:cs="Arial"/>
          <w:sz w:val="22"/>
        </w:rPr>
        <w:t>All of the key stakeholders need to work together on this, and</w:t>
      </w:r>
      <w:r w:rsidR="004B0541">
        <w:rPr>
          <w:rFonts w:ascii="Arial" w:hAnsi="Arial" w:cs="Arial"/>
          <w:sz w:val="22"/>
        </w:rPr>
        <w:t xml:space="preserve"> based on the discussion some suggestions to implement are:</w:t>
      </w:r>
    </w:p>
    <w:p w14:paraId="7C1D6AD2" w14:textId="7985B70D" w:rsidR="004B0541" w:rsidRPr="004B0541" w:rsidRDefault="004B0541" w:rsidP="004B0541">
      <w:pPr>
        <w:pStyle w:val="ListParagraph"/>
        <w:numPr>
          <w:ilvl w:val="0"/>
          <w:numId w:val="12"/>
        </w:numPr>
        <w:jc w:val="left"/>
        <w:rPr>
          <w:rFonts w:ascii="Arial" w:hAnsi="Arial" w:cs="Arial"/>
          <w:sz w:val="22"/>
        </w:rPr>
      </w:pPr>
      <w:r w:rsidRPr="004B0541">
        <w:rPr>
          <w:rFonts w:ascii="Arial" w:hAnsi="Arial" w:cs="Arial"/>
          <w:sz w:val="22"/>
        </w:rPr>
        <w:t>ensuring that health professionals and at-risk groups are better informed about TB.</w:t>
      </w:r>
    </w:p>
    <w:p w14:paraId="0F97ED02" w14:textId="11012447" w:rsidR="004B0541" w:rsidRPr="004B0541" w:rsidRDefault="004B0541" w:rsidP="004B0541">
      <w:pPr>
        <w:pStyle w:val="ListParagraph"/>
        <w:numPr>
          <w:ilvl w:val="0"/>
          <w:numId w:val="12"/>
        </w:numPr>
        <w:jc w:val="left"/>
        <w:rPr>
          <w:rFonts w:ascii="Arial" w:hAnsi="Arial" w:cs="Arial"/>
          <w:sz w:val="22"/>
        </w:rPr>
      </w:pPr>
      <w:r w:rsidRPr="004B0541">
        <w:rPr>
          <w:rFonts w:ascii="Arial" w:hAnsi="Arial" w:cs="Arial"/>
          <w:sz w:val="22"/>
        </w:rPr>
        <w:t>ensuring early TB diagnosis and treatment, particularly in underserved areas.</w:t>
      </w:r>
    </w:p>
    <w:p w14:paraId="0E71CF8A" w14:textId="077AA134" w:rsidR="00EE7737" w:rsidRPr="004B0541" w:rsidRDefault="004B0541" w:rsidP="004B0541">
      <w:pPr>
        <w:pStyle w:val="ListParagraph"/>
        <w:numPr>
          <w:ilvl w:val="0"/>
          <w:numId w:val="12"/>
        </w:numPr>
        <w:jc w:val="left"/>
        <w:rPr>
          <w:rFonts w:asciiTheme="minorBidi" w:hAnsiTheme="minorBidi"/>
          <w:b/>
          <w:bCs/>
          <w:sz w:val="22"/>
        </w:rPr>
      </w:pPr>
      <w:r w:rsidRPr="004B0541">
        <w:rPr>
          <w:rFonts w:ascii="Arial" w:hAnsi="Arial" w:cs="Arial"/>
          <w:sz w:val="22"/>
        </w:rPr>
        <w:t>promoting the testing and treatment of more newly admitted participants.</w:t>
      </w:r>
      <w:r w:rsidR="00EE7737" w:rsidRPr="004B0541">
        <w:rPr>
          <w:rFonts w:asciiTheme="minorBidi" w:hAnsiTheme="minorBidi"/>
          <w:b/>
          <w:bCs/>
          <w:sz w:val="22"/>
        </w:rPr>
        <w:br w:type="page"/>
      </w:r>
    </w:p>
    <w:p w14:paraId="3F339402" w14:textId="77777777" w:rsidR="00CD473F" w:rsidRPr="00876B3A" w:rsidRDefault="002A64AA" w:rsidP="00EE7737">
      <w:pPr>
        <w:pStyle w:val="Heading1"/>
        <w:rPr>
          <w:rFonts w:asciiTheme="minorBidi" w:hAnsiTheme="minorBidi" w:cstheme="minorBidi"/>
          <w:sz w:val="22"/>
          <w:szCs w:val="22"/>
        </w:rPr>
      </w:pPr>
      <w:bookmarkStart w:id="6" w:name="_Toc117894931"/>
      <w:r w:rsidRPr="00876B3A">
        <w:rPr>
          <w:rFonts w:asciiTheme="minorBidi" w:hAnsiTheme="minorBidi" w:cstheme="minorBidi"/>
          <w:sz w:val="22"/>
          <w:szCs w:val="22"/>
        </w:rPr>
        <w:lastRenderedPageBreak/>
        <w:t>Reference</w:t>
      </w:r>
      <w:bookmarkEnd w:id="6"/>
    </w:p>
    <w:p w14:paraId="3DB5731C" w14:textId="77777777" w:rsidR="00423F46" w:rsidRPr="00876B3A" w:rsidRDefault="00423F46" w:rsidP="008C1A4E">
      <w:pPr>
        <w:rPr>
          <w:rFonts w:asciiTheme="minorBidi" w:hAnsiTheme="minorBidi"/>
          <w:sz w:val="22"/>
          <w:shd w:val="clear" w:color="auto" w:fill="FFFFFF"/>
        </w:rPr>
      </w:pPr>
      <w:r w:rsidRPr="00876B3A">
        <w:rPr>
          <w:rFonts w:asciiTheme="minorBidi" w:hAnsiTheme="minorBidi"/>
          <w:sz w:val="22"/>
          <w:shd w:val="clear" w:color="auto" w:fill="FFFFFF"/>
        </w:rPr>
        <w:t xml:space="preserve">Dodd, P.J., Sismanidis, C. and Glaziou, P. </w:t>
      </w:r>
      <w:r>
        <w:rPr>
          <w:rFonts w:asciiTheme="minorBidi" w:hAnsiTheme="minorBidi"/>
          <w:sz w:val="22"/>
          <w:shd w:val="clear" w:color="auto" w:fill="FFFFFF"/>
        </w:rPr>
        <w:t>(</w:t>
      </w:r>
      <w:r w:rsidRPr="00876B3A">
        <w:rPr>
          <w:rFonts w:asciiTheme="minorBidi" w:hAnsiTheme="minorBidi"/>
          <w:sz w:val="22"/>
          <w:shd w:val="clear" w:color="auto" w:fill="FFFFFF"/>
        </w:rPr>
        <w:t>2021</w:t>
      </w:r>
      <w:r>
        <w:rPr>
          <w:rFonts w:asciiTheme="minorBidi" w:hAnsiTheme="minorBidi"/>
          <w:sz w:val="22"/>
          <w:shd w:val="clear" w:color="auto" w:fill="FFFFFF"/>
        </w:rPr>
        <w:t>)</w:t>
      </w:r>
      <w:r w:rsidRPr="00876B3A">
        <w:rPr>
          <w:rFonts w:asciiTheme="minorBidi" w:hAnsiTheme="minorBidi"/>
          <w:sz w:val="22"/>
          <w:shd w:val="clear" w:color="auto" w:fill="FFFFFF"/>
        </w:rPr>
        <w:t xml:space="preserve"> Methods for estimating tuberculosis incidence and mortality by age and sex. </w:t>
      </w:r>
      <w:r w:rsidRPr="00876B3A">
        <w:rPr>
          <w:rFonts w:asciiTheme="minorBidi" w:hAnsiTheme="minorBidi"/>
          <w:i/>
          <w:iCs/>
          <w:sz w:val="22"/>
          <w:shd w:val="clear" w:color="auto" w:fill="FFFFFF"/>
        </w:rPr>
        <w:t>International Journal of Epidemiology</w:t>
      </w:r>
      <w:r w:rsidRPr="00876B3A">
        <w:rPr>
          <w:rFonts w:asciiTheme="minorBidi" w:hAnsiTheme="minorBidi"/>
          <w:sz w:val="22"/>
          <w:shd w:val="clear" w:color="auto" w:fill="FFFFFF"/>
        </w:rPr>
        <w:t>, </w:t>
      </w:r>
      <w:r w:rsidRPr="00876B3A">
        <w:rPr>
          <w:rFonts w:asciiTheme="minorBidi" w:hAnsiTheme="minorBidi"/>
          <w:i/>
          <w:iCs/>
          <w:sz w:val="22"/>
          <w:shd w:val="clear" w:color="auto" w:fill="FFFFFF"/>
        </w:rPr>
        <w:t>50</w:t>
      </w:r>
      <w:r w:rsidRPr="00876B3A">
        <w:rPr>
          <w:rFonts w:asciiTheme="minorBidi" w:hAnsiTheme="minorBidi"/>
          <w:sz w:val="22"/>
          <w:shd w:val="clear" w:color="auto" w:fill="FFFFFF"/>
        </w:rPr>
        <w:t>(2), pp.570-577.</w:t>
      </w:r>
    </w:p>
    <w:p w14:paraId="750DCFDD" w14:textId="77777777" w:rsidR="00423F46" w:rsidRPr="00876B3A" w:rsidRDefault="00423F46" w:rsidP="002A64AA">
      <w:pPr>
        <w:rPr>
          <w:rFonts w:asciiTheme="minorBidi" w:hAnsiTheme="minorBidi"/>
          <w:sz w:val="22"/>
          <w:shd w:val="clear" w:color="auto" w:fill="FFFFFF"/>
        </w:rPr>
      </w:pPr>
      <w:r w:rsidRPr="00876B3A">
        <w:rPr>
          <w:rFonts w:asciiTheme="minorBidi" w:hAnsiTheme="minorBidi"/>
          <w:sz w:val="22"/>
          <w:shd w:val="clear" w:color="auto" w:fill="FFFFFF"/>
        </w:rPr>
        <w:t xml:space="preserve">Glaziou, P., Floyd, K. and Raviglione, M. </w:t>
      </w:r>
      <w:r>
        <w:rPr>
          <w:rFonts w:asciiTheme="minorBidi" w:hAnsiTheme="minorBidi"/>
          <w:sz w:val="22"/>
          <w:shd w:val="clear" w:color="auto" w:fill="FFFFFF"/>
        </w:rPr>
        <w:t>(</w:t>
      </w:r>
      <w:r w:rsidRPr="00876B3A">
        <w:rPr>
          <w:rFonts w:asciiTheme="minorBidi" w:hAnsiTheme="minorBidi"/>
          <w:sz w:val="22"/>
          <w:shd w:val="clear" w:color="auto" w:fill="FFFFFF"/>
        </w:rPr>
        <w:t>2018</w:t>
      </w:r>
      <w:r>
        <w:rPr>
          <w:rFonts w:asciiTheme="minorBidi" w:hAnsiTheme="minorBidi"/>
          <w:sz w:val="22"/>
          <w:shd w:val="clear" w:color="auto" w:fill="FFFFFF"/>
        </w:rPr>
        <w:t>)</w:t>
      </w:r>
      <w:r w:rsidRPr="00876B3A">
        <w:rPr>
          <w:rFonts w:asciiTheme="minorBidi" w:hAnsiTheme="minorBidi"/>
          <w:sz w:val="22"/>
          <w:shd w:val="clear" w:color="auto" w:fill="FFFFFF"/>
        </w:rPr>
        <w:t xml:space="preserve"> Trends in tuberculosis in the UK. </w:t>
      </w:r>
      <w:r w:rsidRPr="00876B3A">
        <w:rPr>
          <w:rFonts w:asciiTheme="minorBidi" w:hAnsiTheme="minorBidi"/>
          <w:i/>
          <w:iCs/>
          <w:sz w:val="22"/>
          <w:shd w:val="clear" w:color="auto" w:fill="FFFFFF"/>
        </w:rPr>
        <w:t>Thorax</w:t>
      </w:r>
      <w:r w:rsidRPr="00876B3A">
        <w:rPr>
          <w:rFonts w:asciiTheme="minorBidi" w:hAnsiTheme="minorBidi"/>
          <w:sz w:val="22"/>
          <w:shd w:val="clear" w:color="auto" w:fill="FFFFFF"/>
        </w:rPr>
        <w:t>, </w:t>
      </w:r>
      <w:r w:rsidRPr="00876B3A">
        <w:rPr>
          <w:rFonts w:asciiTheme="minorBidi" w:hAnsiTheme="minorBidi"/>
          <w:i/>
          <w:iCs/>
          <w:sz w:val="22"/>
          <w:shd w:val="clear" w:color="auto" w:fill="FFFFFF"/>
        </w:rPr>
        <w:t>73</w:t>
      </w:r>
      <w:r w:rsidRPr="00876B3A">
        <w:rPr>
          <w:rFonts w:asciiTheme="minorBidi" w:hAnsiTheme="minorBidi"/>
          <w:sz w:val="22"/>
          <w:shd w:val="clear" w:color="auto" w:fill="FFFFFF"/>
        </w:rPr>
        <w:t>(8), pp.702-703.</w:t>
      </w:r>
    </w:p>
    <w:p w14:paraId="2DEC3F95" w14:textId="77777777" w:rsidR="00423F46" w:rsidRPr="00876B3A" w:rsidRDefault="00423F46" w:rsidP="00E57F73">
      <w:pPr>
        <w:rPr>
          <w:rFonts w:asciiTheme="minorBidi" w:hAnsiTheme="minorBidi"/>
          <w:sz w:val="22"/>
          <w:shd w:val="clear" w:color="auto" w:fill="FFFFFF"/>
        </w:rPr>
      </w:pPr>
      <w:r w:rsidRPr="00876B3A">
        <w:rPr>
          <w:rFonts w:asciiTheme="minorBidi" w:hAnsiTheme="minorBidi"/>
          <w:sz w:val="22"/>
          <w:shd w:val="clear" w:color="auto" w:fill="FFFFFF"/>
        </w:rPr>
        <w:t>Pedrazzoli, D., Kranzer, K., Thomas, H.L. and Lalor, M.K.</w:t>
      </w:r>
      <w:r>
        <w:rPr>
          <w:rFonts w:asciiTheme="minorBidi" w:hAnsiTheme="minorBidi"/>
          <w:sz w:val="22"/>
          <w:shd w:val="clear" w:color="auto" w:fill="FFFFFF"/>
        </w:rPr>
        <w:t xml:space="preserve"> (</w:t>
      </w:r>
      <w:r w:rsidRPr="00876B3A">
        <w:rPr>
          <w:rFonts w:asciiTheme="minorBidi" w:hAnsiTheme="minorBidi"/>
          <w:sz w:val="22"/>
          <w:shd w:val="clear" w:color="auto" w:fill="FFFFFF"/>
        </w:rPr>
        <w:t>2019</w:t>
      </w:r>
      <w:r>
        <w:rPr>
          <w:rFonts w:asciiTheme="minorBidi" w:hAnsiTheme="minorBidi"/>
          <w:sz w:val="22"/>
          <w:shd w:val="clear" w:color="auto" w:fill="FFFFFF"/>
        </w:rPr>
        <w:t>)</w:t>
      </w:r>
      <w:r w:rsidRPr="00876B3A">
        <w:rPr>
          <w:rFonts w:asciiTheme="minorBidi" w:hAnsiTheme="minorBidi"/>
          <w:sz w:val="22"/>
          <w:shd w:val="clear" w:color="auto" w:fill="FFFFFF"/>
        </w:rPr>
        <w:t xml:space="preserve"> Trends and risk factors for death and excess all-cause mortality among notified tuberculosis patients in the UK: an analysis of surveillance data. </w:t>
      </w:r>
      <w:r w:rsidRPr="00876B3A">
        <w:rPr>
          <w:rFonts w:asciiTheme="minorBidi" w:hAnsiTheme="minorBidi"/>
          <w:i/>
          <w:iCs/>
          <w:sz w:val="22"/>
          <w:shd w:val="clear" w:color="auto" w:fill="FFFFFF"/>
        </w:rPr>
        <w:t>ERJ open research</w:t>
      </w:r>
      <w:r w:rsidRPr="00876B3A">
        <w:rPr>
          <w:rFonts w:asciiTheme="minorBidi" w:hAnsiTheme="minorBidi"/>
          <w:sz w:val="22"/>
          <w:shd w:val="clear" w:color="auto" w:fill="FFFFFF"/>
        </w:rPr>
        <w:t>, </w:t>
      </w:r>
      <w:r w:rsidRPr="00876B3A">
        <w:rPr>
          <w:rFonts w:asciiTheme="minorBidi" w:hAnsiTheme="minorBidi"/>
          <w:i/>
          <w:iCs/>
          <w:sz w:val="22"/>
          <w:shd w:val="clear" w:color="auto" w:fill="FFFFFF"/>
        </w:rPr>
        <w:t>5</w:t>
      </w:r>
      <w:r w:rsidRPr="00876B3A">
        <w:rPr>
          <w:rFonts w:asciiTheme="minorBidi" w:hAnsiTheme="minorBidi"/>
          <w:sz w:val="22"/>
          <w:shd w:val="clear" w:color="auto" w:fill="FFFFFF"/>
        </w:rPr>
        <w:t>(4).</w:t>
      </w:r>
    </w:p>
    <w:p w14:paraId="5B4FF8FD" w14:textId="77777777" w:rsidR="00423F46" w:rsidRPr="00876B3A" w:rsidRDefault="00423F46" w:rsidP="002A64AA">
      <w:pPr>
        <w:rPr>
          <w:rFonts w:asciiTheme="minorBidi" w:hAnsiTheme="minorBidi"/>
          <w:sz w:val="22"/>
          <w:shd w:val="clear" w:color="auto" w:fill="FFFFFF"/>
        </w:rPr>
      </w:pPr>
      <w:r w:rsidRPr="00876B3A">
        <w:rPr>
          <w:rFonts w:asciiTheme="minorBidi" w:hAnsiTheme="minorBidi"/>
          <w:sz w:val="22"/>
          <w:shd w:val="clear" w:color="auto" w:fill="FFFFFF"/>
        </w:rPr>
        <w:t xml:space="preserve">Ploubidis, G.B., Palmer, M.J., Blackmore, C., Lim, T.A., Manissero, D., Sandgren, A. and Semenza, J.C. </w:t>
      </w:r>
      <w:r>
        <w:rPr>
          <w:rFonts w:asciiTheme="minorBidi" w:hAnsiTheme="minorBidi"/>
          <w:sz w:val="22"/>
          <w:shd w:val="clear" w:color="auto" w:fill="FFFFFF"/>
        </w:rPr>
        <w:t>(</w:t>
      </w:r>
      <w:r w:rsidRPr="00876B3A">
        <w:rPr>
          <w:rFonts w:asciiTheme="minorBidi" w:hAnsiTheme="minorBidi"/>
          <w:sz w:val="22"/>
          <w:shd w:val="clear" w:color="auto" w:fill="FFFFFF"/>
        </w:rPr>
        <w:t>2012</w:t>
      </w:r>
      <w:r>
        <w:rPr>
          <w:rFonts w:asciiTheme="minorBidi" w:hAnsiTheme="minorBidi"/>
          <w:sz w:val="22"/>
          <w:shd w:val="clear" w:color="auto" w:fill="FFFFFF"/>
        </w:rPr>
        <w:t>)</w:t>
      </w:r>
      <w:r w:rsidRPr="00876B3A">
        <w:rPr>
          <w:rFonts w:asciiTheme="minorBidi" w:hAnsiTheme="minorBidi"/>
          <w:sz w:val="22"/>
          <w:shd w:val="clear" w:color="auto" w:fill="FFFFFF"/>
        </w:rPr>
        <w:t xml:space="preserve"> Social determinants of tuberculosis in Europe: a prospective ecological study. </w:t>
      </w:r>
      <w:r w:rsidRPr="00876B3A">
        <w:rPr>
          <w:rFonts w:asciiTheme="minorBidi" w:hAnsiTheme="minorBidi"/>
          <w:i/>
          <w:iCs/>
          <w:sz w:val="22"/>
          <w:shd w:val="clear" w:color="auto" w:fill="FFFFFF"/>
        </w:rPr>
        <w:t>European Respiratory Journal</w:t>
      </w:r>
      <w:r w:rsidRPr="00876B3A">
        <w:rPr>
          <w:rFonts w:asciiTheme="minorBidi" w:hAnsiTheme="minorBidi"/>
          <w:sz w:val="22"/>
          <w:shd w:val="clear" w:color="auto" w:fill="FFFFFF"/>
        </w:rPr>
        <w:t>, </w:t>
      </w:r>
      <w:r w:rsidRPr="00876B3A">
        <w:rPr>
          <w:rFonts w:asciiTheme="minorBidi" w:hAnsiTheme="minorBidi"/>
          <w:i/>
          <w:iCs/>
          <w:sz w:val="22"/>
          <w:shd w:val="clear" w:color="auto" w:fill="FFFFFF"/>
        </w:rPr>
        <w:t>40</w:t>
      </w:r>
      <w:r w:rsidRPr="00876B3A">
        <w:rPr>
          <w:rFonts w:asciiTheme="minorBidi" w:hAnsiTheme="minorBidi"/>
          <w:sz w:val="22"/>
          <w:shd w:val="clear" w:color="auto" w:fill="FFFFFF"/>
        </w:rPr>
        <w:t>(4), pp.925-930.</w:t>
      </w:r>
    </w:p>
    <w:p w14:paraId="260FF527" w14:textId="77777777" w:rsidR="00423F46" w:rsidRPr="00876B3A" w:rsidRDefault="00423F46" w:rsidP="002A64AA">
      <w:pPr>
        <w:rPr>
          <w:rFonts w:asciiTheme="minorBidi" w:hAnsiTheme="minorBidi"/>
          <w:sz w:val="22"/>
          <w:shd w:val="clear" w:color="auto" w:fill="FFFFFF"/>
        </w:rPr>
      </w:pPr>
      <w:r>
        <w:rPr>
          <w:rFonts w:asciiTheme="minorBidi" w:hAnsiTheme="minorBidi"/>
          <w:sz w:val="22"/>
          <w:shd w:val="clear" w:color="auto" w:fill="FFFFFF"/>
        </w:rPr>
        <w:t xml:space="preserve">Public Health England. (2020) </w:t>
      </w:r>
      <w:r w:rsidRPr="00423F46">
        <w:rPr>
          <w:rFonts w:asciiTheme="minorBidi" w:hAnsiTheme="minorBidi"/>
          <w:i/>
          <w:sz w:val="22"/>
          <w:shd w:val="clear" w:color="auto" w:fill="FFFFFF"/>
        </w:rPr>
        <w:t>Collaborative TB strategy for England, 2015 to 2020: End of programme report</w:t>
      </w:r>
      <w:r>
        <w:rPr>
          <w:rFonts w:asciiTheme="minorBidi" w:hAnsiTheme="minorBidi"/>
          <w:sz w:val="22"/>
          <w:shd w:val="clear" w:color="auto" w:fill="FFFFFF"/>
        </w:rPr>
        <w:t xml:space="preserve">. [online] gov.uk. Available at: </w:t>
      </w:r>
      <w:hyperlink r:id="rId12" w:history="1">
        <w:r w:rsidRPr="00C855BD">
          <w:rPr>
            <w:rStyle w:val="Hyperlink"/>
            <w:rFonts w:asciiTheme="minorBidi" w:hAnsiTheme="minorBidi"/>
            <w:sz w:val="22"/>
            <w:shd w:val="clear" w:color="auto" w:fill="FFFFFF"/>
          </w:rPr>
          <w:t>https://assets.publishing.service.gov.uk/government/uploads/system/uploads/attachment_data/file/971925/Collaborative_TB_Strategy_for_England_2015-2020_End_of_Programme_Report.pdf?cv=1</w:t>
        </w:r>
      </w:hyperlink>
      <w:r>
        <w:rPr>
          <w:rFonts w:asciiTheme="minorBidi" w:hAnsiTheme="minorBidi"/>
          <w:sz w:val="22"/>
          <w:shd w:val="clear" w:color="auto" w:fill="FFFFFF"/>
        </w:rPr>
        <w:t xml:space="preserve"> [Accessed 25 October 2022]</w:t>
      </w:r>
    </w:p>
    <w:p w14:paraId="4D3C9A94" w14:textId="77777777" w:rsidR="00423F46" w:rsidRDefault="00423F46" w:rsidP="002A64AA">
      <w:pPr>
        <w:rPr>
          <w:rFonts w:asciiTheme="minorBidi" w:hAnsiTheme="minorBidi"/>
          <w:sz w:val="22"/>
          <w:shd w:val="clear" w:color="auto" w:fill="FFFFFF"/>
        </w:rPr>
      </w:pPr>
      <w:r w:rsidRPr="00876B3A">
        <w:rPr>
          <w:rFonts w:asciiTheme="minorBidi" w:hAnsiTheme="minorBidi"/>
          <w:sz w:val="22"/>
          <w:shd w:val="clear" w:color="auto" w:fill="FFFFFF"/>
        </w:rPr>
        <w:t xml:space="preserve">Savage, W. </w:t>
      </w:r>
      <w:r>
        <w:rPr>
          <w:rFonts w:asciiTheme="minorBidi" w:hAnsiTheme="minorBidi"/>
          <w:sz w:val="22"/>
          <w:shd w:val="clear" w:color="auto" w:fill="FFFFFF"/>
        </w:rPr>
        <w:t xml:space="preserve">(2016) </w:t>
      </w:r>
      <w:r w:rsidRPr="00876B3A">
        <w:rPr>
          <w:rFonts w:asciiTheme="minorBidi" w:hAnsiTheme="minorBidi"/>
          <w:sz w:val="22"/>
          <w:shd w:val="clear" w:color="auto" w:fill="FFFFFF"/>
        </w:rPr>
        <w:t>Annual Report of the Director of Public Health 2016.</w:t>
      </w:r>
    </w:p>
    <w:p w14:paraId="29030F8F" w14:textId="77777777" w:rsidR="00423F46" w:rsidRPr="00876B3A" w:rsidRDefault="00423F46" w:rsidP="002A64AA">
      <w:pPr>
        <w:rPr>
          <w:rFonts w:asciiTheme="minorBidi" w:hAnsiTheme="minorBidi"/>
          <w:sz w:val="22"/>
          <w:shd w:val="clear" w:color="auto" w:fill="FFFFFF"/>
        </w:rPr>
      </w:pPr>
      <w:r w:rsidRPr="00876B3A">
        <w:rPr>
          <w:rFonts w:asciiTheme="minorBidi" w:hAnsiTheme="minorBidi"/>
          <w:sz w:val="22"/>
          <w:shd w:val="clear" w:color="auto" w:fill="FFFFFF"/>
        </w:rPr>
        <w:t xml:space="preserve">Vynnycky, E. and Fine, P.E. </w:t>
      </w:r>
      <w:r>
        <w:rPr>
          <w:rFonts w:asciiTheme="minorBidi" w:hAnsiTheme="minorBidi"/>
          <w:sz w:val="22"/>
          <w:shd w:val="clear" w:color="auto" w:fill="FFFFFF"/>
        </w:rPr>
        <w:t>(</w:t>
      </w:r>
      <w:r w:rsidRPr="00876B3A">
        <w:rPr>
          <w:rFonts w:asciiTheme="minorBidi" w:hAnsiTheme="minorBidi"/>
          <w:sz w:val="22"/>
          <w:shd w:val="clear" w:color="auto" w:fill="FFFFFF"/>
        </w:rPr>
        <w:t>1999</w:t>
      </w:r>
      <w:r>
        <w:rPr>
          <w:rFonts w:asciiTheme="minorBidi" w:hAnsiTheme="minorBidi"/>
          <w:sz w:val="22"/>
          <w:shd w:val="clear" w:color="auto" w:fill="FFFFFF"/>
        </w:rPr>
        <w:t>)</w:t>
      </w:r>
      <w:r w:rsidRPr="00876B3A">
        <w:rPr>
          <w:rFonts w:asciiTheme="minorBidi" w:hAnsiTheme="minorBidi"/>
          <w:sz w:val="22"/>
          <w:shd w:val="clear" w:color="auto" w:fill="FFFFFF"/>
        </w:rPr>
        <w:t xml:space="preserve"> Interpreting the decline in tuberculosis: the role of secular trends in effective contact. </w:t>
      </w:r>
      <w:r w:rsidRPr="00876B3A">
        <w:rPr>
          <w:rFonts w:asciiTheme="minorBidi" w:hAnsiTheme="minorBidi"/>
          <w:i/>
          <w:iCs/>
          <w:sz w:val="22"/>
          <w:shd w:val="clear" w:color="auto" w:fill="FFFFFF"/>
        </w:rPr>
        <w:t>International journal of epidemiology</w:t>
      </w:r>
      <w:r w:rsidRPr="00876B3A">
        <w:rPr>
          <w:rFonts w:asciiTheme="minorBidi" w:hAnsiTheme="minorBidi"/>
          <w:sz w:val="22"/>
          <w:shd w:val="clear" w:color="auto" w:fill="FFFFFF"/>
        </w:rPr>
        <w:t>, </w:t>
      </w:r>
      <w:r w:rsidRPr="00876B3A">
        <w:rPr>
          <w:rFonts w:asciiTheme="minorBidi" w:hAnsiTheme="minorBidi"/>
          <w:i/>
          <w:iCs/>
          <w:sz w:val="22"/>
          <w:shd w:val="clear" w:color="auto" w:fill="FFFFFF"/>
        </w:rPr>
        <w:t>28</w:t>
      </w:r>
      <w:r w:rsidRPr="00876B3A">
        <w:rPr>
          <w:rFonts w:asciiTheme="minorBidi" w:hAnsiTheme="minorBidi"/>
          <w:sz w:val="22"/>
          <w:shd w:val="clear" w:color="auto" w:fill="FFFFFF"/>
        </w:rPr>
        <w:t>(2), pp.327-334.</w:t>
      </w:r>
    </w:p>
    <w:p w14:paraId="7578BB16" w14:textId="77777777" w:rsidR="00423F46" w:rsidRPr="00876B3A" w:rsidRDefault="00423F46" w:rsidP="002A64AA">
      <w:pPr>
        <w:rPr>
          <w:rFonts w:asciiTheme="minorBidi" w:hAnsiTheme="minorBidi"/>
          <w:sz w:val="22"/>
          <w:shd w:val="clear" w:color="auto" w:fill="FFFFFF"/>
        </w:rPr>
      </w:pPr>
      <w:r w:rsidRPr="00876B3A">
        <w:rPr>
          <w:rFonts w:asciiTheme="minorBidi" w:hAnsiTheme="minorBidi"/>
          <w:sz w:val="22"/>
          <w:shd w:val="clear" w:color="auto" w:fill="FFFFFF"/>
        </w:rPr>
        <w:t xml:space="preserve">Zumla, A., Atun, R., Maeurer, M., Kim, P.S., Jean-Philippe, P., Hafner, R. and Schito, M. </w:t>
      </w:r>
      <w:r>
        <w:rPr>
          <w:rFonts w:asciiTheme="minorBidi" w:hAnsiTheme="minorBidi"/>
          <w:sz w:val="22"/>
          <w:shd w:val="clear" w:color="auto" w:fill="FFFFFF"/>
        </w:rPr>
        <w:t>(</w:t>
      </w:r>
      <w:r w:rsidRPr="00876B3A">
        <w:rPr>
          <w:rFonts w:asciiTheme="minorBidi" w:hAnsiTheme="minorBidi"/>
          <w:sz w:val="22"/>
          <w:shd w:val="clear" w:color="auto" w:fill="FFFFFF"/>
        </w:rPr>
        <w:t>2012</w:t>
      </w:r>
      <w:r>
        <w:rPr>
          <w:rFonts w:asciiTheme="minorBidi" w:hAnsiTheme="minorBidi"/>
          <w:sz w:val="22"/>
          <w:shd w:val="clear" w:color="auto" w:fill="FFFFFF"/>
        </w:rPr>
        <w:t>)</w:t>
      </w:r>
      <w:r w:rsidRPr="00876B3A">
        <w:rPr>
          <w:rFonts w:asciiTheme="minorBidi" w:hAnsiTheme="minorBidi"/>
          <w:sz w:val="22"/>
          <w:shd w:val="clear" w:color="auto" w:fill="FFFFFF"/>
        </w:rPr>
        <w:t xml:space="preserve"> Eliminating tuberculosis and tuberculosis–HIV co-disease in the 21st century: key perspectives, controversies, unresolved issues, and needs. </w:t>
      </w:r>
      <w:r w:rsidRPr="00876B3A">
        <w:rPr>
          <w:rFonts w:asciiTheme="minorBidi" w:hAnsiTheme="minorBidi"/>
          <w:i/>
          <w:iCs/>
          <w:sz w:val="22"/>
          <w:shd w:val="clear" w:color="auto" w:fill="FFFFFF"/>
        </w:rPr>
        <w:t>Journal of Infectious Diseases</w:t>
      </w:r>
      <w:r w:rsidRPr="00876B3A">
        <w:rPr>
          <w:rFonts w:asciiTheme="minorBidi" w:hAnsiTheme="minorBidi"/>
          <w:sz w:val="22"/>
          <w:shd w:val="clear" w:color="auto" w:fill="FFFFFF"/>
        </w:rPr>
        <w:t>, </w:t>
      </w:r>
      <w:r w:rsidRPr="00876B3A">
        <w:rPr>
          <w:rFonts w:asciiTheme="minorBidi" w:hAnsiTheme="minorBidi"/>
          <w:i/>
          <w:iCs/>
          <w:sz w:val="22"/>
          <w:shd w:val="clear" w:color="auto" w:fill="FFFFFF"/>
        </w:rPr>
        <w:t>205</w:t>
      </w:r>
      <w:r w:rsidRPr="00876B3A">
        <w:rPr>
          <w:rFonts w:asciiTheme="minorBidi" w:hAnsiTheme="minorBidi"/>
          <w:sz w:val="22"/>
          <w:shd w:val="clear" w:color="auto" w:fill="FFFFFF"/>
        </w:rPr>
        <w:t>(suppl_2), pp.S141-S146.</w:t>
      </w:r>
    </w:p>
    <w:p w14:paraId="7E33AC26" w14:textId="77777777" w:rsidR="002A64AA" w:rsidRPr="00876B3A" w:rsidRDefault="002A64AA" w:rsidP="00362846">
      <w:pPr>
        <w:rPr>
          <w:rFonts w:asciiTheme="minorBidi" w:hAnsiTheme="minorBidi"/>
          <w:sz w:val="22"/>
        </w:rPr>
      </w:pPr>
    </w:p>
    <w:sectPr w:rsidR="002A64AA" w:rsidRPr="00876B3A" w:rsidSect="008D43DA">
      <w:head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237405" w14:textId="77777777" w:rsidR="008E78BA" w:rsidRDefault="008E78BA" w:rsidP="00EE7737">
      <w:pPr>
        <w:spacing w:after="0" w:line="240" w:lineRule="auto"/>
      </w:pPr>
      <w:r>
        <w:separator/>
      </w:r>
    </w:p>
  </w:endnote>
  <w:endnote w:type="continuationSeparator" w:id="0">
    <w:p w14:paraId="09F34B75" w14:textId="77777777" w:rsidR="008E78BA" w:rsidRDefault="008E78BA" w:rsidP="00EE77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CBF88C" w14:textId="77777777" w:rsidR="008E78BA" w:rsidRDefault="008E78BA" w:rsidP="00EE7737">
      <w:pPr>
        <w:spacing w:after="0" w:line="240" w:lineRule="auto"/>
      </w:pPr>
      <w:r>
        <w:separator/>
      </w:r>
    </w:p>
  </w:footnote>
  <w:footnote w:type="continuationSeparator" w:id="0">
    <w:p w14:paraId="78F90BBF" w14:textId="77777777" w:rsidR="008E78BA" w:rsidRDefault="008E78BA" w:rsidP="00EE77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04082351"/>
      <w:docPartObj>
        <w:docPartGallery w:val="Page Numbers (Top of Page)"/>
        <w:docPartUnique/>
      </w:docPartObj>
    </w:sdtPr>
    <w:sdtEndPr>
      <w:rPr>
        <w:noProof/>
      </w:rPr>
    </w:sdtEndPr>
    <w:sdtContent>
      <w:p w14:paraId="2950684C" w14:textId="60330C7D" w:rsidR="008D43DA" w:rsidRDefault="008D43DA">
        <w:pPr>
          <w:pStyle w:val="Header"/>
          <w:jc w:val="right"/>
        </w:pPr>
        <w:r>
          <w:fldChar w:fldCharType="begin"/>
        </w:r>
        <w:r>
          <w:instrText xml:space="preserve"> PAGE   \* MERGEFORMAT </w:instrText>
        </w:r>
        <w:r>
          <w:fldChar w:fldCharType="separate"/>
        </w:r>
        <w:r w:rsidR="00525E56">
          <w:rPr>
            <w:noProof/>
          </w:rPr>
          <w:t>8</w:t>
        </w:r>
        <w:r>
          <w:rPr>
            <w:noProof/>
          </w:rPr>
          <w:fldChar w:fldCharType="end"/>
        </w:r>
      </w:p>
    </w:sdtContent>
  </w:sdt>
  <w:p w14:paraId="310A0F04" w14:textId="77777777" w:rsidR="00EE7737" w:rsidRDefault="00EE773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F96BEF"/>
    <w:multiLevelType w:val="multilevel"/>
    <w:tmpl w:val="EE8E6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AF38ED"/>
    <w:multiLevelType w:val="hybridMultilevel"/>
    <w:tmpl w:val="3CCCDF88"/>
    <w:lvl w:ilvl="0" w:tplc="B12691FC">
      <w:start w:val="1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1923E2"/>
    <w:multiLevelType w:val="hybridMultilevel"/>
    <w:tmpl w:val="8174B28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12AD388A"/>
    <w:multiLevelType w:val="hybridMultilevel"/>
    <w:tmpl w:val="66845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CC5395"/>
    <w:multiLevelType w:val="hybridMultilevel"/>
    <w:tmpl w:val="403CCAA8"/>
    <w:lvl w:ilvl="0" w:tplc="1FF69CC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244760"/>
    <w:multiLevelType w:val="hybridMultilevel"/>
    <w:tmpl w:val="ECEA5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0B40829"/>
    <w:multiLevelType w:val="hybridMultilevel"/>
    <w:tmpl w:val="59A208DC"/>
    <w:lvl w:ilvl="0" w:tplc="B12691FC">
      <w:start w:val="1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D46206"/>
    <w:multiLevelType w:val="hybridMultilevel"/>
    <w:tmpl w:val="A8A40D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4117AC3"/>
    <w:multiLevelType w:val="hybridMultilevel"/>
    <w:tmpl w:val="01C65B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9" w15:restartNumberingAfterBreak="0">
    <w:nsid w:val="480D6B51"/>
    <w:multiLevelType w:val="hybridMultilevel"/>
    <w:tmpl w:val="E318B87E"/>
    <w:lvl w:ilvl="0" w:tplc="B12691FC">
      <w:start w:val="1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CE01807"/>
    <w:multiLevelType w:val="hybridMultilevel"/>
    <w:tmpl w:val="A96870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78E668B"/>
    <w:multiLevelType w:val="hybridMultilevel"/>
    <w:tmpl w:val="80F259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0"/>
  </w:num>
  <w:num w:numId="3">
    <w:abstractNumId w:val="11"/>
  </w:num>
  <w:num w:numId="4">
    <w:abstractNumId w:val="10"/>
  </w:num>
  <w:num w:numId="5">
    <w:abstractNumId w:val="3"/>
  </w:num>
  <w:num w:numId="6">
    <w:abstractNumId w:val="9"/>
  </w:num>
  <w:num w:numId="7">
    <w:abstractNumId w:val="6"/>
  </w:num>
  <w:num w:numId="8">
    <w:abstractNumId w:val="1"/>
  </w:num>
  <w:num w:numId="9">
    <w:abstractNumId w:val="7"/>
  </w:num>
  <w:num w:numId="10">
    <w:abstractNumId w:val="2"/>
  </w:num>
  <w:num w:numId="11">
    <w:abstractNumId w:val="5"/>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SwMDE2NzcwNDEztTBS0lEKTi0uzszPAykwrAUAWNz6FSwAAAA="/>
  </w:docVars>
  <w:rsids>
    <w:rsidRoot w:val="00362846"/>
    <w:rsid w:val="00040D0F"/>
    <w:rsid w:val="00065014"/>
    <w:rsid w:val="000A59A1"/>
    <w:rsid w:val="000E4EA9"/>
    <w:rsid w:val="000F6023"/>
    <w:rsid w:val="00176AD8"/>
    <w:rsid w:val="001F566B"/>
    <w:rsid w:val="002041D4"/>
    <w:rsid w:val="002154D7"/>
    <w:rsid w:val="0028551F"/>
    <w:rsid w:val="002A64AA"/>
    <w:rsid w:val="002D34E9"/>
    <w:rsid w:val="002E5725"/>
    <w:rsid w:val="0035071E"/>
    <w:rsid w:val="00362846"/>
    <w:rsid w:val="003A0EA7"/>
    <w:rsid w:val="003B2899"/>
    <w:rsid w:val="003F3AE0"/>
    <w:rsid w:val="00423F46"/>
    <w:rsid w:val="00446E1D"/>
    <w:rsid w:val="00446F68"/>
    <w:rsid w:val="00481E3D"/>
    <w:rsid w:val="004B0541"/>
    <w:rsid w:val="00525E56"/>
    <w:rsid w:val="00533BA0"/>
    <w:rsid w:val="00593A99"/>
    <w:rsid w:val="006144E7"/>
    <w:rsid w:val="00640FC0"/>
    <w:rsid w:val="00654225"/>
    <w:rsid w:val="00665E60"/>
    <w:rsid w:val="00694996"/>
    <w:rsid w:val="006F0D34"/>
    <w:rsid w:val="007A3534"/>
    <w:rsid w:val="00817C60"/>
    <w:rsid w:val="00876B3A"/>
    <w:rsid w:val="00883EDE"/>
    <w:rsid w:val="008C1A4E"/>
    <w:rsid w:val="008D43DA"/>
    <w:rsid w:val="008E78BA"/>
    <w:rsid w:val="00933A13"/>
    <w:rsid w:val="009716E0"/>
    <w:rsid w:val="009B79D7"/>
    <w:rsid w:val="009D5A56"/>
    <w:rsid w:val="00A04992"/>
    <w:rsid w:val="00A60B35"/>
    <w:rsid w:val="00A95A63"/>
    <w:rsid w:val="00AC2410"/>
    <w:rsid w:val="00B12B35"/>
    <w:rsid w:val="00B47A15"/>
    <w:rsid w:val="00B84D9D"/>
    <w:rsid w:val="00BE7394"/>
    <w:rsid w:val="00C16FE1"/>
    <w:rsid w:val="00C46E1C"/>
    <w:rsid w:val="00CA0FD8"/>
    <w:rsid w:val="00CD473F"/>
    <w:rsid w:val="00CD4CAC"/>
    <w:rsid w:val="00CD51C9"/>
    <w:rsid w:val="00CE7CA0"/>
    <w:rsid w:val="00D6030F"/>
    <w:rsid w:val="00E57F73"/>
    <w:rsid w:val="00EB2FBA"/>
    <w:rsid w:val="00EC47F9"/>
    <w:rsid w:val="00EE7737"/>
    <w:rsid w:val="00F21F25"/>
    <w:rsid w:val="00F55A31"/>
    <w:rsid w:val="00F7035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7680B"/>
  <w15:chartTrackingRefBased/>
  <w15:docId w15:val="{4A7571E3-E9D8-4946-BE08-925884ED0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04992"/>
    <w:pPr>
      <w:spacing w:line="360" w:lineRule="auto"/>
      <w:jc w:val="both"/>
    </w:pPr>
    <w:rPr>
      <w:rFonts w:asciiTheme="majorBidi" w:hAnsiTheme="majorBidi"/>
      <w:sz w:val="24"/>
      <w:lang w:val="en-GB"/>
    </w:rPr>
  </w:style>
  <w:style w:type="paragraph" w:styleId="Heading1">
    <w:name w:val="heading 1"/>
    <w:basedOn w:val="Normal"/>
    <w:next w:val="Normal"/>
    <w:link w:val="Heading1Char"/>
    <w:autoRedefine/>
    <w:uiPriority w:val="9"/>
    <w:qFormat/>
    <w:rsid w:val="00933A13"/>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semiHidden/>
    <w:unhideWhenUsed/>
    <w:qFormat/>
    <w:rsid w:val="00933A13"/>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CD4CAC"/>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3A13"/>
    <w:rPr>
      <w:rFonts w:asciiTheme="majorBidi" w:eastAsiaTheme="majorEastAsia" w:hAnsiTheme="majorBidi" w:cstheme="majorBidi"/>
      <w:b/>
      <w:color w:val="000000" w:themeColor="text1"/>
      <w:sz w:val="32"/>
      <w:szCs w:val="32"/>
      <w:lang w:val="en-GB"/>
    </w:rPr>
  </w:style>
  <w:style w:type="character" w:customStyle="1" w:styleId="Heading2Char">
    <w:name w:val="Heading 2 Char"/>
    <w:basedOn w:val="DefaultParagraphFont"/>
    <w:link w:val="Heading2"/>
    <w:uiPriority w:val="9"/>
    <w:semiHidden/>
    <w:rsid w:val="00933A13"/>
    <w:rPr>
      <w:rFonts w:asciiTheme="majorBidi" w:eastAsiaTheme="majorEastAsia" w:hAnsiTheme="majorBidi" w:cstheme="majorBidi"/>
      <w:b/>
      <w:sz w:val="28"/>
      <w:szCs w:val="26"/>
      <w:lang w:val="en-GB"/>
    </w:rPr>
  </w:style>
  <w:style w:type="character" w:customStyle="1" w:styleId="Heading3Char">
    <w:name w:val="Heading 3 Char"/>
    <w:basedOn w:val="DefaultParagraphFont"/>
    <w:link w:val="Heading3"/>
    <w:uiPriority w:val="9"/>
    <w:semiHidden/>
    <w:rsid w:val="00CD4CAC"/>
    <w:rPr>
      <w:rFonts w:asciiTheme="majorBidi" w:eastAsiaTheme="majorEastAsia" w:hAnsiTheme="majorBidi" w:cstheme="majorBidi"/>
      <w:b/>
      <w:color w:val="000000" w:themeColor="text1"/>
      <w:sz w:val="24"/>
      <w:szCs w:val="24"/>
      <w:lang w:val="en-GB"/>
    </w:rPr>
  </w:style>
  <w:style w:type="character" w:customStyle="1" w:styleId="bulletChar">
    <w:name w:val="bullet Char"/>
    <w:link w:val="bullet"/>
    <w:locked/>
    <w:rsid w:val="00362846"/>
    <w:rPr>
      <w:sz w:val="24"/>
      <w:lang w:eastAsia="en-GB"/>
    </w:rPr>
  </w:style>
  <w:style w:type="paragraph" w:customStyle="1" w:styleId="bullet">
    <w:name w:val="bullet"/>
    <w:link w:val="bulletChar"/>
    <w:rsid w:val="00362846"/>
    <w:pPr>
      <w:overflowPunct w:val="0"/>
      <w:autoSpaceDE w:val="0"/>
      <w:autoSpaceDN w:val="0"/>
      <w:adjustRightInd w:val="0"/>
      <w:spacing w:before="120" w:after="0" w:line="240" w:lineRule="auto"/>
      <w:ind w:left="1004" w:hanging="284"/>
      <w:jc w:val="both"/>
    </w:pPr>
    <w:rPr>
      <w:sz w:val="24"/>
      <w:lang w:eastAsia="en-GB"/>
    </w:rPr>
  </w:style>
  <w:style w:type="character" w:styleId="Hyperlink">
    <w:name w:val="Hyperlink"/>
    <w:basedOn w:val="DefaultParagraphFont"/>
    <w:uiPriority w:val="99"/>
    <w:unhideWhenUsed/>
    <w:rsid w:val="00362846"/>
    <w:rPr>
      <w:color w:val="0563C1" w:themeColor="hyperlink"/>
      <w:u w:val="single"/>
    </w:rPr>
  </w:style>
  <w:style w:type="paragraph" w:styleId="ListParagraph">
    <w:name w:val="List Paragraph"/>
    <w:basedOn w:val="Normal"/>
    <w:uiPriority w:val="34"/>
    <w:qFormat/>
    <w:rsid w:val="0028551F"/>
    <w:pPr>
      <w:ind w:left="720"/>
      <w:contextualSpacing/>
    </w:pPr>
  </w:style>
  <w:style w:type="paragraph" w:styleId="Header">
    <w:name w:val="header"/>
    <w:basedOn w:val="Normal"/>
    <w:link w:val="HeaderChar"/>
    <w:uiPriority w:val="99"/>
    <w:unhideWhenUsed/>
    <w:rsid w:val="00EE77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7737"/>
    <w:rPr>
      <w:rFonts w:asciiTheme="majorBidi" w:hAnsiTheme="majorBidi"/>
      <w:sz w:val="24"/>
      <w:lang w:val="en-GB"/>
    </w:rPr>
  </w:style>
  <w:style w:type="paragraph" w:styleId="Footer">
    <w:name w:val="footer"/>
    <w:basedOn w:val="Normal"/>
    <w:link w:val="FooterChar"/>
    <w:uiPriority w:val="99"/>
    <w:unhideWhenUsed/>
    <w:rsid w:val="00EE77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7737"/>
    <w:rPr>
      <w:rFonts w:asciiTheme="majorBidi" w:hAnsiTheme="majorBidi"/>
      <w:sz w:val="24"/>
      <w:lang w:val="en-GB"/>
    </w:rPr>
  </w:style>
  <w:style w:type="paragraph" w:styleId="TOCHeading">
    <w:name w:val="TOC Heading"/>
    <w:basedOn w:val="Heading1"/>
    <w:next w:val="Normal"/>
    <w:uiPriority w:val="39"/>
    <w:unhideWhenUsed/>
    <w:qFormat/>
    <w:rsid w:val="00446E1D"/>
    <w:pPr>
      <w:spacing w:after="0"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446E1D"/>
    <w:pPr>
      <w:spacing w:after="100"/>
    </w:pPr>
  </w:style>
  <w:style w:type="character" w:customStyle="1" w:styleId="UnresolvedMention">
    <w:name w:val="Unresolved Mention"/>
    <w:basedOn w:val="DefaultParagraphFont"/>
    <w:uiPriority w:val="99"/>
    <w:semiHidden/>
    <w:unhideWhenUsed/>
    <w:rsid w:val="00423F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987688">
      <w:bodyDiv w:val="1"/>
      <w:marLeft w:val="0"/>
      <w:marRight w:val="0"/>
      <w:marTop w:val="0"/>
      <w:marBottom w:val="0"/>
      <w:divBdr>
        <w:top w:val="none" w:sz="0" w:space="0" w:color="auto"/>
        <w:left w:val="none" w:sz="0" w:space="0" w:color="auto"/>
        <w:bottom w:val="none" w:sz="0" w:space="0" w:color="auto"/>
        <w:right w:val="none" w:sz="0" w:space="0" w:color="auto"/>
      </w:divBdr>
    </w:div>
    <w:div w:id="415322299">
      <w:bodyDiv w:val="1"/>
      <w:marLeft w:val="0"/>
      <w:marRight w:val="0"/>
      <w:marTop w:val="0"/>
      <w:marBottom w:val="0"/>
      <w:divBdr>
        <w:top w:val="none" w:sz="0" w:space="0" w:color="auto"/>
        <w:left w:val="none" w:sz="0" w:space="0" w:color="auto"/>
        <w:bottom w:val="none" w:sz="0" w:space="0" w:color="auto"/>
        <w:right w:val="none" w:sz="0" w:space="0" w:color="auto"/>
      </w:divBdr>
    </w:div>
    <w:div w:id="766467848">
      <w:bodyDiv w:val="1"/>
      <w:marLeft w:val="0"/>
      <w:marRight w:val="0"/>
      <w:marTop w:val="0"/>
      <w:marBottom w:val="0"/>
      <w:divBdr>
        <w:top w:val="none" w:sz="0" w:space="0" w:color="auto"/>
        <w:left w:val="none" w:sz="0" w:space="0" w:color="auto"/>
        <w:bottom w:val="none" w:sz="0" w:space="0" w:color="auto"/>
        <w:right w:val="none" w:sz="0" w:space="0" w:color="auto"/>
      </w:divBdr>
    </w:div>
    <w:div w:id="1748645184">
      <w:bodyDiv w:val="1"/>
      <w:marLeft w:val="0"/>
      <w:marRight w:val="0"/>
      <w:marTop w:val="0"/>
      <w:marBottom w:val="0"/>
      <w:divBdr>
        <w:top w:val="none" w:sz="0" w:space="0" w:color="auto"/>
        <w:left w:val="none" w:sz="0" w:space="0" w:color="auto"/>
        <w:bottom w:val="none" w:sz="0" w:space="0" w:color="auto"/>
        <w:right w:val="none" w:sz="0" w:space="0" w:color="auto"/>
      </w:divBdr>
    </w:div>
    <w:div w:id="1886528855">
      <w:bodyDiv w:val="1"/>
      <w:marLeft w:val="0"/>
      <w:marRight w:val="0"/>
      <w:marTop w:val="0"/>
      <w:marBottom w:val="0"/>
      <w:divBdr>
        <w:top w:val="none" w:sz="0" w:space="0" w:color="auto"/>
        <w:left w:val="none" w:sz="0" w:space="0" w:color="auto"/>
        <w:bottom w:val="none" w:sz="0" w:space="0" w:color="auto"/>
        <w:right w:val="none" w:sz="0" w:space="0" w:color="auto"/>
      </w:divBdr>
    </w:div>
    <w:div w:id="2127892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971925/Collaborative_TB_Strategy_for_England_2015-2020_End_of_Programme_Report.pdf?cv=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60C46C-8680-461F-AD8E-7E455B519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1437</Words>
  <Characters>8197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9615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Razon</dc:creator>
  <cp:keywords/>
  <dc:description/>
  <cp:lastModifiedBy>Razon</cp:lastModifiedBy>
  <cp:revision>2</cp:revision>
  <dcterms:created xsi:type="dcterms:W3CDTF">2022-10-30T16:35:00Z</dcterms:created>
  <dcterms:modified xsi:type="dcterms:W3CDTF">2022-10-30T16:35:00Z</dcterms:modified>
</cp:coreProperties>
</file>