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CC68D34" w14:textId="77777777" w:rsidR="00691C4B" w:rsidRDefault="00691C4B" w:rsidP="00691C4B">
      <w:pPr>
        <w:shd w:val="clear" w:color="auto" w:fill="FFFFFF"/>
        <w:jc w:val="center"/>
        <w:rPr>
          <w:rFonts w:ascii="Arial" w:hAnsi="Arial" w:cs="Arial"/>
          <w:b/>
          <w:bCs/>
          <w:sz w:val="32"/>
          <w:szCs w:val="32"/>
        </w:rPr>
      </w:pPr>
    </w:p>
    <w:p w14:paraId="3823B425" w14:textId="77777777" w:rsidR="00691C4B" w:rsidRDefault="00691C4B" w:rsidP="00691C4B">
      <w:pPr>
        <w:shd w:val="clear" w:color="auto" w:fill="FFFFFF"/>
        <w:jc w:val="center"/>
        <w:rPr>
          <w:rFonts w:ascii="Arial" w:hAnsi="Arial" w:cs="Arial"/>
          <w:b/>
          <w:bCs/>
          <w:sz w:val="32"/>
          <w:szCs w:val="32"/>
        </w:rPr>
      </w:pPr>
    </w:p>
    <w:p w14:paraId="4CC2C861" w14:textId="77777777" w:rsidR="00691C4B" w:rsidRDefault="00691C4B" w:rsidP="00691C4B">
      <w:pPr>
        <w:shd w:val="clear" w:color="auto" w:fill="FFFFFF"/>
        <w:jc w:val="center"/>
        <w:rPr>
          <w:rFonts w:ascii="Arial" w:hAnsi="Arial" w:cs="Arial"/>
          <w:b/>
          <w:bCs/>
          <w:sz w:val="32"/>
          <w:szCs w:val="32"/>
        </w:rPr>
      </w:pPr>
    </w:p>
    <w:p w14:paraId="678E2261" w14:textId="77777777" w:rsidR="00691C4B" w:rsidRDefault="00691C4B" w:rsidP="00691C4B">
      <w:pPr>
        <w:shd w:val="clear" w:color="auto" w:fill="FFFFFF"/>
        <w:jc w:val="center"/>
        <w:rPr>
          <w:rFonts w:ascii="Arial" w:hAnsi="Arial" w:cs="Arial"/>
          <w:b/>
          <w:bCs/>
          <w:sz w:val="32"/>
          <w:szCs w:val="32"/>
        </w:rPr>
      </w:pPr>
      <w:r>
        <w:rPr>
          <w:rFonts w:ascii="Arial" w:hAnsi="Arial" w:cs="Arial"/>
          <w:noProof/>
        </w:rPr>
        <w:drawing>
          <wp:inline distT="0" distB="0" distL="0" distR="0" wp14:anchorId="3E1A3F1D" wp14:editId="044FAC22">
            <wp:extent cx="2428875" cy="1057275"/>
            <wp:effectExtent l="0" t="0" r="0" b="0"/>
            <wp:docPr id="1" name="image1.png" descr="A logo with text on it&#10;&#10;AI-generated content may be incorrect."/>
            <wp:cNvGraphicFramePr/>
            <a:graphic xmlns:a="http://schemas.openxmlformats.org/drawingml/2006/main">
              <a:graphicData uri="http://schemas.openxmlformats.org/drawingml/2006/picture">
                <pic:pic xmlns:pic="http://schemas.openxmlformats.org/drawingml/2006/picture">
                  <pic:nvPicPr>
                    <pic:cNvPr id="1" name="image1.png" descr="A logo with text on it&#10;&#10;AI-generated content may be incorrect."/>
                    <pic:cNvPicPr preferRelativeResize="0"/>
                  </pic:nvPicPr>
                  <pic:blipFill>
                    <a:blip r:embed="rId7"/>
                    <a:srcRect/>
                    <a:stretch>
                      <a:fillRect/>
                    </a:stretch>
                  </pic:blipFill>
                  <pic:spPr>
                    <a:xfrm>
                      <a:off x="0" y="0"/>
                      <a:ext cx="2428875" cy="1057275"/>
                    </a:xfrm>
                    <a:prstGeom prst="rect">
                      <a:avLst/>
                    </a:prstGeom>
                  </pic:spPr>
                </pic:pic>
              </a:graphicData>
            </a:graphic>
          </wp:inline>
        </w:drawing>
      </w:r>
    </w:p>
    <w:p w14:paraId="52C9C7B7" w14:textId="77777777" w:rsidR="00691C4B" w:rsidRDefault="00691C4B" w:rsidP="00691C4B">
      <w:pPr>
        <w:shd w:val="clear" w:color="auto" w:fill="FFFFFF"/>
        <w:jc w:val="center"/>
        <w:rPr>
          <w:rFonts w:ascii="Arial" w:hAnsi="Arial" w:cs="Arial"/>
          <w:b/>
          <w:bCs/>
          <w:sz w:val="32"/>
          <w:szCs w:val="32"/>
        </w:rPr>
      </w:pPr>
    </w:p>
    <w:p w14:paraId="21FFA793" w14:textId="77777777" w:rsidR="00691C4B" w:rsidRDefault="00691C4B" w:rsidP="00691C4B">
      <w:pPr>
        <w:shd w:val="clear" w:color="auto" w:fill="FFFFFF"/>
        <w:jc w:val="center"/>
        <w:rPr>
          <w:rFonts w:ascii="Arial" w:hAnsi="Arial" w:cs="Arial"/>
          <w:b/>
          <w:bCs/>
          <w:sz w:val="32"/>
          <w:szCs w:val="32"/>
        </w:rPr>
      </w:pPr>
      <w:r>
        <w:rPr>
          <w:rFonts w:ascii="Arial" w:hAnsi="Arial" w:cs="Arial"/>
          <w:b/>
          <w:bCs/>
          <w:sz w:val="32"/>
          <w:szCs w:val="32"/>
        </w:rPr>
        <w:t>Master of Business Administration Programme</w:t>
      </w:r>
    </w:p>
    <w:p w14:paraId="67CC820D" w14:textId="77777777" w:rsidR="00691C4B" w:rsidRDefault="00691C4B" w:rsidP="00691C4B">
      <w:pPr>
        <w:shd w:val="clear" w:color="auto" w:fill="FFFFFF"/>
        <w:jc w:val="center"/>
        <w:rPr>
          <w:rFonts w:ascii="Arial" w:hAnsi="Arial" w:cs="Arial"/>
          <w:b/>
          <w:bCs/>
          <w:sz w:val="32"/>
          <w:szCs w:val="32"/>
        </w:rPr>
      </w:pPr>
      <w:r>
        <w:rPr>
          <w:rFonts w:ascii="Arial" w:hAnsi="Arial" w:cs="Arial"/>
          <w:b/>
          <w:bCs/>
          <w:sz w:val="32"/>
          <w:szCs w:val="32"/>
        </w:rPr>
        <w:t>LCMB7035 - Dissertation</w:t>
      </w:r>
    </w:p>
    <w:p w14:paraId="2BA609C9" w14:textId="313922C9" w:rsidR="00691C4B" w:rsidRDefault="00691C4B" w:rsidP="00691C4B">
      <w:pPr>
        <w:shd w:val="clear" w:color="auto" w:fill="FFFFFF"/>
        <w:jc w:val="center"/>
        <w:rPr>
          <w:rFonts w:ascii="Arial" w:hAnsi="Arial" w:cs="Arial"/>
          <w:b/>
          <w:bCs/>
          <w:sz w:val="32"/>
          <w:szCs w:val="32"/>
        </w:rPr>
      </w:pPr>
      <w:r>
        <w:rPr>
          <w:rFonts w:ascii="Arial" w:hAnsi="Arial" w:cs="Arial"/>
          <w:b/>
          <w:bCs/>
          <w:sz w:val="32"/>
          <w:szCs w:val="32"/>
        </w:rPr>
        <w:t>Title: The Impact of Capital Structure on Financial Performance Based on UK</w:t>
      </w:r>
    </w:p>
    <w:p w14:paraId="1BD22E6D" w14:textId="77777777" w:rsidR="00691C4B" w:rsidRDefault="00691C4B" w:rsidP="00691C4B">
      <w:pPr>
        <w:rPr>
          <w:rFonts w:ascii="Arial" w:hAnsi="Arial" w:cs="Arial"/>
        </w:rPr>
      </w:pPr>
      <w:r>
        <w:rPr>
          <w:rFonts w:ascii="Arial" w:hAnsi="Arial" w:cs="Arial"/>
        </w:rPr>
        <w:br w:type="page"/>
      </w:r>
    </w:p>
    <w:p w14:paraId="694BCD3C" w14:textId="77777777" w:rsidR="00691C4B" w:rsidRDefault="00691C4B" w:rsidP="00691C4B">
      <w:pPr>
        <w:keepNext/>
        <w:keepLines/>
        <w:spacing w:before="240" w:line="259" w:lineRule="auto"/>
        <w:jc w:val="center"/>
        <w:rPr>
          <w:rFonts w:ascii="Arial" w:hAnsi="Arial" w:cs="Arial"/>
          <w:color w:val="000000"/>
          <w:sz w:val="28"/>
          <w:szCs w:val="28"/>
        </w:rPr>
      </w:pPr>
      <w:bookmarkStart w:id="0" w:name="_wyf220wfptq9" w:colFirst="0" w:colLast="0"/>
      <w:bookmarkEnd w:id="0"/>
      <w:r>
        <w:rPr>
          <w:rFonts w:ascii="Arial" w:hAnsi="Arial" w:cs="Arial"/>
          <w:b/>
          <w:bCs/>
          <w:color w:val="000000"/>
          <w:sz w:val="28"/>
          <w:szCs w:val="28"/>
        </w:rPr>
        <w:lastRenderedPageBreak/>
        <w:t>Table of Contents</w:t>
      </w:r>
    </w:p>
    <w:sdt>
      <w:sdtPr>
        <w:rPr>
          <w:rFonts w:ascii="Arial" w:hAnsi="Arial" w:cs="Arial"/>
        </w:rPr>
        <w:id w:val="1899663985"/>
        <w:docPartObj>
          <w:docPartGallery w:val="Table of Contents"/>
          <w:docPartUnique/>
        </w:docPartObj>
      </w:sdtPr>
      <w:sdtContent>
        <w:p w14:paraId="1C0D5522" w14:textId="77777777" w:rsidR="00691C4B" w:rsidRDefault="00691C4B" w:rsidP="00691C4B">
          <w:pPr>
            <w:tabs>
              <w:tab w:val="right" w:leader="dot" w:pos="9019"/>
            </w:tabs>
            <w:spacing w:after="100"/>
            <w:rPr>
              <w:rFonts w:ascii="Arial" w:eastAsia="Cambria" w:hAnsi="Arial" w:cs="Arial"/>
              <w:color w:val="000000"/>
            </w:rPr>
          </w:pPr>
          <w:r>
            <w:rPr>
              <w:rFonts w:ascii="Arial" w:hAnsi="Arial" w:cs="Arial"/>
            </w:rPr>
            <w:fldChar w:fldCharType="begin"/>
          </w:r>
          <w:r>
            <w:rPr>
              <w:rFonts w:ascii="Arial" w:hAnsi="Arial" w:cs="Arial"/>
            </w:rPr>
            <w:instrText xml:space="preserve"> TOC \h \u \z \t "Heading 1,1,Heading 2,2,Heading 3,3,"</w:instrText>
          </w:r>
          <w:r>
            <w:rPr>
              <w:rFonts w:ascii="Arial" w:hAnsi="Arial" w:cs="Arial"/>
            </w:rPr>
            <w:fldChar w:fldCharType="separate"/>
          </w:r>
          <w:hyperlink w:anchor="_8d5xkm7tl8dr">
            <w:r>
              <w:rPr>
                <w:rFonts w:ascii="Arial" w:hAnsi="Arial" w:cs="Arial"/>
              </w:rPr>
              <w:t>1. Introduction</w:t>
            </w:r>
            <w:r>
              <w:rPr>
                <w:rFonts w:ascii="Arial" w:hAnsi="Arial" w:cs="Arial"/>
              </w:rPr>
              <w:tab/>
              <w:t>3</w:t>
            </w:r>
          </w:hyperlink>
        </w:p>
        <w:p w14:paraId="4687C721" w14:textId="77777777" w:rsidR="00691C4B" w:rsidRDefault="00691C4B" w:rsidP="00691C4B">
          <w:pPr>
            <w:tabs>
              <w:tab w:val="right" w:leader="dot" w:pos="9019"/>
            </w:tabs>
            <w:spacing w:after="100"/>
            <w:ind w:left="240"/>
            <w:rPr>
              <w:rFonts w:ascii="Arial" w:eastAsia="Cambria" w:hAnsi="Arial" w:cs="Arial"/>
              <w:color w:val="000000"/>
            </w:rPr>
          </w:pPr>
          <w:hyperlink w:anchor="_cmtcach1jmex">
            <w:r>
              <w:rPr>
                <w:rFonts w:ascii="Arial" w:hAnsi="Arial" w:cs="Arial"/>
              </w:rPr>
              <w:t>1.1 Background of the Study</w:t>
            </w:r>
            <w:r>
              <w:rPr>
                <w:rFonts w:ascii="Arial" w:hAnsi="Arial" w:cs="Arial"/>
              </w:rPr>
              <w:tab/>
              <w:t>3</w:t>
            </w:r>
          </w:hyperlink>
        </w:p>
        <w:p w14:paraId="61EF054B" w14:textId="77777777" w:rsidR="00691C4B" w:rsidRDefault="00691C4B" w:rsidP="00691C4B">
          <w:pPr>
            <w:tabs>
              <w:tab w:val="right" w:leader="dot" w:pos="9019"/>
            </w:tabs>
            <w:spacing w:after="100"/>
            <w:ind w:left="240"/>
            <w:rPr>
              <w:rFonts w:ascii="Arial" w:eastAsia="Cambria" w:hAnsi="Arial" w:cs="Arial"/>
              <w:color w:val="000000"/>
            </w:rPr>
          </w:pPr>
          <w:hyperlink w:anchor="_a7zsasw0ux9r">
            <w:r>
              <w:rPr>
                <w:rFonts w:ascii="Arial" w:hAnsi="Arial" w:cs="Arial"/>
              </w:rPr>
              <w:t>1.2 Research Rationale</w:t>
            </w:r>
            <w:r>
              <w:rPr>
                <w:rFonts w:ascii="Arial" w:hAnsi="Arial" w:cs="Arial"/>
              </w:rPr>
              <w:tab/>
              <w:t>3</w:t>
            </w:r>
          </w:hyperlink>
        </w:p>
        <w:p w14:paraId="29AAF2F4" w14:textId="77777777" w:rsidR="00691C4B" w:rsidRDefault="00691C4B" w:rsidP="00691C4B">
          <w:pPr>
            <w:tabs>
              <w:tab w:val="right" w:leader="dot" w:pos="9019"/>
            </w:tabs>
            <w:spacing w:after="100"/>
            <w:ind w:left="240"/>
            <w:rPr>
              <w:rFonts w:ascii="Arial" w:eastAsia="Cambria" w:hAnsi="Arial" w:cs="Arial"/>
              <w:color w:val="000000"/>
            </w:rPr>
          </w:pPr>
          <w:hyperlink w:anchor="_cquhnmp32yc8">
            <w:r>
              <w:rPr>
                <w:rFonts w:ascii="Arial" w:hAnsi="Arial" w:cs="Arial"/>
              </w:rPr>
              <w:t>1.3 Research Aims and Objectives</w:t>
            </w:r>
            <w:r>
              <w:rPr>
                <w:rFonts w:ascii="Arial" w:hAnsi="Arial" w:cs="Arial"/>
              </w:rPr>
              <w:tab/>
              <w:t>4</w:t>
            </w:r>
          </w:hyperlink>
        </w:p>
        <w:p w14:paraId="1E3732EA" w14:textId="77777777" w:rsidR="00691C4B" w:rsidRDefault="00691C4B" w:rsidP="00691C4B">
          <w:pPr>
            <w:tabs>
              <w:tab w:val="right" w:leader="dot" w:pos="9019"/>
            </w:tabs>
            <w:spacing w:after="100"/>
            <w:ind w:left="240"/>
            <w:rPr>
              <w:rFonts w:ascii="Arial" w:eastAsia="Cambria" w:hAnsi="Arial" w:cs="Arial"/>
              <w:color w:val="000000"/>
            </w:rPr>
          </w:pPr>
          <w:hyperlink w:anchor="_u8a34k4qxx1i">
            <w:r>
              <w:rPr>
                <w:rFonts w:ascii="Arial" w:hAnsi="Arial" w:cs="Arial"/>
              </w:rPr>
              <w:t>1.4 Research Questions</w:t>
            </w:r>
            <w:r>
              <w:rPr>
                <w:rFonts w:ascii="Arial" w:hAnsi="Arial" w:cs="Arial"/>
              </w:rPr>
              <w:tab/>
              <w:t>4</w:t>
            </w:r>
          </w:hyperlink>
        </w:p>
        <w:p w14:paraId="46A8FE4B" w14:textId="77777777" w:rsidR="00691C4B" w:rsidRDefault="00691C4B" w:rsidP="00691C4B">
          <w:pPr>
            <w:tabs>
              <w:tab w:val="right" w:leader="dot" w:pos="9019"/>
            </w:tabs>
            <w:spacing w:after="100"/>
            <w:ind w:left="240"/>
            <w:rPr>
              <w:rFonts w:ascii="Arial" w:eastAsia="Cambria" w:hAnsi="Arial" w:cs="Arial"/>
              <w:color w:val="000000"/>
            </w:rPr>
          </w:pPr>
          <w:hyperlink w:anchor="_gk7w3jbs0xgx">
            <w:r>
              <w:rPr>
                <w:rFonts w:ascii="Arial" w:hAnsi="Arial" w:cs="Arial"/>
              </w:rPr>
              <w:t>Hypothesis:</w:t>
            </w:r>
            <w:r>
              <w:rPr>
                <w:rFonts w:ascii="Arial" w:hAnsi="Arial" w:cs="Arial"/>
              </w:rPr>
              <w:tab/>
              <w:t>4</w:t>
            </w:r>
          </w:hyperlink>
        </w:p>
        <w:p w14:paraId="5C30616E" w14:textId="77777777" w:rsidR="00691C4B" w:rsidRDefault="00691C4B" w:rsidP="00691C4B">
          <w:pPr>
            <w:tabs>
              <w:tab w:val="right" w:leader="dot" w:pos="9019"/>
            </w:tabs>
            <w:spacing w:after="100"/>
            <w:ind w:left="240"/>
            <w:rPr>
              <w:rFonts w:ascii="Arial" w:eastAsia="Cambria" w:hAnsi="Arial" w:cs="Arial"/>
              <w:color w:val="000000"/>
            </w:rPr>
          </w:pPr>
          <w:hyperlink w:anchor="_dg3mm6f9hxze">
            <w:r>
              <w:rPr>
                <w:rFonts w:ascii="Arial" w:hAnsi="Arial" w:cs="Arial"/>
              </w:rPr>
              <w:t>1.5 Research Problems</w:t>
            </w:r>
            <w:r>
              <w:rPr>
                <w:rFonts w:ascii="Arial" w:hAnsi="Arial" w:cs="Arial"/>
              </w:rPr>
              <w:tab/>
              <w:t>4</w:t>
            </w:r>
          </w:hyperlink>
        </w:p>
        <w:p w14:paraId="47169F2A" w14:textId="77777777" w:rsidR="00691C4B" w:rsidRDefault="00691C4B" w:rsidP="00691C4B">
          <w:pPr>
            <w:tabs>
              <w:tab w:val="right" w:leader="dot" w:pos="9019"/>
            </w:tabs>
            <w:spacing w:after="100"/>
            <w:rPr>
              <w:rFonts w:ascii="Arial" w:eastAsia="Cambria" w:hAnsi="Arial" w:cs="Arial"/>
              <w:color w:val="000000"/>
            </w:rPr>
          </w:pPr>
          <w:hyperlink w:anchor="_i82f9o3limtb">
            <w:r>
              <w:rPr>
                <w:rFonts w:ascii="Arial" w:hAnsi="Arial" w:cs="Arial"/>
              </w:rPr>
              <w:t>2. Literature Review</w:t>
            </w:r>
            <w:r>
              <w:rPr>
                <w:rFonts w:ascii="Arial" w:hAnsi="Arial" w:cs="Arial"/>
              </w:rPr>
              <w:tab/>
              <w:t>5</w:t>
            </w:r>
          </w:hyperlink>
        </w:p>
        <w:p w14:paraId="49E4DECE" w14:textId="77777777" w:rsidR="00691C4B" w:rsidRDefault="00691C4B" w:rsidP="00691C4B">
          <w:pPr>
            <w:tabs>
              <w:tab w:val="right" w:leader="dot" w:pos="9019"/>
            </w:tabs>
            <w:spacing w:after="100"/>
            <w:ind w:left="240"/>
            <w:rPr>
              <w:rFonts w:ascii="Arial" w:eastAsia="Cambria" w:hAnsi="Arial" w:cs="Arial"/>
              <w:color w:val="000000"/>
            </w:rPr>
          </w:pPr>
          <w:hyperlink w:anchor="_2ioh6wd5uriz">
            <w:r>
              <w:rPr>
                <w:rFonts w:ascii="Arial" w:hAnsi="Arial" w:cs="Arial"/>
              </w:rPr>
              <w:t>2.1 Determinants of Capital Structure</w:t>
            </w:r>
            <w:r>
              <w:rPr>
                <w:rFonts w:ascii="Arial" w:hAnsi="Arial" w:cs="Arial"/>
              </w:rPr>
              <w:tab/>
              <w:t>5</w:t>
            </w:r>
          </w:hyperlink>
        </w:p>
        <w:p w14:paraId="6C4468CA" w14:textId="77777777" w:rsidR="00691C4B" w:rsidRDefault="00691C4B" w:rsidP="00691C4B">
          <w:pPr>
            <w:tabs>
              <w:tab w:val="right" w:leader="dot" w:pos="9019"/>
            </w:tabs>
            <w:spacing w:after="100"/>
            <w:ind w:left="240"/>
            <w:rPr>
              <w:rFonts w:ascii="Arial" w:eastAsia="Cambria" w:hAnsi="Arial" w:cs="Arial"/>
              <w:color w:val="000000"/>
            </w:rPr>
          </w:pPr>
          <w:hyperlink w:anchor="_x22ixe1bbka9">
            <w:r>
              <w:rPr>
                <w:rFonts w:ascii="Arial" w:hAnsi="Arial" w:cs="Arial"/>
              </w:rPr>
              <w:t>2.2 Capital Structure and Financial Performance</w:t>
            </w:r>
            <w:r>
              <w:rPr>
                <w:rFonts w:ascii="Arial" w:hAnsi="Arial" w:cs="Arial"/>
              </w:rPr>
              <w:tab/>
              <w:t>5</w:t>
            </w:r>
          </w:hyperlink>
        </w:p>
        <w:p w14:paraId="1774F310" w14:textId="77777777" w:rsidR="00691C4B" w:rsidRDefault="00691C4B" w:rsidP="00691C4B">
          <w:pPr>
            <w:tabs>
              <w:tab w:val="right" w:leader="dot" w:pos="9019"/>
            </w:tabs>
            <w:spacing w:after="100"/>
            <w:ind w:left="240"/>
            <w:rPr>
              <w:rFonts w:ascii="Arial" w:eastAsia="Cambria" w:hAnsi="Arial" w:cs="Arial"/>
              <w:color w:val="000000"/>
            </w:rPr>
          </w:pPr>
          <w:hyperlink w:anchor="_f2qvr2wzugfv">
            <w:r>
              <w:rPr>
                <w:rFonts w:ascii="Arial" w:hAnsi="Arial" w:cs="Arial"/>
              </w:rPr>
              <w:t>2.3 Crises, Regulatory Change, and Capital Structure Dynamics</w:t>
            </w:r>
            <w:r>
              <w:rPr>
                <w:rFonts w:ascii="Arial" w:hAnsi="Arial" w:cs="Arial"/>
              </w:rPr>
              <w:tab/>
              <w:t>6</w:t>
            </w:r>
          </w:hyperlink>
        </w:p>
        <w:p w14:paraId="7C9D7304" w14:textId="77777777" w:rsidR="00691C4B" w:rsidRDefault="00691C4B" w:rsidP="00691C4B">
          <w:pPr>
            <w:tabs>
              <w:tab w:val="right" w:leader="dot" w:pos="9019"/>
            </w:tabs>
            <w:spacing w:after="100"/>
            <w:ind w:left="240"/>
            <w:rPr>
              <w:rFonts w:ascii="Arial" w:eastAsia="Cambria" w:hAnsi="Arial" w:cs="Arial"/>
              <w:color w:val="000000"/>
            </w:rPr>
          </w:pPr>
          <w:hyperlink w:anchor="_lpo073aszurk">
            <w:r>
              <w:rPr>
                <w:rFonts w:ascii="Arial" w:hAnsi="Arial" w:cs="Arial"/>
              </w:rPr>
              <w:t>2.4 Theoretical Frameworks</w:t>
            </w:r>
            <w:r>
              <w:rPr>
                <w:rFonts w:ascii="Arial" w:hAnsi="Arial" w:cs="Arial"/>
              </w:rPr>
              <w:tab/>
              <w:t>6</w:t>
            </w:r>
          </w:hyperlink>
        </w:p>
        <w:p w14:paraId="3F526839" w14:textId="77777777" w:rsidR="00691C4B" w:rsidRDefault="00691C4B" w:rsidP="00691C4B">
          <w:pPr>
            <w:tabs>
              <w:tab w:val="right" w:leader="dot" w:pos="9019"/>
            </w:tabs>
            <w:spacing w:after="100"/>
            <w:ind w:left="240"/>
            <w:rPr>
              <w:rFonts w:ascii="Arial" w:eastAsia="Cambria" w:hAnsi="Arial" w:cs="Arial"/>
              <w:color w:val="000000"/>
            </w:rPr>
          </w:pPr>
          <w:hyperlink w:anchor="_r6ylxbvhz6u3">
            <w:r>
              <w:rPr>
                <w:rFonts w:ascii="Arial" w:hAnsi="Arial" w:cs="Arial"/>
              </w:rPr>
              <w:t>2.5 Identified Literature Gap</w:t>
            </w:r>
            <w:r>
              <w:rPr>
                <w:rFonts w:ascii="Arial" w:hAnsi="Arial" w:cs="Arial"/>
              </w:rPr>
              <w:tab/>
              <w:t>7</w:t>
            </w:r>
          </w:hyperlink>
        </w:p>
        <w:p w14:paraId="577531A4" w14:textId="77777777" w:rsidR="00691C4B" w:rsidRDefault="00691C4B" w:rsidP="00691C4B">
          <w:pPr>
            <w:tabs>
              <w:tab w:val="right" w:leader="dot" w:pos="9019"/>
            </w:tabs>
            <w:spacing w:after="100"/>
            <w:rPr>
              <w:rFonts w:ascii="Arial" w:eastAsia="Cambria" w:hAnsi="Arial" w:cs="Arial"/>
              <w:color w:val="000000"/>
            </w:rPr>
          </w:pPr>
          <w:hyperlink w:anchor="_hgedafwqi3my">
            <w:r>
              <w:rPr>
                <w:rFonts w:ascii="Arial" w:hAnsi="Arial" w:cs="Arial"/>
              </w:rPr>
              <w:t>3. Methodology</w:t>
            </w:r>
            <w:r>
              <w:rPr>
                <w:rFonts w:ascii="Arial" w:hAnsi="Arial" w:cs="Arial"/>
              </w:rPr>
              <w:tab/>
              <w:t>7</w:t>
            </w:r>
          </w:hyperlink>
        </w:p>
        <w:p w14:paraId="45FE3FBD" w14:textId="77777777" w:rsidR="00691C4B" w:rsidRDefault="00691C4B" w:rsidP="00691C4B">
          <w:pPr>
            <w:tabs>
              <w:tab w:val="right" w:leader="dot" w:pos="9019"/>
            </w:tabs>
            <w:spacing w:after="100"/>
            <w:ind w:left="240"/>
            <w:rPr>
              <w:rFonts w:ascii="Arial" w:eastAsia="Cambria" w:hAnsi="Arial" w:cs="Arial"/>
              <w:color w:val="000000"/>
            </w:rPr>
          </w:pPr>
          <w:hyperlink w:anchor="_1ryq5ynud7rg">
            <w:r>
              <w:rPr>
                <w:rFonts w:ascii="Arial" w:hAnsi="Arial" w:cs="Arial"/>
              </w:rPr>
              <w:t>3.1 Research Philosophy</w:t>
            </w:r>
            <w:r>
              <w:rPr>
                <w:rFonts w:ascii="Arial" w:hAnsi="Arial" w:cs="Arial"/>
              </w:rPr>
              <w:tab/>
              <w:t>7</w:t>
            </w:r>
          </w:hyperlink>
        </w:p>
        <w:p w14:paraId="45E0035C" w14:textId="77777777" w:rsidR="00691C4B" w:rsidRDefault="00691C4B" w:rsidP="00691C4B">
          <w:pPr>
            <w:tabs>
              <w:tab w:val="right" w:leader="dot" w:pos="9019"/>
            </w:tabs>
            <w:spacing w:after="100"/>
            <w:ind w:left="240"/>
            <w:rPr>
              <w:rFonts w:ascii="Arial" w:eastAsia="Cambria" w:hAnsi="Arial" w:cs="Arial"/>
              <w:color w:val="000000"/>
            </w:rPr>
          </w:pPr>
          <w:hyperlink w:anchor="_x6sb2ee59qk">
            <w:r>
              <w:rPr>
                <w:rFonts w:ascii="Arial" w:hAnsi="Arial" w:cs="Arial"/>
              </w:rPr>
              <w:t>3.2 Research Design and Research Approach</w:t>
            </w:r>
            <w:r>
              <w:rPr>
                <w:rFonts w:ascii="Arial" w:hAnsi="Arial" w:cs="Arial"/>
              </w:rPr>
              <w:tab/>
              <w:t>8</w:t>
            </w:r>
          </w:hyperlink>
        </w:p>
        <w:p w14:paraId="3DEDC820" w14:textId="77777777" w:rsidR="00691C4B" w:rsidRDefault="00691C4B" w:rsidP="00691C4B">
          <w:pPr>
            <w:tabs>
              <w:tab w:val="right" w:leader="dot" w:pos="9019"/>
            </w:tabs>
            <w:spacing w:after="100"/>
            <w:ind w:left="240"/>
            <w:rPr>
              <w:rFonts w:ascii="Arial" w:eastAsia="Cambria" w:hAnsi="Arial" w:cs="Arial"/>
              <w:color w:val="000000"/>
            </w:rPr>
          </w:pPr>
          <w:hyperlink w:anchor="_yef7zg99bk7q">
            <w:r>
              <w:rPr>
                <w:rFonts w:ascii="Arial" w:hAnsi="Arial" w:cs="Arial"/>
              </w:rPr>
              <w:t>3.3 Data Collection and Sampling Method</w:t>
            </w:r>
            <w:r>
              <w:rPr>
                <w:rFonts w:ascii="Arial" w:hAnsi="Arial" w:cs="Arial"/>
              </w:rPr>
              <w:tab/>
              <w:t>8</w:t>
            </w:r>
          </w:hyperlink>
        </w:p>
        <w:p w14:paraId="66233616" w14:textId="77777777" w:rsidR="00691C4B" w:rsidRDefault="00691C4B" w:rsidP="00691C4B">
          <w:pPr>
            <w:tabs>
              <w:tab w:val="right" w:leader="dot" w:pos="9019"/>
            </w:tabs>
            <w:spacing w:after="100"/>
            <w:ind w:left="240"/>
            <w:rPr>
              <w:rFonts w:ascii="Arial" w:eastAsia="Cambria" w:hAnsi="Arial" w:cs="Arial"/>
              <w:color w:val="000000"/>
            </w:rPr>
          </w:pPr>
          <w:hyperlink w:anchor="_p0x9sjkeq4m1">
            <w:r>
              <w:rPr>
                <w:rFonts w:ascii="Arial" w:hAnsi="Arial" w:cs="Arial"/>
              </w:rPr>
              <w:t>3.4 Data Analysis and Ethics</w:t>
            </w:r>
            <w:r>
              <w:rPr>
                <w:rFonts w:ascii="Arial" w:hAnsi="Arial" w:cs="Arial"/>
              </w:rPr>
              <w:tab/>
              <w:t>8</w:t>
            </w:r>
          </w:hyperlink>
        </w:p>
        <w:p w14:paraId="6FDEC840" w14:textId="77777777" w:rsidR="00691C4B" w:rsidRDefault="00691C4B" w:rsidP="00691C4B">
          <w:pPr>
            <w:tabs>
              <w:tab w:val="right" w:leader="dot" w:pos="9019"/>
            </w:tabs>
            <w:spacing w:after="100"/>
            <w:rPr>
              <w:rFonts w:ascii="Arial" w:eastAsia="Cambria" w:hAnsi="Arial" w:cs="Arial"/>
              <w:color w:val="000000"/>
            </w:rPr>
          </w:pPr>
          <w:hyperlink w:anchor="_bf8krh4kc3c3">
            <w:r>
              <w:rPr>
                <w:rFonts w:ascii="Arial" w:hAnsi="Arial" w:cs="Arial"/>
              </w:rPr>
              <w:t>4. Expected Findings</w:t>
            </w:r>
            <w:r>
              <w:rPr>
                <w:rFonts w:ascii="Arial" w:hAnsi="Arial" w:cs="Arial"/>
              </w:rPr>
              <w:tab/>
              <w:t>8</w:t>
            </w:r>
          </w:hyperlink>
        </w:p>
        <w:p w14:paraId="50B52C6B" w14:textId="77777777" w:rsidR="00691C4B" w:rsidRDefault="00691C4B" w:rsidP="00691C4B">
          <w:pPr>
            <w:tabs>
              <w:tab w:val="right" w:leader="dot" w:pos="9019"/>
            </w:tabs>
            <w:spacing w:after="100"/>
            <w:rPr>
              <w:rFonts w:ascii="Arial" w:eastAsia="Cambria" w:hAnsi="Arial" w:cs="Arial"/>
              <w:color w:val="000000"/>
            </w:rPr>
          </w:pPr>
          <w:hyperlink w:anchor="_ouxmxy2g7tay">
            <w:r>
              <w:rPr>
                <w:rFonts w:ascii="Arial" w:hAnsi="Arial" w:cs="Arial"/>
              </w:rPr>
              <w:t>5. Limitations</w:t>
            </w:r>
            <w:r>
              <w:rPr>
                <w:rFonts w:ascii="Arial" w:hAnsi="Arial" w:cs="Arial"/>
              </w:rPr>
              <w:tab/>
              <w:t>9</w:t>
            </w:r>
          </w:hyperlink>
        </w:p>
        <w:p w14:paraId="5175F7BC" w14:textId="77777777" w:rsidR="00691C4B" w:rsidRDefault="00691C4B" w:rsidP="00691C4B">
          <w:pPr>
            <w:tabs>
              <w:tab w:val="right" w:leader="dot" w:pos="9019"/>
            </w:tabs>
            <w:spacing w:after="100"/>
            <w:rPr>
              <w:rFonts w:ascii="Arial" w:eastAsia="Cambria" w:hAnsi="Arial" w:cs="Arial"/>
              <w:color w:val="000000"/>
            </w:rPr>
          </w:pPr>
          <w:hyperlink w:anchor="_op5xutnjgk80">
            <w:r>
              <w:rPr>
                <w:rFonts w:ascii="Arial" w:hAnsi="Arial" w:cs="Arial"/>
              </w:rPr>
              <w:t>6. Timeframe</w:t>
            </w:r>
            <w:r>
              <w:rPr>
                <w:rFonts w:ascii="Arial" w:hAnsi="Arial" w:cs="Arial"/>
              </w:rPr>
              <w:tab/>
              <w:t>9</w:t>
            </w:r>
          </w:hyperlink>
        </w:p>
        <w:p w14:paraId="35ADD298" w14:textId="77777777" w:rsidR="00691C4B" w:rsidRDefault="00691C4B" w:rsidP="00691C4B">
          <w:pPr>
            <w:tabs>
              <w:tab w:val="right" w:leader="dot" w:pos="9019"/>
            </w:tabs>
            <w:spacing w:after="100"/>
            <w:rPr>
              <w:rFonts w:ascii="Arial" w:eastAsia="Cambria" w:hAnsi="Arial" w:cs="Arial"/>
              <w:color w:val="000000"/>
            </w:rPr>
          </w:pPr>
          <w:hyperlink w:anchor="_mn9197evuvyg">
            <w:r>
              <w:rPr>
                <w:rFonts w:ascii="Arial" w:hAnsi="Arial" w:cs="Arial"/>
              </w:rPr>
              <w:t>7. Conclusion</w:t>
            </w:r>
            <w:r>
              <w:rPr>
                <w:rFonts w:ascii="Arial" w:hAnsi="Arial" w:cs="Arial"/>
              </w:rPr>
              <w:tab/>
              <w:t>10</w:t>
            </w:r>
          </w:hyperlink>
        </w:p>
        <w:p w14:paraId="6874EF40" w14:textId="77777777" w:rsidR="00691C4B" w:rsidRDefault="00691C4B" w:rsidP="00691C4B">
          <w:pPr>
            <w:tabs>
              <w:tab w:val="right" w:leader="dot" w:pos="9019"/>
            </w:tabs>
            <w:spacing w:after="100"/>
            <w:rPr>
              <w:rFonts w:ascii="Arial" w:eastAsia="Cambria" w:hAnsi="Arial" w:cs="Arial"/>
              <w:color w:val="000000"/>
            </w:rPr>
          </w:pPr>
          <w:hyperlink w:anchor="_p7lck1y1dcid">
            <w:r>
              <w:rPr>
                <w:rFonts w:ascii="Arial" w:hAnsi="Arial" w:cs="Arial"/>
              </w:rPr>
              <w:t>References</w:t>
            </w:r>
            <w:r>
              <w:rPr>
                <w:rFonts w:ascii="Arial" w:hAnsi="Arial" w:cs="Arial"/>
              </w:rPr>
              <w:tab/>
              <w:t>11</w:t>
            </w:r>
          </w:hyperlink>
        </w:p>
        <w:p w14:paraId="690B68E0" w14:textId="77777777" w:rsidR="00691C4B" w:rsidRDefault="00691C4B" w:rsidP="00691C4B">
          <w:pPr>
            <w:rPr>
              <w:rFonts w:ascii="Arial" w:hAnsi="Arial" w:cs="Arial"/>
            </w:rPr>
          </w:pPr>
          <w:r>
            <w:rPr>
              <w:rFonts w:ascii="Arial" w:hAnsi="Arial" w:cs="Arial"/>
            </w:rPr>
            <w:fldChar w:fldCharType="end"/>
          </w:r>
        </w:p>
      </w:sdtContent>
    </w:sdt>
    <w:p w14:paraId="75C35886" w14:textId="77777777" w:rsidR="00691C4B" w:rsidRDefault="00691C4B" w:rsidP="00691C4B">
      <w:pPr>
        <w:rPr>
          <w:rFonts w:ascii="Arial" w:hAnsi="Arial" w:cs="Arial"/>
          <w:b/>
          <w:bCs/>
          <w:sz w:val="28"/>
          <w:szCs w:val="28"/>
        </w:rPr>
      </w:pPr>
      <w:r>
        <w:rPr>
          <w:rFonts w:ascii="Arial" w:hAnsi="Arial" w:cs="Arial"/>
        </w:rPr>
        <w:br w:type="page"/>
      </w:r>
    </w:p>
    <w:p w14:paraId="6228163F" w14:textId="77777777" w:rsidR="00691C4B" w:rsidRDefault="00691C4B" w:rsidP="00691C4B">
      <w:pPr>
        <w:pStyle w:val="Heading1"/>
        <w:rPr>
          <w:rFonts w:ascii="Arial" w:hAnsi="Arial" w:cs="Arial"/>
          <w:b w:val="0"/>
          <w:bCs/>
        </w:rPr>
      </w:pPr>
      <w:bookmarkStart w:id="1" w:name="_8d5xkm7tl8dr" w:colFirst="0" w:colLast="0"/>
      <w:bookmarkEnd w:id="1"/>
      <w:r>
        <w:rPr>
          <w:rFonts w:ascii="Arial" w:hAnsi="Arial" w:cs="Arial"/>
        </w:rPr>
        <w:lastRenderedPageBreak/>
        <w:t>1. Introduction</w:t>
      </w:r>
    </w:p>
    <w:p w14:paraId="36EA5B9C" w14:textId="77777777" w:rsidR="00691C4B" w:rsidRDefault="00691C4B" w:rsidP="00691C4B">
      <w:pPr>
        <w:pStyle w:val="Heading2"/>
        <w:rPr>
          <w:rFonts w:ascii="Arial" w:hAnsi="Arial" w:cs="Arial"/>
          <w:b w:val="0"/>
          <w:bCs/>
          <w:szCs w:val="26"/>
        </w:rPr>
      </w:pPr>
      <w:bookmarkStart w:id="2" w:name="_cmtcach1jmex" w:colFirst="0" w:colLast="0"/>
      <w:bookmarkEnd w:id="2"/>
      <w:r>
        <w:rPr>
          <w:rFonts w:ascii="Arial" w:hAnsi="Arial" w:cs="Arial"/>
          <w:szCs w:val="26"/>
        </w:rPr>
        <w:t>1.1 Background of the Study</w:t>
      </w:r>
    </w:p>
    <w:p w14:paraId="57C938A7" w14:textId="77777777" w:rsidR="00691C4B" w:rsidRDefault="00691C4B" w:rsidP="00691C4B">
      <w:pPr>
        <w:rPr>
          <w:rFonts w:ascii="Arial" w:hAnsi="Arial" w:cs="Arial"/>
        </w:rPr>
      </w:pPr>
      <w:r>
        <w:rPr>
          <w:rFonts w:ascii="Arial" w:hAnsi="Arial" w:cs="Arial"/>
        </w:rPr>
        <w:t xml:space="preserve">Capital structure has a substantial impact on the performance of firms, affecting the cost of capital, risk exposure, and value in general. The primary objective is to identify the best debt-equity mix that will reduce the cost of capital and maximise the value of the firm. Whereas a moderate level of debt burden may lower the financing cost and could subject management to discipline, a high amount of debt increases financial risk. According to </w:t>
      </w:r>
      <w:proofErr w:type="spellStart"/>
      <w:r>
        <w:rPr>
          <w:rFonts w:ascii="Arial" w:hAnsi="Arial" w:cs="Arial"/>
        </w:rPr>
        <w:t>Alhajjeah</w:t>
      </w:r>
      <w:proofErr w:type="spellEnd"/>
      <w:r>
        <w:rPr>
          <w:rFonts w:ascii="Arial" w:hAnsi="Arial" w:cs="Arial"/>
        </w:rPr>
        <w:t xml:space="preserve"> and Besim (2024), the average debt-to-assets ratio of the UK sample of companies is 0.228, and short-term debt is 0.0618, and long-term debt stands at 0.155 in times of crisis. The governance changes and board reforms have also increased the rate of capital structure change across UK companies (Ezeani et al., 2024). The significance of optimal financing decisions has increased due to regulatory changes, the implications of Brexit, and increased interest rates in the world. Learning about the impacts of capital structure, therefore, assists corporate managers, investors and policymakers in making informed strategic decisions regarding financing. This research aims to examine the recent information of UK-based listed companies to provide new empirical data and management advice. The study aims at maximising the reliability and the relevance of the research by combining quantitative regressions with strong controls on the existing debates and practice on capital structure.</w:t>
      </w:r>
    </w:p>
    <w:p w14:paraId="5D8F355C" w14:textId="77777777" w:rsidR="00691C4B" w:rsidRDefault="00691C4B" w:rsidP="00691C4B">
      <w:pPr>
        <w:pStyle w:val="Heading2"/>
        <w:rPr>
          <w:rFonts w:ascii="Arial" w:hAnsi="Arial" w:cs="Arial"/>
          <w:b w:val="0"/>
          <w:bCs/>
          <w:szCs w:val="26"/>
        </w:rPr>
      </w:pPr>
      <w:bookmarkStart w:id="3" w:name="_ez73uynspgk" w:colFirst="0" w:colLast="0"/>
      <w:bookmarkEnd w:id="3"/>
      <w:r>
        <w:rPr>
          <w:rFonts w:ascii="Arial" w:hAnsi="Arial" w:cs="Arial"/>
          <w:szCs w:val="26"/>
        </w:rPr>
        <w:t>1.2 Research Rationale</w:t>
      </w:r>
    </w:p>
    <w:p w14:paraId="59FEEA54" w14:textId="77777777" w:rsidR="00691C4B" w:rsidRDefault="00691C4B" w:rsidP="00691C4B">
      <w:pPr>
        <w:rPr>
          <w:rFonts w:ascii="Arial" w:hAnsi="Arial" w:cs="Arial"/>
        </w:rPr>
      </w:pPr>
      <w:r>
        <w:rPr>
          <w:rFonts w:ascii="Arial" w:hAnsi="Arial" w:cs="Arial"/>
        </w:rPr>
        <w:t xml:space="preserve">The issue lies in the fact that many of the UK-listed firms might be practising optimum debt-equity combinations that inhibit financial performance. Unsuitable leverage raises the weighted average cost of capital of a firm and makes it more likely to enter a state of financial distress. Besides, the increase in leverage enhances the volatility of earnings and reduces managerial flexibility in periods of macroeconomic stress and market dislocation. This problem is further exacerbated by post-Brexit regulatory changes, supply-chain shocks, and increasing interest rates, which, to a significant extent, have transformed the financing environment of firms (Ezeani et al., 2024). The macroeconomic shocks caused by the COVID-19 pandemic and the liquidity policy of various firms in the UK made a significant number of firms reconsider their debt exposures and liquidity policy. As it is demonstrated by </w:t>
      </w:r>
      <w:proofErr w:type="spellStart"/>
      <w:r>
        <w:rPr>
          <w:rFonts w:ascii="Arial" w:hAnsi="Arial" w:cs="Arial"/>
        </w:rPr>
        <w:t>Alhajjeeh</w:t>
      </w:r>
      <w:proofErr w:type="spellEnd"/>
      <w:r>
        <w:rPr>
          <w:rFonts w:ascii="Arial" w:hAnsi="Arial" w:cs="Arial"/>
        </w:rPr>
        <w:t xml:space="preserve"> and Besim (2024), </w:t>
      </w:r>
      <w:r>
        <w:rPr>
          <w:rFonts w:ascii="Arial" w:hAnsi="Arial" w:cs="Arial"/>
        </w:rPr>
        <w:lastRenderedPageBreak/>
        <w:t xml:space="preserve">the tendency among firms was to decrease leverage in the time of a crisis, as well as to expand the use of internal funds to enhance operational resilience. </w:t>
      </w:r>
    </w:p>
    <w:p w14:paraId="2370858A" w14:textId="77777777" w:rsidR="00691C4B" w:rsidRDefault="00691C4B" w:rsidP="00691C4B">
      <w:pPr>
        <w:rPr>
          <w:rFonts w:ascii="Arial" w:hAnsi="Arial" w:cs="Arial"/>
        </w:rPr>
      </w:pPr>
      <w:r>
        <w:rPr>
          <w:rFonts w:ascii="Arial" w:hAnsi="Arial" w:cs="Arial"/>
        </w:rPr>
        <w:t xml:space="preserve">According to </w:t>
      </w:r>
      <w:proofErr w:type="spellStart"/>
      <w:r>
        <w:rPr>
          <w:rFonts w:ascii="Arial" w:hAnsi="Arial" w:cs="Arial"/>
        </w:rPr>
        <w:t>Almuaither</w:t>
      </w:r>
      <w:proofErr w:type="spellEnd"/>
      <w:r>
        <w:rPr>
          <w:rFonts w:ascii="Arial" w:hAnsi="Arial" w:cs="Arial"/>
        </w:rPr>
        <w:t xml:space="preserve"> and Marzouk (2019), the predictable firm size, profitability, tangibility, and growth opportunities are also consistent across different determinations of leverage choice. Nevertheless, a great deal of past studies </w:t>
      </w:r>
      <w:proofErr w:type="gramStart"/>
      <w:r>
        <w:rPr>
          <w:rFonts w:ascii="Arial" w:hAnsi="Arial" w:cs="Arial"/>
        </w:rPr>
        <w:t>are</w:t>
      </w:r>
      <w:proofErr w:type="gramEnd"/>
      <w:r>
        <w:rPr>
          <w:rFonts w:ascii="Arial" w:hAnsi="Arial" w:cs="Arial"/>
        </w:rPr>
        <w:t xml:space="preserve"> based on post-pandemic data and thus do not reflect new structural and regulatory transformations. A timely empirical study with the use of the panel data on 2015-2024 data will therefore contribute more to the current managerial decision-making and policy guidelines (</w:t>
      </w:r>
      <w:proofErr w:type="spellStart"/>
      <w:r>
        <w:rPr>
          <w:rFonts w:ascii="Arial" w:hAnsi="Arial" w:cs="Arial"/>
        </w:rPr>
        <w:t>Litvaj</w:t>
      </w:r>
      <w:proofErr w:type="spellEnd"/>
      <w:r>
        <w:rPr>
          <w:rFonts w:ascii="Arial" w:hAnsi="Arial" w:cs="Arial"/>
        </w:rPr>
        <w:t xml:space="preserve"> et al., 2022). The paper fills that gap by examining leverage-performance linkages based on a representative sample of companies listed on the UK market. The analysis increases the strength of causation, as multiple performance measures (ROA, ROE, and the Q of Tobin) are used, and the control variables are strictly controlled (Aydogmus, Gulay and Ergun, 2022). It is expected to lead to two benefits: revised empirical data in the hands of scholars and practical financing advice in the hands of business administrators and investors.</w:t>
      </w:r>
    </w:p>
    <w:p w14:paraId="2EBFBDA0" w14:textId="77777777" w:rsidR="00691C4B" w:rsidRDefault="00691C4B" w:rsidP="00691C4B">
      <w:pPr>
        <w:pStyle w:val="Heading2"/>
        <w:rPr>
          <w:rFonts w:ascii="Arial" w:hAnsi="Arial" w:cs="Arial"/>
          <w:b w:val="0"/>
          <w:bCs/>
          <w:szCs w:val="26"/>
        </w:rPr>
      </w:pPr>
      <w:bookmarkStart w:id="4" w:name="_a4ncov97dvyn" w:colFirst="0" w:colLast="0"/>
      <w:bookmarkEnd w:id="4"/>
      <w:r>
        <w:rPr>
          <w:rFonts w:ascii="Arial" w:hAnsi="Arial" w:cs="Arial"/>
          <w:szCs w:val="26"/>
        </w:rPr>
        <w:t>1.3 Research Aims and Objectives</w:t>
      </w:r>
    </w:p>
    <w:p w14:paraId="0CDA6956" w14:textId="77777777" w:rsidR="00691C4B" w:rsidRDefault="00691C4B" w:rsidP="00691C4B">
      <w:pPr>
        <w:rPr>
          <w:rFonts w:ascii="Arial" w:hAnsi="Arial" w:cs="Arial"/>
          <w:b/>
          <w:bCs/>
        </w:rPr>
      </w:pPr>
      <w:r>
        <w:rPr>
          <w:rFonts w:ascii="Arial" w:hAnsi="Arial" w:cs="Arial"/>
          <w:b/>
          <w:bCs/>
        </w:rPr>
        <w:t xml:space="preserve">Aims </w:t>
      </w:r>
    </w:p>
    <w:p w14:paraId="3207C349" w14:textId="77777777" w:rsidR="00691C4B" w:rsidRDefault="00691C4B" w:rsidP="00691C4B">
      <w:pPr>
        <w:rPr>
          <w:rFonts w:ascii="Arial" w:hAnsi="Arial" w:cs="Arial"/>
        </w:rPr>
      </w:pPr>
      <w:r>
        <w:rPr>
          <w:rFonts w:ascii="Arial" w:hAnsi="Arial" w:cs="Arial"/>
        </w:rPr>
        <w:t>To examine the effect of capital structure decisions on financial performance among UK-listed companies.</w:t>
      </w:r>
    </w:p>
    <w:p w14:paraId="6EDBA673" w14:textId="77777777" w:rsidR="00691C4B" w:rsidRDefault="00691C4B" w:rsidP="00691C4B">
      <w:pPr>
        <w:rPr>
          <w:rFonts w:ascii="Arial" w:hAnsi="Arial" w:cs="Arial"/>
          <w:b/>
          <w:bCs/>
          <w:color w:val="auto"/>
          <w:sz w:val="26"/>
          <w:szCs w:val="26"/>
        </w:rPr>
      </w:pPr>
      <w:r>
        <w:rPr>
          <w:rFonts w:ascii="Arial" w:hAnsi="Arial" w:cs="Arial"/>
          <w:b/>
          <w:bCs/>
          <w:color w:val="auto"/>
          <w:sz w:val="26"/>
          <w:szCs w:val="26"/>
        </w:rPr>
        <w:t>Objectives</w:t>
      </w:r>
    </w:p>
    <w:p w14:paraId="7B8D8F4C" w14:textId="77777777" w:rsidR="00691C4B" w:rsidRDefault="00691C4B" w:rsidP="00691C4B">
      <w:pPr>
        <w:pStyle w:val="ListParagraph"/>
        <w:numPr>
          <w:ilvl w:val="0"/>
          <w:numId w:val="1"/>
        </w:numPr>
        <w:rPr>
          <w:rFonts w:ascii="Arial" w:hAnsi="Arial" w:cs="Arial"/>
          <w:color w:val="auto"/>
        </w:rPr>
      </w:pPr>
      <w:r>
        <w:rPr>
          <w:rFonts w:ascii="Arial" w:hAnsi="Arial" w:cs="Arial"/>
          <w:color w:val="auto"/>
        </w:rPr>
        <w:t>To analyse the relationship between capital structure and financial performance.</w:t>
      </w:r>
    </w:p>
    <w:p w14:paraId="00BF4AD4" w14:textId="77777777" w:rsidR="00691C4B" w:rsidRDefault="00691C4B" w:rsidP="00691C4B">
      <w:pPr>
        <w:pStyle w:val="ListParagraph"/>
        <w:numPr>
          <w:ilvl w:val="0"/>
          <w:numId w:val="1"/>
        </w:numPr>
        <w:rPr>
          <w:rFonts w:ascii="Arial" w:hAnsi="Arial" w:cs="Arial"/>
          <w:color w:val="auto"/>
        </w:rPr>
      </w:pPr>
      <w:r>
        <w:rPr>
          <w:rFonts w:ascii="Arial" w:hAnsi="Arial" w:cs="Arial"/>
          <w:color w:val="auto"/>
        </w:rPr>
        <w:t>To compare the impact of capital structure on financial performance across different company in the Uk over the last 10 years (2014 – 2024).</w:t>
      </w:r>
    </w:p>
    <w:p w14:paraId="45A65000" w14:textId="77777777" w:rsidR="00691C4B" w:rsidRDefault="00691C4B" w:rsidP="00691C4B">
      <w:pPr>
        <w:pStyle w:val="Heading2"/>
        <w:rPr>
          <w:rFonts w:ascii="Arial" w:hAnsi="Arial" w:cs="Arial"/>
          <w:b w:val="0"/>
          <w:bCs/>
          <w:color w:val="auto"/>
          <w:szCs w:val="26"/>
        </w:rPr>
      </w:pPr>
      <w:bookmarkStart w:id="5" w:name="_5gasja77k6f1" w:colFirst="0" w:colLast="0"/>
      <w:bookmarkEnd w:id="5"/>
      <w:r>
        <w:rPr>
          <w:rFonts w:ascii="Arial" w:hAnsi="Arial" w:cs="Arial"/>
          <w:color w:val="auto"/>
          <w:szCs w:val="26"/>
        </w:rPr>
        <w:t xml:space="preserve">1.4 Research Questions </w:t>
      </w:r>
    </w:p>
    <w:p w14:paraId="1857F78E" w14:textId="77777777" w:rsidR="00691C4B" w:rsidRDefault="00691C4B" w:rsidP="00691C4B">
      <w:pPr>
        <w:pStyle w:val="ListParagraph"/>
        <w:numPr>
          <w:ilvl w:val="0"/>
          <w:numId w:val="2"/>
        </w:numPr>
        <w:rPr>
          <w:rFonts w:ascii="Arial" w:hAnsi="Arial" w:cs="Arial"/>
          <w:b/>
          <w:bCs/>
          <w:color w:val="auto"/>
        </w:rPr>
      </w:pPr>
      <w:bookmarkStart w:id="6" w:name="_spf0plqw142j" w:colFirst="0" w:colLast="0"/>
      <w:bookmarkEnd w:id="6"/>
      <w:r>
        <w:rPr>
          <w:rFonts w:ascii="Arial" w:hAnsi="Arial" w:cs="Arial"/>
          <w:color w:val="auto"/>
        </w:rPr>
        <w:t>How capital structure effect on financial performance?</w:t>
      </w:r>
    </w:p>
    <w:p w14:paraId="01C0C294" w14:textId="77777777" w:rsidR="00691C4B" w:rsidRDefault="00691C4B" w:rsidP="00691C4B">
      <w:pPr>
        <w:pStyle w:val="ListParagraph"/>
        <w:numPr>
          <w:ilvl w:val="0"/>
          <w:numId w:val="2"/>
        </w:numPr>
        <w:rPr>
          <w:rFonts w:ascii="Arial" w:hAnsi="Arial" w:cs="Arial"/>
          <w:b/>
          <w:bCs/>
          <w:color w:val="auto"/>
        </w:rPr>
      </w:pPr>
      <w:r>
        <w:rPr>
          <w:rFonts w:ascii="Arial" w:hAnsi="Arial" w:cs="Arial"/>
          <w:color w:val="auto"/>
        </w:rPr>
        <w:t>Is there any perfect ratio of Equity &amp; Leverage?</w:t>
      </w:r>
    </w:p>
    <w:p w14:paraId="5AF55FE3" w14:textId="77777777" w:rsidR="00691C4B" w:rsidRDefault="00691C4B" w:rsidP="00691C4B">
      <w:pPr>
        <w:pStyle w:val="ListParagraph"/>
        <w:numPr>
          <w:ilvl w:val="0"/>
          <w:numId w:val="2"/>
        </w:numPr>
        <w:rPr>
          <w:rFonts w:ascii="Arial" w:hAnsi="Arial" w:cs="Arial"/>
          <w:b/>
          <w:bCs/>
          <w:color w:val="auto"/>
        </w:rPr>
      </w:pPr>
      <w:r>
        <w:rPr>
          <w:rFonts w:ascii="Arial" w:hAnsi="Arial" w:cs="Arial"/>
          <w:color w:val="auto"/>
        </w:rPr>
        <w:t>What could be the advantage or disadvantage of having high or low leverage?</w:t>
      </w:r>
    </w:p>
    <w:p w14:paraId="126C632F" w14:textId="77777777" w:rsidR="00691C4B" w:rsidRDefault="00691C4B" w:rsidP="00691C4B">
      <w:pPr>
        <w:pStyle w:val="ListParagraph"/>
        <w:numPr>
          <w:ilvl w:val="0"/>
          <w:numId w:val="2"/>
        </w:numPr>
        <w:rPr>
          <w:rFonts w:ascii="Arial" w:hAnsi="Arial" w:cs="Arial"/>
          <w:b/>
          <w:bCs/>
          <w:color w:val="auto"/>
        </w:rPr>
      </w:pPr>
      <w:r>
        <w:rPr>
          <w:rFonts w:ascii="Arial" w:hAnsi="Arial" w:cs="Arial"/>
          <w:color w:val="auto"/>
        </w:rPr>
        <w:t>Does the firm size matter to have high or low leverage?</w:t>
      </w:r>
    </w:p>
    <w:p w14:paraId="6325B2C7" w14:textId="77777777" w:rsidR="00691C4B" w:rsidRDefault="00691C4B" w:rsidP="00691C4B">
      <w:pPr>
        <w:pStyle w:val="Heading2"/>
        <w:rPr>
          <w:rFonts w:ascii="Arial" w:hAnsi="Arial" w:cs="Arial"/>
          <w:color w:val="auto"/>
        </w:rPr>
      </w:pPr>
      <w:bookmarkStart w:id="7" w:name="_gk7w3jbs0xgx" w:colFirst="0" w:colLast="0"/>
      <w:bookmarkEnd w:id="7"/>
      <w:r>
        <w:rPr>
          <w:rFonts w:ascii="Arial" w:hAnsi="Arial" w:cs="Arial"/>
          <w:color w:val="auto"/>
        </w:rPr>
        <w:t>Hypothesis:</w:t>
      </w:r>
    </w:p>
    <w:p w14:paraId="384858AE" w14:textId="77777777" w:rsidR="00691C4B" w:rsidRDefault="00691C4B" w:rsidP="00691C4B">
      <w:pPr>
        <w:pStyle w:val="ListParagraph"/>
        <w:numPr>
          <w:ilvl w:val="0"/>
          <w:numId w:val="3"/>
        </w:numPr>
        <w:rPr>
          <w:rFonts w:ascii="Arial" w:hAnsi="Arial" w:cs="Arial"/>
          <w:color w:val="auto"/>
        </w:rPr>
      </w:pPr>
      <w:r>
        <w:rPr>
          <w:rFonts w:ascii="Arial" w:hAnsi="Arial" w:cs="Arial"/>
          <w:color w:val="auto"/>
        </w:rPr>
        <w:t>ROA, ROE &amp; Leverage Ratio have a direct relation with the Profitability ratio.</w:t>
      </w:r>
    </w:p>
    <w:p w14:paraId="4A7EE3A0" w14:textId="77777777" w:rsidR="00691C4B" w:rsidRDefault="00691C4B" w:rsidP="00691C4B">
      <w:pPr>
        <w:pStyle w:val="ListParagraph"/>
        <w:numPr>
          <w:ilvl w:val="0"/>
          <w:numId w:val="3"/>
        </w:numPr>
        <w:rPr>
          <w:rFonts w:ascii="Arial" w:hAnsi="Arial" w:cs="Arial"/>
          <w:color w:val="auto"/>
        </w:rPr>
      </w:pPr>
      <w:r>
        <w:rPr>
          <w:rFonts w:ascii="Arial" w:hAnsi="Arial" w:cs="Arial"/>
          <w:color w:val="auto"/>
        </w:rPr>
        <w:t>The Equity and leverage don’t have any perfect ratio. It works based on size of company and their brand value.</w:t>
      </w:r>
    </w:p>
    <w:p w14:paraId="00EF57DB" w14:textId="77777777" w:rsidR="00691C4B" w:rsidRDefault="00691C4B" w:rsidP="00691C4B">
      <w:pPr>
        <w:pStyle w:val="ListParagraph"/>
        <w:numPr>
          <w:ilvl w:val="0"/>
          <w:numId w:val="3"/>
        </w:numPr>
        <w:rPr>
          <w:rFonts w:ascii="Arial" w:hAnsi="Arial" w:cs="Arial"/>
          <w:color w:val="auto"/>
        </w:rPr>
      </w:pPr>
      <w:r>
        <w:rPr>
          <w:rFonts w:ascii="Arial" w:hAnsi="Arial" w:cs="Arial"/>
          <w:color w:val="auto"/>
        </w:rPr>
        <w:lastRenderedPageBreak/>
        <w:t>Leverage has positive relation with Profit and Risk.</w:t>
      </w:r>
    </w:p>
    <w:p w14:paraId="790A2128" w14:textId="77777777" w:rsidR="00691C4B" w:rsidRDefault="00691C4B" w:rsidP="00691C4B">
      <w:pPr>
        <w:pStyle w:val="ListParagraph"/>
        <w:numPr>
          <w:ilvl w:val="0"/>
          <w:numId w:val="3"/>
        </w:numPr>
        <w:rPr>
          <w:rFonts w:ascii="Arial" w:hAnsi="Arial" w:cs="Arial"/>
          <w:color w:val="auto"/>
        </w:rPr>
      </w:pPr>
      <w:r>
        <w:rPr>
          <w:rFonts w:ascii="Arial" w:hAnsi="Arial" w:cs="Arial"/>
          <w:color w:val="auto"/>
        </w:rPr>
        <w:t>There is a positive relation of leverage and Firm size.</w:t>
      </w:r>
    </w:p>
    <w:p w14:paraId="14A6E901" w14:textId="77777777" w:rsidR="00691C4B" w:rsidRDefault="00691C4B" w:rsidP="00691C4B">
      <w:pPr>
        <w:pStyle w:val="Heading2"/>
        <w:rPr>
          <w:rFonts w:ascii="Arial" w:hAnsi="Arial" w:cs="Arial"/>
          <w:b w:val="0"/>
          <w:bCs/>
          <w:szCs w:val="26"/>
        </w:rPr>
      </w:pPr>
      <w:bookmarkStart w:id="8" w:name="_dg3mm6f9hxze" w:colFirst="0" w:colLast="0"/>
      <w:bookmarkEnd w:id="8"/>
      <w:r>
        <w:rPr>
          <w:rFonts w:ascii="Arial" w:hAnsi="Arial" w:cs="Arial"/>
          <w:szCs w:val="26"/>
        </w:rPr>
        <w:t>1.5 Research Problems</w:t>
      </w:r>
    </w:p>
    <w:p w14:paraId="624598EA" w14:textId="77777777" w:rsidR="00691C4B" w:rsidRDefault="00691C4B" w:rsidP="00691C4B">
      <w:pPr>
        <w:rPr>
          <w:rFonts w:ascii="Arial" w:hAnsi="Arial" w:cs="Arial"/>
        </w:rPr>
      </w:pPr>
      <w:r>
        <w:rPr>
          <w:rFonts w:ascii="Arial" w:hAnsi="Arial" w:cs="Arial"/>
        </w:rPr>
        <w:t>There is a bone thrown to many contemporary UK-listed companies that do not have current empirical advice on the best debt-equity ratios in the light of prevailing macroeconomic and regulatory environments. As a result, managers might resort to strategies of financial vulnerability and diminishing firm value through the strategies of financing, especially amidst a state of increased uncertainty.</w:t>
      </w:r>
    </w:p>
    <w:p w14:paraId="230822C6" w14:textId="77777777" w:rsidR="00691C4B" w:rsidRDefault="00691C4B" w:rsidP="00691C4B">
      <w:pPr>
        <w:pStyle w:val="Heading1"/>
        <w:rPr>
          <w:rFonts w:ascii="Arial" w:hAnsi="Arial" w:cs="Arial"/>
          <w:b w:val="0"/>
          <w:bCs/>
        </w:rPr>
      </w:pPr>
      <w:bookmarkStart w:id="9" w:name="_vg12iv7opid2" w:colFirst="0" w:colLast="0"/>
      <w:bookmarkEnd w:id="9"/>
      <w:r>
        <w:rPr>
          <w:rFonts w:ascii="Arial" w:hAnsi="Arial" w:cs="Arial"/>
        </w:rPr>
        <w:t>2. Literature Review</w:t>
      </w:r>
    </w:p>
    <w:p w14:paraId="0A2AD0A3" w14:textId="77777777" w:rsidR="00691C4B" w:rsidRDefault="00691C4B" w:rsidP="00691C4B">
      <w:pPr>
        <w:pStyle w:val="Heading2"/>
        <w:rPr>
          <w:rFonts w:ascii="Arial" w:hAnsi="Arial" w:cs="Arial"/>
          <w:b w:val="0"/>
          <w:bCs/>
          <w:szCs w:val="26"/>
        </w:rPr>
      </w:pPr>
      <w:bookmarkStart w:id="10" w:name="_pf3rmtmh3nfa" w:colFirst="0" w:colLast="0"/>
      <w:bookmarkEnd w:id="10"/>
      <w:r>
        <w:rPr>
          <w:rFonts w:ascii="Arial" w:hAnsi="Arial" w:cs="Arial"/>
          <w:szCs w:val="26"/>
        </w:rPr>
        <w:t>2.1 Determinants of Capital Structure</w:t>
      </w:r>
    </w:p>
    <w:p w14:paraId="2792B45D" w14:textId="77777777" w:rsidR="00691C4B" w:rsidRDefault="00691C4B" w:rsidP="00691C4B">
      <w:pPr>
        <w:rPr>
          <w:rFonts w:ascii="Arial" w:hAnsi="Arial" w:cs="Arial"/>
        </w:rPr>
      </w:pPr>
      <w:r>
        <w:rPr>
          <w:rFonts w:ascii="Arial" w:hAnsi="Arial" w:cs="Arial"/>
        </w:rPr>
        <w:t xml:space="preserve">There are various determinants of capital structure that include the firm-specific determinants, which are size, profitability, growth prospects, and tangibility, as well as the externality determinants. For example, taxes, interest rates, markets, and regulatory environments. These determinants are used by firms to determine the most preferred debt-equity mix to use in financing operations. According to Bandaru (2024), the key decision factors in corporate leverage are firm size, profitability, tangibility, and growth opportunities. Frank and Goyal (2025) note that the market-to-book ratio, tangibility, and profitability are factors that are consistent and meaningful. There is a correlation between the size of a firm and leverage, which is generally positive since it indicates the ability to access the debt markets in a larger company, and the risk of bankruptcy is lower. According to Kılıç and </w:t>
      </w:r>
      <w:proofErr w:type="spellStart"/>
      <w:r>
        <w:rPr>
          <w:rFonts w:ascii="Arial" w:hAnsi="Arial" w:cs="Arial"/>
        </w:rPr>
        <w:t>Sakalsiz</w:t>
      </w:r>
      <w:proofErr w:type="spellEnd"/>
      <w:r>
        <w:rPr>
          <w:rFonts w:ascii="Arial" w:hAnsi="Arial" w:cs="Arial"/>
        </w:rPr>
        <w:t xml:space="preserve"> (2023), the effects are ambiguous in that the pecking order logic predicts a negative relationship, and at times, </w:t>
      </w:r>
      <w:proofErr w:type="spellStart"/>
      <w:r>
        <w:rPr>
          <w:rFonts w:ascii="Arial" w:hAnsi="Arial" w:cs="Arial"/>
        </w:rPr>
        <w:t>tradeoff</w:t>
      </w:r>
      <w:proofErr w:type="spellEnd"/>
      <w:r>
        <w:rPr>
          <w:rFonts w:ascii="Arial" w:hAnsi="Arial" w:cs="Arial"/>
        </w:rPr>
        <w:t xml:space="preserve"> logic predicts the relationship to be positive. Leverage among European firms is also determined by sector-specific features and corporate governance. </w:t>
      </w:r>
      <w:proofErr w:type="spellStart"/>
      <w:r>
        <w:rPr>
          <w:rFonts w:ascii="Arial" w:hAnsi="Arial" w:cs="Arial"/>
        </w:rPr>
        <w:t>Koralun</w:t>
      </w:r>
      <w:proofErr w:type="spellEnd"/>
      <w:r>
        <w:rPr>
          <w:rFonts w:ascii="Arial" w:hAnsi="Arial" w:cs="Arial"/>
        </w:rPr>
        <w:t xml:space="preserve"> -</w:t>
      </w:r>
      <w:proofErr w:type="spellStart"/>
      <w:r>
        <w:rPr>
          <w:rFonts w:ascii="Arial" w:hAnsi="Arial" w:cs="Arial"/>
        </w:rPr>
        <w:t>Bereznicka</w:t>
      </w:r>
      <w:proofErr w:type="spellEnd"/>
      <w:r>
        <w:rPr>
          <w:rFonts w:ascii="Arial" w:hAnsi="Arial" w:cs="Arial"/>
        </w:rPr>
        <w:t>, Gostkowski -</w:t>
      </w:r>
      <w:proofErr w:type="spellStart"/>
      <w:r>
        <w:rPr>
          <w:rFonts w:ascii="Arial" w:hAnsi="Arial" w:cs="Arial"/>
        </w:rPr>
        <w:t>Drzewicka</w:t>
      </w:r>
      <w:proofErr w:type="spellEnd"/>
      <w:r>
        <w:rPr>
          <w:rFonts w:ascii="Arial" w:hAnsi="Arial" w:cs="Arial"/>
        </w:rPr>
        <w:t xml:space="preserve">, and </w:t>
      </w:r>
      <w:proofErr w:type="spellStart"/>
      <w:r>
        <w:rPr>
          <w:rFonts w:ascii="Arial" w:hAnsi="Arial" w:cs="Arial"/>
        </w:rPr>
        <w:t>Majerowska</w:t>
      </w:r>
      <w:proofErr w:type="spellEnd"/>
      <w:r>
        <w:rPr>
          <w:rFonts w:ascii="Arial" w:hAnsi="Arial" w:cs="Arial"/>
        </w:rPr>
        <w:t xml:space="preserve"> (2024) also highlight country- and industry-level impacts, altering the impact of shared determinants. All in all, determinants are always context-dependent, and empirical studies are required on the country and time specific to derive sound inferences.  </w:t>
      </w:r>
    </w:p>
    <w:p w14:paraId="421E21A3" w14:textId="77777777" w:rsidR="00691C4B" w:rsidRDefault="00691C4B" w:rsidP="00691C4B">
      <w:pPr>
        <w:pStyle w:val="Heading2"/>
        <w:rPr>
          <w:rFonts w:ascii="Arial" w:hAnsi="Arial" w:cs="Arial"/>
          <w:b w:val="0"/>
          <w:bCs/>
          <w:szCs w:val="26"/>
        </w:rPr>
      </w:pPr>
      <w:bookmarkStart w:id="11" w:name="_foneglbxxe0g" w:colFirst="0" w:colLast="0"/>
      <w:bookmarkEnd w:id="11"/>
      <w:r>
        <w:rPr>
          <w:rFonts w:ascii="Arial" w:hAnsi="Arial" w:cs="Arial"/>
          <w:szCs w:val="26"/>
        </w:rPr>
        <w:t xml:space="preserve">2.2 Capital Structure and Financial Performance </w:t>
      </w:r>
    </w:p>
    <w:p w14:paraId="18FD397E" w14:textId="77777777" w:rsidR="00691C4B" w:rsidRDefault="00691C4B" w:rsidP="00691C4B">
      <w:pPr>
        <w:rPr>
          <w:rFonts w:ascii="Arial" w:hAnsi="Arial" w:cs="Arial"/>
        </w:rPr>
      </w:pPr>
      <w:r>
        <w:rPr>
          <w:rFonts w:ascii="Arial" w:hAnsi="Arial" w:cs="Arial"/>
        </w:rPr>
        <w:t xml:space="preserve">A factor that is tightly connected with the financial performance is capital structure, which is a combination of long-term debt and equity. As a proper capital structure has the capacity of cost reduction and profit maximisation, and vice versa, a poor capital </w:t>
      </w:r>
      <w:r>
        <w:rPr>
          <w:rFonts w:ascii="Arial" w:hAnsi="Arial" w:cs="Arial"/>
        </w:rPr>
        <w:lastRenderedPageBreak/>
        <w:t xml:space="preserve">structure may increase financial risk and decrease profits. As per </w:t>
      </w:r>
      <w:proofErr w:type="spellStart"/>
      <w:r>
        <w:rPr>
          <w:rFonts w:ascii="Arial" w:hAnsi="Arial" w:cs="Arial"/>
        </w:rPr>
        <w:t>Rababah</w:t>
      </w:r>
      <w:proofErr w:type="spellEnd"/>
      <w:r>
        <w:rPr>
          <w:rFonts w:ascii="Arial" w:hAnsi="Arial" w:cs="Arial"/>
        </w:rPr>
        <w:t xml:space="preserve"> (2022), the influence of leverage on the profitability, market valuation, and shareholder returns under different settings. The study by Abor (2025) revealed a positive correlation between the short-term debt and the ROE, which depicts heterogeneity in context. Danso et al. (2020) show mixed leverage-performance relationships, and they are determined by which proxies and sample periods are used. Panigrahi and Vachhani (2021) indicate that high leverage occasionally lowers ROA and ROE, especially for poorly endowed companies and when the economy is in a trough. The negative correction of Tobin Q to high debt is subject to mitigation by market expectations and business potential (Lim and Mali, 2023). As a result, empirical results show that the average performance nexus is not linear, but it is moderated by the particularities of firms and market circumstances.  </w:t>
      </w:r>
    </w:p>
    <w:p w14:paraId="459350FE" w14:textId="77777777" w:rsidR="00691C4B" w:rsidRDefault="00691C4B" w:rsidP="00691C4B">
      <w:pPr>
        <w:pStyle w:val="Heading2"/>
        <w:rPr>
          <w:rFonts w:ascii="Arial" w:hAnsi="Arial" w:cs="Arial"/>
          <w:b w:val="0"/>
          <w:bCs/>
          <w:szCs w:val="26"/>
        </w:rPr>
      </w:pPr>
      <w:bookmarkStart w:id="12" w:name="_cq0g1uz9zay" w:colFirst="0" w:colLast="0"/>
      <w:bookmarkEnd w:id="12"/>
      <w:r>
        <w:rPr>
          <w:rFonts w:ascii="Arial" w:hAnsi="Arial" w:cs="Arial"/>
          <w:szCs w:val="26"/>
        </w:rPr>
        <w:t xml:space="preserve">2.3 Crises, Regulatory Change, and Capital Structure Dynamics </w:t>
      </w:r>
    </w:p>
    <w:p w14:paraId="3F96FF48" w14:textId="77777777" w:rsidR="00691C4B" w:rsidRDefault="00691C4B" w:rsidP="00691C4B">
      <w:pPr>
        <w:rPr>
          <w:rFonts w:ascii="Arial" w:hAnsi="Arial" w:cs="Arial"/>
        </w:rPr>
      </w:pPr>
      <w:r>
        <w:rPr>
          <w:rFonts w:ascii="Arial" w:hAnsi="Arial" w:cs="Arial"/>
          <w:color w:val="000000"/>
          <w:highlight w:val="white"/>
        </w:rPr>
        <w:t xml:space="preserve">Crises often trigger regulatory changes to strengthen financial systems, primarily by increasing capital requirements for banks to enhance stability and absorb losses. </w:t>
      </w:r>
      <w:r>
        <w:rPr>
          <w:rFonts w:ascii="Arial" w:hAnsi="Arial" w:cs="Arial"/>
        </w:rPr>
        <w:t xml:space="preserve">During times of acute uncertainty, firms typically deleverage and </w:t>
      </w:r>
      <w:proofErr w:type="gramStart"/>
      <w:r>
        <w:rPr>
          <w:rFonts w:ascii="Arial" w:hAnsi="Arial" w:cs="Arial"/>
        </w:rPr>
        <w:t>have to</w:t>
      </w:r>
      <w:proofErr w:type="gramEnd"/>
      <w:r>
        <w:rPr>
          <w:rFonts w:ascii="Arial" w:hAnsi="Arial" w:cs="Arial"/>
        </w:rPr>
        <w:t xml:space="preserve"> be more dependent on internal sources of finance. According to </w:t>
      </w:r>
      <w:proofErr w:type="spellStart"/>
      <w:r>
        <w:rPr>
          <w:rFonts w:ascii="Arial" w:hAnsi="Arial" w:cs="Arial"/>
        </w:rPr>
        <w:t>Alhajjeah</w:t>
      </w:r>
      <w:proofErr w:type="spellEnd"/>
      <w:r>
        <w:rPr>
          <w:rFonts w:ascii="Arial" w:hAnsi="Arial" w:cs="Arial"/>
        </w:rPr>
        <w:t xml:space="preserve"> and Besim (2024), the average debt-assets debt ratio of 0.228 in their UK sample in times of crisis focuses on reducing short-term debts and maintaining precautionary liquidity among the corporate response mechanisms. Regulatory changes after Brexit and increasing global interest rates have only exacerbated the financing policies of UK firms over the past few years (</w:t>
      </w:r>
      <w:proofErr w:type="spellStart"/>
      <w:r>
        <w:rPr>
          <w:rFonts w:ascii="Arial" w:hAnsi="Arial" w:cs="Arial"/>
        </w:rPr>
        <w:t>Koralun-Bereźnicka</w:t>
      </w:r>
      <w:proofErr w:type="spellEnd"/>
      <w:r>
        <w:rPr>
          <w:rFonts w:ascii="Arial" w:hAnsi="Arial" w:cs="Arial"/>
        </w:rPr>
        <w:t xml:space="preserve">, </w:t>
      </w:r>
      <w:proofErr w:type="spellStart"/>
      <w:r>
        <w:rPr>
          <w:rFonts w:ascii="Arial" w:hAnsi="Arial" w:cs="Arial"/>
        </w:rPr>
        <w:t>Gostkowska-Drzewicka</w:t>
      </w:r>
      <w:proofErr w:type="spellEnd"/>
      <w:r>
        <w:rPr>
          <w:rFonts w:ascii="Arial" w:hAnsi="Arial" w:cs="Arial"/>
        </w:rPr>
        <w:t xml:space="preserve"> and </w:t>
      </w:r>
      <w:proofErr w:type="spellStart"/>
      <w:r>
        <w:rPr>
          <w:rFonts w:ascii="Arial" w:hAnsi="Arial" w:cs="Arial"/>
        </w:rPr>
        <w:t>Majerowska</w:t>
      </w:r>
      <w:proofErr w:type="spellEnd"/>
      <w:r>
        <w:rPr>
          <w:rFonts w:ascii="Arial" w:hAnsi="Arial" w:cs="Arial"/>
        </w:rPr>
        <w:t xml:space="preserve">, 2024). Board-level governance reforms also have impacts on capital structure change speed and the degree of leverage management effectiveness. The dynamics provide reasons why modern UK studies between 2018 and 2023 should be capable of recording recent changes to the structure.  </w:t>
      </w:r>
    </w:p>
    <w:p w14:paraId="1ECC5349" w14:textId="77777777" w:rsidR="00691C4B" w:rsidRDefault="00691C4B" w:rsidP="00691C4B">
      <w:pPr>
        <w:pStyle w:val="Heading2"/>
        <w:rPr>
          <w:rFonts w:ascii="Arial" w:hAnsi="Arial" w:cs="Arial"/>
          <w:b w:val="0"/>
          <w:bCs/>
          <w:szCs w:val="26"/>
        </w:rPr>
      </w:pPr>
      <w:bookmarkStart w:id="13" w:name="_xq7uvff8jj28" w:colFirst="0" w:colLast="0"/>
      <w:bookmarkEnd w:id="13"/>
      <w:r>
        <w:rPr>
          <w:rFonts w:ascii="Arial" w:hAnsi="Arial" w:cs="Arial"/>
          <w:szCs w:val="26"/>
        </w:rPr>
        <w:t xml:space="preserve">2.4 Theoretical Frameworks </w:t>
      </w:r>
    </w:p>
    <w:p w14:paraId="1FA3E11A" w14:textId="77777777" w:rsidR="00691C4B" w:rsidRDefault="00691C4B" w:rsidP="00691C4B">
      <w:pPr>
        <w:rPr>
          <w:rFonts w:ascii="Arial" w:hAnsi="Arial" w:cs="Arial"/>
        </w:rPr>
      </w:pPr>
      <w:r>
        <w:rPr>
          <w:rFonts w:ascii="Arial" w:hAnsi="Arial" w:cs="Arial"/>
        </w:rPr>
        <w:t xml:space="preserve">Perfect market conditions set a precedent, and considering this condition, original assertions by </w:t>
      </w:r>
      <w:r>
        <w:rPr>
          <w:rFonts w:ascii="Arial" w:hAnsi="Arial" w:cs="Arial"/>
          <w:b/>
          <w:bCs/>
          <w:i/>
          <w:iCs/>
        </w:rPr>
        <w:t>Modigliani and Miller</w:t>
      </w:r>
      <w:r>
        <w:rPr>
          <w:rFonts w:ascii="Arial" w:hAnsi="Arial" w:cs="Arial"/>
        </w:rPr>
        <w:t xml:space="preserve"> initially argued that capital structure is irrelevant under perfect market assumptions, providing a baseline. Thereafter, taxes and bankruptcy costs, as well as agency problems, are included in making more realistic trade-off predictions (Becker, 2021). </w:t>
      </w:r>
      <w:r>
        <w:rPr>
          <w:rFonts w:ascii="Arial" w:hAnsi="Arial" w:cs="Arial"/>
          <w:b/>
          <w:bCs/>
          <w:i/>
          <w:iCs/>
        </w:rPr>
        <w:t xml:space="preserve">The theory of trade-offs </w:t>
      </w:r>
      <w:r>
        <w:rPr>
          <w:rFonts w:ascii="Arial" w:hAnsi="Arial" w:cs="Arial"/>
        </w:rPr>
        <w:t xml:space="preserve">assumes that when companies are using leverage, they do so by trading off between the benefits of debt </w:t>
      </w:r>
      <w:r>
        <w:rPr>
          <w:rFonts w:ascii="Arial" w:hAnsi="Arial" w:cs="Arial"/>
        </w:rPr>
        <w:lastRenderedPageBreak/>
        <w:t xml:space="preserve">in terms of taxes and forecasted bankruptcies and agency costs (Pies and Valentinov, 2023). The empirical conflicts between these paradigms drive context-dependent testing, especially in areas where a crisis and regulation alteration occur.  </w:t>
      </w:r>
    </w:p>
    <w:p w14:paraId="6CFF6428" w14:textId="77777777" w:rsidR="00691C4B" w:rsidRDefault="00691C4B" w:rsidP="00691C4B">
      <w:pPr>
        <w:jc w:val="center"/>
        <w:rPr>
          <w:rFonts w:ascii="Arial" w:hAnsi="Arial" w:cs="Arial"/>
        </w:rPr>
      </w:pPr>
      <w:r>
        <w:rPr>
          <w:rFonts w:ascii="Arial" w:hAnsi="Arial" w:cs="Arial"/>
          <w:noProof/>
        </w:rPr>
        <w:drawing>
          <wp:inline distT="0" distB="0" distL="0" distR="0" wp14:anchorId="23FB7D7F" wp14:editId="3B373B97">
            <wp:extent cx="3806825" cy="2254885"/>
            <wp:effectExtent l="38100" t="38100" r="38100" b="38100"/>
            <wp:docPr id="3" name="image3.png" descr="A graph of value of company and gearing&#10;&#10;AI-generated content may be incorrect."/>
            <wp:cNvGraphicFramePr/>
            <a:graphic xmlns:a="http://schemas.openxmlformats.org/drawingml/2006/main">
              <a:graphicData uri="http://schemas.openxmlformats.org/drawingml/2006/picture">
                <pic:pic xmlns:pic="http://schemas.openxmlformats.org/drawingml/2006/picture">
                  <pic:nvPicPr>
                    <pic:cNvPr id="3" name="image3.png" descr="A graph of value of company and gearing&#10;&#10;AI-generated content may be incorrect."/>
                    <pic:cNvPicPr preferRelativeResize="0"/>
                  </pic:nvPicPr>
                  <pic:blipFill>
                    <a:blip r:embed="rId8"/>
                    <a:srcRect/>
                    <a:stretch>
                      <a:fillRect/>
                    </a:stretch>
                  </pic:blipFill>
                  <pic:spPr>
                    <a:xfrm>
                      <a:off x="0" y="0"/>
                      <a:ext cx="3806896" cy="2255298"/>
                    </a:xfrm>
                    <a:prstGeom prst="rect">
                      <a:avLst/>
                    </a:prstGeom>
                    <a:ln w="38100">
                      <a:solidFill>
                        <a:srgbClr val="000000"/>
                      </a:solidFill>
                      <a:prstDash val="solid"/>
                    </a:ln>
                  </pic:spPr>
                </pic:pic>
              </a:graphicData>
            </a:graphic>
          </wp:inline>
        </w:drawing>
      </w:r>
    </w:p>
    <w:p w14:paraId="1CB237D6" w14:textId="77777777" w:rsidR="00691C4B" w:rsidRDefault="00691C4B" w:rsidP="00691C4B">
      <w:pPr>
        <w:jc w:val="center"/>
        <w:rPr>
          <w:rFonts w:ascii="Arial" w:hAnsi="Arial" w:cs="Arial"/>
          <w:b/>
          <w:bCs/>
        </w:rPr>
      </w:pPr>
      <w:r>
        <w:rPr>
          <w:rFonts w:ascii="Arial" w:hAnsi="Arial" w:cs="Arial"/>
          <w:b/>
          <w:bCs/>
        </w:rPr>
        <w:t xml:space="preserve">Figure 1: Modigliani and Miller (M&amp;M) Capital Structure Theory </w:t>
      </w:r>
    </w:p>
    <w:p w14:paraId="7C14D665" w14:textId="77777777" w:rsidR="00691C4B" w:rsidRDefault="00691C4B" w:rsidP="00691C4B">
      <w:pPr>
        <w:jc w:val="center"/>
        <w:rPr>
          <w:rFonts w:ascii="Arial" w:hAnsi="Arial" w:cs="Arial"/>
        </w:rPr>
      </w:pPr>
      <w:r>
        <w:rPr>
          <w:rFonts w:ascii="Arial" w:hAnsi="Arial" w:cs="Arial"/>
        </w:rPr>
        <w:t>(Sources: Becker, 2021)</w:t>
      </w:r>
    </w:p>
    <w:p w14:paraId="4671CFBC" w14:textId="77777777" w:rsidR="00691C4B" w:rsidRDefault="00691C4B" w:rsidP="00691C4B">
      <w:pPr>
        <w:jc w:val="center"/>
        <w:rPr>
          <w:rFonts w:ascii="Arial" w:hAnsi="Arial" w:cs="Arial"/>
        </w:rPr>
      </w:pPr>
      <w:r>
        <w:rPr>
          <w:rFonts w:ascii="Arial" w:hAnsi="Arial" w:cs="Arial"/>
          <w:noProof/>
        </w:rPr>
        <w:drawing>
          <wp:inline distT="0" distB="0" distL="0" distR="0" wp14:anchorId="5A36EC30" wp14:editId="080FDCB6">
            <wp:extent cx="2322195" cy="1687195"/>
            <wp:effectExtent l="38100" t="38100" r="38100" b="38100"/>
            <wp:docPr id="2" name="image2.png" descr="Trade-off theory of capital structure - Wikipedia"/>
            <wp:cNvGraphicFramePr/>
            <a:graphic xmlns:a="http://schemas.openxmlformats.org/drawingml/2006/main">
              <a:graphicData uri="http://schemas.openxmlformats.org/drawingml/2006/picture">
                <pic:pic xmlns:pic="http://schemas.openxmlformats.org/drawingml/2006/picture">
                  <pic:nvPicPr>
                    <pic:cNvPr id="2" name="image2.png" descr="Trade-off theory of capital structure - Wikipedia"/>
                    <pic:cNvPicPr preferRelativeResize="0"/>
                  </pic:nvPicPr>
                  <pic:blipFill>
                    <a:blip r:embed="rId9"/>
                    <a:srcRect/>
                    <a:stretch>
                      <a:fillRect/>
                    </a:stretch>
                  </pic:blipFill>
                  <pic:spPr>
                    <a:xfrm>
                      <a:off x="0" y="0"/>
                      <a:ext cx="2322741" cy="1687617"/>
                    </a:xfrm>
                    <a:prstGeom prst="rect">
                      <a:avLst/>
                    </a:prstGeom>
                    <a:ln w="38100">
                      <a:solidFill>
                        <a:srgbClr val="000000"/>
                      </a:solidFill>
                      <a:prstDash val="solid"/>
                    </a:ln>
                  </pic:spPr>
                </pic:pic>
              </a:graphicData>
            </a:graphic>
          </wp:inline>
        </w:drawing>
      </w:r>
    </w:p>
    <w:p w14:paraId="173B40A2" w14:textId="77777777" w:rsidR="00691C4B" w:rsidRDefault="00691C4B" w:rsidP="00691C4B">
      <w:pPr>
        <w:jc w:val="center"/>
        <w:rPr>
          <w:rFonts w:ascii="Arial" w:hAnsi="Arial" w:cs="Arial"/>
          <w:b/>
          <w:bCs/>
        </w:rPr>
      </w:pPr>
      <w:r>
        <w:rPr>
          <w:rFonts w:ascii="Arial" w:hAnsi="Arial" w:cs="Arial"/>
          <w:b/>
          <w:bCs/>
        </w:rPr>
        <w:t>Figure 2: The theory of trade-offs</w:t>
      </w:r>
    </w:p>
    <w:p w14:paraId="572B3874" w14:textId="77777777" w:rsidR="00691C4B" w:rsidRDefault="00691C4B" w:rsidP="00691C4B">
      <w:pPr>
        <w:jc w:val="center"/>
        <w:rPr>
          <w:rFonts w:ascii="Arial" w:hAnsi="Arial" w:cs="Arial"/>
        </w:rPr>
      </w:pPr>
      <w:r>
        <w:rPr>
          <w:rFonts w:ascii="Arial" w:hAnsi="Arial" w:cs="Arial"/>
        </w:rPr>
        <w:t>(Sources: Pies and Valentinov, 2023)</w:t>
      </w:r>
    </w:p>
    <w:p w14:paraId="30219D6C" w14:textId="77777777" w:rsidR="00691C4B" w:rsidRDefault="00691C4B" w:rsidP="00691C4B">
      <w:pPr>
        <w:pStyle w:val="Heading2"/>
        <w:rPr>
          <w:rFonts w:ascii="Arial" w:hAnsi="Arial" w:cs="Arial"/>
          <w:b w:val="0"/>
          <w:bCs/>
          <w:szCs w:val="26"/>
        </w:rPr>
      </w:pPr>
      <w:bookmarkStart w:id="14" w:name="_r7aaktoa3p99" w:colFirst="0" w:colLast="0"/>
      <w:bookmarkEnd w:id="14"/>
      <w:r>
        <w:rPr>
          <w:rFonts w:ascii="Arial" w:hAnsi="Arial" w:cs="Arial"/>
          <w:szCs w:val="26"/>
        </w:rPr>
        <w:t>2.5 Identified Literature Gap</w:t>
      </w:r>
    </w:p>
    <w:p w14:paraId="14A10590" w14:textId="77777777" w:rsidR="00691C4B" w:rsidRDefault="00691C4B" w:rsidP="00691C4B">
      <w:pPr>
        <w:rPr>
          <w:rFonts w:ascii="Arial" w:hAnsi="Arial" w:cs="Arial"/>
        </w:rPr>
      </w:pPr>
      <w:proofErr w:type="gramStart"/>
      <w:r>
        <w:rPr>
          <w:rFonts w:ascii="Arial" w:hAnsi="Arial" w:cs="Arial"/>
        </w:rPr>
        <w:t>The majority of</w:t>
      </w:r>
      <w:proofErr w:type="gramEnd"/>
      <w:r>
        <w:rPr>
          <w:rFonts w:ascii="Arial" w:hAnsi="Arial" w:cs="Arial"/>
        </w:rPr>
        <w:t xml:space="preserve"> foundational and empirical capital structure studies are based on data that is older than COVID-19 and post-Brexit developments, which restricts their applicability in the current conditions. As a result, there is an evident gap in the panel research that would be conducted between 2015 and 2024 to evaluate the relationship between leverage and performance in the case of the recent macroeconomic and regulatory shocks.</w:t>
      </w:r>
    </w:p>
    <w:p w14:paraId="005F2A2D" w14:textId="77777777" w:rsidR="00691C4B" w:rsidRDefault="00691C4B" w:rsidP="00691C4B">
      <w:pPr>
        <w:pStyle w:val="Heading1"/>
        <w:rPr>
          <w:rFonts w:ascii="Arial" w:hAnsi="Arial" w:cs="Arial"/>
        </w:rPr>
      </w:pPr>
      <w:bookmarkStart w:id="15" w:name="_hgedafwqi3my" w:colFirst="0" w:colLast="0"/>
      <w:bookmarkEnd w:id="15"/>
      <w:r>
        <w:rPr>
          <w:rFonts w:ascii="Arial" w:hAnsi="Arial" w:cs="Arial"/>
        </w:rPr>
        <w:lastRenderedPageBreak/>
        <w:t>3. Methodology</w:t>
      </w:r>
    </w:p>
    <w:p w14:paraId="5DE1B10D" w14:textId="77777777" w:rsidR="00691C4B" w:rsidRDefault="00691C4B" w:rsidP="00691C4B">
      <w:pPr>
        <w:pStyle w:val="Heading2"/>
        <w:rPr>
          <w:rFonts w:ascii="Arial" w:hAnsi="Arial" w:cs="Arial"/>
        </w:rPr>
      </w:pPr>
      <w:bookmarkStart w:id="16" w:name="_1ryq5ynud7rg" w:colFirst="0" w:colLast="0"/>
      <w:bookmarkEnd w:id="16"/>
      <w:r>
        <w:rPr>
          <w:rFonts w:ascii="Arial" w:hAnsi="Arial" w:cs="Arial"/>
        </w:rPr>
        <w:t>3.1 Research Philosophy</w:t>
      </w:r>
    </w:p>
    <w:p w14:paraId="36521C1D" w14:textId="77777777" w:rsidR="00691C4B" w:rsidRDefault="00691C4B" w:rsidP="00691C4B">
      <w:pPr>
        <w:rPr>
          <w:rFonts w:ascii="Arial" w:hAnsi="Arial" w:cs="Arial"/>
        </w:rPr>
      </w:pPr>
      <w:r>
        <w:rPr>
          <w:rFonts w:ascii="Arial" w:hAnsi="Arial" w:cs="Arial"/>
        </w:rPr>
        <w:t>This paper uses a positivist philosophy to conduct research on the effects of capital structure decisions on the UK-listed companies in terms of their financial performance. Positivism focuses on objectivity and is based on quantifiable evidence to prove relationships among variables (</w:t>
      </w:r>
      <w:proofErr w:type="spellStart"/>
      <w:r>
        <w:rPr>
          <w:rFonts w:ascii="Arial" w:hAnsi="Arial" w:cs="Arial"/>
        </w:rPr>
        <w:t>Bevir</w:t>
      </w:r>
      <w:proofErr w:type="spellEnd"/>
      <w:r>
        <w:rPr>
          <w:rFonts w:ascii="Arial" w:hAnsi="Arial" w:cs="Arial"/>
        </w:rPr>
        <w:t xml:space="preserve"> and Rhodes, 2025). The philosophical position suits the case because it allows the statistical test of the leverage ratios and profitability indicators in several companies. It facilitates the objective of the study of generating empirical results based on observable financial data as opposed to subjectivity. In this respect, the study guarantees generalizable and evidence-based findings applicable in the changing business environment in the UK.</w:t>
      </w:r>
    </w:p>
    <w:p w14:paraId="070D44FA" w14:textId="77777777" w:rsidR="00691C4B" w:rsidRDefault="00691C4B" w:rsidP="00691C4B">
      <w:pPr>
        <w:pStyle w:val="Heading2"/>
        <w:rPr>
          <w:rFonts w:ascii="Arial" w:hAnsi="Arial" w:cs="Arial"/>
        </w:rPr>
      </w:pPr>
      <w:bookmarkStart w:id="17" w:name="_x6sb2ee59qk" w:colFirst="0" w:colLast="0"/>
      <w:bookmarkEnd w:id="17"/>
      <w:r>
        <w:rPr>
          <w:rFonts w:ascii="Arial" w:hAnsi="Arial" w:cs="Arial"/>
        </w:rPr>
        <w:t>3.2 Research Design and Research Approach</w:t>
      </w:r>
    </w:p>
    <w:p w14:paraId="231BE664" w14:textId="77777777" w:rsidR="00691C4B" w:rsidRDefault="00691C4B" w:rsidP="00691C4B">
      <w:pPr>
        <w:rPr>
          <w:rFonts w:ascii="Arial" w:hAnsi="Arial" w:cs="Arial"/>
        </w:rPr>
      </w:pPr>
      <w:r>
        <w:rPr>
          <w:rFonts w:ascii="Arial" w:hAnsi="Arial" w:cs="Arial"/>
        </w:rPr>
        <w:t xml:space="preserve">Empirical testing is used to test preexisting theories of capital structure using a deductive methodology. Inference is shifted to a concrete conclusion out of theoretical premises, which would enable the measurability of hypotheses connected to the linkages between leverage and performance (Thomas, 2025). The research design used is an explanatory design that tends to explain how the difference in debt and equity stimulates the profitability measures, including ROA, ROE, and EPS (Dovetail, 2023). This design serves the causal mean of interpretation so that the study </w:t>
      </w:r>
      <w:proofErr w:type="gramStart"/>
      <w:r>
        <w:rPr>
          <w:rFonts w:ascii="Arial" w:hAnsi="Arial" w:cs="Arial"/>
        </w:rPr>
        <w:t>is capable of explaining</w:t>
      </w:r>
      <w:proofErr w:type="gramEnd"/>
      <w:r>
        <w:rPr>
          <w:rFonts w:ascii="Arial" w:hAnsi="Arial" w:cs="Arial"/>
        </w:rPr>
        <w:t xml:space="preserve"> the influence of the financing structure on the outcome of firms in the UK corporate environment.</w:t>
      </w:r>
    </w:p>
    <w:p w14:paraId="00624D51" w14:textId="77777777" w:rsidR="00691C4B" w:rsidRDefault="00691C4B" w:rsidP="00691C4B">
      <w:pPr>
        <w:pStyle w:val="Heading2"/>
        <w:rPr>
          <w:rFonts w:ascii="Arial" w:hAnsi="Arial" w:cs="Arial"/>
        </w:rPr>
      </w:pPr>
      <w:bookmarkStart w:id="18" w:name="_yef7zg99bk7q" w:colFirst="0" w:colLast="0"/>
      <w:bookmarkEnd w:id="18"/>
      <w:r>
        <w:rPr>
          <w:rFonts w:ascii="Arial" w:hAnsi="Arial" w:cs="Arial"/>
        </w:rPr>
        <w:t>3.3 Data Collection and Sampling Method</w:t>
      </w:r>
    </w:p>
    <w:p w14:paraId="563CDEBC" w14:textId="77777777" w:rsidR="00691C4B" w:rsidRDefault="00691C4B" w:rsidP="00691C4B">
      <w:pPr>
        <w:rPr>
          <w:rFonts w:ascii="Arial" w:hAnsi="Arial" w:cs="Arial"/>
        </w:rPr>
      </w:pPr>
      <w:r>
        <w:rPr>
          <w:rFonts w:ascii="Arial" w:hAnsi="Arial" w:cs="Arial"/>
        </w:rPr>
        <w:t>The study relies on the secondary quantitative data extracted regarding the London Stock Exchange (LSE), annual reports of companies, and validated databases such as Bloomberg, Refinitiv (Eikon), Annualreports.com, and Yahoo Finance (Cheong et al., 2023). The period of the data will be ten years, between 2015 to 2024 of different UK-listed companies whose records are consistently audited throughout the period will be chosen in a purposive sampling technique (</w:t>
      </w:r>
      <w:proofErr w:type="spellStart"/>
      <w:r>
        <w:rPr>
          <w:rFonts w:ascii="Arial" w:hAnsi="Arial" w:cs="Arial"/>
        </w:rPr>
        <w:t>Litvaj</w:t>
      </w:r>
      <w:proofErr w:type="spellEnd"/>
      <w:r>
        <w:rPr>
          <w:rFonts w:ascii="Arial" w:hAnsi="Arial" w:cs="Arial"/>
        </w:rPr>
        <w:t xml:space="preserve"> et al., 2022). The presence of a variety of firms guarantees the representativeness of the industry segments and makes valid generalisations regarding the financial structure and performance.</w:t>
      </w:r>
    </w:p>
    <w:p w14:paraId="7839C8FB" w14:textId="77777777" w:rsidR="00691C4B" w:rsidRDefault="00691C4B" w:rsidP="00691C4B">
      <w:pPr>
        <w:pStyle w:val="Heading2"/>
        <w:rPr>
          <w:rFonts w:ascii="Arial" w:hAnsi="Arial" w:cs="Arial"/>
        </w:rPr>
      </w:pPr>
      <w:bookmarkStart w:id="19" w:name="_p0x9sjkeq4m1" w:colFirst="0" w:colLast="0"/>
      <w:bookmarkEnd w:id="19"/>
      <w:r>
        <w:rPr>
          <w:rFonts w:ascii="Arial" w:hAnsi="Arial" w:cs="Arial"/>
        </w:rPr>
        <w:t>3.4 Data Analysis and Ethics</w:t>
      </w:r>
    </w:p>
    <w:p w14:paraId="5BE048FB" w14:textId="77777777" w:rsidR="00691C4B" w:rsidRDefault="00691C4B" w:rsidP="00691C4B">
      <w:pPr>
        <w:rPr>
          <w:rFonts w:ascii="Arial" w:hAnsi="Arial" w:cs="Arial"/>
        </w:rPr>
      </w:pPr>
      <w:r>
        <w:rPr>
          <w:rFonts w:ascii="Arial" w:hAnsi="Arial" w:cs="Arial"/>
        </w:rPr>
        <w:t xml:space="preserve">The research utilises the quantitative analysis with the use of SPSS and Microsoft Excel to test the associations between variables. Descriptive and correlation analyses </w:t>
      </w:r>
      <w:r>
        <w:rPr>
          <w:rFonts w:ascii="Arial" w:hAnsi="Arial" w:cs="Arial"/>
        </w:rPr>
        <w:lastRenderedPageBreak/>
        <w:t>will summarise and investigate associations; panel data regression models will be used to discuss the cause-and-effect ones (Naeem et al., 2023). To make sure that the model has high reliability and validity, regression diagnostics will be done (Damyanov, 2023). The effect of ethical standards will include the careful citation, using the information that is publicly available, and following institutional policies regarding research ethicality and openness.</w:t>
      </w:r>
    </w:p>
    <w:p w14:paraId="465CB281" w14:textId="77777777" w:rsidR="00691C4B" w:rsidRDefault="00691C4B" w:rsidP="00691C4B">
      <w:pPr>
        <w:pStyle w:val="Heading1"/>
        <w:rPr>
          <w:rFonts w:ascii="Arial" w:hAnsi="Arial" w:cs="Arial"/>
        </w:rPr>
      </w:pPr>
      <w:bookmarkStart w:id="20" w:name="_bf8krh4kc3c3" w:colFirst="0" w:colLast="0"/>
      <w:bookmarkEnd w:id="20"/>
      <w:r>
        <w:rPr>
          <w:rFonts w:ascii="Arial" w:hAnsi="Arial" w:cs="Arial"/>
        </w:rPr>
        <w:t>4. Expected Findings</w:t>
      </w:r>
    </w:p>
    <w:p w14:paraId="6D38D939" w14:textId="77777777" w:rsidR="00691C4B" w:rsidRDefault="00691C4B" w:rsidP="00691C4B">
      <w:pPr>
        <w:rPr>
          <w:rFonts w:ascii="Arial" w:hAnsi="Arial" w:cs="Arial"/>
        </w:rPr>
      </w:pPr>
      <w:r>
        <w:rPr>
          <w:rFonts w:ascii="Arial" w:hAnsi="Arial" w:cs="Arial"/>
        </w:rPr>
        <w:t>The study would expect capital structure to have a strong correlation with the financial performance of the UK-listed companies. The high profitability is likely to decrease with a high debt ratio because financial risks are high; moderate leverage might have a positive impact on performance as it can be a better use of capital (Panigrahi and Vachhani, 2021). It is estimated that the association will be non-linear, which will justify the theory of trade-off that will find a balance between the tax opportunities and the costs of bankruptcy. The results of the regression will indicate that profitability depends on the firm size and total assets positively, which is because of the economies of scale and availability of credit (Abor, 2025). The results will enable the UK managers to make rational choices to optimise debt-equity mixes, as well as to give policy makers lessons on how to make corporate bodies financially resilient.</w:t>
      </w:r>
    </w:p>
    <w:p w14:paraId="38F26228" w14:textId="77777777" w:rsidR="00691C4B" w:rsidRDefault="00691C4B" w:rsidP="00691C4B">
      <w:pPr>
        <w:pStyle w:val="Heading1"/>
        <w:rPr>
          <w:rFonts w:ascii="Arial" w:hAnsi="Arial" w:cs="Arial"/>
          <w:b w:val="0"/>
          <w:bCs/>
        </w:rPr>
      </w:pPr>
      <w:bookmarkStart w:id="21" w:name="_a2pw8m6cn8e4" w:colFirst="0" w:colLast="0"/>
      <w:bookmarkEnd w:id="21"/>
      <w:r>
        <w:rPr>
          <w:rFonts w:ascii="Arial" w:hAnsi="Arial" w:cs="Arial"/>
        </w:rPr>
        <w:t>5. Limitations</w:t>
      </w:r>
    </w:p>
    <w:p w14:paraId="45AC7B83" w14:textId="77777777" w:rsidR="00691C4B" w:rsidRDefault="00691C4B" w:rsidP="00691C4B">
      <w:pPr>
        <w:rPr>
          <w:rFonts w:ascii="Arial" w:hAnsi="Arial" w:cs="Arial"/>
        </w:rPr>
      </w:pPr>
      <w:r>
        <w:rPr>
          <w:rFonts w:ascii="Arial" w:hAnsi="Arial" w:cs="Arial"/>
        </w:rPr>
        <w:t xml:space="preserve">One of the main weaknesses is the use of secondary data, whereby the researcher has no control over the quality of data, and the question of consistency is raised. Data reporting heterogeneity in different studies can create heterogeneity in measurements that makes it challenging to make a direct comparison of findings across settings. The use of relevant criteria not withstanding further risk of selection bias, non-probability purposive sampling of eighteen articles is plagued by a high level of selection bias. The temporal limits of the study (2015-2024) might be too short to reflect the dynamics of long-run capital structure on firm performance. The use of UK-listed companies does not allow them to generalise to other jurisdictions with different regulatory and market frameworks. The study does not have theoretical implications since it does not use primary data analyses methods. Primary interviews or surveys are also not done to ensure that managerial views and contextual decision rationale are directly recorded. To alleviate these constraints, the study puts stringent inclusion criteria, </w:t>
      </w:r>
      <w:r>
        <w:rPr>
          <w:rFonts w:ascii="Arial" w:hAnsi="Arial" w:cs="Arial"/>
        </w:rPr>
        <w:lastRenderedPageBreak/>
        <w:t>triangulation and clear audit trails of the selection decisions. The given analysis should be complemented in the future with longitudinal datasets, larger probability samples, and interviews with managers to validate it on a larger scale.</w:t>
      </w:r>
    </w:p>
    <w:p w14:paraId="050B2869" w14:textId="77777777" w:rsidR="00691C4B" w:rsidRDefault="00691C4B" w:rsidP="00691C4B">
      <w:pPr>
        <w:pStyle w:val="Heading1"/>
        <w:rPr>
          <w:rFonts w:ascii="Arial" w:hAnsi="Arial" w:cs="Arial"/>
          <w:b w:val="0"/>
          <w:bCs/>
        </w:rPr>
      </w:pPr>
      <w:bookmarkStart w:id="22" w:name="_j6bo5nq64e3a" w:colFirst="0" w:colLast="0"/>
      <w:bookmarkEnd w:id="22"/>
      <w:r>
        <w:rPr>
          <w:rFonts w:ascii="Arial" w:hAnsi="Arial" w:cs="Arial"/>
        </w:rPr>
        <w:t>6. Timeframe</w:t>
      </w:r>
    </w:p>
    <w:p w14:paraId="1819F321" w14:textId="77777777" w:rsidR="00691C4B" w:rsidRDefault="00691C4B" w:rsidP="00691C4B">
      <w:pPr>
        <w:jc w:val="center"/>
        <w:rPr>
          <w:rFonts w:ascii="Arial" w:hAnsi="Arial" w:cs="Arial"/>
        </w:rPr>
      </w:pPr>
      <w:r>
        <w:rPr>
          <w:rFonts w:ascii="Arial" w:hAnsi="Arial" w:cs="Arial"/>
          <w:noProof/>
        </w:rPr>
        <w:drawing>
          <wp:inline distT="0" distB="0" distL="0" distR="0" wp14:anchorId="6392F27B" wp14:editId="50F5E499">
            <wp:extent cx="5733415" cy="1229360"/>
            <wp:effectExtent l="0" t="0" r="0" b="0"/>
            <wp:docPr id="4" name="image4.png" descr="A screenshot of a computer&#10;&#10;AI-generated content may be incorrect."/>
            <wp:cNvGraphicFramePr/>
            <a:graphic xmlns:a="http://schemas.openxmlformats.org/drawingml/2006/main">
              <a:graphicData uri="http://schemas.openxmlformats.org/drawingml/2006/picture">
                <pic:pic xmlns:pic="http://schemas.openxmlformats.org/drawingml/2006/picture">
                  <pic:nvPicPr>
                    <pic:cNvPr id="4" name="image4.png" descr="A screenshot of a computer&#10;&#10;AI-generated content may be incorrect."/>
                    <pic:cNvPicPr preferRelativeResize="0"/>
                  </pic:nvPicPr>
                  <pic:blipFill>
                    <a:blip r:embed="rId10"/>
                    <a:srcRect/>
                    <a:stretch>
                      <a:fillRect/>
                    </a:stretch>
                  </pic:blipFill>
                  <pic:spPr>
                    <a:xfrm>
                      <a:off x="0" y="0"/>
                      <a:ext cx="5733415" cy="1229360"/>
                    </a:xfrm>
                    <a:prstGeom prst="rect">
                      <a:avLst/>
                    </a:prstGeom>
                  </pic:spPr>
                </pic:pic>
              </a:graphicData>
            </a:graphic>
          </wp:inline>
        </w:drawing>
      </w:r>
    </w:p>
    <w:p w14:paraId="3690E832" w14:textId="77777777" w:rsidR="00691C4B" w:rsidRDefault="00691C4B" w:rsidP="00691C4B">
      <w:pPr>
        <w:jc w:val="center"/>
        <w:rPr>
          <w:rFonts w:ascii="Arial" w:hAnsi="Arial" w:cs="Arial"/>
        </w:rPr>
      </w:pPr>
    </w:p>
    <w:p w14:paraId="70288A45" w14:textId="77777777" w:rsidR="00691C4B" w:rsidRDefault="00691C4B" w:rsidP="00691C4B">
      <w:pPr>
        <w:jc w:val="center"/>
        <w:rPr>
          <w:rFonts w:ascii="Arial" w:hAnsi="Arial" w:cs="Arial"/>
          <w:b/>
          <w:bCs/>
        </w:rPr>
      </w:pPr>
      <w:r>
        <w:rPr>
          <w:rFonts w:ascii="Arial" w:hAnsi="Arial" w:cs="Arial"/>
          <w:b/>
          <w:bCs/>
        </w:rPr>
        <w:t>Figure 3: Timeline</w:t>
      </w:r>
    </w:p>
    <w:p w14:paraId="5E4D7D8A" w14:textId="77777777" w:rsidR="00691C4B" w:rsidRDefault="00691C4B" w:rsidP="00691C4B">
      <w:pPr>
        <w:jc w:val="center"/>
        <w:rPr>
          <w:rFonts w:ascii="Arial" w:hAnsi="Arial" w:cs="Arial"/>
        </w:rPr>
      </w:pPr>
      <w:r>
        <w:rPr>
          <w:rFonts w:ascii="Arial" w:hAnsi="Arial" w:cs="Arial"/>
        </w:rPr>
        <w:t>(Source: Self-developed)</w:t>
      </w:r>
    </w:p>
    <w:p w14:paraId="5DD5F65D" w14:textId="77777777" w:rsidR="00691C4B" w:rsidRDefault="00691C4B" w:rsidP="00691C4B">
      <w:pPr>
        <w:pStyle w:val="Heading1"/>
        <w:rPr>
          <w:rFonts w:ascii="Arial" w:hAnsi="Arial" w:cs="Arial"/>
          <w:b w:val="0"/>
          <w:bCs/>
        </w:rPr>
      </w:pPr>
      <w:bookmarkStart w:id="23" w:name="_5spatm9oxk9" w:colFirst="0" w:colLast="0"/>
      <w:bookmarkEnd w:id="23"/>
      <w:r>
        <w:rPr>
          <w:rFonts w:ascii="Arial" w:hAnsi="Arial" w:cs="Arial"/>
        </w:rPr>
        <w:t>7. Conclusion</w:t>
      </w:r>
    </w:p>
    <w:p w14:paraId="745948D1" w14:textId="77777777" w:rsidR="00691C4B" w:rsidRDefault="00691C4B" w:rsidP="00691C4B">
      <w:pPr>
        <w:rPr>
          <w:rFonts w:ascii="Arial" w:hAnsi="Arial" w:cs="Arial"/>
        </w:rPr>
      </w:pPr>
      <w:r>
        <w:rPr>
          <w:rFonts w:ascii="Arial" w:hAnsi="Arial" w:cs="Arial"/>
        </w:rPr>
        <w:t>Using quantitative, this paper discusses the effect that capital structure has on the financial performance of the UK-listed companies. The study will generate context-specific results that can be converted into real-world financing advice to the managers of corporations. The objective of theory development and relevance to managers falls into the domain of methodological options of interpretivism, inductive approach and explanatory design. The revelation of expected findings shall guide the sensible debt-equity balancing policies and curb the financial instability during the turbulent market situations. The research leads to the provision of an updated empirical footing in which the literature gap created by the pre-pandemic and pre-Brexit studies was filled. Finally, the findings will be of academic interest and practical implications that will allow UK firms to construct more robust capital structures.</w:t>
      </w:r>
    </w:p>
    <w:p w14:paraId="204B5D82" w14:textId="77777777" w:rsidR="00691C4B" w:rsidRDefault="00691C4B" w:rsidP="00691C4B">
      <w:pPr>
        <w:rPr>
          <w:rFonts w:ascii="Arial" w:hAnsi="Arial" w:cs="Arial"/>
        </w:rPr>
      </w:pPr>
    </w:p>
    <w:p w14:paraId="064F0724" w14:textId="77777777" w:rsidR="00691C4B" w:rsidRDefault="00691C4B" w:rsidP="00691C4B">
      <w:pPr>
        <w:pStyle w:val="Heading1"/>
        <w:rPr>
          <w:rFonts w:ascii="Arial" w:hAnsi="Arial" w:cs="Arial"/>
          <w:b w:val="0"/>
          <w:bCs/>
        </w:rPr>
      </w:pPr>
      <w:bookmarkStart w:id="24" w:name="_jdc8mi981zp0" w:colFirst="0" w:colLast="0"/>
      <w:bookmarkEnd w:id="24"/>
      <w:r>
        <w:rPr>
          <w:rFonts w:ascii="Arial" w:hAnsi="Arial" w:cs="Arial"/>
        </w:rPr>
        <w:br w:type="page"/>
      </w:r>
    </w:p>
    <w:p w14:paraId="20D1AB6C" w14:textId="77777777" w:rsidR="00691C4B" w:rsidRDefault="00691C4B" w:rsidP="00691C4B">
      <w:pPr>
        <w:pStyle w:val="Heading1"/>
        <w:rPr>
          <w:rFonts w:ascii="Arial" w:hAnsi="Arial" w:cs="Arial"/>
          <w:b w:val="0"/>
          <w:bCs/>
        </w:rPr>
      </w:pPr>
      <w:bookmarkStart w:id="25" w:name="_93cdwls06vpg" w:colFirst="0" w:colLast="0"/>
      <w:bookmarkEnd w:id="25"/>
      <w:r>
        <w:rPr>
          <w:rFonts w:ascii="Arial" w:hAnsi="Arial" w:cs="Arial"/>
        </w:rPr>
        <w:lastRenderedPageBreak/>
        <w:t>References</w:t>
      </w:r>
    </w:p>
    <w:p w14:paraId="26AA22AE" w14:textId="77777777" w:rsidR="00691C4B" w:rsidRDefault="00691C4B" w:rsidP="00691C4B">
      <w:pPr>
        <w:spacing w:after="240"/>
        <w:rPr>
          <w:rFonts w:ascii="Arial" w:hAnsi="Arial" w:cs="Arial"/>
        </w:rPr>
      </w:pPr>
      <w:r>
        <w:rPr>
          <w:rFonts w:ascii="Arial" w:hAnsi="Arial" w:cs="Arial"/>
        </w:rPr>
        <w:t xml:space="preserve">Abor, J. (2025). The effect of capital structure on profitability: an empirical analysis of listed firms in Ghana. </w:t>
      </w:r>
      <w:r>
        <w:rPr>
          <w:rFonts w:ascii="Arial" w:hAnsi="Arial" w:cs="Arial"/>
          <w:i/>
          <w:iCs/>
        </w:rPr>
        <w:t>The Journal of Risk Finance</w:t>
      </w:r>
      <w:r>
        <w:rPr>
          <w:rFonts w:ascii="Arial" w:hAnsi="Arial" w:cs="Arial"/>
        </w:rPr>
        <w:t xml:space="preserve">, 6(5), pp.438–445. </w:t>
      </w:r>
      <w:proofErr w:type="spellStart"/>
      <w:r>
        <w:rPr>
          <w:rFonts w:ascii="Arial" w:hAnsi="Arial" w:cs="Arial"/>
        </w:rPr>
        <w:t>doi</w:t>
      </w:r>
      <w:proofErr w:type="spellEnd"/>
      <w:r>
        <w:rPr>
          <w:rFonts w:ascii="Arial" w:hAnsi="Arial" w:cs="Arial"/>
        </w:rPr>
        <w:t xml:space="preserve">: </w:t>
      </w:r>
      <w:hyperlink r:id="rId11">
        <w:r>
          <w:rPr>
            <w:rFonts w:ascii="Arial" w:hAnsi="Arial" w:cs="Arial"/>
            <w:color w:val="0000FF"/>
            <w:u w:val="single"/>
          </w:rPr>
          <w:t>https://doi.org/10.1108/15265940510633505</w:t>
        </w:r>
      </w:hyperlink>
      <w:r>
        <w:rPr>
          <w:rFonts w:ascii="Arial" w:hAnsi="Arial" w:cs="Arial"/>
        </w:rPr>
        <w:t xml:space="preserve"> </w:t>
      </w:r>
    </w:p>
    <w:p w14:paraId="68013BE2" w14:textId="77777777" w:rsidR="00691C4B" w:rsidRDefault="00691C4B" w:rsidP="00691C4B">
      <w:pPr>
        <w:spacing w:after="240"/>
        <w:rPr>
          <w:rFonts w:ascii="Arial" w:hAnsi="Arial" w:cs="Arial"/>
        </w:rPr>
      </w:pPr>
      <w:proofErr w:type="spellStart"/>
      <w:r>
        <w:rPr>
          <w:rFonts w:ascii="Arial" w:hAnsi="Arial" w:cs="Arial"/>
        </w:rPr>
        <w:t>Alhajjeah</w:t>
      </w:r>
      <w:proofErr w:type="spellEnd"/>
      <w:r>
        <w:rPr>
          <w:rFonts w:ascii="Arial" w:hAnsi="Arial" w:cs="Arial"/>
        </w:rPr>
        <w:t xml:space="preserve">, D. and Besim, M. (2024). Firms’ Capital Structure during Crises: Evidence from the United Kingdom. </w:t>
      </w:r>
      <w:r>
        <w:rPr>
          <w:rFonts w:ascii="Arial" w:hAnsi="Arial" w:cs="Arial"/>
          <w:i/>
          <w:iCs/>
        </w:rPr>
        <w:t>Sustainability</w:t>
      </w:r>
      <w:r>
        <w:rPr>
          <w:rFonts w:ascii="Arial" w:hAnsi="Arial" w:cs="Arial"/>
        </w:rPr>
        <w:t xml:space="preserve">, 16(13), pp.5469–5469. </w:t>
      </w:r>
      <w:proofErr w:type="spellStart"/>
      <w:r>
        <w:rPr>
          <w:rFonts w:ascii="Arial" w:hAnsi="Arial" w:cs="Arial"/>
        </w:rPr>
        <w:t>doi</w:t>
      </w:r>
      <w:proofErr w:type="spellEnd"/>
      <w:r>
        <w:rPr>
          <w:rFonts w:ascii="Arial" w:hAnsi="Arial" w:cs="Arial"/>
        </w:rPr>
        <w:t xml:space="preserve">: </w:t>
      </w:r>
      <w:hyperlink r:id="rId12">
        <w:r>
          <w:rPr>
            <w:rFonts w:ascii="Arial" w:hAnsi="Arial" w:cs="Arial"/>
            <w:color w:val="0000FF"/>
            <w:u w:val="single"/>
          </w:rPr>
          <w:t>https://doi.org/10.3390/su16135469</w:t>
        </w:r>
      </w:hyperlink>
    </w:p>
    <w:p w14:paraId="126342AB" w14:textId="77777777" w:rsidR="00691C4B" w:rsidRDefault="00691C4B" w:rsidP="00691C4B">
      <w:pPr>
        <w:spacing w:after="240"/>
        <w:rPr>
          <w:rFonts w:ascii="Arial" w:hAnsi="Arial" w:cs="Arial"/>
        </w:rPr>
      </w:pPr>
      <w:proofErr w:type="spellStart"/>
      <w:r>
        <w:rPr>
          <w:rFonts w:ascii="Arial" w:hAnsi="Arial" w:cs="Arial"/>
        </w:rPr>
        <w:t>Almuaither</w:t>
      </w:r>
      <w:proofErr w:type="spellEnd"/>
      <w:r>
        <w:rPr>
          <w:rFonts w:ascii="Arial" w:hAnsi="Arial" w:cs="Arial"/>
        </w:rPr>
        <w:t xml:space="preserve">, S. and Marzouk, M. (2019). Determinants of Capital Structure: Evidence from the UK. </w:t>
      </w:r>
      <w:r>
        <w:rPr>
          <w:rFonts w:ascii="Arial" w:hAnsi="Arial" w:cs="Arial"/>
          <w:i/>
          <w:iCs/>
        </w:rPr>
        <w:t>leicester.figshare.com</w:t>
      </w:r>
      <w:r>
        <w:rPr>
          <w:rFonts w:ascii="Arial" w:hAnsi="Arial" w:cs="Arial"/>
        </w:rPr>
        <w:t xml:space="preserve">, [online] 4(9). </w:t>
      </w:r>
      <w:proofErr w:type="spellStart"/>
      <w:r>
        <w:rPr>
          <w:rFonts w:ascii="Arial" w:hAnsi="Arial" w:cs="Arial"/>
        </w:rPr>
        <w:t>doi</w:t>
      </w:r>
      <w:proofErr w:type="spellEnd"/>
      <w:r>
        <w:rPr>
          <w:rFonts w:ascii="Arial" w:hAnsi="Arial" w:cs="Arial"/>
        </w:rPr>
        <w:t xml:space="preserve">: </w:t>
      </w:r>
      <w:hyperlink r:id="rId13">
        <w:r>
          <w:rPr>
            <w:rFonts w:ascii="Arial" w:hAnsi="Arial" w:cs="Arial"/>
            <w:color w:val="0000FF"/>
            <w:u w:val="single"/>
          </w:rPr>
          <w:t>https://doi.org/10.17265/1548-6583/2019.06.001</w:t>
        </w:r>
      </w:hyperlink>
      <w:r>
        <w:rPr>
          <w:rFonts w:ascii="Arial" w:hAnsi="Arial" w:cs="Arial"/>
        </w:rPr>
        <w:t xml:space="preserve"> </w:t>
      </w:r>
    </w:p>
    <w:p w14:paraId="05014D60" w14:textId="77777777" w:rsidR="00691C4B" w:rsidRDefault="00691C4B" w:rsidP="00691C4B">
      <w:pPr>
        <w:spacing w:after="240"/>
        <w:rPr>
          <w:rFonts w:ascii="Arial" w:hAnsi="Arial" w:cs="Arial"/>
        </w:rPr>
      </w:pPr>
      <w:r>
        <w:rPr>
          <w:rFonts w:ascii="Arial" w:hAnsi="Arial" w:cs="Arial"/>
        </w:rPr>
        <w:t xml:space="preserve">Aydogmus, M., Gulay, G. and Ergun, K. (2022). Impact of ESG Performance on Firm Value and Profitability. </w:t>
      </w:r>
      <w:r>
        <w:rPr>
          <w:rFonts w:ascii="Arial" w:hAnsi="Arial" w:cs="Arial"/>
          <w:i/>
          <w:iCs/>
        </w:rPr>
        <w:t>Borsa Istanbul Review</w:t>
      </w:r>
      <w:r>
        <w:rPr>
          <w:rFonts w:ascii="Arial" w:hAnsi="Arial" w:cs="Arial"/>
        </w:rPr>
        <w:t xml:space="preserve">, [online] 22(2), </w:t>
      </w:r>
      <w:proofErr w:type="gramStart"/>
      <w:r>
        <w:rPr>
          <w:rFonts w:ascii="Arial" w:hAnsi="Arial" w:cs="Arial"/>
        </w:rPr>
        <w:t>pp.S</w:t>
      </w:r>
      <w:proofErr w:type="gramEnd"/>
      <w:r>
        <w:rPr>
          <w:rFonts w:ascii="Arial" w:hAnsi="Arial" w:cs="Arial"/>
        </w:rPr>
        <w:t xml:space="preserve">119–S127. </w:t>
      </w:r>
      <w:proofErr w:type="spellStart"/>
      <w:r>
        <w:rPr>
          <w:rFonts w:ascii="Arial" w:hAnsi="Arial" w:cs="Arial"/>
        </w:rPr>
        <w:t>doi</w:t>
      </w:r>
      <w:proofErr w:type="spellEnd"/>
      <w:r>
        <w:rPr>
          <w:rFonts w:ascii="Arial" w:hAnsi="Arial" w:cs="Arial"/>
        </w:rPr>
        <w:t xml:space="preserve">: </w:t>
      </w:r>
      <w:hyperlink r:id="rId14">
        <w:r>
          <w:rPr>
            <w:rFonts w:ascii="Arial" w:hAnsi="Arial" w:cs="Arial"/>
            <w:color w:val="0000FF"/>
            <w:u w:val="single"/>
          </w:rPr>
          <w:t>https://doi.org/10.1016/j.bir.2022.11.006</w:t>
        </w:r>
      </w:hyperlink>
    </w:p>
    <w:p w14:paraId="1E0218A5" w14:textId="77777777" w:rsidR="00691C4B" w:rsidRDefault="00691C4B" w:rsidP="00691C4B">
      <w:pPr>
        <w:spacing w:after="240"/>
        <w:rPr>
          <w:rFonts w:ascii="Arial" w:hAnsi="Arial" w:cs="Arial"/>
        </w:rPr>
      </w:pPr>
      <w:r>
        <w:rPr>
          <w:rFonts w:ascii="Arial" w:hAnsi="Arial" w:cs="Arial"/>
        </w:rPr>
        <w:t xml:space="preserve">Bandaru, S. (2024). </w:t>
      </w:r>
      <w:r>
        <w:rPr>
          <w:rFonts w:ascii="Arial" w:hAnsi="Arial" w:cs="Arial"/>
          <w:i/>
          <w:iCs/>
        </w:rPr>
        <w:t>Determinants of Capital Structure - College Hive</w:t>
      </w:r>
      <w:r>
        <w:rPr>
          <w:rFonts w:ascii="Arial" w:hAnsi="Arial" w:cs="Arial"/>
        </w:rPr>
        <w:t xml:space="preserve">. [online] Collegehive.in. Available at: </w:t>
      </w:r>
      <w:hyperlink r:id="rId15">
        <w:r>
          <w:rPr>
            <w:rFonts w:ascii="Arial" w:hAnsi="Arial" w:cs="Arial"/>
            <w:color w:val="0000FF"/>
            <w:u w:val="single"/>
          </w:rPr>
          <w:t>https://collegehive.in/docs/2nd_sem/site/FM/Unit-3%20Capital%20Structure/3.5%20determinants%20of%20capital%20structure.html</w:t>
        </w:r>
      </w:hyperlink>
    </w:p>
    <w:p w14:paraId="51783154" w14:textId="77777777" w:rsidR="00691C4B" w:rsidRDefault="00691C4B" w:rsidP="00691C4B">
      <w:pPr>
        <w:spacing w:after="240"/>
        <w:rPr>
          <w:rFonts w:ascii="Arial" w:hAnsi="Arial" w:cs="Arial"/>
        </w:rPr>
      </w:pPr>
      <w:r>
        <w:rPr>
          <w:rFonts w:ascii="Arial" w:hAnsi="Arial" w:cs="Arial"/>
        </w:rPr>
        <w:t xml:space="preserve">Becker, D.M. (2021). The difference between Modigliani–Miller and Miles–Ezzell and its consequences for the valuation of annuities. </w:t>
      </w:r>
      <w:r>
        <w:rPr>
          <w:rFonts w:ascii="Arial" w:hAnsi="Arial" w:cs="Arial"/>
          <w:i/>
          <w:iCs/>
        </w:rPr>
        <w:t>Cogent Economics &amp; Finance</w:t>
      </w:r>
      <w:r>
        <w:rPr>
          <w:rFonts w:ascii="Arial" w:hAnsi="Arial" w:cs="Arial"/>
        </w:rPr>
        <w:t xml:space="preserve">, 9(1). </w:t>
      </w:r>
      <w:proofErr w:type="spellStart"/>
      <w:r>
        <w:rPr>
          <w:rFonts w:ascii="Arial" w:hAnsi="Arial" w:cs="Arial"/>
        </w:rPr>
        <w:t>doi</w:t>
      </w:r>
      <w:proofErr w:type="spellEnd"/>
      <w:r>
        <w:rPr>
          <w:rFonts w:ascii="Arial" w:hAnsi="Arial" w:cs="Arial"/>
        </w:rPr>
        <w:t xml:space="preserve">: </w:t>
      </w:r>
      <w:hyperlink r:id="rId16">
        <w:r>
          <w:rPr>
            <w:rFonts w:ascii="Arial" w:hAnsi="Arial" w:cs="Arial"/>
            <w:color w:val="0000FF"/>
            <w:u w:val="single"/>
          </w:rPr>
          <w:t>https://doi.org/10.1080/23322039.2020.1862446</w:t>
        </w:r>
      </w:hyperlink>
    </w:p>
    <w:p w14:paraId="0B0956FC" w14:textId="77777777" w:rsidR="00691C4B" w:rsidRDefault="00691C4B" w:rsidP="00691C4B">
      <w:pPr>
        <w:spacing w:after="240"/>
        <w:rPr>
          <w:rFonts w:ascii="Arial" w:hAnsi="Arial" w:cs="Arial"/>
        </w:rPr>
      </w:pPr>
      <w:proofErr w:type="spellStart"/>
      <w:r>
        <w:rPr>
          <w:rFonts w:ascii="Arial" w:hAnsi="Arial" w:cs="Arial"/>
        </w:rPr>
        <w:t>Bevir</w:t>
      </w:r>
      <w:proofErr w:type="spellEnd"/>
      <w:r>
        <w:rPr>
          <w:rFonts w:ascii="Arial" w:hAnsi="Arial" w:cs="Arial"/>
        </w:rPr>
        <w:t xml:space="preserve">, M. and Rhodes, R.A.W. (2025). Interpretivism and the analysis of traditions and practices. </w:t>
      </w:r>
      <w:r>
        <w:rPr>
          <w:rFonts w:ascii="Arial" w:hAnsi="Arial" w:cs="Arial"/>
          <w:i/>
          <w:iCs/>
        </w:rPr>
        <w:t>Critical Policy Studies</w:t>
      </w:r>
      <w:r>
        <w:rPr>
          <w:rFonts w:ascii="Arial" w:hAnsi="Arial" w:cs="Arial"/>
        </w:rPr>
        <w:t xml:space="preserve">, 6(2), pp.201–208. </w:t>
      </w:r>
      <w:proofErr w:type="spellStart"/>
      <w:r>
        <w:rPr>
          <w:rFonts w:ascii="Arial" w:hAnsi="Arial" w:cs="Arial"/>
        </w:rPr>
        <w:t>doi</w:t>
      </w:r>
      <w:proofErr w:type="spellEnd"/>
      <w:r>
        <w:rPr>
          <w:rFonts w:ascii="Arial" w:hAnsi="Arial" w:cs="Arial"/>
        </w:rPr>
        <w:t xml:space="preserve">: </w:t>
      </w:r>
      <w:hyperlink r:id="rId17">
        <w:r>
          <w:rPr>
            <w:rFonts w:ascii="Arial" w:hAnsi="Arial" w:cs="Arial"/>
            <w:color w:val="0000FF"/>
            <w:u w:val="single"/>
          </w:rPr>
          <w:t>https://doi.org/10.1080/19460171.2012.689739</w:t>
        </w:r>
      </w:hyperlink>
    </w:p>
    <w:p w14:paraId="49514D02" w14:textId="77777777" w:rsidR="006D77AB" w:rsidRPr="006D77AB" w:rsidRDefault="006D77AB" w:rsidP="006D77AB">
      <w:pPr>
        <w:spacing w:after="240"/>
        <w:rPr>
          <w:rFonts w:ascii="Arial" w:hAnsi="Arial" w:cs="Arial"/>
        </w:rPr>
      </w:pPr>
      <w:r w:rsidRPr="006D77AB">
        <w:rPr>
          <w:rFonts w:ascii="Arial" w:hAnsi="Arial" w:cs="Arial"/>
        </w:rPr>
        <w:t xml:space="preserve">Cheong, H., Lyons, A., Houghton, R. and Majumdar, A. (2023). Secondary Qualitative Research Methodology Using Online Data within the Context of Social Sciences. </w:t>
      </w:r>
      <w:r w:rsidRPr="006D77AB">
        <w:rPr>
          <w:rFonts w:ascii="Arial" w:hAnsi="Arial" w:cs="Arial"/>
          <w:i/>
          <w:iCs/>
        </w:rPr>
        <w:t>International Journal of Qualitative Methods</w:t>
      </w:r>
      <w:r w:rsidRPr="006D77AB">
        <w:rPr>
          <w:rFonts w:ascii="Arial" w:hAnsi="Arial" w:cs="Arial"/>
        </w:rPr>
        <w:t xml:space="preserve">, 22(1), pp.1–19. Doi: </w:t>
      </w:r>
      <w:hyperlink r:id="rId18" w:history="1">
        <w:r w:rsidRPr="006D77AB">
          <w:rPr>
            <w:rStyle w:val="Hyperlink"/>
            <w:rFonts w:ascii="Arial" w:hAnsi="Arial" w:cs="Arial"/>
          </w:rPr>
          <w:t>https://doi.org/10.1177/16094069231180160</w:t>
        </w:r>
      </w:hyperlink>
    </w:p>
    <w:p w14:paraId="32585EEE" w14:textId="77777777" w:rsidR="00691C4B" w:rsidRDefault="00691C4B" w:rsidP="00691C4B">
      <w:pPr>
        <w:spacing w:after="240"/>
        <w:rPr>
          <w:rFonts w:ascii="Arial" w:hAnsi="Arial" w:cs="Arial"/>
        </w:rPr>
      </w:pPr>
      <w:r>
        <w:rPr>
          <w:rFonts w:ascii="Arial" w:hAnsi="Arial" w:cs="Arial"/>
        </w:rPr>
        <w:t xml:space="preserve">Damyanov, M. (2023). </w:t>
      </w:r>
      <w:r>
        <w:rPr>
          <w:rFonts w:ascii="Arial" w:hAnsi="Arial" w:cs="Arial"/>
          <w:i/>
          <w:iCs/>
        </w:rPr>
        <w:t>Guide to Ethical Considerations in Research: Overview and Examples</w:t>
      </w:r>
      <w:r>
        <w:rPr>
          <w:rFonts w:ascii="Arial" w:hAnsi="Arial" w:cs="Arial"/>
        </w:rPr>
        <w:t xml:space="preserve">. [online] dovetail.com. Available at: </w:t>
      </w:r>
      <w:hyperlink r:id="rId19">
        <w:r>
          <w:rPr>
            <w:rFonts w:ascii="Arial" w:hAnsi="Arial" w:cs="Arial"/>
            <w:color w:val="0000FF"/>
            <w:u w:val="single"/>
          </w:rPr>
          <w:t>https://dovetail.com/research/ethical-considerations-in-research/</w:t>
        </w:r>
      </w:hyperlink>
    </w:p>
    <w:p w14:paraId="033EABBB" w14:textId="77777777" w:rsidR="00691C4B" w:rsidRDefault="00691C4B" w:rsidP="00691C4B">
      <w:pPr>
        <w:spacing w:after="240"/>
        <w:rPr>
          <w:rFonts w:ascii="Arial" w:hAnsi="Arial" w:cs="Arial"/>
        </w:rPr>
      </w:pPr>
      <w:r>
        <w:rPr>
          <w:rFonts w:ascii="Arial" w:hAnsi="Arial" w:cs="Arial"/>
        </w:rPr>
        <w:lastRenderedPageBreak/>
        <w:t xml:space="preserve">Danso, A., Lartey, T.A., Gyimah, D. and Adu-Ameyaw, E. (2020). Leverage and performance: do size and crisis matter? </w:t>
      </w:r>
      <w:r>
        <w:rPr>
          <w:rFonts w:ascii="Arial" w:hAnsi="Arial" w:cs="Arial"/>
          <w:i/>
          <w:iCs/>
        </w:rPr>
        <w:t>Managerial Finance</w:t>
      </w:r>
      <w:r>
        <w:rPr>
          <w:rFonts w:ascii="Arial" w:hAnsi="Arial" w:cs="Arial"/>
        </w:rPr>
        <w:t xml:space="preserve">, ahead-of-print(ahead-of-print). </w:t>
      </w:r>
      <w:proofErr w:type="spellStart"/>
      <w:r>
        <w:rPr>
          <w:rFonts w:ascii="Arial" w:hAnsi="Arial" w:cs="Arial"/>
        </w:rPr>
        <w:t>doi</w:t>
      </w:r>
      <w:proofErr w:type="spellEnd"/>
      <w:r>
        <w:rPr>
          <w:rFonts w:ascii="Arial" w:hAnsi="Arial" w:cs="Arial"/>
        </w:rPr>
        <w:t xml:space="preserve">: </w:t>
      </w:r>
      <w:hyperlink r:id="rId20">
        <w:r>
          <w:rPr>
            <w:rFonts w:ascii="Arial" w:hAnsi="Arial" w:cs="Arial"/>
            <w:color w:val="0000FF"/>
            <w:u w:val="single"/>
          </w:rPr>
          <w:t>https://doi.org/10.1108/mf-10-2019-0522</w:t>
        </w:r>
      </w:hyperlink>
    </w:p>
    <w:p w14:paraId="164EC994" w14:textId="77777777" w:rsidR="00691C4B" w:rsidRDefault="00691C4B" w:rsidP="00691C4B">
      <w:pPr>
        <w:spacing w:after="240"/>
        <w:rPr>
          <w:rFonts w:ascii="Arial" w:hAnsi="Arial" w:cs="Arial"/>
        </w:rPr>
      </w:pPr>
      <w:r>
        <w:rPr>
          <w:rFonts w:ascii="Arial" w:hAnsi="Arial" w:cs="Arial"/>
        </w:rPr>
        <w:t xml:space="preserve">Dovetail (2023). </w:t>
      </w:r>
      <w:r>
        <w:rPr>
          <w:rFonts w:ascii="Arial" w:hAnsi="Arial" w:cs="Arial"/>
          <w:i/>
          <w:iCs/>
        </w:rPr>
        <w:t>What is Explanatory Research? Definition and Examples</w:t>
      </w:r>
      <w:r>
        <w:rPr>
          <w:rFonts w:ascii="Arial" w:hAnsi="Arial" w:cs="Arial"/>
        </w:rPr>
        <w:t xml:space="preserve">. [online] dovetail.com. Available at: </w:t>
      </w:r>
      <w:hyperlink r:id="rId21">
        <w:r>
          <w:rPr>
            <w:rFonts w:ascii="Arial" w:hAnsi="Arial" w:cs="Arial"/>
            <w:color w:val="0000FF"/>
            <w:u w:val="single"/>
          </w:rPr>
          <w:t>https://dovetail.com/research/explanatory-research/</w:t>
        </w:r>
      </w:hyperlink>
    </w:p>
    <w:p w14:paraId="6797DF6C" w14:textId="77777777" w:rsidR="00691C4B" w:rsidRDefault="00691C4B" w:rsidP="00691C4B">
      <w:pPr>
        <w:spacing w:after="240"/>
        <w:rPr>
          <w:rFonts w:ascii="Arial" w:hAnsi="Arial" w:cs="Arial"/>
        </w:rPr>
      </w:pPr>
      <w:r>
        <w:rPr>
          <w:rFonts w:ascii="Arial" w:hAnsi="Arial" w:cs="Arial"/>
        </w:rPr>
        <w:t xml:space="preserve">Ezeani, E., Fulgence, S., Hu, W., </w:t>
      </w:r>
      <w:proofErr w:type="spellStart"/>
      <w:r>
        <w:rPr>
          <w:rFonts w:ascii="Arial" w:hAnsi="Arial" w:cs="Arial"/>
        </w:rPr>
        <w:t>Kwabi</w:t>
      </w:r>
      <w:proofErr w:type="spellEnd"/>
      <w:r>
        <w:rPr>
          <w:rFonts w:ascii="Arial" w:hAnsi="Arial" w:cs="Arial"/>
        </w:rPr>
        <w:t xml:space="preserve">, F. and </w:t>
      </w:r>
      <w:proofErr w:type="spellStart"/>
      <w:r>
        <w:rPr>
          <w:rFonts w:ascii="Arial" w:hAnsi="Arial" w:cs="Arial"/>
        </w:rPr>
        <w:t>Chizindu</w:t>
      </w:r>
      <w:proofErr w:type="spellEnd"/>
      <w:r>
        <w:rPr>
          <w:rFonts w:ascii="Arial" w:hAnsi="Arial" w:cs="Arial"/>
        </w:rPr>
        <w:t xml:space="preserve"> </w:t>
      </w:r>
      <w:proofErr w:type="spellStart"/>
      <w:r>
        <w:rPr>
          <w:rFonts w:ascii="Arial" w:hAnsi="Arial" w:cs="Arial"/>
        </w:rPr>
        <w:t>Wonu</w:t>
      </w:r>
      <w:proofErr w:type="spellEnd"/>
      <w:r>
        <w:rPr>
          <w:rFonts w:ascii="Arial" w:hAnsi="Arial" w:cs="Arial"/>
        </w:rPr>
        <w:t xml:space="preserve"> (2024). Corporate board reform and capital structure dynamics: evidence from UK. </w:t>
      </w:r>
      <w:r>
        <w:rPr>
          <w:rFonts w:ascii="Arial" w:hAnsi="Arial" w:cs="Arial"/>
          <w:i/>
          <w:iCs/>
        </w:rPr>
        <w:t>Review of Quantitative Finance and Accounting</w:t>
      </w:r>
      <w:r>
        <w:rPr>
          <w:rFonts w:ascii="Arial" w:hAnsi="Arial" w:cs="Arial"/>
        </w:rPr>
        <w:t xml:space="preserve">, 4(9). </w:t>
      </w:r>
      <w:proofErr w:type="spellStart"/>
      <w:r>
        <w:rPr>
          <w:rFonts w:ascii="Arial" w:hAnsi="Arial" w:cs="Arial"/>
        </w:rPr>
        <w:t>doi</w:t>
      </w:r>
      <w:proofErr w:type="spellEnd"/>
      <w:r>
        <w:rPr>
          <w:rFonts w:ascii="Arial" w:hAnsi="Arial" w:cs="Arial"/>
        </w:rPr>
        <w:t xml:space="preserve">: </w:t>
      </w:r>
      <w:hyperlink r:id="rId22">
        <w:r>
          <w:rPr>
            <w:rFonts w:ascii="Arial" w:hAnsi="Arial" w:cs="Arial"/>
            <w:color w:val="0000FF"/>
            <w:u w:val="single"/>
          </w:rPr>
          <w:t>https://doi.org/10.1007/s11156-024-01365-2</w:t>
        </w:r>
      </w:hyperlink>
    </w:p>
    <w:p w14:paraId="48632CF7" w14:textId="7CF38617" w:rsidR="00691C4B" w:rsidRDefault="00691C4B" w:rsidP="00691C4B">
      <w:pPr>
        <w:spacing w:after="240"/>
        <w:rPr>
          <w:rFonts w:ascii="Arial" w:hAnsi="Arial" w:cs="Arial"/>
        </w:rPr>
      </w:pPr>
      <w:r>
        <w:rPr>
          <w:rFonts w:ascii="Arial" w:hAnsi="Arial" w:cs="Arial"/>
        </w:rPr>
        <w:t xml:space="preserve">Frank, M.Z. and Goyal, V.K. (2025). Capital Structure Decisions: Which Factors are Reliably Important? </w:t>
      </w:r>
      <w:r>
        <w:rPr>
          <w:rFonts w:ascii="Arial" w:hAnsi="Arial" w:cs="Arial"/>
          <w:i/>
          <w:iCs/>
        </w:rPr>
        <w:t>SSRN Electronic Journal</w:t>
      </w:r>
      <w:r>
        <w:rPr>
          <w:rFonts w:ascii="Arial" w:hAnsi="Arial" w:cs="Arial"/>
        </w:rPr>
        <w:t xml:space="preserve">, 38(1). </w:t>
      </w:r>
      <w:proofErr w:type="spellStart"/>
      <w:r>
        <w:rPr>
          <w:rFonts w:ascii="Arial" w:hAnsi="Arial" w:cs="Arial"/>
        </w:rPr>
        <w:t>doi</w:t>
      </w:r>
      <w:proofErr w:type="spellEnd"/>
      <w:r>
        <w:rPr>
          <w:rFonts w:ascii="Arial" w:hAnsi="Arial" w:cs="Arial"/>
        </w:rPr>
        <w:t xml:space="preserve">: </w:t>
      </w:r>
      <w:hyperlink r:id="rId23" w:history="1">
        <w:r w:rsidR="006D77AB" w:rsidRPr="006D77AB">
          <w:rPr>
            <w:rFonts w:ascii="Arial" w:hAnsi="Arial" w:cs="Arial"/>
            <w:color w:val="0000FF"/>
            <w:u w:val="single"/>
          </w:rPr>
          <w:t>https://doi.org/10.2139/ssrn.567650.</w:t>
        </w:r>
      </w:hyperlink>
    </w:p>
    <w:p w14:paraId="1FC0EDCD" w14:textId="77777777" w:rsidR="00691C4B" w:rsidRDefault="00691C4B" w:rsidP="00691C4B">
      <w:pPr>
        <w:spacing w:after="240"/>
        <w:rPr>
          <w:rFonts w:ascii="Arial" w:hAnsi="Arial" w:cs="Arial"/>
        </w:rPr>
      </w:pPr>
      <w:r>
        <w:rPr>
          <w:rFonts w:ascii="Arial" w:hAnsi="Arial" w:cs="Arial"/>
        </w:rPr>
        <w:t xml:space="preserve">Kılıç, M. and </w:t>
      </w:r>
      <w:proofErr w:type="spellStart"/>
      <w:r>
        <w:rPr>
          <w:rFonts w:ascii="Arial" w:hAnsi="Arial" w:cs="Arial"/>
        </w:rPr>
        <w:t>Sakalsız</w:t>
      </w:r>
      <w:proofErr w:type="spellEnd"/>
      <w:r>
        <w:rPr>
          <w:rFonts w:ascii="Arial" w:hAnsi="Arial" w:cs="Arial"/>
        </w:rPr>
        <w:t xml:space="preserve">, S.A. (2023). An Investigation of the Validity of Trade-off and Pecking Order Theories in Capital Structure Decisions of Sustainable Firms. </w:t>
      </w:r>
      <w:proofErr w:type="spellStart"/>
      <w:r>
        <w:rPr>
          <w:rFonts w:ascii="Arial" w:hAnsi="Arial" w:cs="Arial"/>
          <w:i/>
          <w:iCs/>
        </w:rPr>
        <w:t>Kahramanmaraş</w:t>
      </w:r>
      <w:proofErr w:type="spellEnd"/>
      <w:r>
        <w:rPr>
          <w:rFonts w:ascii="Arial" w:hAnsi="Arial" w:cs="Arial"/>
          <w:i/>
          <w:iCs/>
        </w:rPr>
        <w:t xml:space="preserve"> </w:t>
      </w:r>
      <w:proofErr w:type="spellStart"/>
      <w:r>
        <w:rPr>
          <w:rFonts w:ascii="Arial" w:hAnsi="Arial" w:cs="Arial"/>
          <w:i/>
          <w:iCs/>
        </w:rPr>
        <w:t>Sütçü</w:t>
      </w:r>
      <w:proofErr w:type="spellEnd"/>
      <w:r>
        <w:rPr>
          <w:rFonts w:ascii="Arial" w:hAnsi="Arial" w:cs="Arial"/>
          <w:i/>
          <w:iCs/>
        </w:rPr>
        <w:t xml:space="preserve"> İmam Üniversitesi </w:t>
      </w:r>
      <w:proofErr w:type="spellStart"/>
      <w:r>
        <w:rPr>
          <w:rFonts w:ascii="Arial" w:hAnsi="Arial" w:cs="Arial"/>
          <w:i/>
          <w:iCs/>
        </w:rPr>
        <w:t>İktisadi</w:t>
      </w:r>
      <w:proofErr w:type="spellEnd"/>
      <w:r>
        <w:rPr>
          <w:rFonts w:ascii="Arial" w:hAnsi="Arial" w:cs="Arial"/>
          <w:i/>
          <w:iCs/>
        </w:rPr>
        <w:t xml:space="preserve"> </w:t>
      </w:r>
      <w:proofErr w:type="spellStart"/>
      <w:r>
        <w:rPr>
          <w:rFonts w:ascii="Arial" w:hAnsi="Arial" w:cs="Arial"/>
          <w:i/>
          <w:iCs/>
        </w:rPr>
        <w:t>ve</w:t>
      </w:r>
      <w:proofErr w:type="spellEnd"/>
      <w:r>
        <w:rPr>
          <w:rFonts w:ascii="Arial" w:hAnsi="Arial" w:cs="Arial"/>
          <w:i/>
          <w:iCs/>
        </w:rPr>
        <w:t xml:space="preserve"> </w:t>
      </w:r>
      <w:proofErr w:type="spellStart"/>
      <w:r>
        <w:rPr>
          <w:rFonts w:ascii="Arial" w:hAnsi="Arial" w:cs="Arial"/>
          <w:i/>
          <w:iCs/>
        </w:rPr>
        <w:t>İdari</w:t>
      </w:r>
      <w:proofErr w:type="spellEnd"/>
      <w:r>
        <w:rPr>
          <w:rFonts w:ascii="Arial" w:hAnsi="Arial" w:cs="Arial"/>
          <w:i/>
          <w:iCs/>
        </w:rPr>
        <w:t xml:space="preserve"> </w:t>
      </w:r>
      <w:proofErr w:type="spellStart"/>
      <w:r>
        <w:rPr>
          <w:rFonts w:ascii="Arial" w:hAnsi="Arial" w:cs="Arial"/>
          <w:i/>
          <w:iCs/>
        </w:rPr>
        <w:t>Bilimler</w:t>
      </w:r>
      <w:proofErr w:type="spellEnd"/>
      <w:r>
        <w:rPr>
          <w:rFonts w:ascii="Arial" w:hAnsi="Arial" w:cs="Arial"/>
          <w:i/>
          <w:iCs/>
        </w:rPr>
        <w:t xml:space="preserve"> Fakültesi Dergisi</w:t>
      </w:r>
      <w:r>
        <w:rPr>
          <w:rFonts w:ascii="Arial" w:hAnsi="Arial" w:cs="Arial"/>
        </w:rPr>
        <w:t xml:space="preserve">, [online] 13(2), pp.29–46. Available at: </w:t>
      </w:r>
      <w:hyperlink r:id="rId24">
        <w:r>
          <w:rPr>
            <w:rFonts w:ascii="Arial" w:hAnsi="Arial" w:cs="Arial"/>
            <w:color w:val="0000FF"/>
            <w:u w:val="single"/>
          </w:rPr>
          <w:t>https://www.researchgate.net/publication/376991073_An_Investigation_of_the_Validity_of_Trade-off_and_Pecking_Order_Theories_in_Capital_Structure_Decisions_of_Sustainable_Firms</w:t>
        </w:r>
      </w:hyperlink>
    </w:p>
    <w:p w14:paraId="476FA4CB" w14:textId="546A4849" w:rsidR="00691C4B" w:rsidRDefault="00691C4B" w:rsidP="00691C4B">
      <w:pPr>
        <w:spacing w:after="240"/>
        <w:rPr>
          <w:rFonts w:ascii="Arial" w:hAnsi="Arial" w:cs="Arial"/>
        </w:rPr>
      </w:pPr>
      <w:proofErr w:type="spellStart"/>
      <w:r>
        <w:rPr>
          <w:rFonts w:ascii="Arial" w:hAnsi="Arial" w:cs="Arial"/>
        </w:rPr>
        <w:t>Koralun-Bereźnicka</w:t>
      </w:r>
      <w:proofErr w:type="spellEnd"/>
      <w:r>
        <w:rPr>
          <w:rFonts w:ascii="Arial" w:hAnsi="Arial" w:cs="Arial"/>
        </w:rPr>
        <w:t xml:space="preserve">, J., </w:t>
      </w:r>
      <w:proofErr w:type="spellStart"/>
      <w:r>
        <w:rPr>
          <w:rFonts w:ascii="Arial" w:hAnsi="Arial" w:cs="Arial"/>
        </w:rPr>
        <w:t>Gostkowska-Drzewicka</w:t>
      </w:r>
      <w:proofErr w:type="spellEnd"/>
      <w:r>
        <w:rPr>
          <w:rFonts w:ascii="Arial" w:hAnsi="Arial" w:cs="Arial"/>
        </w:rPr>
        <w:t xml:space="preserve">, M. and </w:t>
      </w:r>
      <w:proofErr w:type="spellStart"/>
      <w:r>
        <w:rPr>
          <w:rFonts w:ascii="Arial" w:hAnsi="Arial" w:cs="Arial"/>
        </w:rPr>
        <w:t>Majerowska</w:t>
      </w:r>
      <w:proofErr w:type="spellEnd"/>
      <w:r>
        <w:rPr>
          <w:rFonts w:ascii="Arial" w:hAnsi="Arial" w:cs="Arial"/>
        </w:rPr>
        <w:t xml:space="preserve">, E. (2024). </w:t>
      </w:r>
      <w:r>
        <w:rPr>
          <w:rFonts w:ascii="Arial" w:hAnsi="Arial" w:cs="Arial"/>
          <w:i/>
          <w:iCs/>
        </w:rPr>
        <w:t>Corporate Capital Structure in Europe</w:t>
      </w:r>
      <w:r>
        <w:rPr>
          <w:rFonts w:ascii="Arial" w:hAnsi="Arial" w:cs="Arial"/>
        </w:rPr>
        <w:t xml:space="preserve">. Routledge. </w:t>
      </w:r>
      <w:hyperlink r:id="rId25" w:history="1">
        <w:r w:rsidR="006D77AB" w:rsidRPr="006D77AB">
          <w:rPr>
            <w:rFonts w:ascii="Arial" w:hAnsi="Arial" w:cs="Arial"/>
            <w:color w:val="0000FF"/>
            <w:u w:val="single"/>
          </w:rPr>
          <w:t>https://doi.org/10.4324/9781003517894</w:t>
        </w:r>
      </w:hyperlink>
      <w:r w:rsidR="006D77AB" w:rsidRPr="006D77AB">
        <w:rPr>
          <w:rFonts w:ascii="Arial" w:hAnsi="Arial" w:cs="Arial"/>
        </w:rPr>
        <w:t>.</w:t>
      </w:r>
    </w:p>
    <w:p w14:paraId="2111D8FD" w14:textId="77777777" w:rsidR="00691C4B" w:rsidRDefault="00691C4B" w:rsidP="00691C4B">
      <w:pPr>
        <w:spacing w:after="240"/>
        <w:rPr>
          <w:rFonts w:ascii="Arial" w:hAnsi="Arial" w:cs="Arial"/>
        </w:rPr>
      </w:pPr>
      <w:r>
        <w:rPr>
          <w:rFonts w:ascii="Arial" w:hAnsi="Arial" w:cs="Arial"/>
        </w:rPr>
        <w:t xml:space="preserve">Lim, H.-J. and Mali, D. (2023). Does Market Performance (Tobin’s Q) Have A Negative Effect </w:t>
      </w:r>
      <w:proofErr w:type="gramStart"/>
      <w:r>
        <w:rPr>
          <w:rFonts w:ascii="Arial" w:hAnsi="Arial" w:cs="Arial"/>
        </w:rPr>
        <w:t>On</w:t>
      </w:r>
      <w:proofErr w:type="gramEnd"/>
      <w:r>
        <w:rPr>
          <w:rFonts w:ascii="Arial" w:hAnsi="Arial" w:cs="Arial"/>
        </w:rPr>
        <w:t xml:space="preserve"> Credit Ratings? Evidence From South Korea. </w:t>
      </w:r>
      <w:r>
        <w:rPr>
          <w:rFonts w:ascii="Arial" w:hAnsi="Arial" w:cs="Arial"/>
          <w:i/>
          <w:iCs/>
        </w:rPr>
        <w:t>Asia-Pacific Financial Markets</w:t>
      </w:r>
      <w:r>
        <w:rPr>
          <w:rFonts w:ascii="Arial" w:hAnsi="Arial" w:cs="Arial"/>
        </w:rPr>
        <w:t xml:space="preserve">, [online] 4(9), pp.1–28. </w:t>
      </w:r>
      <w:proofErr w:type="spellStart"/>
      <w:r>
        <w:rPr>
          <w:rFonts w:ascii="Arial" w:hAnsi="Arial" w:cs="Arial"/>
        </w:rPr>
        <w:t>doi</w:t>
      </w:r>
      <w:proofErr w:type="spellEnd"/>
      <w:r>
        <w:rPr>
          <w:rFonts w:ascii="Arial" w:hAnsi="Arial" w:cs="Arial"/>
        </w:rPr>
        <w:t xml:space="preserve">: </w:t>
      </w:r>
      <w:hyperlink r:id="rId26">
        <w:r>
          <w:rPr>
            <w:rFonts w:ascii="Arial" w:hAnsi="Arial" w:cs="Arial"/>
            <w:color w:val="0000FF"/>
            <w:u w:val="single"/>
          </w:rPr>
          <w:t>https://doi.org/10.1007/s10690-023-09406-x</w:t>
        </w:r>
      </w:hyperlink>
    </w:p>
    <w:p w14:paraId="560A713F" w14:textId="77777777" w:rsidR="006D77AB" w:rsidRDefault="006D77AB" w:rsidP="006D77AB">
      <w:pPr>
        <w:spacing w:after="240"/>
        <w:rPr>
          <w:rFonts w:ascii="Arial" w:hAnsi="Arial" w:cs="Arial"/>
        </w:rPr>
      </w:pPr>
      <w:proofErr w:type="spellStart"/>
      <w:r>
        <w:rPr>
          <w:rFonts w:ascii="Arial" w:hAnsi="Arial" w:cs="Arial"/>
        </w:rPr>
        <w:t>Litvaj</w:t>
      </w:r>
      <w:proofErr w:type="spellEnd"/>
      <w:r>
        <w:rPr>
          <w:rFonts w:ascii="Arial" w:hAnsi="Arial" w:cs="Arial"/>
        </w:rPr>
        <w:t xml:space="preserve">, I., </w:t>
      </w:r>
      <w:proofErr w:type="spellStart"/>
      <w:r>
        <w:rPr>
          <w:rFonts w:ascii="Arial" w:hAnsi="Arial" w:cs="Arial"/>
        </w:rPr>
        <w:t>Ponisciakova</w:t>
      </w:r>
      <w:proofErr w:type="spellEnd"/>
      <w:r>
        <w:rPr>
          <w:rFonts w:ascii="Arial" w:hAnsi="Arial" w:cs="Arial"/>
        </w:rPr>
        <w:t xml:space="preserve">, O., </w:t>
      </w:r>
      <w:proofErr w:type="spellStart"/>
      <w:r>
        <w:rPr>
          <w:rFonts w:ascii="Arial" w:hAnsi="Arial" w:cs="Arial"/>
        </w:rPr>
        <w:t>Stancekova</w:t>
      </w:r>
      <w:proofErr w:type="spellEnd"/>
      <w:r>
        <w:rPr>
          <w:rFonts w:ascii="Arial" w:hAnsi="Arial" w:cs="Arial"/>
        </w:rPr>
        <w:t xml:space="preserve">, D., </w:t>
      </w:r>
      <w:proofErr w:type="spellStart"/>
      <w:r>
        <w:rPr>
          <w:rFonts w:ascii="Arial" w:hAnsi="Arial" w:cs="Arial"/>
        </w:rPr>
        <w:t>Svobodova</w:t>
      </w:r>
      <w:proofErr w:type="spellEnd"/>
      <w:r>
        <w:rPr>
          <w:rFonts w:ascii="Arial" w:hAnsi="Arial" w:cs="Arial"/>
        </w:rPr>
        <w:t xml:space="preserve">, J. and Mrazik, J. (2022). Decision-Making Procedures and Their Relation to Knowledge Management and </w:t>
      </w:r>
      <w:r>
        <w:rPr>
          <w:rFonts w:ascii="Arial" w:hAnsi="Arial" w:cs="Arial"/>
        </w:rPr>
        <w:lastRenderedPageBreak/>
        <w:t xml:space="preserve">Quality Management. </w:t>
      </w:r>
      <w:r>
        <w:rPr>
          <w:rFonts w:ascii="Arial" w:hAnsi="Arial" w:cs="Arial"/>
          <w:i/>
          <w:iCs/>
        </w:rPr>
        <w:t>Sustainability</w:t>
      </w:r>
      <w:r>
        <w:rPr>
          <w:rFonts w:ascii="Arial" w:hAnsi="Arial" w:cs="Arial"/>
        </w:rPr>
        <w:t xml:space="preserve">, 14(1), p.572. </w:t>
      </w:r>
      <w:proofErr w:type="spellStart"/>
      <w:r>
        <w:rPr>
          <w:rFonts w:ascii="Arial" w:hAnsi="Arial" w:cs="Arial"/>
        </w:rPr>
        <w:t>doi</w:t>
      </w:r>
      <w:proofErr w:type="spellEnd"/>
      <w:r>
        <w:rPr>
          <w:rFonts w:ascii="Arial" w:hAnsi="Arial" w:cs="Arial"/>
        </w:rPr>
        <w:t xml:space="preserve">: </w:t>
      </w:r>
      <w:hyperlink r:id="rId27" w:history="1">
        <w:r>
          <w:rPr>
            <w:rStyle w:val="Hyperlink"/>
            <w:rFonts w:eastAsiaTheme="majorEastAsia" w:cs="Arial"/>
          </w:rPr>
          <w:t>https://doi.org/10.3390/su14010572</w:t>
        </w:r>
      </w:hyperlink>
      <w:r>
        <w:rPr>
          <w:rFonts w:ascii="Arial" w:hAnsi="Arial" w:cs="Arial"/>
        </w:rPr>
        <w:t>.</w:t>
      </w:r>
    </w:p>
    <w:p w14:paraId="4D32D285" w14:textId="77777777" w:rsidR="00691C4B" w:rsidRDefault="00691C4B" w:rsidP="00691C4B">
      <w:pPr>
        <w:spacing w:after="240"/>
        <w:rPr>
          <w:rFonts w:ascii="Arial" w:hAnsi="Arial" w:cs="Arial"/>
        </w:rPr>
      </w:pPr>
      <w:r>
        <w:rPr>
          <w:rFonts w:ascii="Arial" w:hAnsi="Arial" w:cs="Arial"/>
        </w:rPr>
        <w:t xml:space="preserve">Naeem, M., </w:t>
      </w:r>
      <w:proofErr w:type="spellStart"/>
      <w:r>
        <w:rPr>
          <w:rFonts w:ascii="Arial" w:hAnsi="Arial" w:cs="Arial"/>
        </w:rPr>
        <w:t>Ozuem</w:t>
      </w:r>
      <w:proofErr w:type="spellEnd"/>
      <w:r>
        <w:rPr>
          <w:rFonts w:ascii="Arial" w:hAnsi="Arial" w:cs="Arial"/>
        </w:rPr>
        <w:t xml:space="preserve">, W., Howell, K. and Ranfagni, S. (2023). A step-by-step Process of Thematic Analysis to Develop a Conceptual Model in Qualitative Research. </w:t>
      </w:r>
      <w:r>
        <w:rPr>
          <w:rFonts w:ascii="Arial" w:hAnsi="Arial" w:cs="Arial"/>
          <w:i/>
          <w:iCs/>
        </w:rPr>
        <w:t>International Journal of Qualitative Methods</w:t>
      </w:r>
      <w:r>
        <w:rPr>
          <w:rFonts w:ascii="Arial" w:hAnsi="Arial" w:cs="Arial"/>
        </w:rPr>
        <w:t xml:space="preserve">, 22(1), pp.1–18. </w:t>
      </w:r>
      <w:proofErr w:type="spellStart"/>
      <w:r>
        <w:rPr>
          <w:rFonts w:ascii="Arial" w:hAnsi="Arial" w:cs="Arial"/>
        </w:rPr>
        <w:t>doi</w:t>
      </w:r>
      <w:proofErr w:type="spellEnd"/>
      <w:r>
        <w:rPr>
          <w:rFonts w:ascii="Arial" w:hAnsi="Arial" w:cs="Arial"/>
        </w:rPr>
        <w:t xml:space="preserve">: </w:t>
      </w:r>
      <w:hyperlink r:id="rId28">
        <w:r>
          <w:rPr>
            <w:rFonts w:ascii="Arial" w:hAnsi="Arial" w:cs="Arial"/>
            <w:color w:val="0000FF"/>
            <w:u w:val="single"/>
          </w:rPr>
          <w:t>https://doi.org/10.1177/16094069231205789</w:t>
        </w:r>
      </w:hyperlink>
    </w:p>
    <w:p w14:paraId="31C329E9" w14:textId="77777777" w:rsidR="00691C4B" w:rsidRDefault="00691C4B" w:rsidP="00691C4B">
      <w:pPr>
        <w:spacing w:after="240"/>
        <w:rPr>
          <w:rFonts w:ascii="Arial" w:hAnsi="Arial" w:cs="Arial"/>
        </w:rPr>
      </w:pPr>
      <w:r>
        <w:rPr>
          <w:rFonts w:ascii="Arial" w:hAnsi="Arial" w:cs="Arial"/>
        </w:rPr>
        <w:t xml:space="preserve">Panigrahi, A.K. and Vachhani, K. (2021). Financial analysis by return on equity (ROE) and return on asset (ROA)-A comparative study of HUL and ITC. </w:t>
      </w:r>
      <w:r>
        <w:rPr>
          <w:rFonts w:ascii="Arial" w:hAnsi="Arial" w:cs="Arial"/>
          <w:i/>
          <w:iCs/>
        </w:rPr>
        <w:t>Journal of Management Research and Analysis</w:t>
      </w:r>
      <w:r>
        <w:rPr>
          <w:rFonts w:ascii="Arial" w:hAnsi="Arial" w:cs="Arial"/>
        </w:rPr>
        <w:t xml:space="preserve">, 8(3), pp.131–138. </w:t>
      </w:r>
      <w:proofErr w:type="spellStart"/>
      <w:r>
        <w:rPr>
          <w:rFonts w:ascii="Arial" w:hAnsi="Arial" w:cs="Arial"/>
        </w:rPr>
        <w:t>doi</w:t>
      </w:r>
      <w:proofErr w:type="spellEnd"/>
      <w:r>
        <w:rPr>
          <w:rFonts w:ascii="Arial" w:hAnsi="Arial" w:cs="Arial"/>
        </w:rPr>
        <w:t xml:space="preserve">: </w:t>
      </w:r>
      <w:hyperlink r:id="rId29">
        <w:r>
          <w:rPr>
            <w:rFonts w:ascii="Arial" w:hAnsi="Arial" w:cs="Arial"/>
            <w:color w:val="0000FF"/>
            <w:u w:val="single"/>
          </w:rPr>
          <w:t>https://doi.org/10.18231/j.jmra.2021.027</w:t>
        </w:r>
      </w:hyperlink>
    </w:p>
    <w:p w14:paraId="272B9135" w14:textId="77777777" w:rsidR="00691C4B" w:rsidRDefault="00691C4B" w:rsidP="00691C4B">
      <w:pPr>
        <w:spacing w:after="240"/>
        <w:rPr>
          <w:rFonts w:ascii="Arial" w:hAnsi="Arial" w:cs="Arial"/>
        </w:rPr>
      </w:pPr>
      <w:r>
        <w:rPr>
          <w:rFonts w:ascii="Arial" w:hAnsi="Arial" w:cs="Arial"/>
        </w:rPr>
        <w:t xml:space="preserve">Pies, I. and Valentinov, V. (2023). Trade-offs in stakeholder theory: an </w:t>
      </w:r>
      <w:proofErr w:type="spellStart"/>
      <w:r>
        <w:rPr>
          <w:rFonts w:ascii="Arial" w:hAnsi="Arial" w:cs="Arial"/>
        </w:rPr>
        <w:t>ordonomic</w:t>
      </w:r>
      <w:proofErr w:type="spellEnd"/>
      <w:r>
        <w:rPr>
          <w:rFonts w:ascii="Arial" w:hAnsi="Arial" w:cs="Arial"/>
        </w:rPr>
        <w:t xml:space="preserve"> perspective. </w:t>
      </w:r>
      <w:r>
        <w:rPr>
          <w:rFonts w:ascii="Arial" w:hAnsi="Arial" w:cs="Arial"/>
          <w:i/>
          <w:iCs/>
        </w:rPr>
        <w:t>Social Responsibility Journal</w:t>
      </w:r>
      <w:r>
        <w:rPr>
          <w:rFonts w:ascii="Arial" w:hAnsi="Arial" w:cs="Arial"/>
        </w:rPr>
        <w:t xml:space="preserve">, 20(5). </w:t>
      </w:r>
      <w:proofErr w:type="spellStart"/>
      <w:r>
        <w:rPr>
          <w:rFonts w:ascii="Arial" w:hAnsi="Arial" w:cs="Arial"/>
        </w:rPr>
        <w:t>doi</w:t>
      </w:r>
      <w:proofErr w:type="spellEnd"/>
      <w:r>
        <w:rPr>
          <w:rFonts w:ascii="Arial" w:hAnsi="Arial" w:cs="Arial"/>
        </w:rPr>
        <w:t xml:space="preserve">: </w:t>
      </w:r>
      <w:hyperlink r:id="rId30">
        <w:r>
          <w:rPr>
            <w:rFonts w:ascii="Arial" w:hAnsi="Arial" w:cs="Arial"/>
            <w:color w:val="0000FF"/>
            <w:u w:val="single"/>
          </w:rPr>
          <w:t>https://doi.org/10.1108/srj-06-2023-0321</w:t>
        </w:r>
      </w:hyperlink>
    </w:p>
    <w:p w14:paraId="4D6E759F" w14:textId="77777777" w:rsidR="00691C4B" w:rsidRDefault="00691C4B" w:rsidP="00691C4B">
      <w:pPr>
        <w:spacing w:after="240"/>
        <w:rPr>
          <w:rFonts w:ascii="Arial" w:hAnsi="Arial" w:cs="Arial"/>
        </w:rPr>
      </w:pPr>
      <w:proofErr w:type="spellStart"/>
      <w:r>
        <w:rPr>
          <w:rFonts w:ascii="Arial" w:hAnsi="Arial" w:cs="Arial"/>
        </w:rPr>
        <w:t>Rababah</w:t>
      </w:r>
      <w:proofErr w:type="spellEnd"/>
      <w:r>
        <w:rPr>
          <w:rFonts w:ascii="Arial" w:hAnsi="Arial" w:cs="Arial"/>
        </w:rPr>
        <w:t xml:space="preserve">, M.M. (2022). The Impact of the Capital Structure on Financial Performance: An Applied Study on the Saudi Basic Materials Companies. </w:t>
      </w:r>
      <w:r>
        <w:rPr>
          <w:rFonts w:ascii="Arial" w:hAnsi="Arial" w:cs="Arial"/>
          <w:i/>
          <w:iCs/>
        </w:rPr>
        <w:t>International Journal of Economics and Finance</w:t>
      </w:r>
      <w:r>
        <w:rPr>
          <w:rFonts w:ascii="Arial" w:hAnsi="Arial" w:cs="Arial"/>
        </w:rPr>
        <w:t xml:space="preserve">, 14(6), p.77. </w:t>
      </w:r>
      <w:proofErr w:type="spellStart"/>
      <w:r>
        <w:rPr>
          <w:rFonts w:ascii="Arial" w:hAnsi="Arial" w:cs="Arial"/>
        </w:rPr>
        <w:t>doi</w:t>
      </w:r>
      <w:proofErr w:type="spellEnd"/>
      <w:r>
        <w:rPr>
          <w:rFonts w:ascii="Arial" w:hAnsi="Arial" w:cs="Arial"/>
        </w:rPr>
        <w:t xml:space="preserve">: </w:t>
      </w:r>
      <w:hyperlink r:id="rId31">
        <w:r>
          <w:rPr>
            <w:rFonts w:ascii="Arial" w:hAnsi="Arial" w:cs="Arial"/>
            <w:color w:val="0000FF"/>
            <w:u w:val="single"/>
          </w:rPr>
          <w:t>https://doi.org/10.5539/ijef.v14n6p77</w:t>
        </w:r>
      </w:hyperlink>
    </w:p>
    <w:p w14:paraId="21A326A9" w14:textId="77777777" w:rsidR="00691C4B" w:rsidRDefault="00691C4B" w:rsidP="00691C4B">
      <w:pPr>
        <w:spacing w:after="240"/>
        <w:rPr>
          <w:rFonts w:ascii="Arial" w:hAnsi="Arial" w:cs="Arial"/>
        </w:rPr>
      </w:pPr>
      <w:r>
        <w:rPr>
          <w:rFonts w:ascii="Arial" w:hAnsi="Arial" w:cs="Arial"/>
        </w:rPr>
        <w:t xml:space="preserve">Thomas, D.R. (2025). </w:t>
      </w:r>
      <w:r>
        <w:rPr>
          <w:rFonts w:ascii="Arial" w:hAnsi="Arial" w:cs="Arial"/>
          <w:i/>
          <w:iCs/>
        </w:rPr>
        <w:t>A General Inductive Approach for Qualitative Data Analysis</w:t>
      </w:r>
      <w:r>
        <w:rPr>
          <w:rFonts w:ascii="Arial" w:hAnsi="Arial" w:cs="Arial"/>
        </w:rPr>
        <w:t xml:space="preserve">. [online] ResearchGate. Available at: </w:t>
      </w:r>
      <w:hyperlink r:id="rId32">
        <w:r>
          <w:rPr>
            <w:rFonts w:ascii="Arial" w:hAnsi="Arial" w:cs="Arial"/>
            <w:color w:val="0000FF"/>
            <w:u w:val="single"/>
          </w:rPr>
          <w:t>https://www.researchgate.net/publication/228620846_A_General_Inductive_Approach_for_Qualitative_Data_Analysis</w:t>
        </w:r>
      </w:hyperlink>
    </w:p>
    <w:p w14:paraId="0B0EE954" w14:textId="77777777" w:rsidR="00691C4B" w:rsidRDefault="00691C4B" w:rsidP="00691C4B">
      <w:pPr>
        <w:rPr>
          <w:rFonts w:ascii="Arial" w:hAnsi="Arial" w:cs="Arial"/>
        </w:rPr>
      </w:pPr>
    </w:p>
    <w:p w14:paraId="5619FD60" w14:textId="77777777" w:rsidR="00691C4B" w:rsidRDefault="00691C4B" w:rsidP="00691C4B">
      <w:pPr>
        <w:rPr>
          <w:rFonts w:ascii="Arial" w:hAnsi="Arial" w:cs="Arial"/>
        </w:rPr>
      </w:pPr>
    </w:p>
    <w:p w14:paraId="25A1446E" w14:textId="77777777" w:rsidR="00FE1B8C" w:rsidRDefault="00FE1B8C"/>
    <w:sectPr w:rsidR="00FE1B8C" w:rsidSect="00691C4B">
      <w:footerReference w:type="default" r:id="rId33"/>
      <w:pgSz w:w="11909" w:h="16834"/>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2AA21D8" w14:textId="77777777" w:rsidR="00A41941" w:rsidRDefault="00A41941">
      <w:pPr>
        <w:spacing w:line="240" w:lineRule="auto"/>
      </w:pPr>
      <w:r>
        <w:separator/>
      </w:r>
    </w:p>
  </w:endnote>
  <w:endnote w:type="continuationSeparator" w:id="0">
    <w:p w14:paraId="64C666D7" w14:textId="77777777" w:rsidR="00A41941" w:rsidRDefault="00A41941">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3632E69" w14:textId="77777777" w:rsidR="00691C4B" w:rsidRDefault="00691C4B">
    <w:pPr>
      <w:tabs>
        <w:tab w:val="center" w:pos="4680"/>
        <w:tab w:val="right" w:pos="9360"/>
      </w:tabs>
      <w:spacing w:line="240" w:lineRule="auto"/>
      <w:jc w:val="right"/>
    </w:pPr>
    <w:r>
      <w:fldChar w:fldCharType="begin"/>
    </w:r>
    <w:r>
      <w:instrText>PAGE</w:instrText>
    </w:r>
    <w:r>
      <w:fldChar w:fldCharType="separate"/>
    </w:r>
    <w:r>
      <w:t>1</w:t>
    </w:r>
    <w:r>
      <w:fldChar w:fldCharType="end"/>
    </w:r>
  </w:p>
  <w:p w14:paraId="1EF85A72" w14:textId="77777777" w:rsidR="00691C4B" w:rsidRDefault="00691C4B">
    <w:pPr>
      <w:tabs>
        <w:tab w:val="center" w:pos="4680"/>
        <w:tab w:val="right" w:pos="9360"/>
      </w:tabs>
      <w:spacing w:line="240" w:lineRule="auto"/>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53E5E69" w14:textId="77777777" w:rsidR="00A41941" w:rsidRDefault="00A41941">
      <w:pPr>
        <w:spacing w:line="240" w:lineRule="auto"/>
      </w:pPr>
      <w:r>
        <w:separator/>
      </w:r>
    </w:p>
  </w:footnote>
  <w:footnote w:type="continuationSeparator" w:id="0">
    <w:p w14:paraId="70694930" w14:textId="77777777" w:rsidR="00A41941" w:rsidRDefault="00A41941">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B0D3347"/>
    <w:multiLevelType w:val="multilevel"/>
    <w:tmpl w:val="0B0D3347"/>
    <w:lvl w:ilvl="0">
      <w:start w:val="1"/>
      <w:numFmt w:val="bullet"/>
      <w:lvlText w:val=""/>
      <w:lvlJc w:val="left"/>
      <w:pPr>
        <w:ind w:left="720" w:hanging="360"/>
      </w:pPr>
      <w:rPr>
        <w:rFonts w:ascii="Symbol" w:hAnsi="Symbol" w:hint="default"/>
      </w:rPr>
    </w:lvl>
    <w:lvl w:ilvl="1">
      <w:start w:val="1"/>
      <w:numFmt w:val="bullet"/>
      <w:lvlText w:val="o"/>
      <w:lvlJc w:val="left"/>
      <w:pPr>
        <w:ind w:left="1440" w:hanging="360"/>
      </w:pPr>
      <w:rPr>
        <w:rFonts w:ascii="Courier New" w:hAnsi="Courier New" w:cs="Courier New" w:hint="default"/>
      </w:rPr>
    </w:lvl>
    <w:lvl w:ilvl="2">
      <w:start w:val="1"/>
      <w:numFmt w:val="bullet"/>
      <w:lvlText w:val=""/>
      <w:lvlJc w:val="left"/>
      <w:pPr>
        <w:ind w:left="2160" w:hanging="360"/>
      </w:pPr>
      <w:rPr>
        <w:rFonts w:ascii="Wingdings" w:hAnsi="Wingdings" w:hint="default"/>
      </w:rPr>
    </w:lvl>
    <w:lvl w:ilvl="3">
      <w:start w:val="1"/>
      <w:numFmt w:val="bullet"/>
      <w:lvlText w:val=""/>
      <w:lvlJc w:val="left"/>
      <w:pPr>
        <w:ind w:left="2880" w:hanging="360"/>
      </w:pPr>
      <w:rPr>
        <w:rFonts w:ascii="Symbol" w:hAnsi="Symbol" w:hint="default"/>
      </w:rPr>
    </w:lvl>
    <w:lvl w:ilvl="4">
      <w:start w:val="1"/>
      <w:numFmt w:val="bullet"/>
      <w:lvlText w:val="o"/>
      <w:lvlJc w:val="left"/>
      <w:pPr>
        <w:ind w:left="3600" w:hanging="360"/>
      </w:pPr>
      <w:rPr>
        <w:rFonts w:ascii="Courier New" w:hAnsi="Courier New" w:cs="Courier New" w:hint="default"/>
      </w:rPr>
    </w:lvl>
    <w:lvl w:ilvl="5">
      <w:start w:val="1"/>
      <w:numFmt w:val="bullet"/>
      <w:lvlText w:val=""/>
      <w:lvlJc w:val="left"/>
      <w:pPr>
        <w:ind w:left="4320" w:hanging="360"/>
      </w:pPr>
      <w:rPr>
        <w:rFonts w:ascii="Wingdings" w:hAnsi="Wingdings" w:hint="default"/>
      </w:rPr>
    </w:lvl>
    <w:lvl w:ilvl="6">
      <w:start w:val="1"/>
      <w:numFmt w:val="bullet"/>
      <w:lvlText w:val=""/>
      <w:lvlJc w:val="left"/>
      <w:pPr>
        <w:ind w:left="5040" w:hanging="360"/>
      </w:pPr>
      <w:rPr>
        <w:rFonts w:ascii="Symbol" w:hAnsi="Symbol" w:hint="default"/>
      </w:rPr>
    </w:lvl>
    <w:lvl w:ilvl="7">
      <w:start w:val="1"/>
      <w:numFmt w:val="bullet"/>
      <w:lvlText w:val="o"/>
      <w:lvlJc w:val="left"/>
      <w:pPr>
        <w:ind w:left="5760" w:hanging="360"/>
      </w:pPr>
      <w:rPr>
        <w:rFonts w:ascii="Courier New" w:hAnsi="Courier New" w:cs="Courier New" w:hint="default"/>
      </w:rPr>
    </w:lvl>
    <w:lvl w:ilvl="8">
      <w:start w:val="1"/>
      <w:numFmt w:val="bullet"/>
      <w:lvlText w:val=""/>
      <w:lvlJc w:val="left"/>
      <w:pPr>
        <w:ind w:left="6480" w:hanging="360"/>
      </w:pPr>
      <w:rPr>
        <w:rFonts w:ascii="Wingdings" w:hAnsi="Wingdings" w:hint="default"/>
      </w:rPr>
    </w:lvl>
  </w:abstractNum>
  <w:abstractNum w:abstractNumId="1" w15:restartNumberingAfterBreak="0">
    <w:nsid w:val="1CC32B91"/>
    <w:multiLevelType w:val="multilevel"/>
    <w:tmpl w:val="1CC32B91"/>
    <w:lvl w:ilvl="0">
      <w:start w:val="1"/>
      <w:numFmt w:val="bullet"/>
      <w:lvlText w:val=""/>
      <w:lvlJc w:val="left"/>
      <w:pPr>
        <w:ind w:left="720" w:hanging="360"/>
      </w:pPr>
      <w:rPr>
        <w:rFonts w:ascii="Symbol" w:hAnsi="Symbol" w:hint="default"/>
      </w:rPr>
    </w:lvl>
    <w:lvl w:ilvl="1">
      <w:start w:val="1"/>
      <w:numFmt w:val="bullet"/>
      <w:lvlText w:val="o"/>
      <w:lvlJc w:val="left"/>
      <w:pPr>
        <w:ind w:left="1440" w:hanging="360"/>
      </w:pPr>
      <w:rPr>
        <w:rFonts w:ascii="Courier New" w:hAnsi="Courier New" w:cs="Courier New" w:hint="default"/>
      </w:rPr>
    </w:lvl>
    <w:lvl w:ilvl="2">
      <w:start w:val="1"/>
      <w:numFmt w:val="bullet"/>
      <w:lvlText w:val=""/>
      <w:lvlJc w:val="left"/>
      <w:pPr>
        <w:ind w:left="2160" w:hanging="360"/>
      </w:pPr>
      <w:rPr>
        <w:rFonts w:ascii="Wingdings" w:hAnsi="Wingdings" w:hint="default"/>
      </w:rPr>
    </w:lvl>
    <w:lvl w:ilvl="3">
      <w:start w:val="1"/>
      <w:numFmt w:val="bullet"/>
      <w:lvlText w:val=""/>
      <w:lvlJc w:val="left"/>
      <w:pPr>
        <w:ind w:left="2880" w:hanging="360"/>
      </w:pPr>
      <w:rPr>
        <w:rFonts w:ascii="Symbol" w:hAnsi="Symbol" w:hint="default"/>
      </w:rPr>
    </w:lvl>
    <w:lvl w:ilvl="4">
      <w:start w:val="1"/>
      <w:numFmt w:val="bullet"/>
      <w:lvlText w:val="o"/>
      <w:lvlJc w:val="left"/>
      <w:pPr>
        <w:ind w:left="3600" w:hanging="360"/>
      </w:pPr>
      <w:rPr>
        <w:rFonts w:ascii="Courier New" w:hAnsi="Courier New" w:cs="Courier New" w:hint="default"/>
      </w:rPr>
    </w:lvl>
    <w:lvl w:ilvl="5">
      <w:start w:val="1"/>
      <w:numFmt w:val="bullet"/>
      <w:lvlText w:val=""/>
      <w:lvlJc w:val="left"/>
      <w:pPr>
        <w:ind w:left="4320" w:hanging="360"/>
      </w:pPr>
      <w:rPr>
        <w:rFonts w:ascii="Wingdings" w:hAnsi="Wingdings" w:hint="default"/>
      </w:rPr>
    </w:lvl>
    <w:lvl w:ilvl="6">
      <w:start w:val="1"/>
      <w:numFmt w:val="bullet"/>
      <w:lvlText w:val=""/>
      <w:lvlJc w:val="left"/>
      <w:pPr>
        <w:ind w:left="5040" w:hanging="360"/>
      </w:pPr>
      <w:rPr>
        <w:rFonts w:ascii="Symbol" w:hAnsi="Symbol" w:hint="default"/>
      </w:rPr>
    </w:lvl>
    <w:lvl w:ilvl="7">
      <w:start w:val="1"/>
      <w:numFmt w:val="bullet"/>
      <w:lvlText w:val="o"/>
      <w:lvlJc w:val="left"/>
      <w:pPr>
        <w:ind w:left="5760" w:hanging="360"/>
      </w:pPr>
      <w:rPr>
        <w:rFonts w:ascii="Courier New" w:hAnsi="Courier New" w:cs="Courier New" w:hint="default"/>
      </w:rPr>
    </w:lvl>
    <w:lvl w:ilvl="8">
      <w:start w:val="1"/>
      <w:numFmt w:val="bullet"/>
      <w:lvlText w:val=""/>
      <w:lvlJc w:val="left"/>
      <w:pPr>
        <w:ind w:left="6480" w:hanging="360"/>
      </w:pPr>
      <w:rPr>
        <w:rFonts w:ascii="Wingdings" w:hAnsi="Wingdings" w:hint="default"/>
      </w:rPr>
    </w:lvl>
  </w:abstractNum>
  <w:abstractNum w:abstractNumId="2" w15:restartNumberingAfterBreak="0">
    <w:nsid w:val="3EC258D5"/>
    <w:multiLevelType w:val="multilevel"/>
    <w:tmpl w:val="3EC258D5"/>
    <w:lvl w:ilvl="0">
      <w:start w:val="1"/>
      <w:numFmt w:val="bullet"/>
      <w:lvlText w:val=""/>
      <w:lvlJc w:val="left"/>
      <w:pPr>
        <w:ind w:left="720" w:hanging="360"/>
      </w:pPr>
      <w:rPr>
        <w:rFonts w:ascii="Symbol" w:hAnsi="Symbol" w:hint="default"/>
      </w:rPr>
    </w:lvl>
    <w:lvl w:ilvl="1">
      <w:start w:val="1"/>
      <w:numFmt w:val="bullet"/>
      <w:lvlText w:val="o"/>
      <w:lvlJc w:val="left"/>
      <w:pPr>
        <w:ind w:left="1440" w:hanging="360"/>
      </w:pPr>
      <w:rPr>
        <w:rFonts w:ascii="Courier New" w:hAnsi="Courier New" w:cs="Courier New" w:hint="default"/>
      </w:rPr>
    </w:lvl>
    <w:lvl w:ilvl="2">
      <w:start w:val="1"/>
      <w:numFmt w:val="bullet"/>
      <w:lvlText w:val=""/>
      <w:lvlJc w:val="left"/>
      <w:pPr>
        <w:ind w:left="2160" w:hanging="360"/>
      </w:pPr>
      <w:rPr>
        <w:rFonts w:ascii="Wingdings" w:hAnsi="Wingdings" w:hint="default"/>
      </w:rPr>
    </w:lvl>
    <w:lvl w:ilvl="3">
      <w:start w:val="1"/>
      <w:numFmt w:val="bullet"/>
      <w:lvlText w:val=""/>
      <w:lvlJc w:val="left"/>
      <w:pPr>
        <w:ind w:left="2880" w:hanging="360"/>
      </w:pPr>
      <w:rPr>
        <w:rFonts w:ascii="Symbol" w:hAnsi="Symbol" w:hint="default"/>
      </w:rPr>
    </w:lvl>
    <w:lvl w:ilvl="4">
      <w:start w:val="1"/>
      <w:numFmt w:val="bullet"/>
      <w:lvlText w:val="o"/>
      <w:lvlJc w:val="left"/>
      <w:pPr>
        <w:ind w:left="3600" w:hanging="360"/>
      </w:pPr>
      <w:rPr>
        <w:rFonts w:ascii="Courier New" w:hAnsi="Courier New" w:cs="Courier New" w:hint="default"/>
      </w:rPr>
    </w:lvl>
    <w:lvl w:ilvl="5">
      <w:start w:val="1"/>
      <w:numFmt w:val="bullet"/>
      <w:lvlText w:val=""/>
      <w:lvlJc w:val="left"/>
      <w:pPr>
        <w:ind w:left="4320" w:hanging="360"/>
      </w:pPr>
      <w:rPr>
        <w:rFonts w:ascii="Wingdings" w:hAnsi="Wingdings" w:hint="default"/>
      </w:rPr>
    </w:lvl>
    <w:lvl w:ilvl="6">
      <w:start w:val="1"/>
      <w:numFmt w:val="bullet"/>
      <w:lvlText w:val=""/>
      <w:lvlJc w:val="left"/>
      <w:pPr>
        <w:ind w:left="5040" w:hanging="360"/>
      </w:pPr>
      <w:rPr>
        <w:rFonts w:ascii="Symbol" w:hAnsi="Symbol" w:hint="default"/>
      </w:rPr>
    </w:lvl>
    <w:lvl w:ilvl="7">
      <w:start w:val="1"/>
      <w:numFmt w:val="bullet"/>
      <w:lvlText w:val="o"/>
      <w:lvlJc w:val="left"/>
      <w:pPr>
        <w:ind w:left="5760" w:hanging="360"/>
      </w:pPr>
      <w:rPr>
        <w:rFonts w:ascii="Courier New" w:hAnsi="Courier New" w:cs="Courier New" w:hint="default"/>
      </w:rPr>
    </w:lvl>
    <w:lvl w:ilvl="8">
      <w:start w:val="1"/>
      <w:numFmt w:val="bullet"/>
      <w:lvlText w:val=""/>
      <w:lvlJc w:val="left"/>
      <w:pPr>
        <w:ind w:left="6480" w:hanging="360"/>
      </w:pPr>
      <w:rPr>
        <w:rFonts w:ascii="Wingdings" w:hAnsi="Wingdings" w:hint="default"/>
      </w:rPr>
    </w:lvl>
  </w:abstractNum>
  <w:num w:numId="1" w16cid:durableId="1781755304">
    <w:abstractNumId w:val="1"/>
  </w:num>
  <w:num w:numId="2" w16cid:durableId="2065831278">
    <w:abstractNumId w:val="2"/>
  </w:num>
  <w:num w:numId="3" w16cid:durableId="82466548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A231E"/>
    <w:rsid w:val="00317E05"/>
    <w:rsid w:val="00412291"/>
    <w:rsid w:val="005A2E99"/>
    <w:rsid w:val="0067240C"/>
    <w:rsid w:val="00691C4B"/>
    <w:rsid w:val="006D77AB"/>
    <w:rsid w:val="0070793F"/>
    <w:rsid w:val="007972A4"/>
    <w:rsid w:val="00A41941"/>
    <w:rsid w:val="00CA231E"/>
    <w:rsid w:val="00D41B3C"/>
    <w:rsid w:val="00F80E2D"/>
    <w:rsid w:val="00FE1B8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F8B5310"/>
  <w15:chartTrackingRefBased/>
  <w15:docId w15:val="{29F861D6-2A67-42AA-950E-FCE47BD4326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Arial"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91C4B"/>
    <w:pPr>
      <w:spacing w:after="0" w:line="360" w:lineRule="auto"/>
      <w:jc w:val="both"/>
    </w:pPr>
    <w:rPr>
      <w:rFonts w:ascii="Times New Roman" w:eastAsia="Times New Roman" w:hAnsi="Times New Roman" w:cs="Times New Roman"/>
      <w:color w:val="222222"/>
      <w:sz w:val="24"/>
      <w:szCs w:val="24"/>
      <w:lang w:eastAsia="en-GB"/>
    </w:rPr>
  </w:style>
  <w:style w:type="paragraph" w:styleId="Heading1">
    <w:name w:val="heading 1"/>
    <w:basedOn w:val="Normal"/>
    <w:next w:val="Normal"/>
    <w:link w:val="Heading1Char"/>
    <w:autoRedefine/>
    <w:uiPriority w:val="9"/>
    <w:qFormat/>
    <w:rsid w:val="00F80E2D"/>
    <w:pPr>
      <w:keepNext/>
      <w:keepLines/>
      <w:spacing w:before="240"/>
      <w:outlineLvl w:val="0"/>
    </w:pPr>
    <w:rPr>
      <w:rFonts w:eastAsiaTheme="majorEastAsia" w:cstheme="majorBidi"/>
      <w:b/>
      <w:sz w:val="28"/>
      <w:szCs w:val="40"/>
      <w:lang w:bidi="bn-IN"/>
    </w:rPr>
  </w:style>
  <w:style w:type="paragraph" w:styleId="Heading2">
    <w:name w:val="heading 2"/>
    <w:basedOn w:val="Normal"/>
    <w:next w:val="Normal"/>
    <w:link w:val="Heading2Char"/>
    <w:uiPriority w:val="9"/>
    <w:unhideWhenUsed/>
    <w:qFormat/>
    <w:rsid w:val="00F80E2D"/>
    <w:pPr>
      <w:keepNext/>
      <w:keepLines/>
      <w:spacing w:before="40"/>
      <w:outlineLvl w:val="1"/>
    </w:pPr>
    <w:rPr>
      <w:rFonts w:eastAsiaTheme="majorEastAsia" w:cstheme="majorBidi"/>
      <w:b/>
      <w:sz w:val="26"/>
      <w:szCs w:val="33"/>
      <w:lang w:bidi="bn-IN"/>
    </w:rPr>
  </w:style>
  <w:style w:type="paragraph" w:styleId="Heading3">
    <w:name w:val="heading 3"/>
    <w:basedOn w:val="Normal"/>
    <w:next w:val="Normal"/>
    <w:link w:val="Heading3Char"/>
    <w:uiPriority w:val="9"/>
    <w:semiHidden/>
    <w:unhideWhenUsed/>
    <w:qFormat/>
    <w:rsid w:val="00CA231E"/>
    <w:pPr>
      <w:keepNext/>
      <w:keepLines/>
      <w:spacing w:before="160" w:after="80"/>
      <w:outlineLvl w:val="2"/>
    </w:pPr>
    <w:rPr>
      <w:rFonts w:asciiTheme="minorHAnsi" w:eastAsiaTheme="majorEastAsia" w:hAnsiTheme="minorHAnsi" w:cstheme="majorBidi"/>
      <w:color w:val="2E74B5" w:themeColor="accent1" w:themeShade="BF"/>
      <w:sz w:val="28"/>
      <w:szCs w:val="28"/>
    </w:rPr>
  </w:style>
  <w:style w:type="paragraph" w:styleId="Heading4">
    <w:name w:val="heading 4"/>
    <w:basedOn w:val="Normal"/>
    <w:next w:val="Normal"/>
    <w:link w:val="Heading4Char"/>
    <w:uiPriority w:val="9"/>
    <w:semiHidden/>
    <w:unhideWhenUsed/>
    <w:qFormat/>
    <w:rsid w:val="00CA231E"/>
    <w:pPr>
      <w:keepNext/>
      <w:keepLines/>
      <w:spacing w:before="80" w:after="40"/>
      <w:outlineLvl w:val="3"/>
    </w:pPr>
    <w:rPr>
      <w:rFonts w:asciiTheme="minorHAnsi" w:eastAsiaTheme="majorEastAsia" w:hAnsiTheme="minorHAnsi" w:cstheme="majorBidi"/>
      <w:i/>
      <w:iCs/>
      <w:color w:val="2E74B5" w:themeColor="accent1" w:themeShade="BF"/>
    </w:rPr>
  </w:style>
  <w:style w:type="paragraph" w:styleId="Heading5">
    <w:name w:val="heading 5"/>
    <w:basedOn w:val="Normal"/>
    <w:next w:val="Normal"/>
    <w:link w:val="Heading5Char"/>
    <w:uiPriority w:val="9"/>
    <w:semiHidden/>
    <w:unhideWhenUsed/>
    <w:qFormat/>
    <w:rsid w:val="00CA231E"/>
    <w:pPr>
      <w:keepNext/>
      <w:keepLines/>
      <w:spacing w:before="80" w:after="40"/>
      <w:outlineLvl w:val="4"/>
    </w:pPr>
    <w:rPr>
      <w:rFonts w:asciiTheme="minorHAnsi" w:eastAsiaTheme="majorEastAsia" w:hAnsiTheme="minorHAnsi" w:cstheme="majorBidi"/>
      <w:color w:val="2E74B5" w:themeColor="accent1" w:themeShade="BF"/>
    </w:rPr>
  </w:style>
  <w:style w:type="paragraph" w:styleId="Heading6">
    <w:name w:val="heading 6"/>
    <w:basedOn w:val="Normal"/>
    <w:next w:val="Normal"/>
    <w:link w:val="Heading6Char"/>
    <w:uiPriority w:val="9"/>
    <w:semiHidden/>
    <w:unhideWhenUsed/>
    <w:qFormat/>
    <w:rsid w:val="00CA231E"/>
    <w:pPr>
      <w:keepNext/>
      <w:keepLines/>
      <w:spacing w:before="40"/>
      <w:outlineLvl w:val="5"/>
    </w:pPr>
    <w:rPr>
      <w:rFonts w:asciiTheme="minorHAnsi" w:eastAsiaTheme="majorEastAsia" w:hAnsiTheme="minorHAnsi" w:cstheme="majorBidi"/>
      <w:i/>
      <w:iCs/>
      <w:color w:val="595959" w:themeColor="text1" w:themeTint="A6"/>
    </w:rPr>
  </w:style>
  <w:style w:type="paragraph" w:styleId="Heading7">
    <w:name w:val="heading 7"/>
    <w:basedOn w:val="Normal"/>
    <w:next w:val="Normal"/>
    <w:link w:val="Heading7Char"/>
    <w:uiPriority w:val="9"/>
    <w:semiHidden/>
    <w:unhideWhenUsed/>
    <w:qFormat/>
    <w:rsid w:val="00CA231E"/>
    <w:pPr>
      <w:keepNext/>
      <w:keepLines/>
      <w:spacing w:before="40"/>
      <w:outlineLvl w:val="6"/>
    </w:pPr>
    <w:rPr>
      <w:rFonts w:asciiTheme="minorHAnsi" w:eastAsiaTheme="majorEastAsia" w:hAnsiTheme="minorHAnsi" w:cstheme="majorBidi"/>
      <w:color w:val="595959" w:themeColor="text1" w:themeTint="A6"/>
    </w:rPr>
  </w:style>
  <w:style w:type="paragraph" w:styleId="Heading8">
    <w:name w:val="heading 8"/>
    <w:basedOn w:val="Normal"/>
    <w:next w:val="Normal"/>
    <w:link w:val="Heading8Char"/>
    <w:uiPriority w:val="9"/>
    <w:semiHidden/>
    <w:unhideWhenUsed/>
    <w:qFormat/>
    <w:rsid w:val="00CA231E"/>
    <w:pPr>
      <w:keepNext/>
      <w:keepLines/>
      <w:outlineLvl w:val="7"/>
    </w:pPr>
    <w:rPr>
      <w:rFonts w:asciiTheme="minorHAnsi" w:eastAsiaTheme="majorEastAsia" w:hAnsiTheme="minorHAnsi" w:cstheme="majorBidi"/>
      <w:i/>
      <w:iCs/>
      <w:color w:val="272727" w:themeColor="text1" w:themeTint="D8"/>
    </w:rPr>
  </w:style>
  <w:style w:type="paragraph" w:styleId="Heading9">
    <w:name w:val="heading 9"/>
    <w:basedOn w:val="Normal"/>
    <w:next w:val="Normal"/>
    <w:link w:val="Heading9Char"/>
    <w:uiPriority w:val="9"/>
    <w:semiHidden/>
    <w:unhideWhenUsed/>
    <w:qFormat/>
    <w:rsid w:val="00CA231E"/>
    <w:pPr>
      <w:keepNext/>
      <w:keepLines/>
      <w:outlineLvl w:val="8"/>
    </w:pPr>
    <w:rPr>
      <w:rFonts w:asciiTheme="minorHAnsi" w:eastAsiaTheme="majorEastAsia" w:hAnsiTheme="minorHAnsi"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80E2D"/>
    <w:rPr>
      <w:rFonts w:ascii="Arial" w:eastAsiaTheme="majorEastAsia" w:hAnsi="Arial" w:cstheme="majorBidi"/>
      <w:b/>
      <w:sz w:val="28"/>
      <w:szCs w:val="40"/>
      <w:lang w:eastAsia="en-GB" w:bidi="bn-IN"/>
    </w:rPr>
  </w:style>
  <w:style w:type="character" w:customStyle="1" w:styleId="Heading2Char">
    <w:name w:val="Heading 2 Char"/>
    <w:basedOn w:val="DefaultParagraphFont"/>
    <w:link w:val="Heading2"/>
    <w:uiPriority w:val="9"/>
    <w:semiHidden/>
    <w:rsid w:val="00F80E2D"/>
    <w:rPr>
      <w:rFonts w:ascii="Arial" w:eastAsiaTheme="majorEastAsia" w:hAnsi="Arial" w:cstheme="majorBidi"/>
      <w:b/>
      <w:sz w:val="26"/>
      <w:szCs w:val="33"/>
      <w:lang w:eastAsia="en-GB" w:bidi="bn-IN"/>
    </w:rPr>
  </w:style>
  <w:style w:type="character" w:customStyle="1" w:styleId="Heading3Char">
    <w:name w:val="Heading 3 Char"/>
    <w:basedOn w:val="DefaultParagraphFont"/>
    <w:link w:val="Heading3"/>
    <w:uiPriority w:val="9"/>
    <w:semiHidden/>
    <w:rsid w:val="00CA231E"/>
    <w:rPr>
      <w:rFonts w:eastAsiaTheme="majorEastAsia" w:cstheme="majorBidi"/>
      <w:color w:val="2E74B5" w:themeColor="accent1" w:themeShade="BF"/>
      <w:sz w:val="28"/>
      <w:szCs w:val="28"/>
      <w:lang w:eastAsia="en-GB"/>
    </w:rPr>
  </w:style>
  <w:style w:type="character" w:customStyle="1" w:styleId="Heading4Char">
    <w:name w:val="Heading 4 Char"/>
    <w:basedOn w:val="DefaultParagraphFont"/>
    <w:link w:val="Heading4"/>
    <w:uiPriority w:val="9"/>
    <w:semiHidden/>
    <w:rsid w:val="00CA231E"/>
    <w:rPr>
      <w:rFonts w:eastAsiaTheme="majorEastAsia" w:cstheme="majorBidi"/>
      <w:i/>
      <w:iCs/>
      <w:color w:val="2E74B5" w:themeColor="accent1" w:themeShade="BF"/>
      <w:sz w:val="24"/>
      <w:lang w:eastAsia="en-GB"/>
    </w:rPr>
  </w:style>
  <w:style w:type="character" w:customStyle="1" w:styleId="Heading5Char">
    <w:name w:val="Heading 5 Char"/>
    <w:basedOn w:val="DefaultParagraphFont"/>
    <w:link w:val="Heading5"/>
    <w:uiPriority w:val="9"/>
    <w:semiHidden/>
    <w:rsid w:val="00CA231E"/>
    <w:rPr>
      <w:rFonts w:eastAsiaTheme="majorEastAsia" w:cstheme="majorBidi"/>
      <w:color w:val="2E74B5" w:themeColor="accent1" w:themeShade="BF"/>
      <w:sz w:val="24"/>
      <w:lang w:eastAsia="en-GB"/>
    </w:rPr>
  </w:style>
  <w:style w:type="character" w:customStyle="1" w:styleId="Heading6Char">
    <w:name w:val="Heading 6 Char"/>
    <w:basedOn w:val="DefaultParagraphFont"/>
    <w:link w:val="Heading6"/>
    <w:uiPriority w:val="9"/>
    <w:semiHidden/>
    <w:rsid w:val="00CA231E"/>
    <w:rPr>
      <w:rFonts w:eastAsiaTheme="majorEastAsia" w:cstheme="majorBidi"/>
      <w:i/>
      <w:iCs/>
      <w:color w:val="595959" w:themeColor="text1" w:themeTint="A6"/>
      <w:sz w:val="24"/>
      <w:lang w:eastAsia="en-GB"/>
    </w:rPr>
  </w:style>
  <w:style w:type="character" w:customStyle="1" w:styleId="Heading7Char">
    <w:name w:val="Heading 7 Char"/>
    <w:basedOn w:val="DefaultParagraphFont"/>
    <w:link w:val="Heading7"/>
    <w:uiPriority w:val="9"/>
    <w:semiHidden/>
    <w:rsid w:val="00CA231E"/>
    <w:rPr>
      <w:rFonts w:eastAsiaTheme="majorEastAsia" w:cstheme="majorBidi"/>
      <w:color w:val="595959" w:themeColor="text1" w:themeTint="A6"/>
      <w:sz w:val="24"/>
      <w:lang w:eastAsia="en-GB"/>
    </w:rPr>
  </w:style>
  <w:style w:type="character" w:customStyle="1" w:styleId="Heading8Char">
    <w:name w:val="Heading 8 Char"/>
    <w:basedOn w:val="DefaultParagraphFont"/>
    <w:link w:val="Heading8"/>
    <w:uiPriority w:val="9"/>
    <w:semiHidden/>
    <w:rsid w:val="00CA231E"/>
    <w:rPr>
      <w:rFonts w:eastAsiaTheme="majorEastAsia" w:cstheme="majorBidi"/>
      <w:i/>
      <w:iCs/>
      <w:color w:val="272727" w:themeColor="text1" w:themeTint="D8"/>
      <w:sz w:val="24"/>
      <w:lang w:eastAsia="en-GB"/>
    </w:rPr>
  </w:style>
  <w:style w:type="character" w:customStyle="1" w:styleId="Heading9Char">
    <w:name w:val="Heading 9 Char"/>
    <w:basedOn w:val="DefaultParagraphFont"/>
    <w:link w:val="Heading9"/>
    <w:uiPriority w:val="9"/>
    <w:semiHidden/>
    <w:rsid w:val="00CA231E"/>
    <w:rPr>
      <w:rFonts w:eastAsiaTheme="majorEastAsia" w:cstheme="majorBidi"/>
      <w:color w:val="272727" w:themeColor="text1" w:themeTint="D8"/>
      <w:sz w:val="24"/>
      <w:lang w:eastAsia="en-GB"/>
    </w:rPr>
  </w:style>
  <w:style w:type="paragraph" w:styleId="Title">
    <w:name w:val="Title"/>
    <w:basedOn w:val="Normal"/>
    <w:next w:val="Normal"/>
    <w:link w:val="TitleChar"/>
    <w:uiPriority w:val="10"/>
    <w:qFormat/>
    <w:rsid w:val="00CA231E"/>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CA231E"/>
    <w:rPr>
      <w:rFonts w:asciiTheme="majorHAnsi" w:eastAsiaTheme="majorEastAsia" w:hAnsiTheme="majorHAnsi" w:cstheme="majorBidi"/>
      <w:spacing w:val="-10"/>
      <w:kern w:val="28"/>
      <w:sz w:val="56"/>
      <w:szCs w:val="56"/>
      <w:lang w:eastAsia="en-GB"/>
    </w:rPr>
  </w:style>
  <w:style w:type="paragraph" w:styleId="Subtitle">
    <w:name w:val="Subtitle"/>
    <w:basedOn w:val="Normal"/>
    <w:next w:val="Normal"/>
    <w:link w:val="SubtitleChar"/>
    <w:uiPriority w:val="11"/>
    <w:qFormat/>
    <w:rsid w:val="00CA231E"/>
    <w:pPr>
      <w:numPr>
        <w:ilvl w:val="1"/>
      </w:numPr>
      <w:spacing w:after="160"/>
    </w:pPr>
    <w:rPr>
      <w:rFonts w:asciiTheme="minorHAnsi" w:eastAsiaTheme="majorEastAsia" w:hAnsiTheme="minorHAnsi"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CA231E"/>
    <w:rPr>
      <w:rFonts w:eastAsiaTheme="majorEastAsia" w:cstheme="majorBidi"/>
      <w:color w:val="595959" w:themeColor="text1" w:themeTint="A6"/>
      <w:spacing w:val="15"/>
      <w:sz w:val="28"/>
      <w:szCs w:val="28"/>
      <w:lang w:eastAsia="en-GB"/>
    </w:rPr>
  </w:style>
  <w:style w:type="paragraph" w:styleId="Quote">
    <w:name w:val="Quote"/>
    <w:basedOn w:val="Normal"/>
    <w:next w:val="Normal"/>
    <w:link w:val="QuoteChar"/>
    <w:uiPriority w:val="29"/>
    <w:qFormat/>
    <w:rsid w:val="00CA231E"/>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CA231E"/>
    <w:rPr>
      <w:rFonts w:ascii="Arial" w:hAnsi="Arial" w:cs="Arial"/>
      <w:i/>
      <w:iCs/>
      <w:color w:val="404040" w:themeColor="text1" w:themeTint="BF"/>
      <w:sz w:val="24"/>
      <w:lang w:eastAsia="en-GB"/>
    </w:rPr>
  </w:style>
  <w:style w:type="paragraph" w:styleId="ListParagraph">
    <w:name w:val="List Paragraph"/>
    <w:basedOn w:val="Normal"/>
    <w:uiPriority w:val="34"/>
    <w:qFormat/>
    <w:rsid w:val="00CA231E"/>
    <w:pPr>
      <w:ind w:left="720"/>
      <w:contextualSpacing/>
    </w:pPr>
  </w:style>
  <w:style w:type="character" w:styleId="IntenseEmphasis">
    <w:name w:val="Intense Emphasis"/>
    <w:basedOn w:val="DefaultParagraphFont"/>
    <w:uiPriority w:val="21"/>
    <w:qFormat/>
    <w:rsid w:val="00CA231E"/>
    <w:rPr>
      <w:i/>
      <w:iCs/>
      <w:color w:val="2E74B5" w:themeColor="accent1" w:themeShade="BF"/>
    </w:rPr>
  </w:style>
  <w:style w:type="paragraph" w:styleId="IntenseQuote">
    <w:name w:val="Intense Quote"/>
    <w:basedOn w:val="Normal"/>
    <w:next w:val="Normal"/>
    <w:link w:val="IntenseQuoteChar"/>
    <w:uiPriority w:val="30"/>
    <w:qFormat/>
    <w:rsid w:val="00CA231E"/>
    <w:pPr>
      <w:pBdr>
        <w:top w:val="single" w:sz="4" w:space="10" w:color="2E74B5" w:themeColor="accent1" w:themeShade="BF"/>
        <w:bottom w:val="single" w:sz="4" w:space="10" w:color="2E74B5" w:themeColor="accent1" w:themeShade="BF"/>
      </w:pBdr>
      <w:spacing w:before="360" w:after="360"/>
      <w:ind w:left="864" w:right="864"/>
      <w:jc w:val="center"/>
    </w:pPr>
    <w:rPr>
      <w:i/>
      <w:iCs/>
      <w:color w:val="2E74B5" w:themeColor="accent1" w:themeShade="BF"/>
    </w:rPr>
  </w:style>
  <w:style w:type="character" w:customStyle="1" w:styleId="IntenseQuoteChar">
    <w:name w:val="Intense Quote Char"/>
    <w:basedOn w:val="DefaultParagraphFont"/>
    <w:link w:val="IntenseQuote"/>
    <w:uiPriority w:val="30"/>
    <w:rsid w:val="00CA231E"/>
    <w:rPr>
      <w:rFonts w:ascii="Arial" w:hAnsi="Arial" w:cs="Arial"/>
      <w:i/>
      <w:iCs/>
      <w:color w:val="2E74B5" w:themeColor="accent1" w:themeShade="BF"/>
      <w:sz w:val="24"/>
      <w:lang w:eastAsia="en-GB"/>
    </w:rPr>
  </w:style>
  <w:style w:type="character" w:styleId="IntenseReference">
    <w:name w:val="Intense Reference"/>
    <w:basedOn w:val="DefaultParagraphFont"/>
    <w:uiPriority w:val="32"/>
    <w:qFormat/>
    <w:rsid w:val="00CA231E"/>
    <w:rPr>
      <w:b/>
      <w:bCs/>
      <w:smallCaps/>
      <w:color w:val="2E74B5" w:themeColor="accent1" w:themeShade="BF"/>
      <w:spacing w:val="5"/>
    </w:rPr>
  </w:style>
  <w:style w:type="character" w:styleId="Hyperlink">
    <w:name w:val="Hyperlink"/>
    <w:basedOn w:val="DefaultParagraphFont"/>
    <w:uiPriority w:val="99"/>
    <w:unhideWhenUsed/>
    <w:rsid w:val="00691C4B"/>
    <w:rPr>
      <w:color w:val="0563C1" w:themeColor="hyperlink"/>
      <w:u w:val="single"/>
    </w:rPr>
  </w:style>
  <w:style w:type="character" w:styleId="UnresolvedMention">
    <w:name w:val="Unresolved Mention"/>
    <w:basedOn w:val="DefaultParagraphFont"/>
    <w:uiPriority w:val="99"/>
    <w:semiHidden/>
    <w:unhideWhenUsed/>
    <w:rsid w:val="006D77AB"/>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doi.org/10.17265/1548-6583/2019.06.001" TargetMode="External"/><Relationship Id="rId18" Type="http://schemas.openxmlformats.org/officeDocument/2006/relationships/hyperlink" Target="https://doi.org/10.1177/16094069231180160" TargetMode="External"/><Relationship Id="rId26" Type="http://schemas.openxmlformats.org/officeDocument/2006/relationships/hyperlink" Target="https://doi.org/10.1007/s10690-023-09406-x" TargetMode="External"/><Relationship Id="rId3" Type="http://schemas.openxmlformats.org/officeDocument/2006/relationships/settings" Target="settings.xml"/><Relationship Id="rId21" Type="http://schemas.openxmlformats.org/officeDocument/2006/relationships/hyperlink" Target="https://dovetail.com/research/explanatory-research/" TargetMode="External"/><Relationship Id="rId34" Type="http://schemas.openxmlformats.org/officeDocument/2006/relationships/fontTable" Target="fontTable.xml"/><Relationship Id="rId7" Type="http://schemas.openxmlformats.org/officeDocument/2006/relationships/image" Target="media/image1.png"/><Relationship Id="rId12" Type="http://schemas.openxmlformats.org/officeDocument/2006/relationships/hyperlink" Target="https://doi.org/10.3390/su16135469" TargetMode="External"/><Relationship Id="rId17" Type="http://schemas.openxmlformats.org/officeDocument/2006/relationships/hyperlink" Target="https://doi.org/10.1080/19460171.2012.689739" TargetMode="External"/><Relationship Id="rId25" Type="http://schemas.openxmlformats.org/officeDocument/2006/relationships/hyperlink" Target="https://doi.org/10.4324/9781003517894" TargetMode="External"/><Relationship Id="rId33" Type="http://schemas.openxmlformats.org/officeDocument/2006/relationships/footer" Target="footer1.xml"/><Relationship Id="rId2" Type="http://schemas.openxmlformats.org/officeDocument/2006/relationships/styles" Target="styles.xml"/><Relationship Id="rId16" Type="http://schemas.openxmlformats.org/officeDocument/2006/relationships/hyperlink" Target="https://doi.org/10.1080/23322039.2020.1862446" TargetMode="External"/><Relationship Id="rId20" Type="http://schemas.openxmlformats.org/officeDocument/2006/relationships/hyperlink" Target="https://doi.org/10.1108/mf-10-2019-0522" TargetMode="External"/><Relationship Id="rId29" Type="http://schemas.openxmlformats.org/officeDocument/2006/relationships/hyperlink" Target="https://doi.org/10.18231/j.jmra.2021.027"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doi.org/10.1108/15265940510633505" TargetMode="External"/><Relationship Id="rId24" Type="http://schemas.openxmlformats.org/officeDocument/2006/relationships/hyperlink" Target="https://www.researchgate.net/publication/376991073_An_Investigation_of_the_Validity_of_Trade-off_and_Pecking_Order_Theories_in_Capital_Structure_Decisions_of_Sustainable_Firms" TargetMode="External"/><Relationship Id="rId32" Type="http://schemas.openxmlformats.org/officeDocument/2006/relationships/hyperlink" Target="https://www.researchgate.net/publication/228620846_A_General_Inductive_Approach_for_Qualitative_Data_Analysis" TargetMode="External"/><Relationship Id="rId5" Type="http://schemas.openxmlformats.org/officeDocument/2006/relationships/footnotes" Target="footnotes.xml"/><Relationship Id="rId15" Type="http://schemas.openxmlformats.org/officeDocument/2006/relationships/hyperlink" Target="https://collegehive.in/docs/2nd_sem/site/FM/Unit-3%20Capital%20Structure/3.5%20determinants%20of%20capital%20structure.html" TargetMode="External"/><Relationship Id="rId23" Type="http://schemas.openxmlformats.org/officeDocument/2006/relationships/hyperlink" Target="https://papers.ssrn.com/sol3/papers.cfm?abstract_id=567650" TargetMode="External"/><Relationship Id="rId28" Type="http://schemas.openxmlformats.org/officeDocument/2006/relationships/hyperlink" Target="https://doi.org/10.1177/16094069231205789" TargetMode="External"/><Relationship Id="rId10" Type="http://schemas.openxmlformats.org/officeDocument/2006/relationships/image" Target="media/image4.png"/><Relationship Id="rId19" Type="http://schemas.openxmlformats.org/officeDocument/2006/relationships/hyperlink" Target="https://dovetail.com/research/ethical-considerations-in-research/" TargetMode="External"/><Relationship Id="rId31" Type="http://schemas.openxmlformats.org/officeDocument/2006/relationships/hyperlink" Target="https://doi.org/10.5539/ijef.v14n6p77" TargetMode="Externa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hyperlink" Target="https://doi.org/10.1016/j.bir.2022.11.006" TargetMode="External"/><Relationship Id="rId22" Type="http://schemas.openxmlformats.org/officeDocument/2006/relationships/hyperlink" Target="https://doi.org/10.1007/s11156-024-01365-2" TargetMode="External"/><Relationship Id="rId27" Type="http://schemas.openxmlformats.org/officeDocument/2006/relationships/hyperlink" Target="https://doi.org/10.3390/su14010572" TargetMode="External"/><Relationship Id="rId30" Type="http://schemas.openxmlformats.org/officeDocument/2006/relationships/hyperlink" Target="https://doi.org/10.1108/srj-06-2023-0321" TargetMode="External"/><Relationship Id="rId35" Type="http://schemas.openxmlformats.org/officeDocument/2006/relationships/theme" Target="theme/theme1.xml"/><Relationship Id="rId8"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41</TotalTime>
  <Pages>13</Pages>
  <Words>3712</Words>
  <Characters>21162</Characters>
  <Application>Microsoft Office Word</Application>
  <DocSecurity>0</DocSecurity>
  <Lines>176</Lines>
  <Paragraphs>49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24825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Syed Shah Akibul Hussain (2427122)</dc:creator>
  <cp:keywords/>
  <dc:description/>
  <cp:lastModifiedBy>Syed Shah Akibul Hussain (2427122)</cp:lastModifiedBy>
  <cp:revision>3</cp:revision>
  <dcterms:created xsi:type="dcterms:W3CDTF">2025-11-13T15:35:00Z</dcterms:created>
  <dcterms:modified xsi:type="dcterms:W3CDTF">2025-11-14T11:57:00Z</dcterms:modified>
</cp:coreProperties>
</file>