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DBCC61" w14:textId="5EA35A99" w:rsidR="000001A3" w:rsidRPr="000001A3" w:rsidRDefault="00CA1212" w:rsidP="003F674E">
      <w:pPr>
        <w:spacing w:line="360" w:lineRule="auto"/>
        <w:jc w:val="center"/>
        <w:rPr>
          <w:rFonts w:ascii="Arial" w:hAnsi="Arial" w:cs="Arial"/>
          <w:b/>
          <w:bCs/>
        </w:rPr>
      </w:pPr>
      <w:r w:rsidRPr="000001A3">
        <w:rPr>
          <w:rFonts w:ascii="Arial" w:hAnsi="Arial" w:cs="Arial"/>
          <w:b/>
          <w:bCs/>
        </w:rPr>
        <w:t>A Report on the Marketing Environment Analysis: Pioneering and Follower Organisations in the Automotive Industry</w:t>
      </w:r>
    </w:p>
    <w:p w14:paraId="56397BC8" w14:textId="77777777" w:rsidR="007631C4" w:rsidRDefault="000001A3" w:rsidP="00871159">
      <w:pPr>
        <w:jc w:val="center"/>
      </w:pPr>
      <w:r w:rsidRPr="000001A3">
        <w:rPr>
          <w:rFonts w:ascii="Arial" w:hAnsi="Arial" w:cs="Arial"/>
          <w:b/>
          <w:bCs/>
        </w:rPr>
        <w:br w:type="page"/>
      </w:r>
      <w:r w:rsidR="007631C4">
        <w:rPr>
          <w:noProof/>
        </w:rPr>
        <w:lastRenderedPageBreak/>
        <w:drawing>
          <wp:inline distT="0" distB="0" distL="0" distR="0" wp14:anchorId="3C9C050B" wp14:editId="487A3C88">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p>
    <w:p w14:paraId="764E7B7F" w14:textId="77777777" w:rsidR="007631C4" w:rsidRDefault="007631C4" w:rsidP="00871159">
      <w:pPr>
        <w:jc w:val="both"/>
      </w:pPr>
    </w:p>
    <w:p w14:paraId="3BE4C128" w14:textId="77777777" w:rsidR="007631C4" w:rsidRDefault="007631C4" w:rsidP="00871159">
      <w:pPr>
        <w:jc w:val="both"/>
      </w:pPr>
    </w:p>
    <w:p w14:paraId="51D2E57C" w14:textId="77777777" w:rsidR="007631C4" w:rsidRDefault="007631C4" w:rsidP="00871159">
      <w:pPr>
        <w:jc w:val="both"/>
      </w:pPr>
    </w:p>
    <w:p w14:paraId="22BAAA9A" w14:textId="77777777" w:rsidR="007631C4" w:rsidRDefault="007631C4" w:rsidP="00871159">
      <w:pPr>
        <w:jc w:val="center"/>
        <w:rPr>
          <w:rFonts w:ascii="Arial" w:hAnsi="Arial" w:cs="Arial"/>
          <w:b/>
          <w:bCs/>
        </w:rPr>
      </w:pPr>
      <w:r w:rsidRPr="00024C42">
        <w:rPr>
          <w:rFonts w:ascii="Arial" w:hAnsi="Arial" w:cs="Arial"/>
          <w:b/>
          <w:bCs/>
        </w:rPr>
        <w:t xml:space="preserve">Course Title: </w:t>
      </w:r>
      <w:r w:rsidRPr="00024C42">
        <w:rPr>
          <w:rFonts w:ascii="Arial" w:hAnsi="Arial" w:cs="Arial"/>
        </w:rPr>
        <w:t xml:space="preserve">MBA </w:t>
      </w:r>
      <w:r>
        <w:rPr>
          <w:rFonts w:ascii="Arial" w:hAnsi="Arial" w:cs="Arial"/>
        </w:rPr>
        <w:t>-</w:t>
      </w:r>
      <w:r w:rsidRPr="00024C42">
        <w:rPr>
          <w:rFonts w:ascii="Arial" w:hAnsi="Arial" w:cs="Arial"/>
        </w:rPr>
        <w:t xml:space="preserve"> International Business</w:t>
      </w:r>
    </w:p>
    <w:p w14:paraId="6E2FA6A4" w14:textId="77777777" w:rsidR="007631C4" w:rsidRPr="00646406" w:rsidRDefault="007631C4" w:rsidP="00871159">
      <w:pPr>
        <w:jc w:val="center"/>
        <w:rPr>
          <w:rFonts w:ascii="Arial" w:hAnsi="Arial" w:cs="Arial"/>
          <w:b/>
          <w:bCs/>
        </w:rPr>
      </w:pPr>
      <w:r w:rsidRPr="00646406">
        <w:rPr>
          <w:rFonts w:ascii="Arial" w:hAnsi="Arial" w:cs="Arial"/>
          <w:b/>
          <w:bCs/>
        </w:rPr>
        <w:t>Term 1</w:t>
      </w:r>
    </w:p>
    <w:p w14:paraId="3518D378" w14:textId="77777777" w:rsidR="007631C4" w:rsidRDefault="007631C4" w:rsidP="00871159">
      <w:pPr>
        <w:jc w:val="center"/>
        <w:rPr>
          <w:rFonts w:ascii="Arial" w:hAnsi="Arial" w:cs="Arial"/>
          <w:b/>
          <w:bCs/>
        </w:rPr>
      </w:pPr>
    </w:p>
    <w:p w14:paraId="14758008" w14:textId="77777777" w:rsidR="007631C4" w:rsidRDefault="007631C4" w:rsidP="00871159">
      <w:pPr>
        <w:jc w:val="center"/>
        <w:rPr>
          <w:rFonts w:ascii="Arial" w:hAnsi="Arial" w:cs="Arial"/>
          <w:b/>
          <w:bCs/>
        </w:rPr>
      </w:pPr>
    </w:p>
    <w:p w14:paraId="7ABD79C9" w14:textId="77777777" w:rsidR="007631C4" w:rsidRDefault="007631C4" w:rsidP="00871159">
      <w:pPr>
        <w:jc w:val="center"/>
        <w:rPr>
          <w:rFonts w:ascii="Arial" w:hAnsi="Arial" w:cs="Arial"/>
          <w:b/>
          <w:bCs/>
        </w:rPr>
      </w:pPr>
    </w:p>
    <w:p w14:paraId="51F60DC7" w14:textId="4E3FAE8D" w:rsidR="007631C4" w:rsidRPr="00646406" w:rsidRDefault="007631C4" w:rsidP="00871159">
      <w:pPr>
        <w:jc w:val="center"/>
        <w:rPr>
          <w:rFonts w:ascii="Arial" w:hAnsi="Arial" w:cs="Arial"/>
          <w:b/>
          <w:bCs/>
        </w:rPr>
      </w:pPr>
      <w:r w:rsidRPr="00646406">
        <w:rPr>
          <w:rFonts w:ascii="Arial" w:hAnsi="Arial" w:cs="Arial"/>
          <w:b/>
          <w:bCs/>
        </w:rPr>
        <w:t>Student Name:</w:t>
      </w:r>
      <w:r>
        <w:rPr>
          <w:rFonts w:ascii="Arial" w:hAnsi="Arial" w:cs="Arial"/>
          <w:b/>
          <w:bCs/>
        </w:rPr>
        <w:t xml:space="preserve"> Maruf Usmanbhai Hilali</w:t>
      </w:r>
    </w:p>
    <w:p w14:paraId="677B6B93" w14:textId="4B83A69C" w:rsidR="007631C4" w:rsidRPr="00646406" w:rsidRDefault="007631C4" w:rsidP="00871159">
      <w:pPr>
        <w:jc w:val="center"/>
        <w:rPr>
          <w:rFonts w:ascii="Arial" w:hAnsi="Arial" w:cs="Arial"/>
          <w:b/>
          <w:bCs/>
        </w:rPr>
      </w:pPr>
      <w:r w:rsidRPr="00646406">
        <w:rPr>
          <w:rFonts w:ascii="Arial" w:hAnsi="Arial" w:cs="Arial"/>
          <w:b/>
          <w:bCs/>
        </w:rPr>
        <w:t>Student ID:</w:t>
      </w:r>
      <w:r>
        <w:rPr>
          <w:rFonts w:ascii="Arial" w:hAnsi="Arial" w:cs="Arial"/>
          <w:b/>
          <w:bCs/>
        </w:rPr>
        <w:t xml:space="preserve"> </w:t>
      </w:r>
      <w:r w:rsidR="00A0281A">
        <w:rPr>
          <w:rFonts w:ascii="Arial" w:hAnsi="Arial" w:cs="Arial"/>
          <w:b/>
          <w:bCs/>
        </w:rPr>
        <w:t>2509582</w:t>
      </w:r>
    </w:p>
    <w:p w14:paraId="04DACFE8" w14:textId="77777777" w:rsidR="007631C4" w:rsidRDefault="007631C4" w:rsidP="00871159">
      <w:pPr>
        <w:jc w:val="center"/>
        <w:rPr>
          <w:rFonts w:ascii="Arial" w:hAnsi="Arial" w:cs="Arial"/>
          <w:b/>
          <w:bCs/>
        </w:rPr>
      </w:pPr>
    </w:p>
    <w:p w14:paraId="5966A12A" w14:textId="77777777" w:rsidR="007631C4" w:rsidRDefault="007631C4" w:rsidP="00871159">
      <w:pPr>
        <w:jc w:val="center"/>
        <w:rPr>
          <w:rFonts w:ascii="Arial" w:hAnsi="Arial" w:cs="Arial"/>
          <w:b/>
          <w:bCs/>
        </w:rPr>
      </w:pPr>
    </w:p>
    <w:p w14:paraId="5141B6B4" w14:textId="77777777" w:rsidR="007631C4" w:rsidRPr="00646406" w:rsidRDefault="007631C4" w:rsidP="00871159">
      <w:pPr>
        <w:jc w:val="center"/>
        <w:rPr>
          <w:rFonts w:ascii="Arial" w:hAnsi="Arial" w:cs="Arial"/>
        </w:rPr>
      </w:pPr>
    </w:p>
    <w:p w14:paraId="610AE730" w14:textId="77777777" w:rsidR="007631C4" w:rsidRPr="00646406" w:rsidRDefault="007631C4" w:rsidP="00871159">
      <w:pPr>
        <w:jc w:val="center"/>
        <w:rPr>
          <w:rFonts w:ascii="Arial" w:hAnsi="Arial" w:cs="Arial"/>
          <w:b/>
          <w:bCs/>
        </w:rPr>
      </w:pPr>
      <w:r w:rsidRPr="00646406">
        <w:rPr>
          <w:rFonts w:ascii="Arial" w:hAnsi="Arial" w:cs="Arial"/>
          <w:b/>
          <w:bCs/>
        </w:rPr>
        <w:t xml:space="preserve">Module Name: </w:t>
      </w:r>
      <w:r w:rsidRPr="000E18FD">
        <w:rPr>
          <w:rFonts w:ascii="Arial" w:hAnsi="Arial" w:cs="Arial"/>
        </w:rPr>
        <w:t>Marketing Management</w:t>
      </w:r>
    </w:p>
    <w:p w14:paraId="7A54076F" w14:textId="77777777" w:rsidR="007631C4" w:rsidRPr="00421088" w:rsidRDefault="007631C4" w:rsidP="00871159">
      <w:pPr>
        <w:jc w:val="center"/>
        <w:rPr>
          <w:rFonts w:ascii="Arial" w:hAnsi="Arial" w:cs="Arial"/>
        </w:rPr>
      </w:pPr>
      <w:r w:rsidRPr="00646406">
        <w:rPr>
          <w:rFonts w:ascii="Arial" w:hAnsi="Arial" w:cs="Arial"/>
          <w:b/>
          <w:bCs/>
        </w:rPr>
        <w:t xml:space="preserve">Module Code: </w:t>
      </w:r>
      <w:r w:rsidRPr="000E18FD">
        <w:rPr>
          <w:rFonts w:ascii="Arial" w:hAnsi="Arial" w:cs="Arial"/>
        </w:rPr>
        <w:t>LCMB7024</w:t>
      </w:r>
    </w:p>
    <w:p w14:paraId="04AE15DA" w14:textId="77777777" w:rsidR="007631C4" w:rsidRDefault="007631C4" w:rsidP="00871159">
      <w:pPr>
        <w:jc w:val="center"/>
        <w:rPr>
          <w:rFonts w:ascii="Arial" w:hAnsi="Arial" w:cs="Arial"/>
          <w:b/>
          <w:bCs/>
        </w:rPr>
      </w:pPr>
    </w:p>
    <w:p w14:paraId="25890EA9" w14:textId="77777777" w:rsidR="007631C4" w:rsidRDefault="007631C4" w:rsidP="00871159">
      <w:pPr>
        <w:jc w:val="center"/>
        <w:rPr>
          <w:rFonts w:ascii="Arial" w:hAnsi="Arial" w:cs="Arial"/>
          <w:b/>
          <w:bCs/>
        </w:rPr>
      </w:pPr>
    </w:p>
    <w:p w14:paraId="1604214B" w14:textId="77777777" w:rsidR="007631C4" w:rsidRPr="00646406" w:rsidRDefault="007631C4" w:rsidP="00871159">
      <w:pPr>
        <w:jc w:val="center"/>
        <w:rPr>
          <w:rFonts w:ascii="Arial" w:hAnsi="Arial" w:cs="Arial"/>
          <w:b/>
          <w:bCs/>
        </w:rPr>
      </w:pPr>
    </w:p>
    <w:p w14:paraId="377E010E" w14:textId="77777777" w:rsidR="007631C4" w:rsidRPr="0021135E" w:rsidRDefault="007631C4" w:rsidP="00871159">
      <w:pPr>
        <w:jc w:val="center"/>
        <w:rPr>
          <w:rFonts w:ascii="Arial" w:hAnsi="Arial" w:cs="Arial"/>
        </w:rPr>
      </w:pPr>
      <w:r w:rsidRPr="00646406">
        <w:rPr>
          <w:rFonts w:ascii="Arial" w:hAnsi="Arial" w:cs="Arial"/>
          <w:b/>
          <w:bCs/>
        </w:rPr>
        <w:t>Lecturer’s Name:</w:t>
      </w:r>
      <w:r>
        <w:rPr>
          <w:rFonts w:ascii="Arial" w:hAnsi="Arial" w:cs="Arial"/>
          <w:b/>
          <w:bCs/>
        </w:rPr>
        <w:t xml:space="preserve"> </w:t>
      </w:r>
      <w:r w:rsidRPr="00BB6553">
        <w:rPr>
          <w:rFonts w:ascii="Arial" w:hAnsi="Arial" w:cs="Arial"/>
        </w:rPr>
        <w:t>Dr Laila Maazouz</w:t>
      </w:r>
    </w:p>
    <w:p w14:paraId="77FB4282" w14:textId="64E2EF33" w:rsidR="007631C4" w:rsidRPr="00A77816" w:rsidRDefault="007631C4" w:rsidP="00871159">
      <w:pPr>
        <w:jc w:val="center"/>
        <w:rPr>
          <w:rFonts w:ascii="Arial" w:hAnsi="Arial" w:cs="Arial"/>
        </w:rPr>
      </w:pPr>
      <w:r w:rsidRPr="00646406">
        <w:rPr>
          <w:rFonts w:ascii="Arial" w:hAnsi="Arial" w:cs="Arial"/>
          <w:b/>
          <w:bCs/>
        </w:rPr>
        <w:t>Wor</w:t>
      </w:r>
      <w:r>
        <w:rPr>
          <w:rFonts w:ascii="Arial" w:hAnsi="Arial" w:cs="Arial"/>
          <w:b/>
          <w:bCs/>
        </w:rPr>
        <w:t>d</w:t>
      </w:r>
      <w:r w:rsidRPr="00646406">
        <w:rPr>
          <w:rFonts w:ascii="Arial" w:hAnsi="Arial" w:cs="Arial"/>
          <w:b/>
          <w:bCs/>
        </w:rPr>
        <w:t xml:space="preserve"> Count:</w:t>
      </w:r>
      <w:r>
        <w:rPr>
          <w:rFonts w:ascii="Arial" w:hAnsi="Arial" w:cs="Arial"/>
          <w:b/>
          <w:bCs/>
        </w:rPr>
        <w:t xml:space="preserve"> </w:t>
      </w:r>
      <w:r w:rsidR="003853D0">
        <w:rPr>
          <w:rFonts w:ascii="Arial" w:hAnsi="Arial" w:cs="Arial"/>
          <w:b/>
          <w:bCs/>
        </w:rPr>
        <w:t>2</w:t>
      </w:r>
      <w:r w:rsidR="00241D28">
        <w:rPr>
          <w:rFonts w:ascii="Arial" w:hAnsi="Arial" w:cs="Arial"/>
          <w:b/>
          <w:bCs/>
        </w:rPr>
        <w:t>573</w:t>
      </w:r>
    </w:p>
    <w:p w14:paraId="7D337FEA" w14:textId="77777777" w:rsidR="007631C4" w:rsidRDefault="007631C4" w:rsidP="00871159">
      <w:pPr>
        <w:jc w:val="both"/>
        <w:rPr>
          <w:rFonts w:ascii="Arial" w:hAnsi="Arial" w:cs="Arial"/>
          <w:b/>
          <w:bCs/>
        </w:rPr>
      </w:pPr>
    </w:p>
    <w:p w14:paraId="3BBF3C9A" w14:textId="77777777" w:rsidR="007631C4" w:rsidRDefault="007631C4" w:rsidP="00871159">
      <w:pPr>
        <w:jc w:val="both"/>
        <w:rPr>
          <w:rFonts w:ascii="Arial" w:hAnsi="Arial" w:cs="Arial"/>
          <w:b/>
          <w:bCs/>
        </w:rPr>
      </w:pPr>
    </w:p>
    <w:p w14:paraId="3284BEE1" w14:textId="77777777" w:rsidR="007631C4" w:rsidRDefault="007631C4" w:rsidP="00871159">
      <w:pPr>
        <w:jc w:val="both"/>
        <w:rPr>
          <w:rFonts w:ascii="Arial" w:hAnsi="Arial" w:cs="Arial"/>
          <w:b/>
          <w:bCs/>
        </w:rPr>
      </w:pPr>
    </w:p>
    <w:p w14:paraId="299B9CE6" w14:textId="77777777" w:rsidR="007631C4" w:rsidRDefault="007631C4" w:rsidP="00871159">
      <w:pPr>
        <w:jc w:val="both"/>
        <w:rPr>
          <w:b/>
          <w:bCs/>
        </w:rPr>
      </w:pPr>
    </w:p>
    <w:p w14:paraId="51DEF141" w14:textId="77777777" w:rsidR="007631C4" w:rsidRDefault="007631C4" w:rsidP="00871159">
      <w:pPr>
        <w:jc w:val="both"/>
        <w:rPr>
          <w:b/>
          <w:bCs/>
        </w:rPr>
      </w:pPr>
    </w:p>
    <w:p w14:paraId="70DA3250" w14:textId="77777777" w:rsidR="007631C4" w:rsidRDefault="007631C4" w:rsidP="00871159">
      <w:pPr>
        <w:jc w:val="both"/>
        <w:rPr>
          <w:b/>
          <w:bCs/>
        </w:rPr>
      </w:pPr>
    </w:p>
    <w:p w14:paraId="7DC90FE2" w14:textId="77777777" w:rsidR="007631C4" w:rsidRDefault="007631C4" w:rsidP="00871159">
      <w:pPr>
        <w:jc w:val="both"/>
        <w:rPr>
          <w:b/>
          <w:bCs/>
        </w:rPr>
      </w:pPr>
    </w:p>
    <w:p w14:paraId="257355CD" w14:textId="77777777" w:rsidR="007631C4" w:rsidRDefault="007631C4" w:rsidP="00871159">
      <w:pPr>
        <w:jc w:val="both"/>
        <w:rPr>
          <w:b/>
          <w:bCs/>
        </w:rPr>
      </w:pPr>
    </w:p>
    <w:p w14:paraId="54AF6752" w14:textId="77777777" w:rsidR="007631C4" w:rsidRDefault="007631C4" w:rsidP="00871159">
      <w:pPr>
        <w:jc w:val="both"/>
        <w:rPr>
          <w:b/>
          <w:bCs/>
        </w:rPr>
      </w:pPr>
    </w:p>
    <w:p w14:paraId="681BAA6D" w14:textId="77777777" w:rsidR="007631C4" w:rsidRDefault="007631C4" w:rsidP="00871159">
      <w:pPr>
        <w:jc w:val="both"/>
        <w:rPr>
          <w:b/>
          <w:bCs/>
        </w:rPr>
      </w:pPr>
    </w:p>
    <w:p w14:paraId="0865F82F" w14:textId="77777777" w:rsidR="007631C4" w:rsidRDefault="007631C4" w:rsidP="00871159">
      <w:pPr>
        <w:jc w:val="both"/>
        <w:rPr>
          <w:b/>
          <w:bCs/>
        </w:rPr>
      </w:pPr>
    </w:p>
    <w:p w14:paraId="4AEEDBB8" w14:textId="77777777" w:rsidR="007631C4" w:rsidRDefault="007631C4" w:rsidP="00871159">
      <w:pPr>
        <w:jc w:val="both"/>
        <w:rPr>
          <w:b/>
          <w:bCs/>
        </w:rPr>
      </w:pPr>
    </w:p>
    <w:p w14:paraId="487007F9" w14:textId="77777777" w:rsidR="007631C4" w:rsidRDefault="007631C4" w:rsidP="00871159">
      <w:pPr>
        <w:jc w:val="both"/>
        <w:rPr>
          <w:b/>
          <w:bCs/>
        </w:rPr>
      </w:pPr>
    </w:p>
    <w:p w14:paraId="0CEEA50A" w14:textId="77777777" w:rsidR="007631C4" w:rsidRDefault="007631C4" w:rsidP="00871159">
      <w:pPr>
        <w:jc w:val="both"/>
        <w:rPr>
          <w:b/>
          <w:bCs/>
        </w:rPr>
      </w:pPr>
    </w:p>
    <w:p w14:paraId="3A3E3258" w14:textId="77777777" w:rsidR="007631C4" w:rsidRDefault="007631C4" w:rsidP="00871159">
      <w:pPr>
        <w:jc w:val="both"/>
        <w:rPr>
          <w:b/>
          <w:bCs/>
        </w:rPr>
      </w:pPr>
    </w:p>
    <w:p w14:paraId="7F1E3F45" w14:textId="77777777" w:rsidR="007631C4" w:rsidRDefault="007631C4" w:rsidP="00871159">
      <w:pPr>
        <w:jc w:val="both"/>
        <w:rPr>
          <w:b/>
          <w:bCs/>
        </w:rPr>
      </w:pPr>
    </w:p>
    <w:p w14:paraId="466E2A16" w14:textId="77777777" w:rsidR="007631C4" w:rsidRDefault="007631C4" w:rsidP="00871159">
      <w:pPr>
        <w:pStyle w:val="TOCHeading"/>
        <w:jc w:val="both"/>
      </w:pPr>
    </w:p>
    <w:p w14:paraId="0B5156C0" w14:textId="77777777" w:rsidR="007631C4" w:rsidRDefault="007631C4" w:rsidP="00871159">
      <w:pPr>
        <w:jc w:val="both"/>
      </w:pPr>
    </w:p>
    <w:p w14:paraId="3BD7821D" w14:textId="4A79C589" w:rsidR="000001A3" w:rsidRPr="000001A3" w:rsidRDefault="000001A3" w:rsidP="000001A3">
      <w:pPr>
        <w:spacing w:after="160" w:line="360" w:lineRule="auto"/>
        <w:jc w:val="both"/>
        <w:rPr>
          <w:rFonts w:ascii="Arial" w:hAnsi="Arial" w:cs="Arial"/>
          <w:b/>
          <w:bCs/>
        </w:rPr>
      </w:pPr>
    </w:p>
    <w:sdt>
      <w:sdtPr>
        <w:rPr>
          <w:rFonts w:ascii="Arial" w:eastAsia="Times New Roman" w:hAnsi="Arial" w:cs="Arial"/>
          <w:color w:val="auto"/>
          <w:sz w:val="24"/>
          <w:szCs w:val="24"/>
        </w:rPr>
        <w:id w:val="-395353338"/>
        <w:docPartObj>
          <w:docPartGallery w:val="Table of Contents"/>
          <w:docPartUnique/>
        </w:docPartObj>
      </w:sdtPr>
      <w:sdtEndPr>
        <w:rPr>
          <w:b/>
          <w:bCs/>
          <w:noProof/>
        </w:rPr>
      </w:sdtEndPr>
      <w:sdtContent>
        <w:p w14:paraId="0AC6CCF3" w14:textId="3A0F3386" w:rsidR="000001A3" w:rsidRPr="00F57AF4" w:rsidRDefault="000001A3" w:rsidP="00F57AF4">
          <w:pPr>
            <w:pStyle w:val="TOCHeading"/>
            <w:spacing w:line="360" w:lineRule="auto"/>
            <w:jc w:val="both"/>
            <w:rPr>
              <w:rFonts w:ascii="Arial" w:hAnsi="Arial" w:cs="Arial"/>
              <w:b/>
              <w:bCs/>
              <w:color w:val="000000" w:themeColor="text1"/>
              <w:sz w:val="24"/>
              <w:szCs w:val="24"/>
            </w:rPr>
          </w:pPr>
          <w:r w:rsidRPr="00F57AF4">
            <w:rPr>
              <w:rFonts w:ascii="Arial" w:hAnsi="Arial" w:cs="Arial"/>
              <w:b/>
              <w:bCs/>
              <w:color w:val="000000" w:themeColor="text1"/>
              <w:sz w:val="24"/>
              <w:szCs w:val="24"/>
            </w:rPr>
            <w:t>Table of Contents</w:t>
          </w:r>
        </w:p>
        <w:p w14:paraId="4727F089" w14:textId="0C5166F3" w:rsidR="00F57AF4" w:rsidRPr="00F57AF4" w:rsidRDefault="000001A3" w:rsidP="00F57AF4">
          <w:pPr>
            <w:pStyle w:val="TOC1"/>
            <w:tabs>
              <w:tab w:val="right" w:leader="dot" w:pos="9350"/>
            </w:tabs>
            <w:spacing w:line="360" w:lineRule="auto"/>
            <w:jc w:val="both"/>
            <w:rPr>
              <w:rFonts w:ascii="Arial" w:eastAsiaTheme="minorEastAsia" w:hAnsi="Arial" w:cs="Arial"/>
              <w:noProof/>
              <w:kern w:val="2"/>
              <w14:ligatures w14:val="standardContextual"/>
            </w:rPr>
          </w:pPr>
          <w:r w:rsidRPr="00F57AF4">
            <w:rPr>
              <w:rFonts w:ascii="Arial" w:hAnsi="Arial" w:cs="Arial"/>
            </w:rPr>
            <w:fldChar w:fldCharType="begin"/>
          </w:r>
          <w:r w:rsidRPr="00F57AF4">
            <w:rPr>
              <w:rFonts w:ascii="Arial" w:hAnsi="Arial" w:cs="Arial"/>
            </w:rPr>
            <w:instrText xml:space="preserve"> TOC \o "1-3" \h \z \u </w:instrText>
          </w:r>
          <w:r w:rsidRPr="00F57AF4">
            <w:rPr>
              <w:rFonts w:ascii="Arial" w:hAnsi="Arial" w:cs="Arial"/>
            </w:rPr>
            <w:fldChar w:fldCharType="separate"/>
          </w:r>
          <w:hyperlink w:anchor="_Toc214463207" w:history="1">
            <w:r w:rsidR="00F57AF4" w:rsidRPr="00F57AF4">
              <w:rPr>
                <w:rStyle w:val="Hyperlink"/>
                <w:rFonts w:ascii="Arial" w:hAnsi="Arial" w:cs="Arial"/>
                <w:noProof/>
                <w:lang w:bidi="th-TH"/>
              </w:rPr>
              <w:t>1. Introduction</w:t>
            </w:r>
            <w:r w:rsidR="00F57AF4" w:rsidRPr="00F57AF4">
              <w:rPr>
                <w:rFonts w:ascii="Arial" w:hAnsi="Arial" w:cs="Arial"/>
                <w:noProof/>
                <w:webHidden/>
              </w:rPr>
              <w:tab/>
            </w:r>
            <w:r w:rsidR="00F57AF4" w:rsidRPr="00F57AF4">
              <w:rPr>
                <w:rFonts w:ascii="Arial" w:hAnsi="Arial" w:cs="Arial"/>
                <w:noProof/>
                <w:webHidden/>
              </w:rPr>
              <w:fldChar w:fldCharType="begin"/>
            </w:r>
            <w:r w:rsidR="00F57AF4" w:rsidRPr="00F57AF4">
              <w:rPr>
                <w:rFonts w:ascii="Arial" w:hAnsi="Arial" w:cs="Arial"/>
                <w:noProof/>
                <w:webHidden/>
              </w:rPr>
              <w:instrText xml:space="preserve"> PAGEREF _Toc214463207 \h </w:instrText>
            </w:r>
            <w:r w:rsidR="00F57AF4" w:rsidRPr="00F57AF4">
              <w:rPr>
                <w:rFonts w:ascii="Arial" w:hAnsi="Arial" w:cs="Arial"/>
                <w:noProof/>
                <w:webHidden/>
              </w:rPr>
            </w:r>
            <w:r w:rsidR="00F57AF4" w:rsidRPr="00F57AF4">
              <w:rPr>
                <w:rFonts w:ascii="Arial" w:hAnsi="Arial" w:cs="Arial"/>
                <w:noProof/>
                <w:webHidden/>
              </w:rPr>
              <w:fldChar w:fldCharType="separate"/>
            </w:r>
            <w:r w:rsidR="00F57AF4" w:rsidRPr="00F57AF4">
              <w:rPr>
                <w:rFonts w:ascii="Arial" w:hAnsi="Arial" w:cs="Arial"/>
                <w:noProof/>
                <w:webHidden/>
              </w:rPr>
              <w:t>3</w:t>
            </w:r>
            <w:r w:rsidR="00F57AF4" w:rsidRPr="00F57AF4">
              <w:rPr>
                <w:rFonts w:ascii="Arial" w:hAnsi="Arial" w:cs="Arial"/>
                <w:noProof/>
                <w:webHidden/>
              </w:rPr>
              <w:fldChar w:fldCharType="end"/>
            </w:r>
          </w:hyperlink>
        </w:p>
        <w:p w14:paraId="624386BE" w14:textId="22A37284" w:rsidR="00F57AF4" w:rsidRPr="00F57AF4" w:rsidRDefault="00F57AF4" w:rsidP="00F57AF4">
          <w:pPr>
            <w:pStyle w:val="TOC1"/>
            <w:tabs>
              <w:tab w:val="right" w:leader="dot" w:pos="9350"/>
            </w:tabs>
            <w:spacing w:line="360" w:lineRule="auto"/>
            <w:jc w:val="both"/>
            <w:rPr>
              <w:rFonts w:ascii="Arial" w:eastAsiaTheme="minorEastAsia" w:hAnsi="Arial" w:cs="Arial"/>
              <w:noProof/>
              <w:kern w:val="2"/>
              <w14:ligatures w14:val="standardContextual"/>
            </w:rPr>
          </w:pPr>
          <w:hyperlink w:anchor="_Toc214463208" w:history="1">
            <w:r w:rsidRPr="00F57AF4">
              <w:rPr>
                <w:rStyle w:val="Hyperlink"/>
                <w:rFonts w:ascii="Arial" w:hAnsi="Arial" w:cs="Arial"/>
                <w:noProof/>
                <w:lang w:bidi="th-TH"/>
              </w:rPr>
              <w:t>2. Task 1: Critical Analysis of Macro Marketing Environment</w:t>
            </w:r>
            <w:r w:rsidRPr="00F57AF4">
              <w:rPr>
                <w:rFonts w:ascii="Arial" w:hAnsi="Arial" w:cs="Arial"/>
                <w:noProof/>
                <w:webHidden/>
              </w:rPr>
              <w:tab/>
            </w:r>
            <w:r w:rsidRPr="00F57AF4">
              <w:rPr>
                <w:rFonts w:ascii="Arial" w:hAnsi="Arial" w:cs="Arial"/>
                <w:noProof/>
                <w:webHidden/>
              </w:rPr>
              <w:fldChar w:fldCharType="begin"/>
            </w:r>
            <w:r w:rsidRPr="00F57AF4">
              <w:rPr>
                <w:rFonts w:ascii="Arial" w:hAnsi="Arial" w:cs="Arial"/>
                <w:noProof/>
                <w:webHidden/>
              </w:rPr>
              <w:instrText xml:space="preserve"> PAGEREF _Toc214463208 \h </w:instrText>
            </w:r>
            <w:r w:rsidRPr="00F57AF4">
              <w:rPr>
                <w:rFonts w:ascii="Arial" w:hAnsi="Arial" w:cs="Arial"/>
                <w:noProof/>
                <w:webHidden/>
              </w:rPr>
            </w:r>
            <w:r w:rsidRPr="00F57AF4">
              <w:rPr>
                <w:rFonts w:ascii="Arial" w:hAnsi="Arial" w:cs="Arial"/>
                <w:noProof/>
                <w:webHidden/>
              </w:rPr>
              <w:fldChar w:fldCharType="separate"/>
            </w:r>
            <w:r w:rsidRPr="00F57AF4">
              <w:rPr>
                <w:rFonts w:ascii="Arial" w:hAnsi="Arial" w:cs="Arial"/>
                <w:noProof/>
                <w:webHidden/>
              </w:rPr>
              <w:t>3</w:t>
            </w:r>
            <w:r w:rsidRPr="00F57AF4">
              <w:rPr>
                <w:rFonts w:ascii="Arial" w:hAnsi="Arial" w:cs="Arial"/>
                <w:noProof/>
                <w:webHidden/>
              </w:rPr>
              <w:fldChar w:fldCharType="end"/>
            </w:r>
          </w:hyperlink>
        </w:p>
        <w:p w14:paraId="53951218" w14:textId="33DE3C4E" w:rsidR="00F57AF4" w:rsidRPr="00F57AF4" w:rsidRDefault="00F57AF4" w:rsidP="00F57AF4">
          <w:pPr>
            <w:pStyle w:val="TOC2"/>
            <w:tabs>
              <w:tab w:val="right" w:leader="dot" w:pos="9350"/>
            </w:tabs>
            <w:spacing w:line="360" w:lineRule="auto"/>
            <w:jc w:val="both"/>
            <w:rPr>
              <w:rFonts w:ascii="Arial" w:eastAsiaTheme="minorEastAsia" w:hAnsi="Arial" w:cs="Arial"/>
              <w:noProof/>
              <w:kern w:val="2"/>
              <w14:ligatures w14:val="standardContextual"/>
            </w:rPr>
          </w:pPr>
          <w:hyperlink w:anchor="_Toc214463209" w:history="1">
            <w:r w:rsidRPr="00F57AF4">
              <w:rPr>
                <w:rStyle w:val="Hyperlink"/>
                <w:rFonts w:ascii="Arial" w:hAnsi="Arial" w:cs="Arial"/>
                <w:noProof/>
                <w:lang w:bidi="th-TH"/>
              </w:rPr>
              <w:t>2.1 Technological Factors</w:t>
            </w:r>
            <w:r w:rsidRPr="00F57AF4">
              <w:rPr>
                <w:rFonts w:ascii="Arial" w:hAnsi="Arial" w:cs="Arial"/>
                <w:noProof/>
                <w:webHidden/>
              </w:rPr>
              <w:tab/>
            </w:r>
            <w:r w:rsidRPr="00F57AF4">
              <w:rPr>
                <w:rFonts w:ascii="Arial" w:hAnsi="Arial" w:cs="Arial"/>
                <w:noProof/>
                <w:webHidden/>
              </w:rPr>
              <w:fldChar w:fldCharType="begin"/>
            </w:r>
            <w:r w:rsidRPr="00F57AF4">
              <w:rPr>
                <w:rFonts w:ascii="Arial" w:hAnsi="Arial" w:cs="Arial"/>
                <w:noProof/>
                <w:webHidden/>
              </w:rPr>
              <w:instrText xml:space="preserve"> PAGEREF _Toc214463209 \h </w:instrText>
            </w:r>
            <w:r w:rsidRPr="00F57AF4">
              <w:rPr>
                <w:rFonts w:ascii="Arial" w:hAnsi="Arial" w:cs="Arial"/>
                <w:noProof/>
                <w:webHidden/>
              </w:rPr>
            </w:r>
            <w:r w:rsidRPr="00F57AF4">
              <w:rPr>
                <w:rFonts w:ascii="Arial" w:hAnsi="Arial" w:cs="Arial"/>
                <w:noProof/>
                <w:webHidden/>
              </w:rPr>
              <w:fldChar w:fldCharType="separate"/>
            </w:r>
            <w:r w:rsidRPr="00F57AF4">
              <w:rPr>
                <w:rFonts w:ascii="Arial" w:hAnsi="Arial" w:cs="Arial"/>
                <w:noProof/>
                <w:webHidden/>
              </w:rPr>
              <w:t>3</w:t>
            </w:r>
            <w:r w:rsidRPr="00F57AF4">
              <w:rPr>
                <w:rFonts w:ascii="Arial" w:hAnsi="Arial" w:cs="Arial"/>
                <w:noProof/>
                <w:webHidden/>
              </w:rPr>
              <w:fldChar w:fldCharType="end"/>
            </w:r>
          </w:hyperlink>
        </w:p>
        <w:p w14:paraId="18E41237" w14:textId="27934A66" w:rsidR="00F57AF4" w:rsidRPr="00F57AF4" w:rsidRDefault="00F57AF4" w:rsidP="00F57AF4">
          <w:pPr>
            <w:pStyle w:val="TOC2"/>
            <w:tabs>
              <w:tab w:val="right" w:leader="dot" w:pos="9350"/>
            </w:tabs>
            <w:spacing w:line="360" w:lineRule="auto"/>
            <w:jc w:val="both"/>
            <w:rPr>
              <w:rFonts w:ascii="Arial" w:eastAsiaTheme="minorEastAsia" w:hAnsi="Arial" w:cs="Arial"/>
              <w:noProof/>
              <w:kern w:val="2"/>
              <w14:ligatures w14:val="standardContextual"/>
            </w:rPr>
          </w:pPr>
          <w:hyperlink w:anchor="_Toc214463210" w:history="1">
            <w:r w:rsidRPr="00F57AF4">
              <w:rPr>
                <w:rStyle w:val="Hyperlink"/>
                <w:rFonts w:ascii="Arial" w:hAnsi="Arial" w:cs="Arial"/>
                <w:noProof/>
                <w:lang w:bidi="th-TH"/>
              </w:rPr>
              <w:t>2.2 Environmental/Ecological Factors</w:t>
            </w:r>
            <w:r w:rsidRPr="00F57AF4">
              <w:rPr>
                <w:rFonts w:ascii="Arial" w:hAnsi="Arial" w:cs="Arial"/>
                <w:noProof/>
                <w:webHidden/>
              </w:rPr>
              <w:tab/>
            </w:r>
            <w:r w:rsidRPr="00F57AF4">
              <w:rPr>
                <w:rFonts w:ascii="Arial" w:hAnsi="Arial" w:cs="Arial"/>
                <w:noProof/>
                <w:webHidden/>
              </w:rPr>
              <w:fldChar w:fldCharType="begin"/>
            </w:r>
            <w:r w:rsidRPr="00F57AF4">
              <w:rPr>
                <w:rFonts w:ascii="Arial" w:hAnsi="Arial" w:cs="Arial"/>
                <w:noProof/>
                <w:webHidden/>
              </w:rPr>
              <w:instrText xml:space="preserve"> PAGEREF _Toc214463210 \h </w:instrText>
            </w:r>
            <w:r w:rsidRPr="00F57AF4">
              <w:rPr>
                <w:rFonts w:ascii="Arial" w:hAnsi="Arial" w:cs="Arial"/>
                <w:noProof/>
                <w:webHidden/>
              </w:rPr>
            </w:r>
            <w:r w:rsidRPr="00F57AF4">
              <w:rPr>
                <w:rFonts w:ascii="Arial" w:hAnsi="Arial" w:cs="Arial"/>
                <w:noProof/>
                <w:webHidden/>
              </w:rPr>
              <w:fldChar w:fldCharType="separate"/>
            </w:r>
            <w:r w:rsidRPr="00F57AF4">
              <w:rPr>
                <w:rFonts w:ascii="Arial" w:hAnsi="Arial" w:cs="Arial"/>
                <w:noProof/>
                <w:webHidden/>
              </w:rPr>
              <w:t>4</w:t>
            </w:r>
            <w:r w:rsidRPr="00F57AF4">
              <w:rPr>
                <w:rFonts w:ascii="Arial" w:hAnsi="Arial" w:cs="Arial"/>
                <w:noProof/>
                <w:webHidden/>
              </w:rPr>
              <w:fldChar w:fldCharType="end"/>
            </w:r>
          </w:hyperlink>
        </w:p>
        <w:p w14:paraId="009B8640" w14:textId="27A397E6" w:rsidR="00F57AF4" w:rsidRPr="00F57AF4" w:rsidRDefault="00F57AF4" w:rsidP="00F57AF4">
          <w:pPr>
            <w:pStyle w:val="TOC2"/>
            <w:tabs>
              <w:tab w:val="right" w:leader="dot" w:pos="9350"/>
            </w:tabs>
            <w:spacing w:line="360" w:lineRule="auto"/>
            <w:jc w:val="both"/>
            <w:rPr>
              <w:rFonts w:ascii="Arial" w:eastAsiaTheme="minorEastAsia" w:hAnsi="Arial" w:cs="Arial"/>
              <w:noProof/>
              <w:kern w:val="2"/>
              <w14:ligatures w14:val="standardContextual"/>
            </w:rPr>
          </w:pPr>
          <w:hyperlink w:anchor="_Toc214463211" w:history="1">
            <w:r w:rsidRPr="00F57AF4">
              <w:rPr>
                <w:rStyle w:val="Hyperlink"/>
                <w:rFonts w:ascii="Arial" w:hAnsi="Arial" w:cs="Arial"/>
                <w:noProof/>
                <w:lang w:bidi="th-TH"/>
              </w:rPr>
              <w:t>2.3 Opportunities and Threats of Pioneers</w:t>
            </w:r>
            <w:r w:rsidRPr="00F57AF4">
              <w:rPr>
                <w:rFonts w:ascii="Arial" w:hAnsi="Arial" w:cs="Arial"/>
                <w:noProof/>
                <w:webHidden/>
              </w:rPr>
              <w:tab/>
            </w:r>
            <w:r w:rsidRPr="00F57AF4">
              <w:rPr>
                <w:rFonts w:ascii="Arial" w:hAnsi="Arial" w:cs="Arial"/>
                <w:noProof/>
                <w:webHidden/>
              </w:rPr>
              <w:fldChar w:fldCharType="begin"/>
            </w:r>
            <w:r w:rsidRPr="00F57AF4">
              <w:rPr>
                <w:rFonts w:ascii="Arial" w:hAnsi="Arial" w:cs="Arial"/>
                <w:noProof/>
                <w:webHidden/>
              </w:rPr>
              <w:instrText xml:space="preserve"> PAGEREF _Toc214463211 \h </w:instrText>
            </w:r>
            <w:r w:rsidRPr="00F57AF4">
              <w:rPr>
                <w:rFonts w:ascii="Arial" w:hAnsi="Arial" w:cs="Arial"/>
                <w:noProof/>
                <w:webHidden/>
              </w:rPr>
            </w:r>
            <w:r w:rsidRPr="00F57AF4">
              <w:rPr>
                <w:rFonts w:ascii="Arial" w:hAnsi="Arial" w:cs="Arial"/>
                <w:noProof/>
                <w:webHidden/>
              </w:rPr>
              <w:fldChar w:fldCharType="separate"/>
            </w:r>
            <w:r w:rsidRPr="00F57AF4">
              <w:rPr>
                <w:rFonts w:ascii="Arial" w:hAnsi="Arial" w:cs="Arial"/>
                <w:noProof/>
                <w:webHidden/>
              </w:rPr>
              <w:t>5</w:t>
            </w:r>
            <w:r w:rsidRPr="00F57AF4">
              <w:rPr>
                <w:rFonts w:ascii="Arial" w:hAnsi="Arial" w:cs="Arial"/>
                <w:noProof/>
                <w:webHidden/>
              </w:rPr>
              <w:fldChar w:fldCharType="end"/>
            </w:r>
          </w:hyperlink>
        </w:p>
        <w:p w14:paraId="6979F68D" w14:textId="0F5EBA74" w:rsidR="00F57AF4" w:rsidRPr="00F57AF4" w:rsidRDefault="00F57AF4" w:rsidP="00F57AF4">
          <w:pPr>
            <w:pStyle w:val="TOC2"/>
            <w:tabs>
              <w:tab w:val="right" w:leader="dot" w:pos="9350"/>
            </w:tabs>
            <w:spacing w:line="360" w:lineRule="auto"/>
            <w:jc w:val="both"/>
            <w:rPr>
              <w:rFonts w:ascii="Arial" w:eastAsiaTheme="minorEastAsia" w:hAnsi="Arial" w:cs="Arial"/>
              <w:noProof/>
              <w:kern w:val="2"/>
              <w14:ligatures w14:val="standardContextual"/>
            </w:rPr>
          </w:pPr>
          <w:hyperlink w:anchor="_Toc214463212" w:history="1">
            <w:r w:rsidRPr="00F57AF4">
              <w:rPr>
                <w:rStyle w:val="Hyperlink"/>
                <w:rFonts w:ascii="Arial" w:hAnsi="Arial" w:cs="Arial"/>
                <w:noProof/>
                <w:lang w:bidi="th-TH"/>
              </w:rPr>
              <w:t>2.4 Opportunities and Threats of Followers</w:t>
            </w:r>
            <w:r w:rsidRPr="00F57AF4">
              <w:rPr>
                <w:rFonts w:ascii="Arial" w:hAnsi="Arial" w:cs="Arial"/>
                <w:noProof/>
                <w:webHidden/>
              </w:rPr>
              <w:tab/>
            </w:r>
            <w:r w:rsidRPr="00F57AF4">
              <w:rPr>
                <w:rFonts w:ascii="Arial" w:hAnsi="Arial" w:cs="Arial"/>
                <w:noProof/>
                <w:webHidden/>
              </w:rPr>
              <w:fldChar w:fldCharType="begin"/>
            </w:r>
            <w:r w:rsidRPr="00F57AF4">
              <w:rPr>
                <w:rFonts w:ascii="Arial" w:hAnsi="Arial" w:cs="Arial"/>
                <w:noProof/>
                <w:webHidden/>
              </w:rPr>
              <w:instrText xml:space="preserve"> PAGEREF _Toc214463212 \h </w:instrText>
            </w:r>
            <w:r w:rsidRPr="00F57AF4">
              <w:rPr>
                <w:rFonts w:ascii="Arial" w:hAnsi="Arial" w:cs="Arial"/>
                <w:noProof/>
                <w:webHidden/>
              </w:rPr>
            </w:r>
            <w:r w:rsidRPr="00F57AF4">
              <w:rPr>
                <w:rFonts w:ascii="Arial" w:hAnsi="Arial" w:cs="Arial"/>
                <w:noProof/>
                <w:webHidden/>
              </w:rPr>
              <w:fldChar w:fldCharType="separate"/>
            </w:r>
            <w:r w:rsidRPr="00F57AF4">
              <w:rPr>
                <w:rFonts w:ascii="Arial" w:hAnsi="Arial" w:cs="Arial"/>
                <w:noProof/>
                <w:webHidden/>
              </w:rPr>
              <w:t>6</w:t>
            </w:r>
            <w:r w:rsidRPr="00F57AF4">
              <w:rPr>
                <w:rFonts w:ascii="Arial" w:hAnsi="Arial" w:cs="Arial"/>
                <w:noProof/>
                <w:webHidden/>
              </w:rPr>
              <w:fldChar w:fldCharType="end"/>
            </w:r>
          </w:hyperlink>
        </w:p>
        <w:p w14:paraId="06F46CFF" w14:textId="34FE91C2" w:rsidR="00F57AF4" w:rsidRPr="00F57AF4" w:rsidRDefault="00F57AF4" w:rsidP="00F57AF4">
          <w:pPr>
            <w:pStyle w:val="TOC1"/>
            <w:tabs>
              <w:tab w:val="right" w:leader="dot" w:pos="9350"/>
            </w:tabs>
            <w:spacing w:line="360" w:lineRule="auto"/>
            <w:jc w:val="both"/>
            <w:rPr>
              <w:rFonts w:ascii="Arial" w:eastAsiaTheme="minorEastAsia" w:hAnsi="Arial" w:cs="Arial"/>
              <w:noProof/>
              <w:kern w:val="2"/>
              <w14:ligatures w14:val="standardContextual"/>
            </w:rPr>
          </w:pPr>
          <w:hyperlink w:anchor="_Toc214463213" w:history="1">
            <w:r w:rsidRPr="00F57AF4">
              <w:rPr>
                <w:rStyle w:val="Hyperlink"/>
                <w:rFonts w:ascii="Arial" w:hAnsi="Arial" w:cs="Arial"/>
                <w:noProof/>
                <w:lang w:bidi="th-TH"/>
              </w:rPr>
              <w:t>3. Task 2: Strategic Responses to External Factors</w:t>
            </w:r>
            <w:r w:rsidRPr="00F57AF4">
              <w:rPr>
                <w:rFonts w:ascii="Arial" w:hAnsi="Arial" w:cs="Arial"/>
                <w:noProof/>
                <w:webHidden/>
              </w:rPr>
              <w:tab/>
            </w:r>
            <w:r w:rsidRPr="00F57AF4">
              <w:rPr>
                <w:rFonts w:ascii="Arial" w:hAnsi="Arial" w:cs="Arial"/>
                <w:noProof/>
                <w:webHidden/>
              </w:rPr>
              <w:fldChar w:fldCharType="begin"/>
            </w:r>
            <w:r w:rsidRPr="00F57AF4">
              <w:rPr>
                <w:rFonts w:ascii="Arial" w:hAnsi="Arial" w:cs="Arial"/>
                <w:noProof/>
                <w:webHidden/>
              </w:rPr>
              <w:instrText xml:space="preserve"> PAGEREF _Toc214463213 \h </w:instrText>
            </w:r>
            <w:r w:rsidRPr="00F57AF4">
              <w:rPr>
                <w:rFonts w:ascii="Arial" w:hAnsi="Arial" w:cs="Arial"/>
                <w:noProof/>
                <w:webHidden/>
              </w:rPr>
            </w:r>
            <w:r w:rsidRPr="00F57AF4">
              <w:rPr>
                <w:rFonts w:ascii="Arial" w:hAnsi="Arial" w:cs="Arial"/>
                <w:noProof/>
                <w:webHidden/>
              </w:rPr>
              <w:fldChar w:fldCharType="separate"/>
            </w:r>
            <w:r w:rsidRPr="00F57AF4">
              <w:rPr>
                <w:rFonts w:ascii="Arial" w:hAnsi="Arial" w:cs="Arial"/>
                <w:noProof/>
                <w:webHidden/>
              </w:rPr>
              <w:t>7</w:t>
            </w:r>
            <w:r w:rsidRPr="00F57AF4">
              <w:rPr>
                <w:rFonts w:ascii="Arial" w:hAnsi="Arial" w:cs="Arial"/>
                <w:noProof/>
                <w:webHidden/>
              </w:rPr>
              <w:fldChar w:fldCharType="end"/>
            </w:r>
          </w:hyperlink>
        </w:p>
        <w:p w14:paraId="6A06358C" w14:textId="6D17D7CE" w:rsidR="00F57AF4" w:rsidRPr="00F57AF4" w:rsidRDefault="00F57AF4" w:rsidP="00F57AF4">
          <w:pPr>
            <w:pStyle w:val="TOC2"/>
            <w:tabs>
              <w:tab w:val="right" w:leader="dot" w:pos="9350"/>
            </w:tabs>
            <w:spacing w:line="360" w:lineRule="auto"/>
            <w:jc w:val="both"/>
            <w:rPr>
              <w:rFonts w:ascii="Arial" w:eastAsiaTheme="minorEastAsia" w:hAnsi="Arial" w:cs="Arial"/>
              <w:noProof/>
              <w:kern w:val="2"/>
              <w14:ligatures w14:val="standardContextual"/>
            </w:rPr>
          </w:pPr>
          <w:hyperlink w:anchor="_Toc214463214" w:history="1">
            <w:r w:rsidRPr="00F57AF4">
              <w:rPr>
                <w:rStyle w:val="Hyperlink"/>
                <w:rFonts w:ascii="Arial" w:hAnsi="Arial" w:cs="Arial"/>
                <w:noProof/>
                <w:lang w:bidi="th-TH"/>
              </w:rPr>
              <w:t>3.1 Pioneer Strategic Responses</w:t>
            </w:r>
            <w:r w:rsidRPr="00F57AF4">
              <w:rPr>
                <w:rFonts w:ascii="Arial" w:hAnsi="Arial" w:cs="Arial"/>
                <w:noProof/>
                <w:webHidden/>
              </w:rPr>
              <w:tab/>
            </w:r>
            <w:r w:rsidRPr="00F57AF4">
              <w:rPr>
                <w:rFonts w:ascii="Arial" w:hAnsi="Arial" w:cs="Arial"/>
                <w:noProof/>
                <w:webHidden/>
              </w:rPr>
              <w:fldChar w:fldCharType="begin"/>
            </w:r>
            <w:r w:rsidRPr="00F57AF4">
              <w:rPr>
                <w:rFonts w:ascii="Arial" w:hAnsi="Arial" w:cs="Arial"/>
                <w:noProof/>
                <w:webHidden/>
              </w:rPr>
              <w:instrText xml:space="preserve"> PAGEREF _Toc214463214 \h </w:instrText>
            </w:r>
            <w:r w:rsidRPr="00F57AF4">
              <w:rPr>
                <w:rFonts w:ascii="Arial" w:hAnsi="Arial" w:cs="Arial"/>
                <w:noProof/>
                <w:webHidden/>
              </w:rPr>
            </w:r>
            <w:r w:rsidRPr="00F57AF4">
              <w:rPr>
                <w:rFonts w:ascii="Arial" w:hAnsi="Arial" w:cs="Arial"/>
                <w:noProof/>
                <w:webHidden/>
              </w:rPr>
              <w:fldChar w:fldCharType="separate"/>
            </w:r>
            <w:r w:rsidRPr="00F57AF4">
              <w:rPr>
                <w:rFonts w:ascii="Arial" w:hAnsi="Arial" w:cs="Arial"/>
                <w:noProof/>
                <w:webHidden/>
              </w:rPr>
              <w:t>7</w:t>
            </w:r>
            <w:r w:rsidRPr="00F57AF4">
              <w:rPr>
                <w:rFonts w:ascii="Arial" w:hAnsi="Arial" w:cs="Arial"/>
                <w:noProof/>
                <w:webHidden/>
              </w:rPr>
              <w:fldChar w:fldCharType="end"/>
            </w:r>
          </w:hyperlink>
        </w:p>
        <w:p w14:paraId="0B411D92" w14:textId="23F34CC4" w:rsidR="00F57AF4" w:rsidRPr="00F57AF4" w:rsidRDefault="00F57AF4" w:rsidP="00F57AF4">
          <w:pPr>
            <w:pStyle w:val="TOC2"/>
            <w:tabs>
              <w:tab w:val="right" w:leader="dot" w:pos="9350"/>
            </w:tabs>
            <w:spacing w:line="360" w:lineRule="auto"/>
            <w:jc w:val="both"/>
            <w:rPr>
              <w:rFonts w:ascii="Arial" w:eastAsiaTheme="minorEastAsia" w:hAnsi="Arial" w:cs="Arial"/>
              <w:noProof/>
              <w:kern w:val="2"/>
              <w14:ligatures w14:val="standardContextual"/>
            </w:rPr>
          </w:pPr>
          <w:hyperlink w:anchor="_Toc214463215" w:history="1">
            <w:r w:rsidRPr="00F57AF4">
              <w:rPr>
                <w:rStyle w:val="Hyperlink"/>
                <w:rFonts w:ascii="Arial" w:hAnsi="Arial" w:cs="Arial"/>
                <w:noProof/>
                <w:lang w:bidi="th-TH"/>
              </w:rPr>
              <w:t>3.2 Follower Strategic Responses: Toyota and Volkswagen</w:t>
            </w:r>
            <w:r w:rsidRPr="00F57AF4">
              <w:rPr>
                <w:rFonts w:ascii="Arial" w:hAnsi="Arial" w:cs="Arial"/>
                <w:noProof/>
                <w:webHidden/>
              </w:rPr>
              <w:tab/>
            </w:r>
            <w:r w:rsidRPr="00F57AF4">
              <w:rPr>
                <w:rFonts w:ascii="Arial" w:hAnsi="Arial" w:cs="Arial"/>
                <w:noProof/>
                <w:webHidden/>
              </w:rPr>
              <w:fldChar w:fldCharType="begin"/>
            </w:r>
            <w:r w:rsidRPr="00F57AF4">
              <w:rPr>
                <w:rFonts w:ascii="Arial" w:hAnsi="Arial" w:cs="Arial"/>
                <w:noProof/>
                <w:webHidden/>
              </w:rPr>
              <w:instrText xml:space="preserve"> PAGEREF _Toc214463215 \h </w:instrText>
            </w:r>
            <w:r w:rsidRPr="00F57AF4">
              <w:rPr>
                <w:rFonts w:ascii="Arial" w:hAnsi="Arial" w:cs="Arial"/>
                <w:noProof/>
                <w:webHidden/>
              </w:rPr>
            </w:r>
            <w:r w:rsidRPr="00F57AF4">
              <w:rPr>
                <w:rFonts w:ascii="Arial" w:hAnsi="Arial" w:cs="Arial"/>
                <w:noProof/>
                <w:webHidden/>
              </w:rPr>
              <w:fldChar w:fldCharType="separate"/>
            </w:r>
            <w:r w:rsidRPr="00F57AF4">
              <w:rPr>
                <w:rFonts w:ascii="Arial" w:hAnsi="Arial" w:cs="Arial"/>
                <w:noProof/>
                <w:webHidden/>
              </w:rPr>
              <w:t>9</w:t>
            </w:r>
            <w:r w:rsidRPr="00F57AF4">
              <w:rPr>
                <w:rFonts w:ascii="Arial" w:hAnsi="Arial" w:cs="Arial"/>
                <w:noProof/>
                <w:webHidden/>
              </w:rPr>
              <w:fldChar w:fldCharType="end"/>
            </w:r>
          </w:hyperlink>
        </w:p>
        <w:p w14:paraId="5C18181E" w14:textId="486016CD" w:rsidR="00F57AF4" w:rsidRPr="00F57AF4" w:rsidRDefault="00F57AF4" w:rsidP="00F57AF4">
          <w:pPr>
            <w:pStyle w:val="TOC1"/>
            <w:tabs>
              <w:tab w:val="right" w:leader="dot" w:pos="9350"/>
            </w:tabs>
            <w:spacing w:line="360" w:lineRule="auto"/>
            <w:jc w:val="both"/>
            <w:rPr>
              <w:rFonts w:ascii="Arial" w:eastAsiaTheme="minorEastAsia" w:hAnsi="Arial" w:cs="Arial"/>
              <w:noProof/>
              <w:kern w:val="2"/>
              <w14:ligatures w14:val="standardContextual"/>
            </w:rPr>
          </w:pPr>
          <w:hyperlink w:anchor="_Toc214463216" w:history="1">
            <w:r w:rsidRPr="00F57AF4">
              <w:rPr>
                <w:rStyle w:val="Hyperlink"/>
                <w:rFonts w:ascii="Arial" w:hAnsi="Arial" w:cs="Arial"/>
                <w:noProof/>
                <w:lang w:bidi="th-TH"/>
              </w:rPr>
              <w:t>4. Conclusion</w:t>
            </w:r>
            <w:r w:rsidRPr="00F57AF4">
              <w:rPr>
                <w:rFonts w:ascii="Arial" w:hAnsi="Arial" w:cs="Arial"/>
                <w:noProof/>
                <w:webHidden/>
              </w:rPr>
              <w:tab/>
            </w:r>
            <w:r w:rsidRPr="00F57AF4">
              <w:rPr>
                <w:rFonts w:ascii="Arial" w:hAnsi="Arial" w:cs="Arial"/>
                <w:noProof/>
                <w:webHidden/>
              </w:rPr>
              <w:fldChar w:fldCharType="begin"/>
            </w:r>
            <w:r w:rsidRPr="00F57AF4">
              <w:rPr>
                <w:rFonts w:ascii="Arial" w:hAnsi="Arial" w:cs="Arial"/>
                <w:noProof/>
                <w:webHidden/>
              </w:rPr>
              <w:instrText xml:space="preserve"> PAGEREF _Toc214463216 \h </w:instrText>
            </w:r>
            <w:r w:rsidRPr="00F57AF4">
              <w:rPr>
                <w:rFonts w:ascii="Arial" w:hAnsi="Arial" w:cs="Arial"/>
                <w:noProof/>
                <w:webHidden/>
              </w:rPr>
            </w:r>
            <w:r w:rsidRPr="00F57AF4">
              <w:rPr>
                <w:rFonts w:ascii="Arial" w:hAnsi="Arial" w:cs="Arial"/>
                <w:noProof/>
                <w:webHidden/>
              </w:rPr>
              <w:fldChar w:fldCharType="separate"/>
            </w:r>
            <w:r w:rsidRPr="00F57AF4">
              <w:rPr>
                <w:rFonts w:ascii="Arial" w:hAnsi="Arial" w:cs="Arial"/>
                <w:noProof/>
                <w:webHidden/>
              </w:rPr>
              <w:t>10</w:t>
            </w:r>
            <w:r w:rsidRPr="00F57AF4">
              <w:rPr>
                <w:rFonts w:ascii="Arial" w:hAnsi="Arial" w:cs="Arial"/>
                <w:noProof/>
                <w:webHidden/>
              </w:rPr>
              <w:fldChar w:fldCharType="end"/>
            </w:r>
          </w:hyperlink>
        </w:p>
        <w:p w14:paraId="23622BF0" w14:textId="1F61FD93" w:rsidR="00F57AF4" w:rsidRPr="00F57AF4" w:rsidRDefault="00F57AF4" w:rsidP="00F57AF4">
          <w:pPr>
            <w:pStyle w:val="TOC1"/>
            <w:tabs>
              <w:tab w:val="right" w:leader="dot" w:pos="9350"/>
            </w:tabs>
            <w:spacing w:line="360" w:lineRule="auto"/>
            <w:jc w:val="both"/>
            <w:rPr>
              <w:rFonts w:ascii="Arial" w:eastAsiaTheme="minorEastAsia" w:hAnsi="Arial" w:cs="Arial"/>
              <w:noProof/>
              <w:kern w:val="2"/>
              <w14:ligatures w14:val="standardContextual"/>
            </w:rPr>
          </w:pPr>
          <w:hyperlink w:anchor="_Toc214463217" w:history="1">
            <w:r w:rsidRPr="00F57AF4">
              <w:rPr>
                <w:rStyle w:val="Hyperlink"/>
                <w:rFonts w:ascii="Arial" w:hAnsi="Arial" w:cs="Arial"/>
                <w:noProof/>
                <w:lang w:bidi="th-TH"/>
              </w:rPr>
              <w:t>References</w:t>
            </w:r>
            <w:r w:rsidRPr="00F57AF4">
              <w:rPr>
                <w:rFonts w:ascii="Arial" w:hAnsi="Arial" w:cs="Arial"/>
                <w:noProof/>
                <w:webHidden/>
              </w:rPr>
              <w:tab/>
            </w:r>
            <w:r w:rsidRPr="00F57AF4">
              <w:rPr>
                <w:rFonts w:ascii="Arial" w:hAnsi="Arial" w:cs="Arial"/>
                <w:noProof/>
                <w:webHidden/>
              </w:rPr>
              <w:fldChar w:fldCharType="begin"/>
            </w:r>
            <w:r w:rsidRPr="00F57AF4">
              <w:rPr>
                <w:rFonts w:ascii="Arial" w:hAnsi="Arial" w:cs="Arial"/>
                <w:noProof/>
                <w:webHidden/>
              </w:rPr>
              <w:instrText xml:space="preserve"> PAGEREF _Toc214463217 \h </w:instrText>
            </w:r>
            <w:r w:rsidRPr="00F57AF4">
              <w:rPr>
                <w:rFonts w:ascii="Arial" w:hAnsi="Arial" w:cs="Arial"/>
                <w:noProof/>
                <w:webHidden/>
              </w:rPr>
            </w:r>
            <w:r w:rsidRPr="00F57AF4">
              <w:rPr>
                <w:rFonts w:ascii="Arial" w:hAnsi="Arial" w:cs="Arial"/>
                <w:noProof/>
                <w:webHidden/>
              </w:rPr>
              <w:fldChar w:fldCharType="separate"/>
            </w:r>
            <w:r w:rsidRPr="00F57AF4">
              <w:rPr>
                <w:rFonts w:ascii="Arial" w:hAnsi="Arial" w:cs="Arial"/>
                <w:noProof/>
                <w:webHidden/>
              </w:rPr>
              <w:t>12</w:t>
            </w:r>
            <w:r w:rsidRPr="00F57AF4">
              <w:rPr>
                <w:rFonts w:ascii="Arial" w:hAnsi="Arial" w:cs="Arial"/>
                <w:noProof/>
                <w:webHidden/>
              </w:rPr>
              <w:fldChar w:fldCharType="end"/>
            </w:r>
          </w:hyperlink>
        </w:p>
        <w:p w14:paraId="083C6564" w14:textId="5D405EFC" w:rsidR="00F57AF4" w:rsidRPr="00F57AF4" w:rsidRDefault="00F57AF4" w:rsidP="00F57AF4">
          <w:pPr>
            <w:pStyle w:val="TOC1"/>
            <w:tabs>
              <w:tab w:val="right" w:leader="dot" w:pos="9350"/>
            </w:tabs>
            <w:spacing w:line="360" w:lineRule="auto"/>
            <w:jc w:val="both"/>
            <w:rPr>
              <w:rFonts w:ascii="Arial" w:eastAsiaTheme="minorEastAsia" w:hAnsi="Arial" w:cs="Arial"/>
              <w:noProof/>
              <w:kern w:val="2"/>
              <w14:ligatures w14:val="standardContextual"/>
            </w:rPr>
          </w:pPr>
          <w:hyperlink w:anchor="_Toc214463218" w:history="1">
            <w:r w:rsidRPr="00F57AF4">
              <w:rPr>
                <w:rStyle w:val="Hyperlink"/>
                <w:rFonts w:ascii="Arial" w:hAnsi="Arial" w:cs="Arial"/>
                <w:noProof/>
                <w:lang w:bidi="th-TH"/>
              </w:rPr>
              <w:t>Appendices</w:t>
            </w:r>
            <w:r w:rsidRPr="00F57AF4">
              <w:rPr>
                <w:rFonts w:ascii="Arial" w:hAnsi="Arial" w:cs="Arial"/>
                <w:noProof/>
                <w:webHidden/>
              </w:rPr>
              <w:tab/>
            </w:r>
            <w:r w:rsidRPr="00F57AF4">
              <w:rPr>
                <w:rFonts w:ascii="Arial" w:hAnsi="Arial" w:cs="Arial"/>
                <w:noProof/>
                <w:webHidden/>
              </w:rPr>
              <w:fldChar w:fldCharType="begin"/>
            </w:r>
            <w:r w:rsidRPr="00F57AF4">
              <w:rPr>
                <w:rFonts w:ascii="Arial" w:hAnsi="Arial" w:cs="Arial"/>
                <w:noProof/>
                <w:webHidden/>
              </w:rPr>
              <w:instrText xml:space="preserve"> PAGEREF _Toc214463218 \h </w:instrText>
            </w:r>
            <w:r w:rsidRPr="00F57AF4">
              <w:rPr>
                <w:rFonts w:ascii="Arial" w:hAnsi="Arial" w:cs="Arial"/>
                <w:noProof/>
                <w:webHidden/>
              </w:rPr>
            </w:r>
            <w:r w:rsidRPr="00F57AF4">
              <w:rPr>
                <w:rFonts w:ascii="Arial" w:hAnsi="Arial" w:cs="Arial"/>
                <w:noProof/>
                <w:webHidden/>
              </w:rPr>
              <w:fldChar w:fldCharType="separate"/>
            </w:r>
            <w:r w:rsidRPr="00F57AF4">
              <w:rPr>
                <w:rFonts w:ascii="Arial" w:hAnsi="Arial" w:cs="Arial"/>
                <w:noProof/>
                <w:webHidden/>
              </w:rPr>
              <w:t>14</w:t>
            </w:r>
            <w:r w:rsidRPr="00F57AF4">
              <w:rPr>
                <w:rFonts w:ascii="Arial" w:hAnsi="Arial" w:cs="Arial"/>
                <w:noProof/>
                <w:webHidden/>
              </w:rPr>
              <w:fldChar w:fldCharType="end"/>
            </w:r>
          </w:hyperlink>
        </w:p>
        <w:p w14:paraId="07B14239" w14:textId="100A6095" w:rsidR="000001A3" w:rsidRPr="00F57AF4" w:rsidRDefault="000001A3" w:rsidP="00F57AF4">
          <w:pPr>
            <w:spacing w:line="360" w:lineRule="auto"/>
            <w:jc w:val="both"/>
            <w:rPr>
              <w:rFonts w:ascii="Arial" w:hAnsi="Arial" w:cs="Arial"/>
            </w:rPr>
          </w:pPr>
          <w:r w:rsidRPr="00F57AF4">
            <w:rPr>
              <w:rFonts w:ascii="Arial" w:hAnsi="Arial" w:cs="Arial"/>
              <w:b/>
              <w:bCs/>
              <w:noProof/>
            </w:rPr>
            <w:fldChar w:fldCharType="end"/>
          </w:r>
        </w:p>
      </w:sdtContent>
    </w:sdt>
    <w:p w14:paraId="716584C5" w14:textId="77777777" w:rsidR="008631C9" w:rsidRPr="00F57AF4" w:rsidRDefault="008631C9" w:rsidP="00F57AF4">
      <w:pPr>
        <w:spacing w:line="360" w:lineRule="auto"/>
        <w:jc w:val="both"/>
        <w:rPr>
          <w:rFonts w:ascii="Arial" w:hAnsi="Arial" w:cs="Arial"/>
          <w:b/>
          <w:bCs/>
        </w:rPr>
      </w:pPr>
    </w:p>
    <w:p w14:paraId="6B2D1BCC" w14:textId="77777777" w:rsidR="008631C9" w:rsidRPr="00F57AF4" w:rsidRDefault="008631C9" w:rsidP="00F57AF4">
      <w:pPr>
        <w:spacing w:after="160" w:line="360" w:lineRule="auto"/>
        <w:jc w:val="both"/>
        <w:rPr>
          <w:rFonts w:ascii="Arial" w:hAnsi="Arial" w:cs="Arial"/>
          <w:b/>
          <w:bCs/>
        </w:rPr>
      </w:pPr>
      <w:r w:rsidRPr="00F57AF4">
        <w:rPr>
          <w:rFonts w:ascii="Arial" w:hAnsi="Arial" w:cs="Arial"/>
          <w:b/>
          <w:bCs/>
        </w:rPr>
        <w:br w:type="page"/>
      </w:r>
    </w:p>
    <w:p w14:paraId="6586138E" w14:textId="3555796A" w:rsidR="0051678D" w:rsidRPr="000001A3" w:rsidRDefault="00257E28" w:rsidP="000001A3">
      <w:pPr>
        <w:pStyle w:val="Heading1"/>
        <w:spacing w:line="360" w:lineRule="auto"/>
        <w:jc w:val="both"/>
        <w:rPr>
          <w:rFonts w:ascii="Arial" w:hAnsi="Arial" w:cs="Arial"/>
          <w:szCs w:val="24"/>
        </w:rPr>
      </w:pPr>
      <w:bookmarkStart w:id="0" w:name="_Toc214463207"/>
      <w:r w:rsidRPr="000001A3">
        <w:rPr>
          <w:rFonts w:ascii="Arial" w:hAnsi="Arial" w:cs="Arial"/>
          <w:szCs w:val="24"/>
        </w:rPr>
        <w:lastRenderedPageBreak/>
        <w:t>1. Introduction</w:t>
      </w:r>
      <w:bookmarkEnd w:id="0"/>
    </w:p>
    <w:p w14:paraId="783FC7E2" w14:textId="518A44AB" w:rsidR="00257E28" w:rsidRPr="000001A3" w:rsidRDefault="00F30B6B" w:rsidP="000001A3">
      <w:pPr>
        <w:spacing w:line="360" w:lineRule="auto"/>
        <w:jc w:val="both"/>
        <w:rPr>
          <w:rFonts w:ascii="Arial" w:hAnsi="Arial" w:cs="Arial"/>
          <w:lang w:bidi="th-TH"/>
        </w:rPr>
      </w:pPr>
      <w:r w:rsidRPr="00F30B6B">
        <w:rPr>
          <w:rFonts w:ascii="Arial" w:hAnsi="Arial" w:cs="Arial"/>
          <w:lang w:bidi="th-TH"/>
        </w:rPr>
        <w:t xml:space="preserve">The automobile industry has been experiencing a dynamic macro-environment characterized by high level of technological innovation and increasing environmental demands. The report is a critical discourse of how two key macro marketing actors technological innovation and environmental sustainability regulations bring varying opportunities and threats to pioneer and follower organisations. The pioneer strategy is Tesla, and the traditional manufacturer that is </w:t>
      </w:r>
      <w:r w:rsidR="009B1862">
        <w:rPr>
          <w:rFonts w:ascii="Arial" w:hAnsi="Arial" w:cs="Arial"/>
          <w:lang w:bidi="th-TH"/>
        </w:rPr>
        <w:t xml:space="preserve">a </w:t>
      </w:r>
      <w:r w:rsidRPr="00F30B6B">
        <w:rPr>
          <w:rFonts w:ascii="Arial" w:hAnsi="Arial" w:cs="Arial"/>
          <w:lang w:bidi="th-TH"/>
        </w:rPr>
        <w:t xml:space="preserve">strategic </w:t>
      </w:r>
      <w:r w:rsidR="00D75853">
        <w:rPr>
          <w:rFonts w:ascii="Arial" w:hAnsi="Arial" w:cs="Arial"/>
          <w:lang w:bidi="th-TH"/>
        </w:rPr>
        <w:t>follower</w:t>
      </w:r>
      <w:r w:rsidRPr="00F30B6B">
        <w:rPr>
          <w:rFonts w:ascii="Arial" w:hAnsi="Arial" w:cs="Arial"/>
          <w:lang w:bidi="th-TH"/>
        </w:rPr>
        <w:t xml:space="preserve"> and includes Toyota (Cataltepe et al., 2022). This discussion demonstrates the impact of different market positioning strategies on competitive advantage in the industry experiencing a fundamental change by a systematic evaluation of these external forces and organizational responses.</w:t>
      </w:r>
    </w:p>
    <w:p w14:paraId="21B1323E" w14:textId="70A31972" w:rsidR="006225D7" w:rsidRPr="000001A3" w:rsidRDefault="007D445F" w:rsidP="000001A3">
      <w:pPr>
        <w:pStyle w:val="Heading1"/>
        <w:spacing w:line="360" w:lineRule="auto"/>
        <w:jc w:val="both"/>
        <w:rPr>
          <w:rFonts w:ascii="Arial" w:hAnsi="Arial" w:cs="Arial"/>
          <w:szCs w:val="24"/>
        </w:rPr>
      </w:pPr>
      <w:bookmarkStart w:id="1" w:name="_Toc214463208"/>
      <w:r w:rsidRPr="000001A3">
        <w:rPr>
          <w:rFonts w:ascii="Arial" w:hAnsi="Arial" w:cs="Arial"/>
          <w:szCs w:val="24"/>
        </w:rPr>
        <w:t>2. Task 1: Critical Analysis of Macro Marketing Environment</w:t>
      </w:r>
      <w:bookmarkEnd w:id="1"/>
    </w:p>
    <w:p w14:paraId="2BB99D0E" w14:textId="63CB5545" w:rsidR="007D445F" w:rsidRDefault="00466B84" w:rsidP="000001A3">
      <w:pPr>
        <w:pStyle w:val="Heading2"/>
        <w:spacing w:line="360" w:lineRule="auto"/>
        <w:jc w:val="both"/>
        <w:rPr>
          <w:rFonts w:ascii="Arial" w:hAnsi="Arial" w:cs="Arial"/>
          <w:szCs w:val="24"/>
        </w:rPr>
      </w:pPr>
      <w:bookmarkStart w:id="2" w:name="_Toc214463209"/>
      <w:r w:rsidRPr="000001A3">
        <w:rPr>
          <w:rFonts w:ascii="Arial" w:hAnsi="Arial" w:cs="Arial"/>
          <w:szCs w:val="24"/>
        </w:rPr>
        <w:t>2.1 Technological Factors</w:t>
      </w:r>
      <w:bookmarkEnd w:id="2"/>
    </w:p>
    <w:p w14:paraId="0F6D579C" w14:textId="261BA094" w:rsidR="00D75853" w:rsidRDefault="00D75853" w:rsidP="00D75853">
      <w:pPr>
        <w:rPr>
          <w:lang w:bidi="th-TH"/>
        </w:rPr>
      </w:pPr>
      <w:r>
        <w:rPr>
          <w:noProof/>
        </w:rPr>
        <w:drawing>
          <wp:inline distT="0" distB="0" distL="0" distR="0" wp14:anchorId="067FE146" wp14:editId="0009FB1D">
            <wp:extent cx="2402261" cy="3333750"/>
            <wp:effectExtent l="0" t="0" r="0" b="0"/>
            <wp:docPr id="1967431615" name="Picture 1" descr="How Technology is Reshaping the Automotive Indust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Technology is Reshaping the Automotive Industry"/>
                    <pic:cNvPicPr>
                      <a:picLocks noChangeAspect="1" noChangeArrowheads="1"/>
                    </pic:cNvPicPr>
                  </pic:nvPicPr>
                  <pic:blipFill rotWithShape="1">
                    <a:blip r:embed="rId8">
                      <a:extLst>
                        <a:ext uri="{28A0092B-C50C-407E-A947-70E740481C1C}">
                          <a14:useLocalDpi xmlns:a14="http://schemas.microsoft.com/office/drawing/2010/main" val="0"/>
                        </a:ext>
                      </a:extLst>
                    </a:blip>
                    <a:srcRect l="10737" r="18590" b="5895"/>
                    <a:stretch>
                      <a:fillRect/>
                    </a:stretch>
                  </pic:blipFill>
                  <pic:spPr bwMode="auto">
                    <a:xfrm>
                      <a:off x="0" y="0"/>
                      <a:ext cx="2403011" cy="3334791"/>
                    </a:xfrm>
                    <a:prstGeom prst="rect">
                      <a:avLst/>
                    </a:prstGeom>
                    <a:noFill/>
                    <a:ln>
                      <a:noFill/>
                    </a:ln>
                    <a:extLst>
                      <a:ext uri="{53640926-AAD7-44D8-BBD7-CCE9431645EC}">
                        <a14:shadowObscured xmlns:a14="http://schemas.microsoft.com/office/drawing/2010/main"/>
                      </a:ext>
                    </a:extLst>
                  </pic:spPr>
                </pic:pic>
              </a:graphicData>
            </a:graphic>
          </wp:inline>
        </w:drawing>
      </w:r>
    </w:p>
    <w:p w14:paraId="356DDAF4" w14:textId="62F11D3F" w:rsidR="00D75853" w:rsidRPr="00261319" w:rsidRDefault="00D75853" w:rsidP="00D75853">
      <w:pPr>
        <w:rPr>
          <w:rFonts w:ascii="Arial" w:hAnsi="Arial" w:cs="Arial"/>
          <w:lang w:bidi="th-TH"/>
        </w:rPr>
      </w:pPr>
      <w:r w:rsidRPr="00261319">
        <w:rPr>
          <w:rFonts w:ascii="Arial" w:hAnsi="Arial" w:cs="Arial"/>
          <w:lang w:bidi="th-TH"/>
        </w:rPr>
        <w:t>Figure 1. Automotive technology trends</w:t>
      </w:r>
    </w:p>
    <w:p w14:paraId="19E18B1C" w14:textId="4EEF76C0" w:rsidR="00D75853" w:rsidRPr="00D75853" w:rsidRDefault="00D75853" w:rsidP="00D75853">
      <w:pPr>
        <w:rPr>
          <w:lang w:bidi="th-TH"/>
        </w:rPr>
      </w:pPr>
      <w:r w:rsidRPr="00261319">
        <w:rPr>
          <w:rFonts w:ascii="Arial" w:hAnsi="Arial" w:cs="Arial"/>
          <w:lang w:bidi="th-TH"/>
        </w:rPr>
        <w:t>Source: (Chen, 2022)</w:t>
      </w:r>
    </w:p>
    <w:p w14:paraId="02D57F64" w14:textId="77777777" w:rsidR="008B5BF0" w:rsidRPr="008B5BF0" w:rsidRDefault="008B5BF0" w:rsidP="008B5BF0">
      <w:pPr>
        <w:spacing w:line="360" w:lineRule="auto"/>
        <w:jc w:val="both"/>
        <w:rPr>
          <w:rFonts w:ascii="Arial" w:hAnsi="Arial" w:cs="Arial"/>
          <w:lang w:bidi="th-TH"/>
        </w:rPr>
      </w:pPr>
      <w:r w:rsidRPr="008B5BF0">
        <w:rPr>
          <w:rFonts w:ascii="Arial" w:hAnsi="Arial" w:cs="Arial"/>
          <w:lang w:bidi="th-TH"/>
        </w:rPr>
        <w:t xml:space="preserve">One of the macro environmental forces that are radically changing the automotive industry is the technological development. The electrification, autonomous driving systems, connection, and artificial intelligence have shattered the traditional </w:t>
      </w:r>
      <w:r w:rsidRPr="008B5BF0">
        <w:rPr>
          <w:rFonts w:ascii="Arial" w:hAnsi="Arial" w:cs="Arial"/>
          <w:lang w:bidi="th-TH"/>
        </w:rPr>
        <w:lastRenderedPageBreak/>
        <w:t>manufacturing paradigms. The products, which the software-defined vehicles will manufacture, will be capable of producing approximately 650 billion dollars by 2030, which is a radical change in value creation since value production was primarily created due to hardware vehicles (Chen, 2022).</w:t>
      </w:r>
    </w:p>
    <w:p w14:paraId="0EC442BA" w14:textId="4A54F6BB" w:rsidR="0040485B" w:rsidRPr="0040485B" w:rsidRDefault="008B5BF0" w:rsidP="0040485B">
      <w:pPr>
        <w:spacing w:line="360" w:lineRule="auto"/>
        <w:jc w:val="both"/>
        <w:rPr>
          <w:rFonts w:ascii="Arial" w:hAnsi="Arial" w:cs="Arial"/>
          <w:lang w:bidi="th-TH"/>
        </w:rPr>
      </w:pPr>
      <w:r w:rsidRPr="008B5BF0">
        <w:rPr>
          <w:rFonts w:ascii="Arial" w:hAnsi="Arial" w:cs="Arial"/>
          <w:lang w:bidi="th-TH"/>
        </w:rPr>
        <w:t xml:space="preserve">An example of this change can be given in the advancement of battery technology. Lithium-ion battery prices have come down by 89 percent since 2010, and now stand at approximately 139 per kilowatt-hour. </w:t>
      </w:r>
      <w:r w:rsidR="0040485B" w:rsidRPr="0040485B">
        <w:rPr>
          <w:rFonts w:ascii="Arial" w:hAnsi="Arial" w:cs="Arial"/>
          <w:lang w:bidi="th-TH"/>
        </w:rPr>
        <w:t>This technological trend has transformed the competitive environment because electric vehicles are able to stabilize the price base of internal combustion engine vehicles and have better factors of performance in acceleration and consumption of energy</w:t>
      </w:r>
      <w:r w:rsidR="0072697C">
        <w:rPr>
          <w:rFonts w:ascii="Arial" w:hAnsi="Arial" w:cs="Arial"/>
          <w:lang w:bidi="th-TH"/>
        </w:rPr>
        <w:t>.</w:t>
      </w:r>
    </w:p>
    <w:p w14:paraId="06FCDD7D" w14:textId="1A40A27A" w:rsidR="00BD0961" w:rsidRPr="000001A3" w:rsidRDefault="0040485B" w:rsidP="0040485B">
      <w:pPr>
        <w:spacing w:line="360" w:lineRule="auto"/>
        <w:jc w:val="both"/>
        <w:rPr>
          <w:rFonts w:ascii="Arial" w:hAnsi="Arial" w:cs="Arial"/>
          <w:lang w:bidi="th-TH"/>
        </w:rPr>
      </w:pPr>
      <w:r w:rsidRPr="0040485B">
        <w:rPr>
          <w:rFonts w:ascii="Arial" w:hAnsi="Arial" w:cs="Arial"/>
          <w:lang w:bidi="th-TH"/>
        </w:rPr>
        <w:t>Autopilot technology is also one of the other transformational forces (Chen, 2022). Level 4 and Level 5 autonomous vehicles cost businesses an average of more than 10 billion dollars per year to research and develop them. The sensor fusion and machine learning solutions advanced in such a way that the technology demands and the enormous volumes of real-world test data present a serious entry cost and at the same time opens up new dimensions of differentiation to the technologically advanced organizations.</w:t>
      </w:r>
    </w:p>
    <w:p w14:paraId="2DC9C839" w14:textId="31C8BA0C" w:rsidR="00BD0961" w:rsidRDefault="00BD0961" w:rsidP="000001A3">
      <w:pPr>
        <w:pStyle w:val="Heading2"/>
        <w:spacing w:line="360" w:lineRule="auto"/>
        <w:jc w:val="both"/>
        <w:rPr>
          <w:rFonts w:ascii="Arial" w:hAnsi="Arial" w:cs="Arial"/>
          <w:szCs w:val="24"/>
        </w:rPr>
      </w:pPr>
      <w:bookmarkStart w:id="3" w:name="_Toc214463210"/>
      <w:r w:rsidRPr="000001A3">
        <w:rPr>
          <w:rFonts w:ascii="Arial" w:hAnsi="Arial" w:cs="Arial"/>
          <w:szCs w:val="24"/>
        </w:rPr>
        <w:t>2.2 Environmental/Ecological Factors</w:t>
      </w:r>
      <w:bookmarkEnd w:id="3"/>
    </w:p>
    <w:p w14:paraId="2BF5F787" w14:textId="0B7772F7" w:rsidR="00261319" w:rsidRDefault="00261319" w:rsidP="00261319">
      <w:pPr>
        <w:rPr>
          <w:lang w:bidi="th-TH"/>
        </w:rPr>
      </w:pPr>
      <w:r>
        <w:rPr>
          <w:noProof/>
        </w:rPr>
        <w:drawing>
          <wp:inline distT="0" distB="0" distL="0" distR="0" wp14:anchorId="341BFCEC" wp14:editId="4F870FD6">
            <wp:extent cx="3371850" cy="1647825"/>
            <wp:effectExtent l="0" t="0" r="0" b="9525"/>
            <wp:docPr id="1012857857" name="Picture 2" descr="Environmental Friendly Practices in the Automotive Industry | SpringerLin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nvironmental Friendly Practices in the Automotive Industry | SpringerLink"/>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71850" cy="1647825"/>
                    </a:xfrm>
                    <a:prstGeom prst="rect">
                      <a:avLst/>
                    </a:prstGeom>
                    <a:noFill/>
                    <a:ln>
                      <a:noFill/>
                    </a:ln>
                  </pic:spPr>
                </pic:pic>
              </a:graphicData>
            </a:graphic>
          </wp:inline>
        </w:drawing>
      </w:r>
    </w:p>
    <w:p w14:paraId="1C5D5320" w14:textId="73A254D0" w:rsidR="00261319" w:rsidRPr="00261319" w:rsidRDefault="00261319" w:rsidP="00261319">
      <w:pPr>
        <w:rPr>
          <w:rFonts w:ascii="Arial" w:hAnsi="Arial" w:cs="Arial"/>
          <w:lang w:bidi="th-TH"/>
        </w:rPr>
      </w:pPr>
      <w:r w:rsidRPr="00261319">
        <w:rPr>
          <w:rFonts w:ascii="Arial" w:hAnsi="Arial" w:cs="Arial"/>
          <w:lang w:bidi="th-TH"/>
        </w:rPr>
        <w:t>Figure 2. Environmental affection</w:t>
      </w:r>
    </w:p>
    <w:p w14:paraId="531ED144" w14:textId="447702A9" w:rsidR="00261319" w:rsidRPr="00261319" w:rsidRDefault="00261319" w:rsidP="00261319">
      <w:pPr>
        <w:rPr>
          <w:lang w:bidi="th-TH"/>
        </w:rPr>
      </w:pPr>
      <w:r w:rsidRPr="00261319">
        <w:rPr>
          <w:rFonts w:ascii="Arial" w:hAnsi="Arial" w:cs="Arial"/>
          <w:lang w:bidi="th-TH"/>
        </w:rPr>
        <w:t>Source: (Fan and Iqbal, 2022)</w:t>
      </w:r>
    </w:p>
    <w:p w14:paraId="3F4BB145" w14:textId="257A7473" w:rsidR="00BD0961" w:rsidRPr="000001A3" w:rsidRDefault="005056B9" w:rsidP="000001A3">
      <w:pPr>
        <w:spacing w:line="360" w:lineRule="auto"/>
        <w:jc w:val="both"/>
        <w:rPr>
          <w:rFonts w:ascii="Arial" w:hAnsi="Arial" w:cs="Arial"/>
          <w:lang w:bidi="th-TH"/>
        </w:rPr>
      </w:pPr>
      <w:r w:rsidRPr="005056B9">
        <w:rPr>
          <w:rFonts w:ascii="Arial" w:hAnsi="Arial" w:cs="Arial"/>
          <w:lang w:bidi="th-TH"/>
        </w:rPr>
        <w:t>Emission caps are increasingly compulsory; the European Union has also developed a complete ban on selling new internal combustion engine cars by 2035 (Fan and Iqbal, 2022). These regulatory routes in California, China, and most other jurisdictions offer a feeling of urgency and an opportunity to manufacturers to transition to a zero-emission vehicle portfolio.</w:t>
      </w:r>
      <w:r w:rsidR="00612D7B" w:rsidRPr="000001A3">
        <w:rPr>
          <w:rFonts w:ascii="Arial" w:hAnsi="Arial" w:cs="Arial"/>
          <w:lang w:bidi="th-TH"/>
        </w:rPr>
        <w:t xml:space="preserve"> </w:t>
      </w:r>
      <w:r w:rsidR="00BD0961" w:rsidRPr="000001A3">
        <w:rPr>
          <w:rFonts w:ascii="Arial" w:hAnsi="Arial" w:cs="Arial"/>
          <w:lang w:bidi="th-TH"/>
        </w:rPr>
        <w:t xml:space="preserve">The level of consumer awareness </w:t>
      </w:r>
      <w:r w:rsidR="00F51E18" w:rsidRPr="000001A3">
        <w:rPr>
          <w:rFonts w:ascii="Arial" w:hAnsi="Arial" w:cs="Arial"/>
          <w:lang w:bidi="th-TH"/>
        </w:rPr>
        <w:t>of</w:t>
      </w:r>
      <w:r w:rsidR="00BD0961" w:rsidRPr="000001A3">
        <w:rPr>
          <w:rFonts w:ascii="Arial" w:hAnsi="Arial" w:cs="Arial"/>
          <w:lang w:bidi="th-TH"/>
        </w:rPr>
        <w:t xml:space="preserve"> environmental issues has become heightened. A study has shown that 73 percent of the </w:t>
      </w:r>
      <w:r w:rsidR="00F51E18" w:rsidRPr="000001A3">
        <w:rPr>
          <w:rFonts w:ascii="Arial" w:hAnsi="Arial" w:cs="Arial"/>
          <w:lang w:bidi="th-TH"/>
        </w:rPr>
        <w:t>world's</w:t>
      </w:r>
      <w:r w:rsidR="00BD0961" w:rsidRPr="000001A3">
        <w:rPr>
          <w:rFonts w:ascii="Arial" w:hAnsi="Arial" w:cs="Arial"/>
          <w:lang w:bidi="th-TH"/>
        </w:rPr>
        <w:t xml:space="preserve"> consumers will change their </w:t>
      </w:r>
      <w:r w:rsidR="00BD0961" w:rsidRPr="000001A3">
        <w:rPr>
          <w:rFonts w:ascii="Arial" w:hAnsi="Arial" w:cs="Arial"/>
          <w:lang w:bidi="th-TH"/>
        </w:rPr>
        <w:lastRenderedPageBreak/>
        <w:t xml:space="preserve">consumption patterns to </w:t>
      </w:r>
      <w:r w:rsidR="00F51E18" w:rsidRPr="000001A3">
        <w:rPr>
          <w:rFonts w:ascii="Arial" w:hAnsi="Arial" w:cs="Arial"/>
          <w:lang w:bidi="th-TH"/>
        </w:rPr>
        <w:t>be</w:t>
      </w:r>
      <w:r w:rsidR="00BD0961" w:rsidRPr="000001A3">
        <w:rPr>
          <w:rFonts w:ascii="Arial" w:hAnsi="Arial" w:cs="Arial"/>
          <w:lang w:bidi="th-TH"/>
        </w:rPr>
        <w:t xml:space="preserve"> less harmful to the environment, and younger generations are showing the highest interest in using sustainable products. This change of attitude is directly reflected in the purchasing </w:t>
      </w:r>
      <w:r w:rsidR="007708CE" w:rsidRPr="000001A3">
        <w:rPr>
          <w:rFonts w:ascii="Arial" w:hAnsi="Arial" w:cs="Arial"/>
          <w:lang w:bidi="th-TH"/>
        </w:rPr>
        <w:t>behavior</w:t>
      </w:r>
      <w:r w:rsidR="00BD0961" w:rsidRPr="000001A3">
        <w:rPr>
          <w:rFonts w:ascii="Arial" w:hAnsi="Arial" w:cs="Arial"/>
          <w:lang w:bidi="th-TH"/>
        </w:rPr>
        <w:t>, and the adoption rates of electric vehicles are growing faster than expected in various markets</w:t>
      </w:r>
      <w:r w:rsidR="00612D7B" w:rsidRPr="000001A3">
        <w:rPr>
          <w:rFonts w:ascii="Arial" w:hAnsi="Arial" w:cs="Arial"/>
          <w:lang w:bidi="th-TH"/>
        </w:rPr>
        <w:t xml:space="preserve"> (Fan and Iqbal, 2022)</w:t>
      </w:r>
      <w:r w:rsidR="00BD0961" w:rsidRPr="000001A3">
        <w:rPr>
          <w:rFonts w:ascii="Arial" w:hAnsi="Arial" w:cs="Arial"/>
          <w:lang w:bidi="th-TH"/>
        </w:rPr>
        <w:t>.</w:t>
      </w:r>
    </w:p>
    <w:p w14:paraId="55DC773C" w14:textId="4A7FBBE7" w:rsidR="00BD0961" w:rsidRPr="000001A3" w:rsidRDefault="00BD0961" w:rsidP="000001A3">
      <w:pPr>
        <w:spacing w:line="360" w:lineRule="auto"/>
        <w:jc w:val="both"/>
        <w:rPr>
          <w:rFonts w:ascii="Arial" w:hAnsi="Arial" w:cs="Arial"/>
          <w:lang w:bidi="th-TH"/>
        </w:rPr>
      </w:pPr>
      <w:r w:rsidRPr="000001A3">
        <w:rPr>
          <w:rFonts w:ascii="Arial" w:hAnsi="Arial" w:cs="Arial"/>
          <w:lang w:bidi="th-TH"/>
        </w:rPr>
        <w:t xml:space="preserve">These pressures are further aggravated by carbon pricing systems and environmental </w:t>
      </w:r>
      <w:r w:rsidR="00F51E18" w:rsidRPr="000001A3">
        <w:rPr>
          <w:rFonts w:ascii="Arial" w:hAnsi="Arial" w:cs="Arial"/>
          <w:lang w:bidi="th-TH"/>
        </w:rPr>
        <w:t>taxes</w:t>
      </w:r>
      <w:r w:rsidRPr="000001A3">
        <w:rPr>
          <w:rFonts w:ascii="Arial" w:hAnsi="Arial" w:cs="Arial"/>
          <w:lang w:bidi="th-TH"/>
        </w:rPr>
        <w:t xml:space="preserve">. The introduction of carbon border adjustment tools and </w:t>
      </w:r>
      <w:r w:rsidR="00F51E18" w:rsidRPr="000001A3">
        <w:rPr>
          <w:rFonts w:ascii="Arial" w:hAnsi="Arial" w:cs="Arial"/>
          <w:lang w:bidi="th-TH"/>
        </w:rPr>
        <w:t xml:space="preserve">the </w:t>
      </w:r>
      <w:r w:rsidRPr="000001A3">
        <w:rPr>
          <w:rFonts w:ascii="Arial" w:hAnsi="Arial" w:cs="Arial"/>
          <w:lang w:bidi="th-TH"/>
        </w:rPr>
        <w:t xml:space="preserve">intensification of the emissions trading programs </w:t>
      </w:r>
      <w:r w:rsidR="00F51E18" w:rsidRPr="000001A3">
        <w:rPr>
          <w:rFonts w:ascii="Arial" w:hAnsi="Arial" w:cs="Arial"/>
          <w:lang w:bidi="th-TH"/>
        </w:rPr>
        <w:t>make</w:t>
      </w:r>
      <w:r w:rsidRPr="000001A3">
        <w:rPr>
          <w:rFonts w:ascii="Arial" w:hAnsi="Arial" w:cs="Arial"/>
          <w:lang w:bidi="th-TH"/>
        </w:rPr>
        <w:t xml:space="preserve"> the use of conventional manufacturing strategies more expensive and </w:t>
      </w:r>
      <w:r w:rsidR="00F51E18" w:rsidRPr="000001A3">
        <w:rPr>
          <w:rFonts w:ascii="Arial" w:hAnsi="Arial" w:cs="Arial"/>
          <w:lang w:bidi="th-TH"/>
        </w:rPr>
        <w:t>introduce</w:t>
      </w:r>
      <w:r w:rsidRPr="000001A3">
        <w:rPr>
          <w:rFonts w:ascii="Arial" w:hAnsi="Arial" w:cs="Arial"/>
          <w:lang w:bidi="th-TH"/>
        </w:rPr>
        <w:t xml:space="preserve"> competitive edges to the organisations possessing well-developed sustainable production resources.</w:t>
      </w:r>
    </w:p>
    <w:p w14:paraId="05D72A78" w14:textId="2582C91B" w:rsidR="00BD0961" w:rsidRDefault="00BD0961" w:rsidP="000001A3">
      <w:pPr>
        <w:pStyle w:val="Heading2"/>
        <w:spacing w:line="360" w:lineRule="auto"/>
        <w:jc w:val="both"/>
        <w:rPr>
          <w:rFonts w:ascii="Arial" w:hAnsi="Arial" w:cs="Arial"/>
          <w:szCs w:val="24"/>
        </w:rPr>
      </w:pPr>
      <w:bookmarkStart w:id="4" w:name="_Toc214463211"/>
      <w:r w:rsidRPr="000001A3">
        <w:rPr>
          <w:rFonts w:ascii="Arial" w:hAnsi="Arial" w:cs="Arial"/>
          <w:szCs w:val="24"/>
        </w:rPr>
        <w:t>2.3 Opportunities and Threats of Pioneers</w:t>
      </w:r>
      <w:bookmarkEnd w:id="4"/>
    </w:p>
    <w:p w14:paraId="48163F46" w14:textId="4959363C" w:rsidR="004B7FA3" w:rsidRDefault="004B7FA3" w:rsidP="004B7FA3">
      <w:pPr>
        <w:rPr>
          <w:lang w:bidi="th-TH"/>
        </w:rPr>
      </w:pPr>
      <w:r>
        <w:rPr>
          <w:noProof/>
          <w:lang w:bidi="th-TH"/>
        </w:rPr>
        <w:drawing>
          <wp:inline distT="0" distB="0" distL="0" distR="0" wp14:anchorId="4EA1A221" wp14:editId="4258EE79">
            <wp:extent cx="4972050" cy="1952614"/>
            <wp:effectExtent l="0" t="0" r="0" b="0"/>
            <wp:docPr id="152305079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0">
                      <a:extLst>
                        <a:ext uri="{28A0092B-C50C-407E-A947-70E740481C1C}">
                          <a14:useLocalDpi xmlns:a14="http://schemas.microsoft.com/office/drawing/2010/main" val="0"/>
                        </a:ext>
                      </a:extLst>
                    </a:blip>
                    <a:srcRect t="8562" r="7282" b="21215"/>
                    <a:stretch>
                      <a:fillRect/>
                    </a:stretch>
                  </pic:blipFill>
                  <pic:spPr bwMode="auto">
                    <a:xfrm>
                      <a:off x="0" y="0"/>
                      <a:ext cx="4978229" cy="1955040"/>
                    </a:xfrm>
                    <a:prstGeom prst="rect">
                      <a:avLst/>
                    </a:prstGeom>
                    <a:noFill/>
                    <a:ln>
                      <a:noFill/>
                    </a:ln>
                    <a:extLst>
                      <a:ext uri="{53640926-AAD7-44D8-BBD7-CCE9431645EC}">
                        <a14:shadowObscured xmlns:a14="http://schemas.microsoft.com/office/drawing/2010/main"/>
                      </a:ext>
                    </a:extLst>
                  </pic:spPr>
                </pic:pic>
              </a:graphicData>
            </a:graphic>
          </wp:inline>
        </w:drawing>
      </w:r>
    </w:p>
    <w:p w14:paraId="4315D91C" w14:textId="2A176399" w:rsidR="004B7FA3" w:rsidRPr="00A67082" w:rsidRDefault="004B7FA3" w:rsidP="004B7FA3">
      <w:pPr>
        <w:rPr>
          <w:rFonts w:ascii="Arial" w:hAnsi="Arial" w:cs="Arial"/>
          <w:lang w:bidi="th-TH"/>
        </w:rPr>
      </w:pPr>
      <w:r w:rsidRPr="00A67082">
        <w:rPr>
          <w:rFonts w:ascii="Arial" w:hAnsi="Arial" w:cs="Arial"/>
          <w:lang w:bidi="th-TH"/>
        </w:rPr>
        <w:t>Figure 3. Technology’s Impact on Tesla</w:t>
      </w:r>
    </w:p>
    <w:p w14:paraId="728A78E1" w14:textId="5D64BE8E" w:rsidR="004B7FA3" w:rsidRPr="004B7FA3" w:rsidRDefault="004B7FA3" w:rsidP="004B7FA3">
      <w:pPr>
        <w:rPr>
          <w:lang w:bidi="th-TH"/>
        </w:rPr>
      </w:pPr>
      <w:r w:rsidRPr="00A67082">
        <w:rPr>
          <w:rFonts w:ascii="Arial" w:hAnsi="Arial" w:cs="Arial"/>
          <w:lang w:bidi="th-TH"/>
        </w:rPr>
        <w:t>Source: (Marković and Mijušković, 2022)</w:t>
      </w:r>
    </w:p>
    <w:p w14:paraId="46890F16" w14:textId="62BA8E86" w:rsidR="00BD0961" w:rsidRPr="000001A3" w:rsidRDefault="00BD0961" w:rsidP="000001A3">
      <w:pPr>
        <w:spacing w:line="360" w:lineRule="auto"/>
        <w:jc w:val="both"/>
        <w:rPr>
          <w:rFonts w:ascii="Arial" w:hAnsi="Arial" w:cs="Arial"/>
          <w:lang w:bidi="th-TH"/>
        </w:rPr>
      </w:pPr>
      <w:r w:rsidRPr="000001A3">
        <w:rPr>
          <w:rFonts w:ascii="Arial" w:hAnsi="Arial" w:cs="Arial"/>
          <w:lang w:bidi="th-TH"/>
        </w:rPr>
        <w:t>Technological leadership gives pioneer organisations like Tesla significant opportunities. The first mover advantages are brand name as the leader of innovation, building proprietary technology knowledge, and shaping the emerging market standards. The successful example that was Tesla</w:t>
      </w:r>
      <w:r w:rsidR="00F51E18" w:rsidRPr="000001A3">
        <w:rPr>
          <w:rFonts w:ascii="Arial" w:hAnsi="Arial" w:cs="Arial"/>
          <w:lang w:bidi="th-TH"/>
        </w:rPr>
        <w:t>,</w:t>
      </w:r>
      <w:r w:rsidRPr="000001A3">
        <w:rPr>
          <w:rFonts w:ascii="Arial" w:hAnsi="Arial" w:cs="Arial"/>
          <w:lang w:bidi="th-TH"/>
        </w:rPr>
        <w:t xml:space="preserve"> with its wide network of Superchargers</w:t>
      </w:r>
      <w:r w:rsidR="00F51E18" w:rsidRPr="000001A3">
        <w:rPr>
          <w:rFonts w:ascii="Arial" w:hAnsi="Arial" w:cs="Arial"/>
          <w:lang w:bidi="th-TH"/>
        </w:rPr>
        <w:t>,</w:t>
      </w:r>
      <w:r w:rsidRPr="000001A3">
        <w:rPr>
          <w:rFonts w:ascii="Arial" w:hAnsi="Arial" w:cs="Arial"/>
          <w:lang w:bidi="th-TH"/>
        </w:rPr>
        <w:t xml:space="preserve"> demonstrates that innovators can create the advantage of infrastructure that introduces the switching costs to consumers and the barriers to competitors</w:t>
      </w:r>
      <w:r w:rsidR="002578AC" w:rsidRPr="000001A3">
        <w:rPr>
          <w:rFonts w:ascii="Arial" w:hAnsi="Arial" w:cs="Arial"/>
          <w:lang w:bidi="th-TH"/>
        </w:rPr>
        <w:t xml:space="preserve"> (Marković and Mijušković, 2022)</w:t>
      </w:r>
      <w:r w:rsidRPr="000001A3">
        <w:rPr>
          <w:rFonts w:ascii="Arial" w:hAnsi="Arial" w:cs="Arial"/>
          <w:lang w:bidi="th-TH"/>
        </w:rPr>
        <w:t>.</w:t>
      </w:r>
      <w:r w:rsidR="00530562" w:rsidRPr="000001A3">
        <w:rPr>
          <w:rFonts w:ascii="Arial" w:hAnsi="Arial" w:cs="Arial"/>
          <w:lang w:bidi="th-TH"/>
        </w:rPr>
        <w:t xml:space="preserve"> </w:t>
      </w:r>
      <w:r w:rsidRPr="000001A3">
        <w:rPr>
          <w:rFonts w:ascii="Arial" w:hAnsi="Arial" w:cs="Arial"/>
          <w:lang w:bidi="th-TH"/>
        </w:rPr>
        <w:t xml:space="preserve">Another important advantage is the possibility </w:t>
      </w:r>
      <w:r w:rsidR="00F51E18" w:rsidRPr="000001A3">
        <w:rPr>
          <w:rFonts w:ascii="Arial" w:hAnsi="Arial" w:cs="Arial"/>
          <w:lang w:bidi="th-TH"/>
        </w:rPr>
        <w:t>of taking</w:t>
      </w:r>
      <w:r w:rsidRPr="000001A3">
        <w:rPr>
          <w:rFonts w:ascii="Arial" w:hAnsi="Arial" w:cs="Arial"/>
          <w:lang w:bidi="th-TH"/>
        </w:rPr>
        <w:t xml:space="preserve"> premium pricing. Customers are ready to pay price premiums on novel products, and Tesla continues to have the highest profit margins in the industry despite the entry by newer companies. Also, first movers enjoy the advantages of </w:t>
      </w:r>
      <w:r w:rsidR="00F51E18" w:rsidRPr="000001A3">
        <w:rPr>
          <w:rFonts w:ascii="Arial" w:hAnsi="Arial" w:cs="Arial"/>
          <w:lang w:bidi="th-TH"/>
        </w:rPr>
        <w:t xml:space="preserve">the </w:t>
      </w:r>
      <w:r w:rsidRPr="000001A3">
        <w:rPr>
          <w:rFonts w:ascii="Arial" w:hAnsi="Arial" w:cs="Arial"/>
          <w:lang w:bidi="th-TH"/>
        </w:rPr>
        <w:t>learning curve</w:t>
      </w:r>
      <w:r w:rsidR="00F51E18" w:rsidRPr="000001A3">
        <w:rPr>
          <w:rFonts w:ascii="Arial" w:hAnsi="Arial" w:cs="Arial"/>
          <w:lang w:bidi="th-TH"/>
        </w:rPr>
        <w:t>;</w:t>
      </w:r>
      <w:r w:rsidRPr="000001A3">
        <w:rPr>
          <w:rFonts w:ascii="Arial" w:hAnsi="Arial" w:cs="Arial"/>
          <w:lang w:bidi="th-TH"/>
        </w:rPr>
        <w:t xml:space="preserve"> they gain the experience of production and perfect their technologies before the competitors penetrate markets.</w:t>
      </w:r>
    </w:p>
    <w:p w14:paraId="1715A21E" w14:textId="41F86290" w:rsidR="00BD0961" w:rsidRPr="000001A3" w:rsidRDefault="00BD0961" w:rsidP="000001A3">
      <w:pPr>
        <w:spacing w:line="360" w:lineRule="auto"/>
        <w:jc w:val="both"/>
        <w:rPr>
          <w:rFonts w:ascii="Arial" w:hAnsi="Arial" w:cs="Arial"/>
          <w:lang w:bidi="th-TH"/>
        </w:rPr>
      </w:pPr>
      <w:r w:rsidRPr="000001A3">
        <w:rPr>
          <w:rFonts w:ascii="Arial" w:hAnsi="Arial" w:cs="Arial"/>
          <w:lang w:bidi="th-TH"/>
        </w:rPr>
        <w:lastRenderedPageBreak/>
        <w:t>Nonetheless, first-movers are rather threatened. Research and development present a considerable risk in terms of the financial cost, especially when there is a lack of certainty in the direction of technology</w:t>
      </w:r>
      <w:r w:rsidR="00621CC6" w:rsidRPr="000001A3">
        <w:rPr>
          <w:rFonts w:ascii="Arial" w:hAnsi="Arial" w:cs="Arial"/>
          <w:lang w:bidi="th-TH"/>
        </w:rPr>
        <w:t xml:space="preserve"> (Marković and Mijušković, 2022)</w:t>
      </w:r>
      <w:r w:rsidRPr="000001A3">
        <w:rPr>
          <w:rFonts w:ascii="Arial" w:hAnsi="Arial" w:cs="Arial"/>
          <w:lang w:bidi="th-TH"/>
        </w:rPr>
        <w:t>. The way in which Tesla managed to become profitable took approximately 20 years and involved several instances of almost going bankrupt, which serves as a good example of how risky pioneer positioning can be. Another challenge is the market education costs</w:t>
      </w:r>
      <w:r w:rsidR="00F51E18" w:rsidRPr="000001A3">
        <w:rPr>
          <w:rFonts w:ascii="Arial" w:hAnsi="Arial" w:cs="Arial"/>
          <w:lang w:bidi="th-TH"/>
        </w:rPr>
        <w:t>,</w:t>
      </w:r>
      <w:r w:rsidRPr="000001A3">
        <w:rPr>
          <w:rFonts w:ascii="Arial" w:hAnsi="Arial" w:cs="Arial"/>
          <w:lang w:bidi="th-TH"/>
        </w:rPr>
        <w:t xml:space="preserve"> where the pioneers are required to spend a lot of money on consumer education and development of infrastructure without a guarantee of market acceptance.</w:t>
      </w:r>
      <w:r w:rsidR="001B611A" w:rsidRPr="000001A3">
        <w:rPr>
          <w:rFonts w:ascii="Arial" w:hAnsi="Arial" w:cs="Arial"/>
          <w:lang w:bidi="th-TH"/>
        </w:rPr>
        <w:t xml:space="preserve"> </w:t>
      </w:r>
      <w:r w:rsidRPr="000001A3">
        <w:rPr>
          <w:rFonts w:ascii="Arial" w:hAnsi="Arial" w:cs="Arial"/>
          <w:lang w:bidi="th-TH"/>
        </w:rPr>
        <w:t xml:space="preserve">There is a technological uncertainty, which is further hazardous. Innovators can invest in technologies </w:t>
      </w:r>
      <w:r w:rsidR="00F51E18" w:rsidRPr="000001A3">
        <w:rPr>
          <w:rFonts w:ascii="Arial" w:hAnsi="Arial" w:cs="Arial"/>
          <w:lang w:bidi="th-TH"/>
        </w:rPr>
        <w:t>that</w:t>
      </w:r>
      <w:r w:rsidRPr="000001A3">
        <w:rPr>
          <w:rFonts w:ascii="Arial" w:hAnsi="Arial" w:cs="Arial"/>
          <w:lang w:bidi="th-TH"/>
        </w:rPr>
        <w:t xml:space="preserve"> end up being inferior or those markets fail to accept. Its capital requirements to build and operate battery plants, autonomous driving</w:t>
      </w:r>
      <w:r w:rsidR="00F51E18" w:rsidRPr="000001A3">
        <w:rPr>
          <w:rFonts w:ascii="Arial" w:hAnsi="Arial" w:cs="Arial"/>
          <w:lang w:bidi="th-TH"/>
        </w:rPr>
        <w:t>,</w:t>
      </w:r>
      <w:r w:rsidRPr="000001A3">
        <w:rPr>
          <w:rFonts w:ascii="Arial" w:hAnsi="Arial" w:cs="Arial"/>
          <w:lang w:bidi="th-TH"/>
        </w:rPr>
        <w:t xml:space="preserve"> and charging infrastructure </w:t>
      </w:r>
      <w:r w:rsidR="00F51E18" w:rsidRPr="000001A3">
        <w:rPr>
          <w:rFonts w:ascii="Arial" w:hAnsi="Arial" w:cs="Arial"/>
          <w:lang w:bidi="th-TH"/>
        </w:rPr>
        <w:t>are</w:t>
      </w:r>
      <w:r w:rsidRPr="000001A3">
        <w:rPr>
          <w:rFonts w:ascii="Arial" w:hAnsi="Arial" w:cs="Arial"/>
          <w:lang w:bidi="th-TH"/>
        </w:rPr>
        <w:t xml:space="preserve"> quite high; hence</w:t>
      </w:r>
      <w:r w:rsidR="00F51E18" w:rsidRPr="000001A3">
        <w:rPr>
          <w:rFonts w:ascii="Arial" w:hAnsi="Arial" w:cs="Arial"/>
          <w:lang w:bidi="th-TH"/>
        </w:rPr>
        <w:t>,</w:t>
      </w:r>
      <w:r w:rsidRPr="000001A3">
        <w:rPr>
          <w:rFonts w:ascii="Arial" w:hAnsi="Arial" w:cs="Arial"/>
          <w:lang w:bidi="th-TH"/>
        </w:rPr>
        <w:t xml:space="preserve"> it is financially vulnerable</w:t>
      </w:r>
      <w:r w:rsidR="00F51E18" w:rsidRPr="000001A3">
        <w:rPr>
          <w:rFonts w:ascii="Arial" w:hAnsi="Arial" w:cs="Arial"/>
          <w:lang w:bidi="th-TH"/>
        </w:rPr>
        <w:t>,</w:t>
      </w:r>
      <w:r w:rsidRPr="000001A3">
        <w:rPr>
          <w:rFonts w:ascii="Arial" w:hAnsi="Arial" w:cs="Arial"/>
          <w:lang w:bidi="th-TH"/>
        </w:rPr>
        <w:t xml:space="preserve"> especially in times of economic recessions when there is less availability of capital</w:t>
      </w:r>
      <w:r w:rsidR="007F1AE9" w:rsidRPr="000001A3">
        <w:rPr>
          <w:rFonts w:ascii="Arial" w:hAnsi="Arial" w:cs="Arial"/>
          <w:lang w:bidi="th-TH"/>
        </w:rPr>
        <w:t xml:space="preserve"> (Albert, Rubio and Valero, 2021)</w:t>
      </w:r>
      <w:r w:rsidRPr="000001A3">
        <w:rPr>
          <w:rFonts w:ascii="Arial" w:hAnsi="Arial" w:cs="Arial"/>
          <w:lang w:bidi="th-TH"/>
        </w:rPr>
        <w:t>.</w:t>
      </w:r>
    </w:p>
    <w:p w14:paraId="33F90628" w14:textId="25F19135" w:rsidR="00BD0961" w:rsidRPr="000001A3" w:rsidRDefault="00BD0961" w:rsidP="000001A3">
      <w:pPr>
        <w:pStyle w:val="Heading2"/>
        <w:spacing w:line="360" w:lineRule="auto"/>
        <w:jc w:val="both"/>
        <w:rPr>
          <w:rFonts w:ascii="Arial" w:hAnsi="Arial" w:cs="Arial"/>
          <w:szCs w:val="24"/>
        </w:rPr>
      </w:pPr>
      <w:bookmarkStart w:id="5" w:name="_Toc214463212"/>
      <w:r w:rsidRPr="000001A3">
        <w:rPr>
          <w:rFonts w:ascii="Arial" w:hAnsi="Arial" w:cs="Arial"/>
          <w:szCs w:val="24"/>
        </w:rPr>
        <w:t>2.4 Opportunities and Threats of Followers</w:t>
      </w:r>
      <w:bookmarkEnd w:id="5"/>
    </w:p>
    <w:p w14:paraId="0D1778CC" w14:textId="7A7C242B" w:rsidR="00BD0961" w:rsidRPr="000001A3" w:rsidRDefault="00BD0961" w:rsidP="000001A3">
      <w:pPr>
        <w:spacing w:line="360" w:lineRule="auto"/>
        <w:jc w:val="both"/>
        <w:rPr>
          <w:rFonts w:ascii="Arial" w:hAnsi="Arial" w:cs="Arial"/>
          <w:lang w:bidi="th-TH"/>
        </w:rPr>
      </w:pPr>
      <w:r w:rsidRPr="000001A3">
        <w:rPr>
          <w:rFonts w:ascii="Arial" w:hAnsi="Arial" w:cs="Arial"/>
          <w:lang w:bidi="th-TH"/>
        </w:rPr>
        <w:t xml:space="preserve">Such follower organisations as Toyota and Volkswagen face different opportunity profiles. By observing the mistakes of pioneers, followers will be able to save money on </w:t>
      </w:r>
      <w:r w:rsidR="00F51E18" w:rsidRPr="000001A3">
        <w:rPr>
          <w:rFonts w:ascii="Arial" w:hAnsi="Arial" w:cs="Arial"/>
          <w:lang w:bidi="th-TH"/>
        </w:rPr>
        <w:t>dead ends</w:t>
      </w:r>
      <w:r w:rsidRPr="000001A3">
        <w:rPr>
          <w:rFonts w:ascii="Arial" w:hAnsi="Arial" w:cs="Arial"/>
          <w:lang w:bidi="th-TH"/>
        </w:rPr>
        <w:t xml:space="preserve"> of the technology and make investments in the approaches that have already been proven (Schnaars, 1994). Being able to see how the market will react to novel services offered allows the followers to tailor product features, pricing policies, and marketing techniques out </w:t>
      </w:r>
      <w:r w:rsidR="00F51E18" w:rsidRPr="000001A3">
        <w:rPr>
          <w:rFonts w:ascii="Arial" w:hAnsi="Arial" w:cs="Arial"/>
          <w:lang w:bidi="th-TH"/>
        </w:rPr>
        <w:t>on</w:t>
      </w:r>
      <w:r w:rsidRPr="000001A3">
        <w:rPr>
          <w:rFonts w:ascii="Arial" w:hAnsi="Arial" w:cs="Arial"/>
          <w:lang w:bidi="th-TH"/>
        </w:rPr>
        <w:t xml:space="preserve"> facts instead of guesses.</w:t>
      </w:r>
      <w:r w:rsidR="009D43F3" w:rsidRPr="000001A3">
        <w:rPr>
          <w:rFonts w:ascii="Arial" w:hAnsi="Arial" w:cs="Arial"/>
          <w:lang w:bidi="th-TH"/>
        </w:rPr>
        <w:t xml:space="preserve"> </w:t>
      </w:r>
      <w:r w:rsidRPr="000001A3">
        <w:rPr>
          <w:rFonts w:ascii="Arial" w:hAnsi="Arial" w:cs="Arial"/>
          <w:lang w:bidi="th-TH"/>
        </w:rPr>
        <w:t xml:space="preserve">Another great opportunity is </w:t>
      </w:r>
      <w:r w:rsidR="00F51E18" w:rsidRPr="000001A3">
        <w:rPr>
          <w:rFonts w:ascii="Arial" w:hAnsi="Arial" w:cs="Arial"/>
          <w:lang w:bidi="th-TH"/>
        </w:rPr>
        <w:t xml:space="preserve">the </w:t>
      </w:r>
      <w:r w:rsidRPr="000001A3">
        <w:rPr>
          <w:rFonts w:ascii="Arial" w:hAnsi="Arial" w:cs="Arial"/>
          <w:lang w:bidi="th-TH"/>
        </w:rPr>
        <w:t>cost advantages. There is no pioneering cost that followers have to bear in market education, infrastructure development, and low initial-stage technological refinemen</w:t>
      </w:r>
      <w:r w:rsidR="00397826" w:rsidRPr="000001A3">
        <w:rPr>
          <w:rFonts w:ascii="Arial" w:hAnsi="Arial" w:cs="Arial"/>
          <w:lang w:bidi="th-TH"/>
        </w:rPr>
        <w:t xml:space="preserve"> (Albert, Rubio and Valero, 2021)</w:t>
      </w:r>
      <w:r w:rsidRPr="000001A3">
        <w:rPr>
          <w:rFonts w:ascii="Arial" w:hAnsi="Arial" w:cs="Arial"/>
          <w:lang w:bidi="th-TH"/>
        </w:rPr>
        <w:t>t. The example of Toyota and its strategic patience in terms of battery-electric vehicles, even though the company continues to lead in terms of hybrids, is rather illustrative since it demonstrates how the followers may retain the profitability, whilst keeping track of the situation in the market.</w:t>
      </w:r>
      <w:r w:rsidR="009D43F3" w:rsidRPr="000001A3">
        <w:rPr>
          <w:rFonts w:ascii="Arial" w:hAnsi="Arial" w:cs="Arial"/>
          <w:lang w:bidi="th-TH"/>
        </w:rPr>
        <w:t xml:space="preserve"> </w:t>
      </w:r>
      <w:r w:rsidRPr="000001A3">
        <w:rPr>
          <w:rFonts w:ascii="Arial" w:hAnsi="Arial" w:cs="Arial"/>
          <w:lang w:bidi="th-TH"/>
        </w:rPr>
        <w:t>The scale of manufacturing gives even more benefits to the followers. It has built manufacturing capacity, supplier relations</w:t>
      </w:r>
      <w:r w:rsidR="00F51E18" w:rsidRPr="000001A3">
        <w:rPr>
          <w:rFonts w:ascii="Arial" w:hAnsi="Arial" w:cs="Arial"/>
          <w:lang w:bidi="th-TH"/>
        </w:rPr>
        <w:t>,</w:t>
      </w:r>
      <w:r w:rsidRPr="000001A3">
        <w:rPr>
          <w:rFonts w:ascii="Arial" w:hAnsi="Arial" w:cs="Arial"/>
          <w:lang w:bidi="th-TH"/>
        </w:rPr>
        <w:t xml:space="preserve"> and distribution infrastructure, so that</w:t>
      </w:r>
      <w:r w:rsidR="00F51E18" w:rsidRPr="000001A3">
        <w:rPr>
          <w:rFonts w:ascii="Arial" w:hAnsi="Arial" w:cs="Arial"/>
          <w:lang w:bidi="th-TH"/>
        </w:rPr>
        <w:t>,</w:t>
      </w:r>
      <w:r w:rsidRPr="000001A3">
        <w:rPr>
          <w:rFonts w:ascii="Arial" w:hAnsi="Arial" w:cs="Arial"/>
          <w:lang w:bidi="th-TH"/>
        </w:rPr>
        <w:t xml:space="preserve"> on market attractiveness</w:t>
      </w:r>
      <w:r w:rsidR="009D43F3" w:rsidRPr="000001A3">
        <w:rPr>
          <w:rFonts w:ascii="Arial" w:hAnsi="Arial" w:cs="Arial"/>
          <w:lang w:bidi="th-TH"/>
        </w:rPr>
        <w:t>,</w:t>
      </w:r>
      <w:r w:rsidRPr="000001A3">
        <w:rPr>
          <w:rFonts w:ascii="Arial" w:hAnsi="Arial" w:cs="Arial"/>
          <w:lang w:bidi="th-TH"/>
        </w:rPr>
        <w:t xml:space="preserve"> they can scale up quickly. The case of Volkswagen producing 1.5 million electric cars per year in 2025 reveals that the followers could use the capabilities of the company they are involved with to ensure a quick penetration into the market</w:t>
      </w:r>
      <w:r w:rsidR="00391EAF" w:rsidRPr="000001A3">
        <w:rPr>
          <w:rFonts w:ascii="Arial" w:hAnsi="Arial" w:cs="Arial"/>
          <w:lang w:bidi="th-TH"/>
        </w:rPr>
        <w:t xml:space="preserve"> (Adamik and Lisowski, 2025)</w:t>
      </w:r>
      <w:r w:rsidRPr="000001A3">
        <w:rPr>
          <w:rFonts w:ascii="Arial" w:hAnsi="Arial" w:cs="Arial"/>
          <w:lang w:bidi="th-TH"/>
        </w:rPr>
        <w:t>.</w:t>
      </w:r>
    </w:p>
    <w:p w14:paraId="74965F60" w14:textId="2433FE35" w:rsidR="00466B84" w:rsidRPr="000001A3" w:rsidRDefault="00BD0961" w:rsidP="000001A3">
      <w:pPr>
        <w:spacing w:line="360" w:lineRule="auto"/>
        <w:jc w:val="both"/>
        <w:rPr>
          <w:rFonts w:ascii="Arial" w:hAnsi="Arial" w:cs="Arial"/>
          <w:lang w:bidi="th-TH"/>
        </w:rPr>
      </w:pPr>
      <w:r w:rsidRPr="000001A3">
        <w:rPr>
          <w:rFonts w:ascii="Arial" w:hAnsi="Arial" w:cs="Arial"/>
          <w:lang w:bidi="th-TH"/>
        </w:rPr>
        <w:lastRenderedPageBreak/>
        <w:t>Nevertheless, there are significant threats to its followers. The first threat is market share erosion</w:t>
      </w:r>
      <w:r w:rsidR="00F51E18" w:rsidRPr="000001A3">
        <w:rPr>
          <w:rFonts w:ascii="Arial" w:hAnsi="Arial" w:cs="Arial"/>
          <w:lang w:bidi="th-TH"/>
        </w:rPr>
        <w:t>,</w:t>
      </w:r>
      <w:r w:rsidRPr="000001A3">
        <w:rPr>
          <w:rFonts w:ascii="Arial" w:hAnsi="Arial" w:cs="Arial"/>
          <w:lang w:bidi="th-TH"/>
        </w:rPr>
        <w:t xml:space="preserve"> in which first movers create brand loyalty and win over </w:t>
      </w:r>
      <w:r w:rsidR="00F51E18" w:rsidRPr="000001A3">
        <w:rPr>
          <w:rFonts w:ascii="Arial" w:hAnsi="Arial" w:cs="Arial"/>
          <w:lang w:bidi="th-TH"/>
        </w:rPr>
        <w:t>customers</w:t>
      </w:r>
      <w:r w:rsidRPr="000001A3">
        <w:rPr>
          <w:rFonts w:ascii="Arial" w:hAnsi="Arial" w:cs="Arial"/>
          <w:lang w:bidi="th-TH"/>
        </w:rPr>
        <w:t xml:space="preserve"> who shape the perceptions of the rest of the market. These issues of resistance to overcoming brand pioneer associations are especially acute in the markets that rely on technological aspects because the perception of innovation is an important determinant in purchasing decisions.</w:t>
      </w:r>
      <w:r w:rsidR="009D43F3" w:rsidRPr="000001A3">
        <w:rPr>
          <w:rFonts w:ascii="Arial" w:hAnsi="Arial" w:cs="Arial"/>
          <w:lang w:bidi="th-TH"/>
        </w:rPr>
        <w:t xml:space="preserve"> </w:t>
      </w:r>
      <w:r w:rsidRPr="000001A3">
        <w:rPr>
          <w:rFonts w:ascii="Arial" w:hAnsi="Arial" w:cs="Arial"/>
          <w:lang w:bidi="th-TH"/>
        </w:rPr>
        <w:t>The risk to the followers is that they are not taken as innovative as they are seen to be imitative</w:t>
      </w:r>
      <w:r w:rsidR="00F51E18" w:rsidRPr="000001A3">
        <w:rPr>
          <w:rFonts w:ascii="Arial" w:hAnsi="Arial" w:cs="Arial"/>
          <w:lang w:bidi="th-TH"/>
        </w:rPr>
        <w:t>,</w:t>
      </w:r>
      <w:r w:rsidRPr="000001A3">
        <w:rPr>
          <w:rFonts w:ascii="Arial" w:hAnsi="Arial" w:cs="Arial"/>
          <w:lang w:bidi="th-TH"/>
        </w:rPr>
        <w:t xml:space="preserve"> and they may not be able to price at a premium</w:t>
      </w:r>
      <w:r w:rsidR="00DE56F4" w:rsidRPr="000001A3">
        <w:rPr>
          <w:rFonts w:ascii="Arial" w:hAnsi="Arial" w:cs="Arial"/>
          <w:lang w:bidi="th-TH"/>
        </w:rPr>
        <w:t xml:space="preserve"> (Adamik and Lisowski, 2025)</w:t>
      </w:r>
      <w:r w:rsidRPr="000001A3">
        <w:rPr>
          <w:rFonts w:ascii="Arial" w:hAnsi="Arial" w:cs="Arial"/>
          <w:lang w:bidi="th-TH"/>
        </w:rPr>
        <w:t>. Also, there is the risk of delayed entry necessitating acceptance of technical standards set by pioneers</w:t>
      </w:r>
      <w:r w:rsidR="00F51E18" w:rsidRPr="000001A3">
        <w:rPr>
          <w:rFonts w:ascii="Arial" w:hAnsi="Arial" w:cs="Arial"/>
          <w:lang w:bidi="th-TH"/>
        </w:rPr>
        <w:t>,</w:t>
      </w:r>
      <w:r w:rsidRPr="000001A3">
        <w:rPr>
          <w:rFonts w:ascii="Arial" w:hAnsi="Arial" w:cs="Arial"/>
          <w:lang w:bidi="th-TH"/>
        </w:rPr>
        <w:t xml:space="preserve"> such that further differentiation opportunities are limited, and dependency on ecosystems controlled by pioneers occurs. The repositioning of the follower to the leader involves a lot of investment without assurances of success, which creates strategic uncertainty.</w:t>
      </w:r>
    </w:p>
    <w:p w14:paraId="1222E739" w14:textId="08F01765" w:rsidR="009D43F3" w:rsidRPr="000001A3" w:rsidRDefault="00964419" w:rsidP="000001A3">
      <w:pPr>
        <w:pStyle w:val="Heading1"/>
        <w:spacing w:line="360" w:lineRule="auto"/>
        <w:jc w:val="both"/>
        <w:rPr>
          <w:rFonts w:ascii="Arial" w:hAnsi="Arial" w:cs="Arial"/>
          <w:szCs w:val="24"/>
        </w:rPr>
      </w:pPr>
      <w:bookmarkStart w:id="6" w:name="_Toc214463213"/>
      <w:r w:rsidRPr="000001A3">
        <w:rPr>
          <w:rFonts w:ascii="Arial" w:hAnsi="Arial" w:cs="Arial"/>
          <w:szCs w:val="24"/>
        </w:rPr>
        <w:t>3. Task 2: Strategic Responses to External Factors</w:t>
      </w:r>
      <w:bookmarkEnd w:id="6"/>
    </w:p>
    <w:p w14:paraId="21B6E9F7" w14:textId="7457266E" w:rsidR="00964419" w:rsidRPr="000001A3" w:rsidRDefault="002151AF" w:rsidP="000001A3">
      <w:pPr>
        <w:pStyle w:val="Heading2"/>
        <w:spacing w:line="360" w:lineRule="auto"/>
        <w:jc w:val="both"/>
        <w:rPr>
          <w:rFonts w:ascii="Arial" w:hAnsi="Arial" w:cs="Arial"/>
          <w:szCs w:val="24"/>
        </w:rPr>
      </w:pPr>
      <w:bookmarkStart w:id="7" w:name="_Toc214463214"/>
      <w:r w:rsidRPr="000001A3">
        <w:rPr>
          <w:rFonts w:ascii="Arial" w:hAnsi="Arial" w:cs="Arial"/>
          <w:szCs w:val="24"/>
        </w:rPr>
        <w:t>3.1 Pioneer Strategic Responses</w:t>
      </w:r>
      <w:bookmarkEnd w:id="7"/>
    </w:p>
    <w:p w14:paraId="33A2804E" w14:textId="20107326" w:rsidR="004E6C9B" w:rsidRPr="000001A3" w:rsidRDefault="007107AC" w:rsidP="000001A3">
      <w:pPr>
        <w:spacing w:line="360" w:lineRule="auto"/>
        <w:jc w:val="both"/>
        <w:rPr>
          <w:rFonts w:ascii="Arial" w:hAnsi="Arial" w:cs="Arial"/>
          <w:b/>
          <w:bCs/>
          <w:lang w:bidi="th-TH"/>
        </w:rPr>
      </w:pPr>
      <w:r w:rsidRPr="000001A3">
        <w:rPr>
          <w:rFonts w:ascii="Arial" w:hAnsi="Arial" w:cs="Arial"/>
          <w:b/>
          <w:bCs/>
          <w:lang w:bidi="th-TH"/>
        </w:rPr>
        <w:t>Product Innovation and Differentiation Strategy</w:t>
      </w:r>
    </w:p>
    <w:p w14:paraId="2F14F914" w14:textId="1C4E2847" w:rsidR="00DD71F2" w:rsidRPr="00DD71F2" w:rsidRDefault="00DD71F2" w:rsidP="00DD71F2">
      <w:pPr>
        <w:spacing w:line="360" w:lineRule="auto"/>
        <w:jc w:val="both"/>
        <w:rPr>
          <w:rFonts w:ascii="Arial" w:hAnsi="Arial" w:cs="Arial"/>
          <w:lang w:bidi="th-TH"/>
        </w:rPr>
      </w:pPr>
      <w:r w:rsidRPr="00DD71F2">
        <w:rPr>
          <w:rFonts w:ascii="Arial" w:hAnsi="Arial" w:cs="Arial"/>
          <w:lang w:bidi="th-TH"/>
        </w:rPr>
        <w:t>Tesla response to technological and environmental conditions is based on radical differentiation of products developed through continuous innovation. The company has reinvented the electric car concept and preferred the products as high-performance cars rather than a trade-off with the environment. This kind of strategy is exemplified by over-the-air software updates offered by Tesla and can enable cars to be more useful after sale, with new functionality, enhanced autopilot power, and expanded range (Zhou, 2023). The plan will put vehicles out of the range of products and dynamic platforms, creating a competitive advantage that is sustained and meeting the challenge of technological advancements. The plan builds a customer loyalty by constantly developing new value, a distinction between Tesla and the traditional manufacturers of whose products have predetermined specifications</w:t>
      </w:r>
      <w:r w:rsidR="0015489E">
        <w:rPr>
          <w:rFonts w:ascii="Arial" w:hAnsi="Arial" w:cs="Arial"/>
          <w:lang w:bidi="th-TH"/>
        </w:rPr>
        <w:t>.</w:t>
      </w:r>
    </w:p>
    <w:p w14:paraId="52A43467" w14:textId="7154E346" w:rsidR="00DD71F2" w:rsidRPr="001B1F6E" w:rsidRDefault="00DD71F2" w:rsidP="00DD71F2">
      <w:pPr>
        <w:spacing w:line="360" w:lineRule="auto"/>
        <w:jc w:val="both"/>
        <w:rPr>
          <w:rFonts w:ascii="Arial" w:hAnsi="Arial" w:cs="Arial"/>
          <w:b/>
          <w:bCs/>
          <w:lang w:bidi="th-TH"/>
        </w:rPr>
      </w:pPr>
      <w:r w:rsidRPr="001B1F6E">
        <w:rPr>
          <w:rFonts w:ascii="Arial" w:hAnsi="Arial" w:cs="Arial"/>
          <w:b/>
          <w:bCs/>
          <w:lang w:bidi="th-TH"/>
        </w:rPr>
        <w:t>Direct Distribution and Pricing Strategy</w:t>
      </w:r>
    </w:p>
    <w:p w14:paraId="67C93424" w14:textId="007B3FD8" w:rsidR="004E6C9B" w:rsidRPr="000001A3" w:rsidRDefault="00DD71F2" w:rsidP="00DD71F2">
      <w:pPr>
        <w:spacing w:line="360" w:lineRule="auto"/>
        <w:jc w:val="both"/>
        <w:rPr>
          <w:rFonts w:ascii="Arial" w:hAnsi="Arial" w:cs="Arial"/>
          <w:lang w:bidi="th-TH"/>
        </w:rPr>
      </w:pPr>
      <w:r w:rsidRPr="00DD71F2">
        <w:rPr>
          <w:rFonts w:ascii="Arial" w:hAnsi="Arial" w:cs="Arial"/>
          <w:lang w:bidi="th-TH"/>
        </w:rPr>
        <w:t xml:space="preserve">Tesla developed disruptive distribution models and Tesla has eliminated the conventional dealer distribution channels and has substituted it with showrooms, online selling tools owned by the company. Under this model, where direct-to-consumer is applied, complete </w:t>
      </w:r>
      <w:r w:rsidRPr="00DD71F2">
        <w:rPr>
          <w:rFonts w:ascii="Arial" w:hAnsi="Arial" w:cs="Arial"/>
          <w:lang w:bidi="th-TH"/>
        </w:rPr>
        <w:lastRenderedPageBreak/>
        <w:t>control of such factors as customer experience, branding, and pricing uniformity is provided in diverse markets. The model addresses environmental consciousness by ensuring reduced distribution complexity and simplifying the transparent pricing with no dealer markups (Zhou, 2023). Tesla applies high-end pricing strategies which are an indication of technological innovation, sustainable positioning and pricing is between 45,000 to 150,000 depending on the specifications of the models.</w:t>
      </w:r>
      <w:r w:rsidR="004E6C9B" w:rsidRPr="000001A3">
        <w:rPr>
          <w:rFonts w:ascii="Arial" w:hAnsi="Arial" w:cs="Arial"/>
          <w:lang w:bidi="th-TH"/>
        </w:rPr>
        <w:t xml:space="preserve"> This pricing strategy secures returns based on early adopters and preserves brand prestige, but current price changes reflect tactical flexibility to keep growing market share with increasing competitors entering the market.</w:t>
      </w:r>
    </w:p>
    <w:p w14:paraId="2CE22FE2" w14:textId="6961FB14" w:rsidR="004E6C9B" w:rsidRPr="000001A3" w:rsidRDefault="00020BB9" w:rsidP="000001A3">
      <w:pPr>
        <w:spacing w:line="360" w:lineRule="auto"/>
        <w:jc w:val="both"/>
        <w:rPr>
          <w:rFonts w:ascii="Arial" w:hAnsi="Arial" w:cs="Arial"/>
          <w:b/>
          <w:bCs/>
          <w:lang w:bidi="th-TH"/>
        </w:rPr>
      </w:pPr>
      <w:r w:rsidRPr="000001A3">
        <w:rPr>
          <w:rFonts w:ascii="Arial" w:hAnsi="Arial" w:cs="Arial"/>
          <w:b/>
          <w:bCs/>
          <w:lang w:bidi="th-TH"/>
        </w:rPr>
        <w:t>Integrated Marketing Communication Strategy</w:t>
      </w:r>
    </w:p>
    <w:p w14:paraId="7C53ACAB" w14:textId="72665CF7" w:rsidR="004E6C9B" w:rsidRPr="000001A3" w:rsidRDefault="004E6C9B" w:rsidP="000001A3">
      <w:pPr>
        <w:spacing w:line="360" w:lineRule="auto"/>
        <w:jc w:val="both"/>
        <w:rPr>
          <w:rFonts w:ascii="Arial" w:hAnsi="Arial" w:cs="Arial"/>
          <w:lang w:bidi="th-TH"/>
        </w:rPr>
      </w:pPr>
      <w:r w:rsidRPr="000001A3">
        <w:rPr>
          <w:rFonts w:ascii="Arial" w:hAnsi="Arial" w:cs="Arial"/>
          <w:lang w:bidi="th-TH"/>
        </w:rPr>
        <w:t>The marketing approach of Tesla is radically different as it does not spend on automotive industry advertising. The company spends a small amount of money on traditional media, but makes use of product demonstrations, customer advocacy programmes, and the visibility of the company executives to create awareness</w:t>
      </w:r>
      <w:r w:rsidR="001B0EDE" w:rsidRPr="000001A3">
        <w:rPr>
          <w:rFonts w:ascii="Arial" w:hAnsi="Arial" w:cs="Arial"/>
          <w:lang w:bidi="th-TH"/>
        </w:rPr>
        <w:t xml:space="preserve"> (Gao, 2023)</w:t>
      </w:r>
      <w:r w:rsidRPr="000001A3">
        <w:rPr>
          <w:rFonts w:ascii="Arial" w:hAnsi="Arial" w:cs="Arial"/>
          <w:lang w:bidi="th-TH"/>
        </w:rPr>
        <w:t>. The social media presence of the CEO</w:t>
      </w:r>
      <w:r w:rsidR="00F51E18" w:rsidRPr="000001A3">
        <w:rPr>
          <w:rFonts w:ascii="Arial" w:hAnsi="Arial" w:cs="Arial"/>
          <w:lang w:bidi="th-TH"/>
        </w:rPr>
        <w:t>,</w:t>
      </w:r>
      <w:r w:rsidRPr="000001A3">
        <w:rPr>
          <w:rFonts w:ascii="Arial" w:hAnsi="Arial" w:cs="Arial"/>
          <w:lang w:bidi="th-TH"/>
        </w:rPr>
        <w:t xml:space="preserve"> Elon Musk, who has more than 160 million followers, is the main channel of communication, which generates credibility with target audiences. The strategy is especially effective among technologically advanced consumers </w:t>
      </w:r>
      <w:r w:rsidR="00F51E18" w:rsidRPr="000001A3">
        <w:rPr>
          <w:rFonts w:ascii="Arial" w:hAnsi="Arial" w:cs="Arial"/>
          <w:lang w:bidi="th-TH"/>
        </w:rPr>
        <w:t>who</w:t>
      </w:r>
      <w:r w:rsidRPr="000001A3">
        <w:rPr>
          <w:rFonts w:ascii="Arial" w:hAnsi="Arial" w:cs="Arial"/>
          <w:lang w:bidi="th-TH"/>
        </w:rPr>
        <w:t xml:space="preserve"> have little or no faith in traditional advertising. The referral programme by Tesla is a form of an incentive to its customers who are already witnesses of the brand to become brand advocates, which is a source of qualified leads and supports community building. The strategy is a response to the environment by focusing on reality sustainability credentials as opposed to greenwashing through pricey marketing efforts</w:t>
      </w:r>
      <w:r w:rsidR="00BC1E7B" w:rsidRPr="000001A3">
        <w:rPr>
          <w:rFonts w:ascii="Arial" w:hAnsi="Arial" w:cs="Arial"/>
          <w:lang w:bidi="th-TH"/>
        </w:rPr>
        <w:t xml:space="preserve"> (Gao, 2023)</w:t>
      </w:r>
      <w:r w:rsidRPr="000001A3">
        <w:rPr>
          <w:rFonts w:ascii="Arial" w:hAnsi="Arial" w:cs="Arial"/>
          <w:lang w:bidi="th-TH"/>
        </w:rPr>
        <w:t>.</w:t>
      </w:r>
    </w:p>
    <w:p w14:paraId="31140579" w14:textId="146A28D0" w:rsidR="004E6C9B" w:rsidRPr="000001A3" w:rsidRDefault="00AB4302" w:rsidP="000001A3">
      <w:pPr>
        <w:spacing w:line="360" w:lineRule="auto"/>
        <w:jc w:val="both"/>
        <w:rPr>
          <w:rFonts w:ascii="Arial" w:hAnsi="Arial" w:cs="Arial"/>
          <w:lang w:bidi="th-TH"/>
        </w:rPr>
      </w:pPr>
      <w:r w:rsidRPr="000001A3">
        <w:rPr>
          <w:rFonts w:ascii="Arial" w:hAnsi="Arial" w:cs="Arial"/>
          <w:b/>
          <w:bCs/>
          <w:lang w:bidi="th-TH"/>
        </w:rPr>
        <w:t>Ecosystem Development Strategy</w:t>
      </w:r>
    </w:p>
    <w:p w14:paraId="6822B56B" w14:textId="575596F3" w:rsidR="004E6C9B" w:rsidRPr="000001A3" w:rsidRDefault="004E6C9B" w:rsidP="000001A3">
      <w:pPr>
        <w:spacing w:line="360" w:lineRule="auto"/>
        <w:jc w:val="both"/>
        <w:rPr>
          <w:rFonts w:ascii="Arial" w:hAnsi="Arial" w:cs="Arial"/>
          <w:lang w:bidi="th-TH"/>
        </w:rPr>
      </w:pPr>
      <w:r w:rsidRPr="000001A3">
        <w:rPr>
          <w:rFonts w:ascii="Arial" w:hAnsi="Arial" w:cs="Arial"/>
          <w:lang w:bidi="th-TH"/>
        </w:rPr>
        <w:t>Another aspect of the strategic response of Tesla entails the extensive development of the ecosystem, especially the investment in charging infrastructure. The Supercharger network of more than 50,000 stations worldwide removes range anxiety and establishes significant switching costs to consumers who want to switch brands</w:t>
      </w:r>
      <w:r w:rsidR="00BC1E7B" w:rsidRPr="000001A3">
        <w:rPr>
          <w:rFonts w:ascii="Arial" w:hAnsi="Arial" w:cs="Arial"/>
          <w:lang w:bidi="th-TH"/>
        </w:rPr>
        <w:t xml:space="preserve"> (Lei, 2025)</w:t>
      </w:r>
      <w:r w:rsidRPr="000001A3">
        <w:rPr>
          <w:rFonts w:ascii="Arial" w:hAnsi="Arial" w:cs="Arial"/>
          <w:lang w:bidi="th-TH"/>
        </w:rPr>
        <w:t>. This infrastructure plan reacts to the obstacles to adopting technology</w:t>
      </w:r>
      <w:r w:rsidR="00F51E18" w:rsidRPr="000001A3">
        <w:rPr>
          <w:rFonts w:ascii="Arial" w:hAnsi="Arial" w:cs="Arial"/>
          <w:lang w:bidi="th-TH"/>
        </w:rPr>
        <w:t>,</w:t>
      </w:r>
      <w:r w:rsidRPr="000001A3">
        <w:rPr>
          <w:rFonts w:ascii="Arial" w:hAnsi="Arial" w:cs="Arial"/>
          <w:lang w:bidi="th-TH"/>
        </w:rPr>
        <w:t xml:space="preserve"> specifically to allow long-distance travel and minimize the charging time to competitive levels. The new move to open the charging networks to competitors is an indication of strategic development, which puts Tesla in a position to realise revenue on infrastructure investments, though it </w:t>
      </w:r>
      <w:r w:rsidRPr="000001A3">
        <w:rPr>
          <w:rFonts w:ascii="Arial" w:hAnsi="Arial" w:cs="Arial"/>
          <w:lang w:bidi="th-TH"/>
        </w:rPr>
        <w:lastRenderedPageBreak/>
        <w:t xml:space="preserve">has </w:t>
      </w:r>
      <w:r w:rsidR="00F51E18" w:rsidRPr="000001A3">
        <w:rPr>
          <w:rFonts w:ascii="Arial" w:hAnsi="Arial" w:cs="Arial"/>
          <w:lang w:bidi="th-TH"/>
        </w:rPr>
        <w:t xml:space="preserve">the </w:t>
      </w:r>
      <w:r w:rsidRPr="000001A3">
        <w:rPr>
          <w:rFonts w:ascii="Arial" w:hAnsi="Arial" w:cs="Arial"/>
          <w:lang w:bidi="th-TH"/>
        </w:rPr>
        <w:t xml:space="preserve">potential </w:t>
      </w:r>
      <w:r w:rsidR="00F51E18" w:rsidRPr="000001A3">
        <w:rPr>
          <w:rFonts w:ascii="Arial" w:hAnsi="Arial" w:cs="Arial"/>
          <w:lang w:bidi="th-TH"/>
        </w:rPr>
        <w:t>to create</w:t>
      </w:r>
      <w:r w:rsidRPr="000001A3">
        <w:rPr>
          <w:rFonts w:ascii="Arial" w:hAnsi="Arial" w:cs="Arial"/>
          <w:lang w:bidi="th-TH"/>
        </w:rPr>
        <w:t xml:space="preserve"> proprietary charging standards as industry standards. This is also applied to energy products, whereby Powerwall home batteries and solar systems form holistic</w:t>
      </w:r>
      <w:r w:rsidR="00F51E18" w:rsidRPr="000001A3">
        <w:rPr>
          <w:rFonts w:ascii="Arial" w:hAnsi="Arial" w:cs="Arial"/>
          <w:lang w:bidi="th-TH"/>
        </w:rPr>
        <w:t>,</w:t>
      </w:r>
      <w:r w:rsidRPr="000001A3">
        <w:rPr>
          <w:rFonts w:ascii="Arial" w:hAnsi="Arial" w:cs="Arial"/>
          <w:lang w:bidi="th-TH"/>
        </w:rPr>
        <w:t xml:space="preserve"> environmentally aware energy products</w:t>
      </w:r>
      <w:r w:rsidR="00594975" w:rsidRPr="000001A3">
        <w:rPr>
          <w:rFonts w:ascii="Arial" w:hAnsi="Arial" w:cs="Arial"/>
          <w:lang w:bidi="th-TH"/>
        </w:rPr>
        <w:t xml:space="preserve"> (Lei, 2025)</w:t>
      </w:r>
      <w:r w:rsidRPr="000001A3">
        <w:rPr>
          <w:rFonts w:ascii="Arial" w:hAnsi="Arial" w:cs="Arial"/>
          <w:lang w:bidi="th-TH"/>
        </w:rPr>
        <w:t>.</w:t>
      </w:r>
    </w:p>
    <w:p w14:paraId="68A4058D" w14:textId="77777777" w:rsidR="00BE04F6" w:rsidRPr="000001A3" w:rsidRDefault="00BE04F6" w:rsidP="000001A3">
      <w:pPr>
        <w:pStyle w:val="Heading2"/>
        <w:spacing w:line="360" w:lineRule="auto"/>
        <w:jc w:val="both"/>
        <w:rPr>
          <w:rFonts w:ascii="Arial" w:hAnsi="Arial" w:cs="Arial"/>
          <w:szCs w:val="24"/>
        </w:rPr>
      </w:pPr>
      <w:bookmarkStart w:id="8" w:name="_Toc214463215"/>
      <w:r w:rsidRPr="000001A3">
        <w:rPr>
          <w:rFonts w:ascii="Arial" w:hAnsi="Arial" w:cs="Arial"/>
          <w:szCs w:val="24"/>
        </w:rPr>
        <w:t>3.2 Follower Strategic Responses: Toyota and Volkswagen</w:t>
      </w:r>
      <w:bookmarkEnd w:id="8"/>
    </w:p>
    <w:p w14:paraId="2CBCE729" w14:textId="7775D6C6" w:rsidR="004E6C9B" w:rsidRPr="000001A3" w:rsidRDefault="00BE04F6" w:rsidP="000001A3">
      <w:pPr>
        <w:spacing w:line="360" w:lineRule="auto"/>
        <w:jc w:val="both"/>
        <w:rPr>
          <w:rFonts w:ascii="Arial" w:hAnsi="Arial" w:cs="Arial"/>
          <w:lang w:bidi="th-TH"/>
        </w:rPr>
      </w:pPr>
      <w:r w:rsidRPr="000001A3">
        <w:rPr>
          <w:rFonts w:ascii="Arial" w:hAnsi="Arial" w:cs="Arial"/>
          <w:b/>
          <w:bCs/>
          <w:lang w:bidi="th-TH"/>
        </w:rPr>
        <w:t>Market Segmentation and Positioning Strategy</w:t>
      </w:r>
    </w:p>
    <w:p w14:paraId="65FCDC52" w14:textId="6EED03B1" w:rsidR="004E6C9B" w:rsidRPr="000001A3" w:rsidRDefault="004E6C9B" w:rsidP="000001A3">
      <w:pPr>
        <w:spacing w:line="360" w:lineRule="auto"/>
        <w:jc w:val="both"/>
        <w:rPr>
          <w:rFonts w:ascii="Arial" w:hAnsi="Arial" w:cs="Arial"/>
          <w:lang w:bidi="th-TH"/>
        </w:rPr>
      </w:pPr>
      <w:r w:rsidRPr="000001A3">
        <w:rPr>
          <w:rFonts w:ascii="Arial" w:hAnsi="Arial" w:cs="Arial"/>
          <w:lang w:bidi="th-TH"/>
        </w:rPr>
        <w:t xml:space="preserve">The strategy of Toyota </w:t>
      </w:r>
      <w:r w:rsidR="00F51E18" w:rsidRPr="000001A3">
        <w:rPr>
          <w:rFonts w:ascii="Arial" w:hAnsi="Arial" w:cs="Arial"/>
          <w:lang w:bidi="th-TH"/>
        </w:rPr>
        <w:t>followers</w:t>
      </w:r>
      <w:r w:rsidRPr="000001A3">
        <w:rPr>
          <w:rFonts w:ascii="Arial" w:hAnsi="Arial" w:cs="Arial"/>
          <w:lang w:bidi="th-TH"/>
        </w:rPr>
        <w:t xml:space="preserve"> uses advanced segmentation of markets, keeping the leadership in the field of hybrids and selectively entering battery-electric fields. The firm makes the hybrid technology seem </w:t>
      </w:r>
      <w:r w:rsidR="00F51E18" w:rsidRPr="000001A3">
        <w:rPr>
          <w:rFonts w:ascii="Arial" w:hAnsi="Arial" w:cs="Arial"/>
          <w:lang w:bidi="th-TH"/>
        </w:rPr>
        <w:t>like</w:t>
      </w:r>
      <w:r w:rsidRPr="000001A3">
        <w:rPr>
          <w:rFonts w:ascii="Arial" w:hAnsi="Arial" w:cs="Arial"/>
          <w:lang w:bidi="th-TH"/>
        </w:rPr>
        <w:t xml:space="preserve"> a sensible environmental solution that is going to achieve instant emission cuts with no infrastructure requirement. This stance is targeted at the mass market that does not focus on technological innovation, but rather on reliability and functionality. Toyota is using differentiated products to appeal to various segments</w:t>
      </w:r>
      <w:r w:rsidR="001F5020" w:rsidRPr="000001A3">
        <w:rPr>
          <w:rFonts w:ascii="Arial" w:hAnsi="Arial" w:cs="Arial"/>
          <w:lang w:bidi="th-TH"/>
        </w:rPr>
        <w:t xml:space="preserve"> (Hong, 2024)</w:t>
      </w:r>
      <w:r w:rsidR="00F51E18" w:rsidRPr="000001A3">
        <w:rPr>
          <w:rFonts w:ascii="Arial" w:hAnsi="Arial" w:cs="Arial"/>
          <w:lang w:bidi="th-TH"/>
        </w:rPr>
        <w:t>.</w:t>
      </w:r>
      <w:r w:rsidRPr="000001A3">
        <w:rPr>
          <w:rFonts w:ascii="Arial" w:hAnsi="Arial" w:cs="Arial"/>
          <w:lang w:bidi="th-TH"/>
        </w:rPr>
        <w:t xml:space="preserve"> Prius is used by </w:t>
      </w:r>
      <w:r w:rsidR="00F51E18" w:rsidRPr="000001A3">
        <w:rPr>
          <w:rFonts w:ascii="Arial" w:hAnsi="Arial" w:cs="Arial"/>
          <w:lang w:bidi="th-TH"/>
        </w:rPr>
        <w:t>environmentally</w:t>
      </w:r>
      <w:r w:rsidRPr="000001A3">
        <w:rPr>
          <w:rFonts w:ascii="Arial" w:hAnsi="Arial" w:cs="Arial"/>
          <w:lang w:bidi="th-TH"/>
        </w:rPr>
        <w:t xml:space="preserve"> conscious consumers, RAV4 Hybrid is sold to families</w:t>
      </w:r>
      <w:r w:rsidR="00F51E18" w:rsidRPr="000001A3">
        <w:rPr>
          <w:rFonts w:ascii="Arial" w:hAnsi="Arial" w:cs="Arial"/>
          <w:lang w:bidi="th-TH"/>
        </w:rPr>
        <w:t>,</w:t>
      </w:r>
      <w:r w:rsidRPr="000001A3">
        <w:rPr>
          <w:rFonts w:ascii="Arial" w:hAnsi="Arial" w:cs="Arial"/>
          <w:lang w:bidi="th-TH"/>
        </w:rPr>
        <w:t xml:space="preserve"> and Lexus hybrids are targeted at premium consumers. The segmentation approach is a reaction to the environmental pressures and </w:t>
      </w:r>
      <w:r w:rsidR="00F51E18" w:rsidRPr="000001A3">
        <w:rPr>
          <w:rFonts w:ascii="Arial" w:hAnsi="Arial" w:cs="Arial"/>
          <w:lang w:bidi="th-TH"/>
        </w:rPr>
        <w:t>is still</w:t>
      </w:r>
      <w:r w:rsidRPr="000001A3">
        <w:rPr>
          <w:rFonts w:ascii="Arial" w:hAnsi="Arial" w:cs="Arial"/>
          <w:lang w:bidi="th-TH"/>
        </w:rPr>
        <w:t xml:space="preserve"> profitable in the times of market transition. Positioning at Toyota is not based on operational emissions but on total life cycle emissions</w:t>
      </w:r>
      <w:r w:rsidR="00F51E18" w:rsidRPr="000001A3">
        <w:rPr>
          <w:rFonts w:ascii="Arial" w:hAnsi="Arial" w:cs="Arial"/>
          <w:lang w:bidi="th-TH"/>
        </w:rPr>
        <w:t>,</w:t>
      </w:r>
      <w:r w:rsidRPr="000001A3">
        <w:rPr>
          <w:rFonts w:ascii="Arial" w:hAnsi="Arial" w:cs="Arial"/>
          <w:lang w:bidi="th-TH"/>
        </w:rPr>
        <w:t xml:space="preserve"> targeting challenges to pure electric vehicle environmental superiority in markets with coal-based electricity production</w:t>
      </w:r>
      <w:r w:rsidR="00A337F0" w:rsidRPr="000001A3">
        <w:rPr>
          <w:rFonts w:ascii="Arial" w:hAnsi="Arial" w:cs="Arial"/>
          <w:lang w:bidi="th-TH"/>
        </w:rPr>
        <w:t xml:space="preserve"> (Hong, 2024)</w:t>
      </w:r>
      <w:r w:rsidRPr="000001A3">
        <w:rPr>
          <w:rFonts w:ascii="Arial" w:hAnsi="Arial" w:cs="Arial"/>
          <w:lang w:bidi="th-TH"/>
        </w:rPr>
        <w:t>.</w:t>
      </w:r>
    </w:p>
    <w:p w14:paraId="309D1A1F" w14:textId="28E214F1" w:rsidR="004E6C9B" w:rsidRPr="000001A3" w:rsidRDefault="00BE04F6" w:rsidP="000001A3">
      <w:pPr>
        <w:spacing w:line="360" w:lineRule="auto"/>
        <w:jc w:val="both"/>
        <w:rPr>
          <w:rFonts w:ascii="Arial" w:hAnsi="Arial" w:cs="Arial"/>
          <w:b/>
          <w:bCs/>
          <w:lang w:bidi="th-TH"/>
        </w:rPr>
      </w:pPr>
      <w:r w:rsidRPr="000001A3">
        <w:rPr>
          <w:rFonts w:ascii="Arial" w:hAnsi="Arial" w:cs="Arial"/>
          <w:b/>
          <w:bCs/>
          <w:lang w:bidi="th-TH"/>
        </w:rPr>
        <w:t>Platform Strategy and Cost Leadership</w:t>
      </w:r>
    </w:p>
    <w:p w14:paraId="15FFD30F" w14:textId="11320D43" w:rsidR="004E6C9B" w:rsidRPr="000001A3" w:rsidRDefault="004E6C9B" w:rsidP="000001A3">
      <w:pPr>
        <w:spacing w:line="360" w:lineRule="auto"/>
        <w:jc w:val="both"/>
        <w:rPr>
          <w:rFonts w:ascii="Arial" w:hAnsi="Arial" w:cs="Arial"/>
          <w:lang w:bidi="th-TH"/>
        </w:rPr>
      </w:pPr>
      <w:r w:rsidRPr="000001A3">
        <w:rPr>
          <w:rFonts w:ascii="Arial" w:hAnsi="Arial" w:cs="Arial"/>
          <w:lang w:bidi="th-TH"/>
        </w:rPr>
        <w:t>The reaction of Volkswagen can be seen as an example of platform-based strategies based on the power of scale in manufacturing. The MEB (Modular Electric Drive Matrix) format is the basis of the electric cars of various brands</w:t>
      </w:r>
      <w:r w:rsidR="00F51E18" w:rsidRPr="000001A3">
        <w:rPr>
          <w:rFonts w:ascii="Arial" w:hAnsi="Arial" w:cs="Arial"/>
          <w:lang w:bidi="th-TH"/>
        </w:rPr>
        <w:t>,</w:t>
      </w:r>
      <w:r w:rsidRPr="000001A3">
        <w:rPr>
          <w:rFonts w:ascii="Arial" w:hAnsi="Arial" w:cs="Arial"/>
          <w:lang w:bidi="th-TH"/>
        </w:rPr>
        <w:t xml:space="preserve"> including Volkswagen, Audi, SEAT, and Skoda, which allows economies of scale through standardisation of the parts. This plan is a response to the effect of technology through allocating the development costs over </w:t>
      </w:r>
      <w:r w:rsidR="00F51E18" w:rsidRPr="000001A3">
        <w:rPr>
          <w:rFonts w:ascii="Arial" w:hAnsi="Arial" w:cs="Arial"/>
          <w:lang w:bidi="th-TH"/>
        </w:rPr>
        <w:t xml:space="preserve">an </w:t>
      </w:r>
      <w:r w:rsidRPr="000001A3">
        <w:rPr>
          <w:rFonts w:ascii="Arial" w:hAnsi="Arial" w:cs="Arial"/>
          <w:lang w:bidi="th-TH"/>
        </w:rPr>
        <w:t xml:space="preserve">increased volume of production, aiming at taking the </w:t>
      </w:r>
      <w:r w:rsidR="00F51E18" w:rsidRPr="000001A3">
        <w:rPr>
          <w:rFonts w:ascii="Arial" w:hAnsi="Arial" w:cs="Arial"/>
          <w:lang w:bidi="th-TH"/>
        </w:rPr>
        <w:t>leader's</w:t>
      </w:r>
      <w:r w:rsidRPr="000001A3">
        <w:rPr>
          <w:rFonts w:ascii="Arial" w:hAnsi="Arial" w:cs="Arial"/>
          <w:lang w:bidi="th-TH"/>
        </w:rPr>
        <w:t xml:space="preserve"> position in cost that the pioneer can not attain at </w:t>
      </w:r>
      <w:r w:rsidR="00F51E18" w:rsidRPr="000001A3">
        <w:rPr>
          <w:rFonts w:ascii="Arial" w:hAnsi="Arial" w:cs="Arial"/>
          <w:lang w:bidi="th-TH"/>
        </w:rPr>
        <w:t xml:space="preserve">a </w:t>
      </w:r>
      <w:r w:rsidRPr="000001A3">
        <w:rPr>
          <w:rFonts w:ascii="Arial" w:hAnsi="Arial" w:cs="Arial"/>
          <w:lang w:bidi="th-TH"/>
        </w:rPr>
        <w:t>lower volume. Platform sharing facilitates a fast model proliferation</w:t>
      </w:r>
      <w:r w:rsidR="00F51E18" w:rsidRPr="000001A3">
        <w:rPr>
          <w:rFonts w:ascii="Arial" w:hAnsi="Arial" w:cs="Arial"/>
          <w:lang w:bidi="th-TH"/>
        </w:rPr>
        <w:t>,</w:t>
      </w:r>
      <w:r w:rsidRPr="000001A3">
        <w:rPr>
          <w:rFonts w:ascii="Arial" w:hAnsi="Arial" w:cs="Arial"/>
          <w:lang w:bidi="th-TH"/>
        </w:rPr>
        <w:t xml:space="preserve"> with Volkswagen intending to produce more than 70 electric models by 2030</w:t>
      </w:r>
      <w:r w:rsidR="00604681" w:rsidRPr="000001A3">
        <w:rPr>
          <w:rFonts w:ascii="Arial" w:hAnsi="Arial" w:cs="Arial"/>
          <w:lang w:bidi="th-TH"/>
        </w:rPr>
        <w:t xml:space="preserve"> (Kawai, 2022)</w:t>
      </w:r>
      <w:r w:rsidRPr="000001A3">
        <w:rPr>
          <w:rFonts w:ascii="Arial" w:hAnsi="Arial" w:cs="Arial"/>
          <w:lang w:bidi="th-TH"/>
        </w:rPr>
        <w:t xml:space="preserve">. The plan tackles the environmental laws </w:t>
      </w:r>
      <w:r w:rsidR="00F51E18" w:rsidRPr="000001A3">
        <w:rPr>
          <w:rFonts w:ascii="Arial" w:hAnsi="Arial" w:cs="Arial"/>
          <w:lang w:bidi="th-TH"/>
        </w:rPr>
        <w:t>by</w:t>
      </w:r>
      <w:r w:rsidRPr="000001A3">
        <w:rPr>
          <w:rFonts w:ascii="Arial" w:hAnsi="Arial" w:cs="Arial"/>
          <w:lang w:bidi="th-TH"/>
        </w:rPr>
        <w:t xml:space="preserve"> increasing the pace of portfolio electrification without reducing the competitive prices. With positioning based on cost leadership, followers have the opportunity to compete well in the market because markets are shifting to the mainstream consumers who are more sensitive to price.</w:t>
      </w:r>
    </w:p>
    <w:p w14:paraId="125097FB" w14:textId="5F1EFD3F" w:rsidR="004E6C9B" w:rsidRPr="000001A3" w:rsidRDefault="00F104DB" w:rsidP="000001A3">
      <w:pPr>
        <w:spacing w:line="360" w:lineRule="auto"/>
        <w:jc w:val="both"/>
        <w:rPr>
          <w:rFonts w:ascii="Arial" w:hAnsi="Arial" w:cs="Arial"/>
          <w:b/>
          <w:bCs/>
          <w:lang w:bidi="th-TH"/>
        </w:rPr>
      </w:pPr>
      <w:r w:rsidRPr="000001A3">
        <w:rPr>
          <w:rFonts w:ascii="Arial" w:hAnsi="Arial" w:cs="Arial"/>
          <w:b/>
          <w:bCs/>
          <w:lang w:bidi="th-TH"/>
        </w:rPr>
        <w:t>Strategic Partnership and Alliance Strategy</w:t>
      </w:r>
    </w:p>
    <w:p w14:paraId="38E32E22" w14:textId="27740285" w:rsidR="004E6C9B" w:rsidRPr="000001A3" w:rsidRDefault="004E6C9B" w:rsidP="000001A3">
      <w:pPr>
        <w:spacing w:line="360" w:lineRule="auto"/>
        <w:jc w:val="both"/>
        <w:rPr>
          <w:rFonts w:ascii="Arial" w:hAnsi="Arial" w:cs="Arial"/>
          <w:lang w:bidi="th-TH"/>
        </w:rPr>
      </w:pPr>
      <w:r w:rsidRPr="000001A3">
        <w:rPr>
          <w:rFonts w:ascii="Arial" w:hAnsi="Arial" w:cs="Arial"/>
          <w:lang w:bidi="th-TH"/>
        </w:rPr>
        <w:lastRenderedPageBreak/>
        <w:t xml:space="preserve">Partnering is an </w:t>
      </w:r>
      <w:r w:rsidR="00F51E18" w:rsidRPr="000001A3">
        <w:rPr>
          <w:rFonts w:ascii="Arial" w:hAnsi="Arial" w:cs="Arial"/>
          <w:lang w:bidi="th-TH"/>
        </w:rPr>
        <w:t>organisational</w:t>
      </w:r>
      <w:r w:rsidRPr="000001A3">
        <w:rPr>
          <w:rFonts w:ascii="Arial" w:hAnsi="Arial" w:cs="Arial"/>
          <w:lang w:bidi="th-TH"/>
        </w:rPr>
        <w:t xml:space="preserve"> strategy that is becoming popular among follower organisations to hasten the development of capabilities. The cooperation of Ford with Rivian in terms of electric platforms and with SK Innovation in terms of battery development is a case of risk-sharing strategies. These alliances help followers to obtain specialised technologies without incurring full development expenses to meet the challenge of technological complexity using external know-how. The same argument can be seen in Toyota partnering with Panasonic in developing batteries and Mazda in sharing platforms. Strategic alliances are especially effective in cases of software capabilities in which aboriginal knowledge is not available among conventional producers</w:t>
      </w:r>
      <w:r w:rsidR="005E26A6" w:rsidRPr="000001A3">
        <w:rPr>
          <w:rFonts w:ascii="Arial" w:hAnsi="Arial" w:cs="Arial"/>
          <w:lang w:bidi="th-TH"/>
        </w:rPr>
        <w:t xml:space="preserve"> (Kawai, 2022)</w:t>
      </w:r>
      <w:r w:rsidRPr="000001A3">
        <w:rPr>
          <w:rFonts w:ascii="Arial" w:hAnsi="Arial" w:cs="Arial"/>
          <w:lang w:bidi="th-TH"/>
        </w:rPr>
        <w:t>. The scenario of Volkswagen outsourcing its cloud computing service to Microsoft and autonomous driving chips to Qualcomm is a game of followers repaid the pioneer benefits in the form of ecosystem organization</w:t>
      </w:r>
      <w:r w:rsidR="00F51E18" w:rsidRPr="000001A3">
        <w:rPr>
          <w:rFonts w:ascii="Arial" w:hAnsi="Arial" w:cs="Arial"/>
          <w:lang w:bidi="th-TH"/>
        </w:rPr>
        <w:t>,</w:t>
      </w:r>
      <w:r w:rsidRPr="000001A3">
        <w:rPr>
          <w:rFonts w:ascii="Arial" w:hAnsi="Arial" w:cs="Arial"/>
          <w:lang w:bidi="th-TH"/>
        </w:rPr>
        <w:t xml:space="preserve"> and not a pure </w:t>
      </w:r>
      <w:r w:rsidR="00F51E18" w:rsidRPr="000001A3">
        <w:rPr>
          <w:rFonts w:ascii="Arial" w:hAnsi="Arial" w:cs="Arial"/>
          <w:lang w:bidi="th-TH"/>
        </w:rPr>
        <w:t>internal</w:t>
      </w:r>
      <w:r w:rsidRPr="000001A3">
        <w:rPr>
          <w:rFonts w:ascii="Arial" w:hAnsi="Arial" w:cs="Arial"/>
          <w:lang w:bidi="th-TH"/>
        </w:rPr>
        <w:t xml:space="preserve"> development.</w:t>
      </w:r>
    </w:p>
    <w:p w14:paraId="7E6D9FCC" w14:textId="2B60ED72" w:rsidR="004E6C9B" w:rsidRPr="000001A3" w:rsidRDefault="00B160A2" w:rsidP="000001A3">
      <w:pPr>
        <w:spacing w:line="360" w:lineRule="auto"/>
        <w:jc w:val="both"/>
        <w:rPr>
          <w:rFonts w:ascii="Arial" w:hAnsi="Arial" w:cs="Arial"/>
          <w:b/>
          <w:bCs/>
          <w:lang w:bidi="th-TH"/>
        </w:rPr>
      </w:pPr>
      <w:r w:rsidRPr="000001A3">
        <w:rPr>
          <w:rFonts w:ascii="Arial" w:hAnsi="Arial" w:cs="Arial"/>
          <w:b/>
          <w:bCs/>
          <w:lang w:bidi="th-TH"/>
        </w:rPr>
        <w:t>Brand Extension and Sub-branding Strategy</w:t>
      </w:r>
    </w:p>
    <w:p w14:paraId="666424A5" w14:textId="73DF29FD" w:rsidR="002151AF" w:rsidRPr="000001A3" w:rsidRDefault="004E6C9B" w:rsidP="000001A3">
      <w:pPr>
        <w:spacing w:line="360" w:lineRule="auto"/>
        <w:jc w:val="both"/>
        <w:rPr>
          <w:rFonts w:ascii="Arial" w:hAnsi="Arial" w:cs="Arial"/>
          <w:lang w:bidi="th-TH"/>
        </w:rPr>
      </w:pPr>
      <w:r w:rsidRPr="000001A3">
        <w:rPr>
          <w:rFonts w:ascii="Arial" w:hAnsi="Arial" w:cs="Arial"/>
          <w:lang w:bidi="th-TH"/>
        </w:rPr>
        <w:t xml:space="preserve">Brand architecture techniques are used by followers to cater to various market segments as well as safeguard core brand equity. Volkswagen also has an ID. </w:t>
      </w:r>
      <w:r w:rsidR="00F51E18" w:rsidRPr="000001A3">
        <w:rPr>
          <w:rFonts w:ascii="Arial" w:hAnsi="Arial" w:cs="Arial"/>
          <w:lang w:bidi="th-TH"/>
        </w:rPr>
        <w:t>Sub-brand</w:t>
      </w:r>
      <w:r w:rsidRPr="000001A3">
        <w:rPr>
          <w:rFonts w:ascii="Arial" w:hAnsi="Arial" w:cs="Arial"/>
          <w:lang w:bidi="th-TH"/>
        </w:rPr>
        <w:t xml:space="preserve"> that is exclusive to electric vehicles, where the company developed a separate identity and used </w:t>
      </w:r>
      <w:r w:rsidR="00F51E18" w:rsidRPr="000001A3">
        <w:rPr>
          <w:rFonts w:ascii="Arial" w:hAnsi="Arial" w:cs="Arial"/>
          <w:lang w:bidi="th-TH"/>
        </w:rPr>
        <w:t xml:space="preserve">the </w:t>
      </w:r>
      <w:r w:rsidRPr="000001A3">
        <w:rPr>
          <w:rFonts w:ascii="Arial" w:hAnsi="Arial" w:cs="Arial"/>
          <w:lang w:bidi="th-TH"/>
        </w:rPr>
        <w:t xml:space="preserve">parent </w:t>
      </w:r>
      <w:r w:rsidR="00F51E18" w:rsidRPr="000001A3">
        <w:rPr>
          <w:rFonts w:ascii="Arial" w:hAnsi="Arial" w:cs="Arial"/>
          <w:lang w:bidi="th-TH"/>
        </w:rPr>
        <w:t>brand's</w:t>
      </w:r>
      <w:r w:rsidRPr="000001A3">
        <w:rPr>
          <w:rFonts w:ascii="Arial" w:hAnsi="Arial" w:cs="Arial"/>
          <w:lang w:bidi="th-TH"/>
        </w:rPr>
        <w:t xml:space="preserve"> credibility. This will allow the marketing of electric vehicles without limiting the traditional product lines </w:t>
      </w:r>
      <w:r w:rsidR="00F51E18" w:rsidRPr="000001A3">
        <w:rPr>
          <w:rFonts w:ascii="Arial" w:hAnsi="Arial" w:cs="Arial"/>
          <w:lang w:bidi="th-TH"/>
        </w:rPr>
        <w:t>during</w:t>
      </w:r>
      <w:r w:rsidRPr="000001A3">
        <w:rPr>
          <w:rFonts w:ascii="Arial" w:hAnsi="Arial" w:cs="Arial"/>
          <w:lang w:bidi="th-TH"/>
        </w:rPr>
        <w:t xml:space="preserve"> the times of transition</w:t>
      </w:r>
      <w:r w:rsidR="0083718E" w:rsidRPr="000001A3">
        <w:rPr>
          <w:rFonts w:ascii="Arial" w:hAnsi="Arial" w:cs="Arial"/>
          <w:lang w:bidi="th-TH"/>
        </w:rPr>
        <w:t xml:space="preserve"> (Gustafsson and Holster Krantz, 2022)</w:t>
      </w:r>
      <w:r w:rsidRPr="000001A3">
        <w:rPr>
          <w:rFonts w:ascii="Arial" w:hAnsi="Arial" w:cs="Arial"/>
          <w:lang w:bidi="th-TH"/>
        </w:rPr>
        <w:t xml:space="preserve">. The bZ (or Beyond Zero) sub-brand of battery-electric vehicles is also coined by Toyota as the continuator of </w:t>
      </w:r>
      <w:r w:rsidR="00F51E18" w:rsidRPr="000001A3">
        <w:rPr>
          <w:rFonts w:ascii="Arial" w:hAnsi="Arial" w:cs="Arial"/>
          <w:lang w:bidi="th-TH"/>
        </w:rPr>
        <w:t xml:space="preserve">the </w:t>
      </w:r>
      <w:r w:rsidRPr="000001A3">
        <w:rPr>
          <w:rFonts w:ascii="Arial" w:hAnsi="Arial" w:cs="Arial"/>
          <w:lang w:bidi="th-TH"/>
        </w:rPr>
        <w:t>Prius identification with hybrids. Brand extension strategies are a reaction to the environmental environment that implies sustainability promises, and can prevent possible cannibalization of current products. The method is especially effective in the case of the followers who need to make gradual transitions to their portfolios in tandem with the adoption levels in markets and regulatory frameworks in various markets of the world</w:t>
      </w:r>
      <w:r w:rsidR="00F81688" w:rsidRPr="000001A3">
        <w:rPr>
          <w:rFonts w:ascii="Arial" w:hAnsi="Arial" w:cs="Arial"/>
          <w:lang w:bidi="th-TH"/>
        </w:rPr>
        <w:t xml:space="preserve"> (Gustafsson and Holster Krantz, 2022)</w:t>
      </w:r>
      <w:r w:rsidRPr="000001A3">
        <w:rPr>
          <w:rFonts w:ascii="Arial" w:hAnsi="Arial" w:cs="Arial"/>
          <w:lang w:bidi="th-TH"/>
        </w:rPr>
        <w:t>.</w:t>
      </w:r>
    </w:p>
    <w:p w14:paraId="55107ECF" w14:textId="1ECA05E6" w:rsidR="009D4886" w:rsidRPr="000001A3" w:rsidRDefault="009D4886" w:rsidP="000001A3">
      <w:pPr>
        <w:pStyle w:val="Heading1"/>
        <w:spacing w:line="360" w:lineRule="auto"/>
        <w:jc w:val="both"/>
        <w:rPr>
          <w:rFonts w:ascii="Arial" w:hAnsi="Arial" w:cs="Arial"/>
          <w:szCs w:val="24"/>
        </w:rPr>
      </w:pPr>
      <w:bookmarkStart w:id="9" w:name="_Toc214463216"/>
      <w:r w:rsidRPr="000001A3">
        <w:rPr>
          <w:rFonts w:ascii="Arial" w:hAnsi="Arial" w:cs="Arial"/>
          <w:szCs w:val="24"/>
        </w:rPr>
        <w:t>4. Conclusion</w:t>
      </w:r>
      <w:bookmarkEnd w:id="9"/>
    </w:p>
    <w:p w14:paraId="0BD58E92" w14:textId="15734416" w:rsidR="00997769" w:rsidRPr="000001A3" w:rsidRDefault="00593A30" w:rsidP="000001A3">
      <w:pPr>
        <w:spacing w:line="360" w:lineRule="auto"/>
        <w:jc w:val="both"/>
        <w:rPr>
          <w:rFonts w:ascii="Arial" w:hAnsi="Arial" w:cs="Arial"/>
          <w:lang w:bidi="th-TH"/>
        </w:rPr>
      </w:pPr>
      <w:r w:rsidRPr="000001A3">
        <w:rPr>
          <w:rFonts w:ascii="Arial" w:hAnsi="Arial" w:cs="Arial"/>
          <w:lang w:bidi="th-TH"/>
        </w:rPr>
        <w:t>The macro environment of the automotive industry offers both conflicting opportunities and threats to pioneers and followers</w:t>
      </w:r>
      <w:r w:rsidR="00F51E18" w:rsidRPr="000001A3">
        <w:rPr>
          <w:rFonts w:ascii="Arial" w:hAnsi="Arial" w:cs="Arial"/>
          <w:lang w:bidi="th-TH"/>
        </w:rPr>
        <w:t>,</w:t>
      </w:r>
      <w:r w:rsidRPr="000001A3">
        <w:rPr>
          <w:rFonts w:ascii="Arial" w:hAnsi="Arial" w:cs="Arial"/>
          <w:lang w:bidi="th-TH"/>
        </w:rPr>
        <w:t xml:space="preserve"> which is largely influenced by technological advances and environmental pressures. First-mover benefits are enjoyed by pioneers such as Tesla because they are technologically ahead and their brand is well established</w:t>
      </w:r>
      <w:r w:rsidR="00F51E18" w:rsidRPr="000001A3">
        <w:rPr>
          <w:rFonts w:ascii="Arial" w:hAnsi="Arial" w:cs="Arial"/>
          <w:lang w:bidi="th-TH"/>
        </w:rPr>
        <w:t>,</w:t>
      </w:r>
      <w:r w:rsidRPr="000001A3">
        <w:rPr>
          <w:rFonts w:ascii="Arial" w:hAnsi="Arial" w:cs="Arial"/>
          <w:lang w:bidi="th-TH"/>
        </w:rPr>
        <w:t xml:space="preserve"> but they incur heavy development and risk of market uncertainty. Examples of the </w:t>
      </w:r>
      <w:r w:rsidRPr="000001A3">
        <w:rPr>
          <w:rFonts w:ascii="Arial" w:hAnsi="Arial" w:cs="Arial"/>
          <w:lang w:bidi="th-TH"/>
        </w:rPr>
        <w:lastRenderedPageBreak/>
        <w:t>followers</w:t>
      </w:r>
      <w:r w:rsidR="00F51E18" w:rsidRPr="000001A3">
        <w:rPr>
          <w:rFonts w:ascii="Arial" w:hAnsi="Arial" w:cs="Arial"/>
          <w:lang w:bidi="th-TH"/>
        </w:rPr>
        <w:t>,</w:t>
      </w:r>
      <w:r w:rsidRPr="000001A3">
        <w:rPr>
          <w:rFonts w:ascii="Arial" w:hAnsi="Arial" w:cs="Arial"/>
          <w:lang w:bidi="th-TH"/>
        </w:rPr>
        <w:t xml:space="preserve"> like Toyota and Volkswagen</w:t>
      </w:r>
      <w:r w:rsidR="00F51E18" w:rsidRPr="000001A3">
        <w:rPr>
          <w:rFonts w:ascii="Arial" w:hAnsi="Arial" w:cs="Arial"/>
          <w:lang w:bidi="th-TH"/>
        </w:rPr>
        <w:t>,</w:t>
      </w:r>
      <w:r w:rsidRPr="000001A3">
        <w:rPr>
          <w:rFonts w:ascii="Arial" w:hAnsi="Arial" w:cs="Arial"/>
          <w:lang w:bidi="th-TH"/>
        </w:rPr>
        <w:t xml:space="preserve"> capitalise on learning opportunities, scale of production</w:t>
      </w:r>
      <w:r w:rsidR="00F51E18" w:rsidRPr="000001A3">
        <w:rPr>
          <w:rFonts w:ascii="Arial" w:hAnsi="Arial" w:cs="Arial"/>
          <w:lang w:bidi="th-TH"/>
        </w:rPr>
        <w:t>,</w:t>
      </w:r>
      <w:r w:rsidRPr="000001A3">
        <w:rPr>
          <w:rFonts w:ascii="Arial" w:hAnsi="Arial" w:cs="Arial"/>
          <w:lang w:bidi="th-TH"/>
        </w:rPr>
        <w:t xml:space="preserve"> and strategic patience</w:t>
      </w:r>
      <w:r w:rsidR="00F51E18" w:rsidRPr="000001A3">
        <w:rPr>
          <w:rFonts w:ascii="Arial" w:hAnsi="Arial" w:cs="Arial"/>
          <w:lang w:bidi="th-TH"/>
        </w:rPr>
        <w:t>,</w:t>
      </w:r>
      <w:r w:rsidRPr="000001A3">
        <w:rPr>
          <w:rFonts w:ascii="Arial" w:hAnsi="Arial" w:cs="Arial"/>
          <w:lang w:bidi="th-TH"/>
        </w:rPr>
        <w:t xml:space="preserve"> yet they face the threat of losing market share and brand reputation. To manage these external forces successfully, there must be alignment between market positioning and strategic capabilities</w:t>
      </w:r>
      <w:r w:rsidR="00F51E18" w:rsidRPr="000001A3">
        <w:rPr>
          <w:rFonts w:ascii="Arial" w:hAnsi="Arial" w:cs="Arial"/>
          <w:lang w:bidi="th-TH"/>
        </w:rPr>
        <w:t>,</w:t>
      </w:r>
      <w:r w:rsidRPr="000001A3">
        <w:rPr>
          <w:rFonts w:ascii="Arial" w:hAnsi="Arial" w:cs="Arial"/>
          <w:lang w:bidi="th-TH"/>
        </w:rPr>
        <w:t xml:space="preserve"> with neither pioneer </w:t>
      </w:r>
      <w:r w:rsidR="00F51E18" w:rsidRPr="000001A3">
        <w:rPr>
          <w:rFonts w:ascii="Arial" w:hAnsi="Arial" w:cs="Arial"/>
          <w:lang w:bidi="th-TH"/>
        </w:rPr>
        <w:t>nor</w:t>
      </w:r>
      <w:r w:rsidRPr="000001A3">
        <w:rPr>
          <w:rFonts w:ascii="Arial" w:hAnsi="Arial" w:cs="Arial"/>
          <w:lang w:bidi="th-TH"/>
        </w:rPr>
        <w:t xml:space="preserve"> follower strategies ensuring success regardless of </w:t>
      </w:r>
      <w:r w:rsidR="00F51E18" w:rsidRPr="000001A3">
        <w:rPr>
          <w:rFonts w:ascii="Arial" w:hAnsi="Arial" w:cs="Arial"/>
          <w:lang w:bidi="th-TH"/>
        </w:rPr>
        <w:t xml:space="preserve">the </w:t>
      </w:r>
      <w:r w:rsidRPr="000001A3">
        <w:rPr>
          <w:rFonts w:ascii="Arial" w:hAnsi="Arial" w:cs="Arial"/>
          <w:lang w:bidi="th-TH"/>
        </w:rPr>
        <w:t>quality of execution and the timing of the market.</w:t>
      </w:r>
    </w:p>
    <w:p w14:paraId="40054C3A" w14:textId="1B35A38D" w:rsidR="009D4886" w:rsidRPr="000001A3" w:rsidRDefault="00997769" w:rsidP="000001A3">
      <w:pPr>
        <w:pStyle w:val="Heading1"/>
        <w:spacing w:line="360" w:lineRule="auto"/>
        <w:jc w:val="both"/>
        <w:rPr>
          <w:rFonts w:ascii="Arial" w:hAnsi="Arial" w:cs="Arial"/>
          <w:szCs w:val="24"/>
        </w:rPr>
      </w:pPr>
      <w:r w:rsidRPr="000001A3">
        <w:rPr>
          <w:rFonts w:ascii="Arial" w:hAnsi="Arial" w:cs="Arial"/>
          <w:szCs w:val="24"/>
        </w:rPr>
        <w:br w:type="page"/>
      </w:r>
      <w:bookmarkStart w:id="10" w:name="_Toc214463217"/>
      <w:r w:rsidRPr="000001A3">
        <w:rPr>
          <w:rFonts w:ascii="Arial" w:hAnsi="Arial" w:cs="Arial"/>
          <w:szCs w:val="24"/>
        </w:rPr>
        <w:lastRenderedPageBreak/>
        <w:t>References</w:t>
      </w:r>
      <w:bookmarkEnd w:id="10"/>
    </w:p>
    <w:p w14:paraId="47270019" w14:textId="4E6FF0AC" w:rsidR="0048459A" w:rsidRPr="000001A3" w:rsidRDefault="0048459A" w:rsidP="000001A3">
      <w:pPr>
        <w:pStyle w:val="NormalWeb"/>
        <w:spacing w:before="0" w:beforeAutospacing="0" w:after="240" w:afterAutospacing="0" w:line="360" w:lineRule="auto"/>
        <w:jc w:val="both"/>
        <w:rPr>
          <w:rFonts w:ascii="Arial" w:hAnsi="Arial" w:cs="Arial"/>
        </w:rPr>
      </w:pPr>
      <w:r w:rsidRPr="000001A3">
        <w:rPr>
          <w:rFonts w:ascii="Arial" w:hAnsi="Arial" w:cs="Arial"/>
        </w:rPr>
        <w:t xml:space="preserve">Adamik, A. and Lisowski, B. (2025). Competitive advantage based on technology in times of technological breakthroughs and global crises: BMW Group and Toyota Motor Corporation. </w:t>
      </w:r>
      <w:r w:rsidRPr="000001A3">
        <w:rPr>
          <w:rFonts w:ascii="Arial" w:hAnsi="Arial" w:cs="Arial"/>
          <w:i/>
          <w:iCs/>
        </w:rPr>
        <w:t>Edward Elgar Publishing eBooks</w:t>
      </w:r>
      <w:r w:rsidRPr="000001A3">
        <w:rPr>
          <w:rFonts w:ascii="Arial" w:hAnsi="Arial" w:cs="Arial"/>
        </w:rPr>
        <w:t>, pp.167–191.</w:t>
      </w:r>
      <w:r w:rsidR="007D192B" w:rsidRPr="000001A3">
        <w:rPr>
          <w:rFonts w:ascii="Arial" w:hAnsi="Arial" w:cs="Arial"/>
        </w:rPr>
        <w:t xml:space="preserve"> Doi: </w:t>
      </w:r>
      <w:hyperlink r:id="rId11" w:history="1">
        <w:r w:rsidR="007D192B" w:rsidRPr="000001A3">
          <w:rPr>
            <w:rStyle w:val="Hyperlink"/>
            <w:rFonts w:ascii="Arial" w:hAnsi="Arial" w:cs="Arial"/>
          </w:rPr>
          <w:t>https://www.elgaronline.com/edcollchap/book/9781035340408/chapter11.xml</w:t>
        </w:r>
      </w:hyperlink>
      <w:r w:rsidR="007D192B" w:rsidRPr="000001A3">
        <w:rPr>
          <w:rFonts w:ascii="Arial" w:hAnsi="Arial" w:cs="Arial"/>
        </w:rPr>
        <w:t xml:space="preserve"> </w:t>
      </w:r>
    </w:p>
    <w:p w14:paraId="3E3BAC67" w14:textId="5F175F73" w:rsidR="0048459A" w:rsidRPr="000001A3" w:rsidRDefault="0048459A" w:rsidP="000001A3">
      <w:pPr>
        <w:pStyle w:val="NormalWeb"/>
        <w:spacing w:before="0" w:beforeAutospacing="0" w:after="240" w:afterAutospacing="0" w:line="360" w:lineRule="auto"/>
        <w:jc w:val="both"/>
        <w:rPr>
          <w:rFonts w:ascii="Arial" w:hAnsi="Arial" w:cs="Arial"/>
        </w:rPr>
      </w:pPr>
      <w:r w:rsidRPr="000001A3">
        <w:rPr>
          <w:rFonts w:ascii="Arial" w:hAnsi="Arial" w:cs="Arial"/>
        </w:rPr>
        <w:t xml:space="preserve">Albert, C.L., Rubio, F. and Valero, F. (2021). Impact of Digital Transformation on the Automotive Industry. </w:t>
      </w:r>
      <w:r w:rsidRPr="000001A3">
        <w:rPr>
          <w:rFonts w:ascii="Arial" w:hAnsi="Arial" w:cs="Arial"/>
          <w:i/>
          <w:iCs/>
        </w:rPr>
        <w:t>Technological Forecasting and Social Change</w:t>
      </w:r>
      <w:r w:rsidRPr="000001A3">
        <w:rPr>
          <w:rFonts w:ascii="Arial" w:hAnsi="Arial" w:cs="Arial"/>
        </w:rPr>
        <w:t>, 162(120343), p.120343.</w:t>
      </w:r>
      <w:r w:rsidR="006002AE" w:rsidRPr="000001A3">
        <w:rPr>
          <w:rFonts w:ascii="Arial" w:hAnsi="Arial" w:cs="Arial"/>
        </w:rPr>
        <w:t xml:space="preserve"> doi: </w:t>
      </w:r>
      <w:hyperlink r:id="rId12" w:history="1">
        <w:r w:rsidR="006002AE" w:rsidRPr="000001A3">
          <w:rPr>
            <w:rStyle w:val="Hyperlink"/>
            <w:rFonts w:ascii="Arial" w:hAnsi="Arial" w:cs="Arial"/>
          </w:rPr>
          <w:t>https://www.sciencedirect.com/science/article/pii/S0040162520311690</w:t>
        </w:r>
      </w:hyperlink>
      <w:r w:rsidR="006002AE" w:rsidRPr="000001A3">
        <w:rPr>
          <w:rFonts w:ascii="Arial" w:hAnsi="Arial" w:cs="Arial"/>
        </w:rPr>
        <w:t xml:space="preserve"> </w:t>
      </w:r>
    </w:p>
    <w:p w14:paraId="1251C5C9" w14:textId="623E345E" w:rsidR="0048459A" w:rsidRPr="000001A3" w:rsidRDefault="0048459A" w:rsidP="000001A3">
      <w:pPr>
        <w:pStyle w:val="NormalWeb"/>
        <w:spacing w:before="0" w:beforeAutospacing="0" w:after="240" w:afterAutospacing="0" w:line="360" w:lineRule="auto"/>
        <w:jc w:val="both"/>
        <w:rPr>
          <w:rFonts w:ascii="Arial" w:hAnsi="Arial" w:cs="Arial"/>
        </w:rPr>
      </w:pPr>
      <w:r w:rsidRPr="000001A3">
        <w:rPr>
          <w:rFonts w:ascii="Arial" w:hAnsi="Arial" w:cs="Arial"/>
        </w:rPr>
        <w:t xml:space="preserve">Cataltepe, V., Kamasak, R., Bulutlar, F. and Palalar Alkan, D. (2022). Dynamic and marketing capabilities as determinants of firm performance: evidence from automotive industry. </w:t>
      </w:r>
      <w:r w:rsidRPr="000001A3">
        <w:rPr>
          <w:rFonts w:ascii="Arial" w:hAnsi="Arial" w:cs="Arial"/>
          <w:i/>
          <w:iCs/>
        </w:rPr>
        <w:t>Journal of Asia Business Studies</w:t>
      </w:r>
      <w:r w:rsidRPr="000001A3">
        <w:rPr>
          <w:rFonts w:ascii="Arial" w:hAnsi="Arial" w:cs="Arial"/>
        </w:rPr>
        <w:t>. doi:</w:t>
      </w:r>
      <w:r w:rsidR="006002AE" w:rsidRPr="000001A3">
        <w:rPr>
          <w:rFonts w:ascii="Arial" w:hAnsi="Arial" w:cs="Arial"/>
        </w:rPr>
        <w:t xml:space="preserve"> </w:t>
      </w:r>
      <w:hyperlink r:id="rId13" w:history="1">
        <w:r w:rsidR="006002AE" w:rsidRPr="000001A3">
          <w:rPr>
            <w:rStyle w:val="Hyperlink"/>
            <w:rFonts w:ascii="Arial" w:hAnsi="Arial" w:cs="Arial"/>
          </w:rPr>
          <w:t>https://doi.org/10.1108/jabs-11-2021-0475</w:t>
        </w:r>
      </w:hyperlink>
      <w:r w:rsidRPr="000001A3">
        <w:rPr>
          <w:rFonts w:ascii="Arial" w:hAnsi="Arial" w:cs="Arial"/>
        </w:rPr>
        <w:t>.</w:t>
      </w:r>
      <w:r w:rsidR="006002AE" w:rsidRPr="000001A3">
        <w:rPr>
          <w:rFonts w:ascii="Arial" w:hAnsi="Arial" w:cs="Arial"/>
        </w:rPr>
        <w:t xml:space="preserve"> </w:t>
      </w:r>
    </w:p>
    <w:p w14:paraId="661D65BE" w14:textId="7DA18043" w:rsidR="0048459A" w:rsidRPr="000001A3" w:rsidRDefault="0048459A" w:rsidP="000001A3">
      <w:pPr>
        <w:pStyle w:val="NormalWeb"/>
        <w:spacing w:before="0" w:beforeAutospacing="0" w:after="240" w:afterAutospacing="0" w:line="360" w:lineRule="auto"/>
        <w:jc w:val="both"/>
        <w:rPr>
          <w:rFonts w:ascii="Arial" w:hAnsi="Arial" w:cs="Arial"/>
        </w:rPr>
      </w:pPr>
      <w:r w:rsidRPr="000001A3">
        <w:rPr>
          <w:rFonts w:ascii="Arial" w:hAnsi="Arial" w:cs="Arial"/>
        </w:rPr>
        <w:t xml:space="preserve">Chen, Y. (2022). Research on collaborative innovation of key common technologies in new energy vehicle industry based on digital twin technology. </w:t>
      </w:r>
      <w:r w:rsidRPr="000001A3">
        <w:rPr>
          <w:rFonts w:ascii="Arial" w:hAnsi="Arial" w:cs="Arial"/>
          <w:i/>
          <w:iCs/>
        </w:rPr>
        <w:t>Energy Reports</w:t>
      </w:r>
      <w:r w:rsidRPr="000001A3">
        <w:rPr>
          <w:rFonts w:ascii="Arial" w:hAnsi="Arial" w:cs="Arial"/>
        </w:rPr>
        <w:t>, [online] 8, pp.15399–15407. doi:</w:t>
      </w:r>
      <w:r w:rsidR="006002AE" w:rsidRPr="000001A3">
        <w:rPr>
          <w:rFonts w:ascii="Arial" w:hAnsi="Arial" w:cs="Arial"/>
        </w:rPr>
        <w:t xml:space="preserve"> </w:t>
      </w:r>
      <w:hyperlink r:id="rId14" w:history="1">
        <w:r w:rsidR="006002AE" w:rsidRPr="000001A3">
          <w:rPr>
            <w:rStyle w:val="Hyperlink"/>
            <w:rFonts w:ascii="Arial" w:hAnsi="Arial" w:cs="Arial"/>
          </w:rPr>
          <w:t>https://doi.org/10.1016/j.egyr.2022.11.120</w:t>
        </w:r>
      </w:hyperlink>
      <w:r w:rsidRPr="000001A3">
        <w:rPr>
          <w:rFonts w:ascii="Arial" w:hAnsi="Arial" w:cs="Arial"/>
        </w:rPr>
        <w:t>.</w:t>
      </w:r>
      <w:r w:rsidR="006002AE" w:rsidRPr="000001A3">
        <w:rPr>
          <w:rFonts w:ascii="Arial" w:hAnsi="Arial" w:cs="Arial"/>
        </w:rPr>
        <w:t xml:space="preserve"> </w:t>
      </w:r>
    </w:p>
    <w:p w14:paraId="10D50CEF" w14:textId="6BD3DD42" w:rsidR="0048459A" w:rsidRPr="000001A3" w:rsidRDefault="0048459A" w:rsidP="000001A3">
      <w:pPr>
        <w:pStyle w:val="NormalWeb"/>
        <w:spacing w:before="0" w:beforeAutospacing="0" w:after="240" w:afterAutospacing="0" w:line="360" w:lineRule="auto"/>
        <w:jc w:val="both"/>
        <w:rPr>
          <w:rFonts w:ascii="Arial" w:hAnsi="Arial" w:cs="Arial"/>
        </w:rPr>
      </w:pPr>
      <w:r w:rsidRPr="000001A3">
        <w:rPr>
          <w:rFonts w:ascii="Arial" w:hAnsi="Arial" w:cs="Arial"/>
        </w:rPr>
        <w:t xml:space="preserve">Fan, W. and Iqbal, M. (2022). Economic, Social, and Environmental Determinants of Automotive Industry Competitiveness. </w:t>
      </w:r>
      <w:r w:rsidRPr="000001A3">
        <w:rPr>
          <w:rFonts w:ascii="Arial" w:hAnsi="Arial" w:cs="Arial"/>
          <w:i/>
          <w:iCs/>
        </w:rPr>
        <w:t xml:space="preserve">Journal of Energy and Environmental Policy Options </w:t>
      </w:r>
      <w:r w:rsidRPr="000001A3">
        <w:rPr>
          <w:rFonts w:ascii="Arial" w:hAnsi="Arial" w:cs="Arial"/>
        </w:rPr>
        <w:t xml:space="preserve">, [online] 5(4), pp.36–43. </w:t>
      </w:r>
      <w:r w:rsidR="006002AE" w:rsidRPr="000001A3">
        <w:rPr>
          <w:rFonts w:ascii="Arial" w:hAnsi="Arial" w:cs="Arial"/>
        </w:rPr>
        <w:t>doi</w:t>
      </w:r>
      <w:r w:rsidRPr="000001A3">
        <w:rPr>
          <w:rFonts w:ascii="Arial" w:hAnsi="Arial" w:cs="Arial"/>
        </w:rPr>
        <w:t xml:space="preserve">: </w:t>
      </w:r>
      <w:hyperlink r:id="rId15" w:history="1">
        <w:r w:rsidR="006002AE" w:rsidRPr="000001A3">
          <w:rPr>
            <w:rStyle w:val="Hyperlink"/>
            <w:rFonts w:ascii="Arial" w:hAnsi="Arial" w:cs="Arial"/>
          </w:rPr>
          <w:t>https://resdojournals.com/index.php/JEEPO/article/view/296</w:t>
        </w:r>
      </w:hyperlink>
      <w:r w:rsidRPr="000001A3">
        <w:rPr>
          <w:rFonts w:ascii="Arial" w:hAnsi="Arial" w:cs="Arial"/>
        </w:rPr>
        <w:t>.</w:t>
      </w:r>
      <w:r w:rsidR="006002AE" w:rsidRPr="000001A3">
        <w:rPr>
          <w:rFonts w:ascii="Arial" w:hAnsi="Arial" w:cs="Arial"/>
        </w:rPr>
        <w:t xml:space="preserve"> </w:t>
      </w:r>
    </w:p>
    <w:p w14:paraId="585DD74F" w14:textId="2EE77585" w:rsidR="0048459A" w:rsidRPr="000001A3" w:rsidRDefault="0048459A" w:rsidP="000001A3">
      <w:pPr>
        <w:pStyle w:val="NormalWeb"/>
        <w:spacing w:before="0" w:beforeAutospacing="0" w:after="240" w:afterAutospacing="0" w:line="360" w:lineRule="auto"/>
        <w:jc w:val="both"/>
        <w:rPr>
          <w:rFonts w:ascii="Arial" w:hAnsi="Arial" w:cs="Arial"/>
        </w:rPr>
      </w:pPr>
      <w:r w:rsidRPr="000001A3">
        <w:rPr>
          <w:rFonts w:ascii="Arial" w:hAnsi="Arial" w:cs="Arial"/>
        </w:rPr>
        <w:t xml:space="preserve">Gao, Y. (2023). A Study of Tesla’s International Marketing Strategy Based on the STEPPS Model. </w:t>
      </w:r>
      <w:r w:rsidRPr="000001A3">
        <w:rPr>
          <w:rFonts w:ascii="Arial" w:hAnsi="Arial" w:cs="Arial"/>
          <w:i/>
          <w:iCs/>
        </w:rPr>
        <w:t>Highlights in Business, Economics and Management</w:t>
      </w:r>
      <w:r w:rsidRPr="000001A3">
        <w:rPr>
          <w:rFonts w:ascii="Arial" w:hAnsi="Arial" w:cs="Arial"/>
        </w:rPr>
        <w:t>, [online] 23, pp.971–979. doi:</w:t>
      </w:r>
      <w:r w:rsidR="006002AE" w:rsidRPr="000001A3">
        <w:rPr>
          <w:rFonts w:ascii="Arial" w:hAnsi="Arial" w:cs="Arial"/>
        </w:rPr>
        <w:t xml:space="preserve"> </w:t>
      </w:r>
      <w:hyperlink r:id="rId16" w:history="1">
        <w:r w:rsidR="006002AE" w:rsidRPr="000001A3">
          <w:rPr>
            <w:rStyle w:val="Hyperlink"/>
            <w:rFonts w:ascii="Arial" w:hAnsi="Arial" w:cs="Arial"/>
          </w:rPr>
          <w:t>https://doi.org/10.54097/es6rry79</w:t>
        </w:r>
      </w:hyperlink>
      <w:r w:rsidRPr="000001A3">
        <w:rPr>
          <w:rFonts w:ascii="Arial" w:hAnsi="Arial" w:cs="Arial"/>
        </w:rPr>
        <w:t>.</w:t>
      </w:r>
      <w:r w:rsidR="006002AE" w:rsidRPr="000001A3">
        <w:rPr>
          <w:rFonts w:ascii="Arial" w:hAnsi="Arial" w:cs="Arial"/>
        </w:rPr>
        <w:t xml:space="preserve"> </w:t>
      </w:r>
    </w:p>
    <w:p w14:paraId="2319CB2A" w14:textId="5E1C9372" w:rsidR="0048459A" w:rsidRPr="000001A3" w:rsidRDefault="0048459A" w:rsidP="000001A3">
      <w:pPr>
        <w:pStyle w:val="NormalWeb"/>
        <w:spacing w:before="0" w:beforeAutospacing="0" w:after="240" w:afterAutospacing="0" w:line="360" w:lineRule="auto"/>
        <w:jc w:val="both"/>
        <w:rPr>
          <w:rFonts w:ascii="Arial" w:hAnsi="Arial" w:cs="Arial"/>
        </w:rPr>
      </w:pPr>
      <w:r w:rsidRPr="000001A3">
        <w:rPr>
          <w:rFonts w:ascii="Arial" w:hAnsi="Arial" w:cs="Arial"/>
        </w:rPr>
        <w:t xml:space="preserve">Gustafsson, L. and Holster Krantz, L. (2022). Brand Strategy in the Era of Electric Vehicles : Researching the brand strategies of some of the largest vehicle manufacturers in the shift towards EVs. </w:t>
      </w:r>
      <w:r w:rsidRPr="000001A3">
        <w:rPr>
          <w:rFonts w:ascii="Arial" w:hAnsi="Arial" w:cs="Arial"/>
          <w:i/>
          <w:iCs/>
        </w:rPr>
        <w:t>odr.chalmers.se</w:t>
      </w:r>
      <w:r w:rsidRPr="000001A3">
        <w:rPr>
          <w:rFonts w:ascii="Arial" w:hAnsi="Arial" w:cs="Arial"/>
        </w:rPr>
        <w:t xml:space="preserve">. [online] </w:t>
      </w:r>
      <w:r w:rsidR="006002AE" w:rsidRPr="000001A3">
        <w:rPr>
          <w:rFonts w:ascii="Arial" w:hAnsi="Arial" w:cs="Arial"/>
        </w:rPr>
        <w:t>doi</w:t>
      </w:r>
      <w:r w:rsidRPr="000001A3">
        <w:rPr>
          <w:rFonts w:ascii="Arial" w:hAnsi="Arial" w:cs="Arial"/>
        </w:rPr>
        <w:t xml:space="preserve">: </w:t>
      </w:r>
      <w:hyperlink r:id="rId17" w:history="1">
        <w:r w:rsidR="006002AE" w:rsidRPr="000001A3">
          <w:rPr>
            <w:rStyle w:val="Hyperlink"/>
            <w:rFonts w:ascii="Arial" w:hAnsi="Arial" w:cs="Arial"/>
          </w:rPr>
          <w:t>https://odr.chalmers.se/handle/20.500.12380/305013</w:t>
        </w:r>
      </w:hyperlink>
      <w:r w:rsidRPr="000001A3">
        <w:rPr>
          <w:rFonts w:ascii="Arial" w:hAnsi="Arial" w:cs="Arial"/>
        </w:rPr>
        <w:t>.</w:t>
      </w:r>
      <w:r w:rsidR="006002AE" w:rsidRPr="000001A3">
        <w:rPr>
          <w:rFonts w:ascii="Arial" w:hAnsi="Arial" w:cs="Arial"/>
        </w:rPr>
        <w:t xml:space="preserve"> </w:t>
      </w:r>
    </w:p>
    <w:p w14:paraId="2F93DF74" w14:textId="409F9DF6" w:rsidR="0048459A" w:rsidRPr="000001A3" w:rsidRDefault="0048459A" w:rsidP="000001A3">
      <w:pPr>
        <w:pStyle w:val="NormalWeb"/>
        <w:spacing w:before="0" w:beforeAutospacing="0" w:after="240" w:afterAutospacing="0" w:line="360" w:lineRule="auto"/>
        <w:jc w:val="both"/>
        <w:rPr>
          <w:rFonts w:ascii="Arial" w:hAnsi="Arial" w:cs="Arial"/>
        </w:rPr>
      </w:pPr>
      <w:r w:rsidRPr="000001A3">
        <w:rPr>
          <w:rFonts w:ascii="Arial" w:hAnsi="Arial" w:cs="Arial"/>
        </w:rPr>
        <w:lastRenderedPageBreak/>
        <w:t xml:space="preserve">Hong, J. (2024). Competitive Strategies and Market Positions of Global Automotive Giants: Toyota, Tesla, and BMW. </w:t>
      </w:r>
      <w:r w:rsidRPr="000001A3">
        <w:rPr>
          <w:rFonts w:ascii="Arial" w:hAnsi="Arial" w:cs="Arial"/>
          <w:i/>
          <w:iCs/>
        </w:rPr>
        <w:t>Modern Management Science &amp; Engineering</w:t>
      </w:r>
      <w:r w:rsidRPr="000001A3">
        <w:rPr>
          <w:rFonts w:ascii="Arial" w:hAnsi="Arial" w:cs="Arial"/>
        </w:rPr>
        <w:t>, [online] 6(2), pp.p53–p53. doi:</w:t>
      </w:r>
      <w:r w:rsidR="006002AE" w:rsidRPr="000001A3">
        <w:rPr>
          <w:rFonts w:ascii="Arial" w:hAnsi="Arial" w:cs="Arial"/>
        </w:rPr>
        <w:t xml:space="preserve"> </w:t>
      </w:r>
      <w:hyperlink r:id="rId18" w:history="1">
        <w:r w:rsidR="006002AE" w:rsidRPr="000001A3">
          <w:rPr>
            <w:rStyle w:val="Hyperlink"/>
            <w:rFonts w:ascii="Arial" w:hAnsi="Arial" w:cs="Arial"/>
          </w:rPr>
          <w:t>https://doi.org/10.22158/mmse.v6n2p53</w:t>
        </w:r>
      </w:hyperlink>
      <w:r w:rsidRPr="000001A3">
        <w:rPr>
          <w:rFonts w:ascii="Arial" w:hAnsi="Arial" w:cs="Arial"/>
        </w:rPr>
        <w:t>.</w:t>
      </w:r>
      <w:r w:rsidR="006002AE" w:rsidRPr="000001A3">
        <w:rPr>
          <w:rFonts w:ascii="Arial" w:hAnsi="Arial" w:cs="Arial"/>
        </w:rPr>
        <w:t xml:space="preserve"> </w:t>
      </w:r>
    </w:p>
    <w:p w14:paraId="56F02CC5" w14:textId="0B63B445" w:rsidR="0048459A" w:rsidRPr="000001A3" w:rsidRDefault="0048459A" w:rsidP="000001A3">
      <w:pPr>
        <w:pStyle w:val="NormalWeb"/>
        <w:spacing w:before="0" w:beforeAutospacing="0" w:after="240" w:afterAutospacing="0" w:line="360" w:lineRule="auto"/>
        <w:jc w:val="both"/>
        <w:rPr>
          <w:rFonts w:ascii="Arial" w:hAnsi="Arial" w:cs="Arial"/>
        </w:rPr>
      </w:pPr>
      <w:r w:rsidRPr="000001A3">
        <w:rPr>
          <w:rFonts w:ascii="Arial" w:hAnsi="Arial" w:cs="Arial"/>
        </w:rPr>
        <w:t xml:space="preserve">Kawai, T. (2022). Evaluation of Toyota’s Strategy for Electric Vehicles in Counteracting Platformers —Based on the Theories of Dynamic Managerial Capabilities and Dynamic Platform Strategy—. </w:t>
      </w:r>
      <w:r w:rsidRPr="000001A3">
        <w:rPr>
          <w:rFonts w:ascii="Arial" w:hAnsi="Arial" w:cs="Arial"/>
          <w:i/>
          <w:iCs/>
        </w:rPr>
        <w:t>Journal of Strategic Management Studies</w:t>
      </w:r>
      <w:r w:rsidRPr="000001A3">
        <w:rPr>
          <w:rFonts w:ascii="Arial" w:hAnsi="Arial" w:cs="Arial"/>
        </w:rPr>
        <w:t>, [online] 14(1), pp.67–87. doi:</w:t>
      </w:r>
      <w:r w:rsidR="006002AE" w:rsidRPr="000001A3">
        <w:rPr>
          <w:rFonts w:ascii="Arial" w:hAnsi="Arial" w:cs="Arial"/>
        </w:rPr>
        <w:t xml:space="preserve"> </w:t>
      </w:r>
      <w:hyperlink r:id="rId19" w:history="1">
        <w:r w:rsidR="006002AE" w:rsidRPr="000001A3">
          <w:rPr>
            <w:rStyle w:val="Hyperlink"/>
            <w:rFonts w:ascii="Arial" w:hAnsi="Arial" w:cs="Arial"/>
          </w:rPr>
          <w:t>https://doi.org/10.24760/iasme.14.1_67</w:t>
        </w:r>
      </w:hyperlink>
      <w:r w:rsidRPr="000001A3">
        <w:rPr>
          <w:rFonts w:ascii="Arial" w:hAnsi="Arial" w:cs="Arial"/>
        </w:rPr>
        <w:t>.</w:t>
      </w:r>
      <w:r w:rsidR="006002AE" w:rsidRPr="000001A3">
        <w:rPr>
          <w:rFonts w:ascii="Arial" w:hAnsi="Arial" w:cs="Arial"/>
        </w:rPr>
        <w:t xml:space="preserve"> </w:t>
      </w:r>
    </w:p>
    <w:p w14:paraId="56F27448" w14:textId="3924A26A" w:rsidR="0048459A" w:rsidRPr="000001A3" w:rsidRDefault="0048459A" w:rsidP="000001A3">
      <w:pPr>
        <w:pStyle w:val="NormalWeb"/>
        <w:spacing w:before="0" w:beforeAutospacing="0" w:after="240" w:afterAutospacing="0" w:line="360" w:lineRule="auto"/>
        <w:jc w:val="both"/>
        <w:rPr>
          <w:rFonts w:ascii="Arial" w:hAnsi="Arial" w:cs="Arial"/>
        </w:rPr>
      </w:pPr>
      <w:r w:rsidRPr="000001A3">
        <w:rPr>
          <w:rFonts w:ascii="Arial" w:hAnsi="Arial" w:cs="Arial"/>
        </w:rPr>
        <w:t xml:space="preserve">Lei, C. (2025). Analysis of Tesla International Strategies. </w:t>
      </w:r>
      <w:r w:rsidRPr="000001A3">
        <w:rPr>
          <w:rFonts w:ascii="Arial" w:hAnsi="Arial" w:cs="Arial"/>
          <w:i/>
          <w:iCs/>
        </w:rPr>
        <w:t>Studies in big data</w:t>
      </w:r>
      <w:r w:rsidRPr="000001A3">
        <w:rPr>
          <w:rFonts w:ascii="Arial" w:hAnsi="Arial" w:cs="Arial"/>
        </w:rPr>
        <w:t>, pp.237–246. doi:</w:t>
      </w:r>
      <w:r w:rsidR="006002AE" w:rsidRPr="000001A3">
        <w:rPr>
          <w:rFonts w:ascii="Arial" w:hAnsi="Arial" w:cs="Arial"/>
        </w:rPr>
        <w:t xml:space="preserve"> </w:t>
      </w:r>
      <w:hyperlink r:id="rId20" w:history="1">
        <w:r w:rsidR="006002AE" w:rsidRPr="000001A3">
          <w:rPr>
            <w:rStyle w:val="Hyperlink"/>
            <w:rFonts w:ascii="Arial" w:hAnsi="Arial" w:cs="Arial"/>
          </w:rPr>
          <w:t>https://doi.org/10.1007/978-3-031-83911-5_21</w:t>
        </w:r>
      </w:hyperlink>
      <w:r w:rsidRPr="000001A3">
        <w:rPr>
          <w:rFonts w:ascii="Arial" w:hAnsi="Arial" w:cs="Arial"/>
        </w:rPr>
        <w:t>.</w:t>
      </w:r>
      <w:r w:rsidR="006002AE" w:rsidRPr="000001A3">
        <w:rPr>
          <w:rFonts w:ascii="Arial" w:hAnsi="Arial" w:cs="Arial"/>
        </w:rPr>
        <w:t xml:space="preserve"> </w:t>
      </w:r>
    </w:p>
    <w:p w14:paraId="2E63CB85" w14:textId="45C7F015" w:rsidR="0048459A" w:rsidRPr="000001A3" w:rsidRDefault="0048459A" w:rsidP="000001A3">
      <w:pPr>
        <w:pStyle w:val="NormalWeb"/>
        <w:spacing w:before="0" w:beforeAutospacing="0" w:after="240" w:afterAutospacing="0" w:line="360" w:lineRule="auto"/>
        <w:jc w:val="both"/>
        <w:rPr>
          <w:rFonts w:ascii="Arial" w:hAnsi="Arial" w:cs="Arial"/>
        </w:rPr>
      </w:pPr>
      <w:r w:rsidRPr="000001A3">
        <w:rPr>
          <w:rFonts w:ascii="Arial" w:hAnsi="Arial" w:cs="Arial"/>
        </w:rPr>
        <w:t xml:space="preserve">Marković, D. and Mijušković, V. (2022). Disruptions and Competitive Strategies in the Automotive Industry. </w:t>
      </w:r>
      <w:r w:rsidRPr="000001A3">
        <w:rPr>
          <w:rFonts w:ascii="Arial" w:hAnsi="Arial" w:cs="Arial"/>
          <w:i/>
          <w:iCs/>
        </w:rPr>
        <w:t>Integrated Science</w:t>
      </w:r>
      <w:r w:rsidRPr="000001A3">
        <w:rPr>
          <w:rFonts w:ascii="Arial" w:hAnsi="Arial" w:cs="Arial"/>
        </w:rPr>
        <w:t xml:space="preserve">, 5, pp.207–227. Doi: </w:t>
      </w:r>
      <w:hyperlink r:id="rId21" w:history="1">
        <w:r w:rsidRPr="000001A3">
          <w:rPr>
            <w:rStyle w:val="Hyperlink"/>
            <w:rFonts w:ascii="Arial" w:hAnsi="Arial" w:cs="Arial"/>
          </w:rPr>
          <w:t>https://link.springer.com/chapter/10.1007/978-3-030-94651-7_10</w:t>
        </w:r>
      </w:hyperlink>
      <w:r w:rsidRPr="000001A3">
        <w:rPr>
          <w:rFonts w:ascii="Arial" w:hAnsi="Arial" w:cs="Arial"/>
        </w:rPr>
        <w:t xml:space="preserve"> </w:t>
      </w:r>
    </w:p>
    <w:p w14:paraId="100A1BF1" w14:textId="5D49F60F" w:rsidR="00870DB3" w:rsidRDefault="0048459A" w:rsidP="000001A3">
      <w:pPr>
        <w:pStyle w:val="NormalWeb"/>
        <w:spacing w:before="0" w:beforeAutospacing="0" w:after="240" w:afterAutospacing="0" w:line="360" w:lineRule="auto"/>
        <w:jc w:val="both"/>
        <w:rPr>
          <w:rFonts w:ascii="Arial" w:hAnsi="Arial" w:cs="Arial"/>
        </w:rPr>
      </w:pPr>
      <w:r w:rsidRPr="000001A3">
        <w:rPr>
          <w:rFonts w:ascii="Arial" w:hAnsi="Arial" w:cs="Arial"/>
        </w:rPr>
        <w:t xml:space="preserve">Zhou, Z. (2023). Tesla Marketing Analysis. </w:t>
      </w:r>
      <w:r w:rsidRPr="000001A3">
        <w:rPr>
          <w:rFonts w:ascii="Arial" w:hAnsi="Arial" w:cs="Arial"/>
          <w:i/>
          <w:iCs/>
        </w:rPr>
        <w:t>Academic Journal of Business &amp; Management</w:t>
      </w:r>
      <w:r w:rsidRPr="000001A3">
        <w:rPr>
          <w:rFonts w:ascii="Arial" w:hAnsi="Arial" w:cs="Arial"/>
        </w:rPr>
        <w:t xml:space="preserve">, [online] 5(2), pp.171–177. doi: </w:t>
      </w:r>
      <w:hyperlink r:id="rId22" w:history="1">
        <w:r w:rsidRPr="000001A3">
          <w:rPr>
            <w:rStyle w:val="Hyperlink"/>
            <w:rFonts w:ascii="Arial" w:hAnsi="Arial" w:cs="Arial"/>
          </w:rPr>
          <w:t>https://doi.org/10.25236/ajbm.2023.050225</w:t>
        </w:r>
      </w:hyperlink>
      <w:r w:rsidRPr="000001A3">
        <w:rPr>
          <w:rFonts w:ascii="Arial" w:hAnsi="Arial" w:cs="Arial"/>
        </w:rPr>
        <w:t xml:space="preserve">. </w:t>
      </w:r>
    </w:p>
    <w:p w14:paraId="79718E83" w14:textId="77777777" w:rsidR="00870DB3" w:rsidRDefault="00870DB3">
      <w:pPr>
        <w:spacing w:after="160" w:line="259" w:lineRule="auto"/>
        <w:rPr>
          <w:rFonts w:ascii="Arial" w:hAnsi="Arial" w:cs="Arial"/>
        </w:rPr>
      </w:pPr>
      <w:r>
        <w:rPr>
          <w:rFonts w:ascii="Arial" w:hAnsi="Arial" w:cs="Arial"/>
        </w:rPr>
        <w:br w:type="page"/>
      </w:r>
    </w:p>
    <w:p w14:paraId="24ACA5B1" w14:textId="2EF663E5" w:rsidR="00870DB3" w:rsidRPr="00870DB3" w:rsidRDefault="00870DB3" w:rsidP="00870DB3">
      <w:pPr>
        <w:pStyle w:val="Heading1"/>
        <w:rPr>
          <w:rFonts w:ascii="Arial" w:hAnsi="Arial" w:cs="Arial"/>
        </w:rPr>
      </w:pPr>
      <w:bookmarkStart w:id="11" w:name="_Toc214463218"/>
      <w:r w:rsidRPr="00870DB3">
        <w:rPr>
          <w:rFonts w:ascii="Arial" w:hAnsi="Arial" w:cs="Arial"/>
        </w:rPr>
        <w:lastRenderedPageBreak/>
        <w:t>Appendices</w:t>
      </w:r>
      <w:bookmarkEnd w:id="11"/>
    </w:p>
    <w:p w14:paraId="1D0F563F" w14:textId="7A785293" w:rsidR="00870DB3" w:rsidRDefault="00870DB3" w:rsidP="00870DB3">
      <w:pPr>
        <w:rPr>
          <w:lang w:bidi="th-TH"/>
        </w:rPr>
      </w:pPr>
      <w:r>
        <w:rPr>
          <w:noProof/>
        </w:rPr>
        <w:drawing>
          <wp:inline distT="0" distB="0" distL="0" distR="0" wp14:anchorId="7504D57F" wp14:editId="557F7254">
            <wp:extent cx="2402261" cy="3333750"/>
            <wp:effectExtent l="0" t="0" r="0" b="0"/>
            <wp:docPr id="517956843" name="Picture 1" descr="How Technology is Reshaping the Automotive Indust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Technology is Reshaping the Automotive Industry"/>
                    <pic:cNvPicPr>
                      <a:picLocks noChangeAspect="1" noChangeArrowheads="1"/>
                    </pic:cNvPicPr>
                  </pic:nvPicPr>
                  <pic:blipFill rotWithShape="1">
                    <a:blip r:embed="rId8">
                      <a:extLst>
                        <a:ext uri="{28A0092B-C50C-407E-A947-70E740481C1C}">
                          <a14:useLocalDpi xmlns:a14="http://schemas.microsoft.com/office/drawing/2010/main" val="0"/>
                        </a:ext>
                      </a:extLst>
                    </a:blip>
                    <a:srcRect l="10737" r="18590" b="5895"/>
                    <a:stretch>
                      <a:fillRect/>
                    </a:stretch>
                  </pic:blipFill>
                  <pic:spPr bwMode="auto">
                    <a:xfrm>
                      <a:off x="0" y="0"/>
                      <a:ext cx="2403011" cy="3334791"/>
                    </a:xfrm>
                    <a:prstGeom prst="rect">
                      <a:avLst/>
                    </a:prstGeom>
                    <a:noFill/>
                    <a:ln>
                      <a:noFill/>
                    </a:ln>
                    <a:extLst>
                      <a:ext uri="{53640926-AAD7-44D8-BBD7-CCE9431645EC}">
                        <a14:shadowObscured xmlns:a14="http://schemas.microsoft.com/office/drawing/2010/main"/>
                      </a:ext>
                    </a:extLst>
                  </pic:spPr>
                </pic:pic>
              </a:graphicData>
            </a:graphic>
          </wp:inline>
        </w:drawing>
      </w:r>
    </w:p>
    <w:p w14:paraId="132E5730" w14:textId="61D059BD" w:rsidR="00870DB3" w:rsidRDefault="00870DB3" w:rsidP="00870DB3">
      <w:pPr>
        <w:rPr>
          <w:lang w:bidi="th-TH"/>
        </w:rPr>
      </w:pPr>
      <w:r>
        <w:rPr>
          <w:noProof/>
        </w:rPr>
        <w:drawing>
          <wp:inline distT="0" distB="0" distL="0" distR="0" wp14:anchorId="110F8C4B" wp14:editId="1C85CA8D">
            <wp:extent cx="3371850" cy="1647825"/>
            <wp:effectExtent l="0" t="0" r="0" b="9525"/>
            <wp:docPr id="2108191472" name="Picture 2" descr="Environmental Friendly Practices in the Automotive Industry | SpringerLin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nvironmental Friendly Practices in the Automotive Industry | SpringerLink"/>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71850" cy="1647825"/>
                    </a:xfrm>
                    <a:prstGeom prst="rect">
                      <a:avLst/>
                    </a:prstGeom>
                    <a:noFill/>
                    <a:ln>
                      <a:noFill/>
                    </a:ln>
                  </pic:spPr>
                </pic:pic>
              </a:graphicData>
            </a:graphic>
          </wp:inline>
        </w:drawing>
      </w:r>
    </w:p>
    <w:p w14:paraId="02035194" w14:textId="5CD8324B" w:rsidR="00870DB3" w:rsidRPr="00870DB3" w:rsidRDefault="00870DB3" w:rsidP="00870DB3">
      <w:pPr>
        <w:rPr>
          <w:lang w:bidi="th-TH"/>
        </w:rPr>
      </w:pPr>
      <w:r>
        <w:rPr>
          <w:noProof/>
          <w:lang w:bidi="th-TH"/>
        </w:rPr>
        <w:drawing>
          <wp:inline distT="0" distB="0" distL="0" distR="0" wp14:anchorId="6D0E5FE1" wp14:editId="5B812582">
            <wp:extent cx="4972050" cy="1952614"/>
            <wp:effectExtent l="0" t="0" r="0" b="0"/>
            <wp:docPr id="187213931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0">
                      <a:extLst>
                        <a:ext uri="{28A0092B-C50C-407E-A947-70E740481C1C}">
                          <a14:useLocalDpi xmlns:a14="http://schemas.microsoft.com/office/drawing/2010/main" val="0"/>
                        </a:ext>
                      </a:extLst>
                    </a:blip>
                    <a:srcRect t="8562" r="7282" b="21215"/>
                    <a:stretch>
                      <a:fillRect/>
                    </a:stretch>
                  </pic:blipFill>
                  <pic:spPr bwMode="auto">
                    <a:xfrm>
                      <a:off x="0" y="0"/>
                      <a:ext cx="4978229" cy="1955040"/>
                    </a:xfrm>
                    <a:prstGeom prst="rect">
                      <a:avLst/>
                    </a:prstGeom>
                    <a:noFill/>
                    <a:ln>
                      <a:noFill/>
                    </a:ln>
                    <a:extLst>
                      <a:ext uri="{53640926-AAD7-44D8-BBD7-CCE9431645EC}">
                        <a14:shadowObscured xmlns:a14="http://schemas.microsoft.com/office/drawing/2010/main"/>
                      </a:ext>
                    </a:extLst>
                  </pic:spPr>
                </pic:pic>
              </a:graphicData>
            </a:graphic>
          </wp:inline>
        </w:drawing>
      </w:r>
    </w:p>
    <w:sectPr w:rsidR="00870DB3" w:rsidRPr="00870DB3" w:rsidSect="00492953">
      <w:footerReference w:type="default" r:id="rId2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3497C5" w14:textId="77777777" w:rsidR="007E6C57" w:rsidRDefault="007E6C57" w:rsidP="00492953">
      <w:r>
        <w:separator/>
      </w:r>
    </w:p>
  </w:endnote>
  <w:endnote w:type="continuationSeparator" w:id="0">
    <w:p w14:paraId="25710AB7" w14:textId="77777777" w:rsidR="007E6C57" w:rsidRDefault="007E6C57" w:rsidP="0049295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rdia New">
    <w:panose1 w:val="020B0304020202020204"/>
    <w:charset w:val="DE"/>
    <w:family w:val="swiss"/>
    <w:pitch w:val="variable"/>
    <w:sig w:usb0="81000003" w:usb1="00000000" w:usb2="00000000" w:usb3="00000000" w:csb0="00010001" w:csb1="00000000"/>
  </w:font>
  <w:font w:name="DengXian Light">
    <w:altName w:val="等线 Light"/>
    <w:charset w:val="86"/>
    <w:family w:val="auto"/>
    <w:pitch w:val="variable"/>
    <w:sig w:usb0="A00002BF" w:usb1="38CF7CFA" w:usb2="00000016" w:usb3="00000000" w:csb0="0004000F" w:csb1="00000000"/>
  </w:font>
  <w:font w:name="Angsana New">
    <w:panose1 w:val="02020603050405020304"/>
    <w:charset w:val="DE"/>
    <w:family w:val="roman"/>
    <w:pitch w:val="variable"/>
    <w:sig w:usb0="81000003" w:usb1="00000000" w:usb2="00000000" w:usb3="00000000" w:csb0="0001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39757791"/>
      <w:docPartObj>
        <w:docPartGallery w:val="Page Numbers (Bottom of Page)"/>
        <w:docPartUnique/>
      </w:docPartObj>
    </w:sdtPr>
    <w:sdtEndPr>
      <w:rPr>
        <w:noProof/>
      </w:rPr>
    </w:sdtEndPr>
    <w:sdtContent>
      <w:p w14:paraId="4BC5F454" w14:textId="6AEA48D2" w:rsidR="00492953" w:rsidRDefault="0049295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F0735CC" w14:textId="77777777" w:rsidR="00492953" w:rsidRDefault="004929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D7B9B1" w14:textId="77777777" w:rsidR="007E6C57" w:rsidRDefault="007E6C57" w:rsidP="00492953">
      <w:r>
        <w:separator/>
      </w:r>
    </w:p>
  </w:footnote>
  <w:footnote w:type="continuationSeparator" w:id="0">
    <w:p w14:paraId="28BEF205" w14:textId="77777777" w:rsidR="007E6C57" w:rsidRDefault="007E6C57" w:rsidP="00492953">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4D03"/>
    <w:rsid w:val="000001A3"/>
    <w:rsid w:val="00020BB9"/>
    <w:rsid w:val="00084E63"/>
    <w:rsid w:val="000C53CD"/>
    <w:rsid w:val="00142FF9"/>
    <w:rsid w:val="0015489E"/>
    <w:rsid w:val="00156455"/>
    <w:rsid w:val="001B0EDE"/>
    <w:rsid w:val="001B1F6E"/>
    <w:rsid w:val="001B22AB"/>
    <w:rsid w:val="001B611A"/>
    <w:rsid w:val="001F5020"/>
    <w:rsid w:val="002151AF"/>
    <w:rsid w:val="0023512C"/>
    <w:rsid w:val="00241D28"/>
    <w:rsid w:val="002578AC"/>
    <w:rsid w:val="00257E28"/>
    <w:rsid w:val="00261319"/>
    <w:rsid w:val="002D42EA"/>
    <w:rsid w:val="00306B52"/>
    <w:rsid w:val="003853D0"/>
    <w:rsid w:val="003910AA"/>
    <w:rsid w:val="00391EAF"/>
    <w:rsid w:val="00397826"/>
    <w:rsid w:val="003A1D61"/>
    <w:rsid w:val="003F674E"/>
    <w:rsid w:val="0040485B"/>
    <w:rsid w:val="004660C2"/>
    <w:rsid w:val="00466B84"/>
    <w:rsid w:val="004752DA"/>
    <w:rsid w:val="0048459A"/>
    <w:rsid w:val="00492953"/>
    <w:rsid w:val="00495F27"/>
    <w:rsid w:val="004B7FA3"/>
    <w:rsid w:val="004E6C9B"/>
    <w:rsid w:val="00503E73"/>
    <w:rsid w:val="005056B9"/>
    <w:rsid w:val="0051678D"/>
    <w:rsid w:val="00530562"/>
    <w:rsid w:val="00536A61"/>
    <w:rsid w:val="00593A30"/>
    <w:rsid w:val="00594975"/>
    <w:rsid w:val="005A2470"/>
    <w:rsid w:val="005E26A6"/>
    <w:rsid w:val="006002AE"/>
    <w:rsid w:val="00604681"/>
    <w:rsid w:val="00612D7B"/>
    <w:rsid w:val="006175AF"/>
    <w:rsid w:val="00621CC6"/>
    <w:rsid w:val="006225D7"/>
    <w:rsid w:val="006262EB"/>
    <w:rsid w:val="00681B7E"/>
    <w:rsid w:val="00683F61"/>
    <w:rsid w:val="0070329D"/>
    <w:rsid w:val="007107AC"/>
    <w:rsid w:val="0072697C"/>
    <w:rsid w:val="00737D98"/>
    <w:rsid w:val="007631C4"/>
    <w:rsid w:val="007708CE"/>
    <w:rsid w:val="0077197B"/>
    <w:rsid w:val="00786612"/>
    <w:rsid w:val="007D192B"/>
    <w:rsid w:val="007D445F"/>
    <w:rsid w:val="007E6C57"/>
    <w:rsid w:val="007F1AE9"/>
    <w:rsid w:val="00805DAA"/>
    <w:rsid w:val="0083718E"/>
    <w:rsid w:val="008631C9"/>
    <w:rsid w:val="00870DB3"/>
    <w:rsid w:val="008B5BF0"/>
    <w:rsid w:val="008F1FC8"/>
    <w:rsid w:val="00941444"/>
    <w:rsid w:val="00964419"/>
    <w:rsid w:val="00997769"/>
    <w:rsid w:val="009B1862"/>
    <w:rsid w:val="009D43F3"/>
    <w:rsid w:val="009D4886"/>
    <w:rsid w:val="009E0B91"/>
    <w:rsid w:val="009F618A"/>
    <w:rsid w:val="00A0281A"/>
    <w:rsid w:val="00A337F0"/>
    <w:rsid w:val="00A67082"/>
    <w:rsid w:val="00AB4302"/>
    <w:rsid w:val="00B160A2"/>
    <w:rsid w:val="00BA5BD5"/>
    <w:rsid w:val="00BB6526"/>
    <w:rsid w:val="00BC1E7B"/>
    <w:rsid w:val="00BD0961"/>
    <w:rsid w:val="00BE04F6"/>
    <w:rsid w:val="00C1165B"/>
    <w:rsid w:val="00CA1212"/>
    <w:rsid w:val="00CE22DC"/>
    <w:rsid w:val="00D75853"/>
    <w:rsid w:val="00DD71F2"/>
    <w:rsid w:val="00DE56F4"/>
    <w:rsid w:val="00E62649"/>
    <w:rsid w:val="00EA4C04"/>
    <w:rsid w:val="00EB6143"/>
    <w:rsid w:val="00F104DB"/>
    <w:rsid w:val="00F30B6B"/>
    <w:rsid w:val="00F34D03"/>
    <w:rsid w:val="00F51E18"/>
    <w:rsid w:val="00F57AF4"/>
    <w:rsid w:val="00F70A27"/>
    <w:rsid w:val="00F81688"/>
    <w:rsid w:val="00F94B90"/>
  </w:rsids>
  <m:mathPr>
    <m:mathFont m:val="Cambria Math"/>
    <m:brkBin m:val="before"/>
    <m:brkBinSub m:val="--"/>
    <m:smallFrac m:val="0"/>
    <m:dispDef/>
    <m:lMargin m:val="0"/>
    <m:rMargin m:val="0"/>
    <m:defJc m:val="centerGroup"/>
    <m:wrapIndent m:val="1440"/>
    <m:intLim m:val="subSup"/>
    <m:naryLim m:val="undOvr"/>
  </m:mathPr>
  <w:themeFontLang w:val="en-US" w:eastAsia="zh-CN" w:bidi="th-TH"/>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E9231CA"/>
  <w15:chartTrackingRefBased/>
  <w15:docId w15:val="{2B38EBB4-A729-47CA-B30C-A5C8AC722E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imes New Roman" w:hAnsiTheme="minorHAnsi" w:cstheme="minorBidi"/>
        <w:kern w:val="2"/>
        <w:sz w:val="22"/>
        <w:szCs w:val="28"/>
        <w:lang w:val="en-US" w:eastAsia="en-US" w:bidi="th-TH"/>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0B91"/>
    <w:pPr>
      <w:spacing w:after="0" w:line="240" w:lineRule="auto"/>
    </w:pPr>
    <w:rPr>
      <w:rFonts w:ascii="Times New Roman" w:hAnsi="Times New Roman" w:cs="Times New Roman"/>
      <w:kern w:val="0"/>
      <w:sz w:val="24"/>
      <w:szCs w:val="24"/>
      <w:lang w:bidi="ar-SA"/>
      <w14:ligatures w14:val="none"/>
    </w:rPr>
  </w:style>
  <w:style w:type="paragraph" w:styleId="Heading1">
    <w:name w:val="heading 1"/>
    <w:basedOn w:val="Normal"/>
    <w:next w:val="Normal"/>
    <w:link w:val="Heading1Char"/>
    <w:uiPriority w:val="9"/>
    <w:qFormat/>
    <w:rsid w:val="006175AF"/>
    <w:pPr>
      <w:keepNext/>
      <w:keepLines/>
      <w:spacing w:before="240"/>
      <w:outlineLvl w:val="0"/>
    </w:pPr>
    <w:rPr>
      <w:rFonts w:eastAsiaTheme="majorEastAsia" w:cstheme="majorBidi"/>
      <w:b/>
      <w:color w:val="000000" w:themeColor="text1"/>
      <w:szCs w:val="32"/>
      <w:lang w:bidi="th-TH"/>
    </w:rPr>
  </w:style>
  <w:style w:type="paragraph" w:styleId="Heading2">
    <w:name w:val="heading 2"/>
    <w:basedOn w:val="Normal"/>
    <w:next w:val="Normal"/>
    <w:link w:val="Heading2Char"/>
    <w:uiPriority w:val="9"/>
    <w:unhideWhenUsed/>
    <w:qFormat/>
    <w:rsid w:val="00BA5BD5"/>
    <w:pPr>
      <w:keepNext/>
      <w:keepLines/>
      <w:spacing w:before="40" w:line="276" w:lineRule="auto"/>
      <w:outlineLvl w:val="1"/>
    </w:pPr>
    <w:rPr>
      <w:rFonts w:eastAsiaTheme="majorEastAsia" w:cstheme="majorBidi"/>
      <w:b/>
      <w:color w:val="000000" w:themeColor="text1"/>
      <w:szCs w:val="26"/>
      <w:lang w:bidi="th-TH"/>
    </w:rPr>
  </w:style>
  <w:style w:type="paragraph" w:styleId="Heading3">
    <w:name w:val="heading 3"/>
    <w:basedOn w:val="Normal"/>
    <w:next w:val="Normal"/>
    <w:link w:val="Heading3Char"/>
    <w:uiPriority w:val="9"/>
    <w:semiHidden/>
    <w:unhideWhenUsed/>
    <w:qFormat/>
    <w:rsid w:val="004752DA"/>
    <w:pPr>
      <w:keepNext/>
      <w:keepLines/>
      <w:spacing w:before="40"/>
      <w:outlineLvl w:val="2"/>
    </w:pPr>
    <w:rPr>
      <w:rFonts w:eastAsiaTheme="majorEastAsia" w:cstheme="majorBidi"/>
      <w:b/>
      <w:color w:val="000000" w:themeColor="text1"/>
      <w:szCs w:val="30"/>
    </w:rPr>
  </w:style>
  <w:style w:type="paragraph" w:styleId="Heading4">
    <w:name w:val="heading 4"/>
    <w:basedOn w:val="Normal"/>
    <w:next w:val="Normal"/>
    <w:link w:val="Heading4Char"/>
    <w:uiPriority w:val="9"/>
    <w:semiHidden/>
    <w:unhideWhenUsed/>
    <w:qFormat/>
    <w:rsid w:val="00F34D03"/>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F34D03"/>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F34D03"/>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F34D03"/>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F34D03"/>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F34D03"/>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75AF"/>
    <w:rPr>
      <w:rFonts w:ascii="Times New Roman" w:eastAsiaTheme="majorEastAsia" w:hAnsi="Times New Roman" w:cstheme="majorBidi"/>
      <w:b/>
      <w:color w:val="000000" w:themeColor="text1"/>
      <w:sz w:val="24"/>
      <w:szCs w:val="32"/>
    </w:rPr>
  </w:style>
  <w:style w:type="character" w:customStyle="1" w:styleId="Heading2Char">
    <w:name w:val="Heading 2 Char"/>
    <w:basedOn w:val="DefaultParagraphFont"/>
    <w:link w:val="Heading2"/>
    <w:uiPriority w:val="9"/>
    <w:rsid w:val="00BA5BD5"/>
    <w:rPr>
      <w:rFonts w:ascii="Times New Roman" w:eastAsiaTheme="majorEastAsia" w:hAnsi="Times New Roman" w:cstheme="majorBidi"/>
      <w:b/>
      <w:color w:val="000000" w:themeColor="text1"/>
      <w:sz w:val="24"/>
      <w:szCs w:val="26"/>
    </w:rPr>
  </w:style>
  <w:style w:type="character" w:customStyle="1" w:styleId="Heading3Char">
    <w:name w:val="Heading 3 Char"/>
    <w:basedOn w:val="DefaultParagraphFont"/>
    <w:link w:val="Heading3"/>
    <w:uiPriority w:val="9"/>
    <w:semiHidden/>
    <w:rsid w:val="004752DA"/>
    <w:rPr>
      <w:rFonts w:ascii="Times New Roman" w:eastAsiaTheme="majorEastAsia" w:hAnsi="Times New Roman" w:cstheme="majorBidi"/>
      <w:b/>
      <w:color w:val="000000" w:themeColor="text1"/>
      <w:sz w:val="24"/>
      <w:szCs w:val="30"/>
    </w:rPr>
  </w:style>
  <w:style w:type="character" w:customStyle="1" w:styleId="Heading4Char">
    <w:name w:val="Heading 4 Char"/>
    <w:basedOn w:val="DefaultParagraphFont"/>
    <w:link w:val="Heading4"/>
    <w:uiPriority w:val="9"/>
    <w:semiHidden/>
    <w:rsid w:val="00F34D03"/>
    <w:rPr>
      <w:rFonts w:eastAsiaTheme="majorEastAsia" w:cstheme="majorBidi"/>
      <w:i/>
      <w:iCs/>
      <w:color w:val="2F5496" w:themeColor="accent1" w:themeShade="BF"/>
      <w:kern w:val="0"/>
      <w:sz w:val="24"/>
      <w:szCs w:val="24"/>
      <w:lang w:bidi="ar-SA"/>
      <w14:ligatures w14:val="none"/>
    </w:rPr>
  </w:style>
  <w:style w:type="character" w:customStyle="1" w:styleId="Heading5Char">
    <w:name w:val="Heading 5 Char"/>
    <w:basedOn w:val="DefaultParagraphFont"/>
    <w:link w:val="Heading5"/>
    <w:uiPriority w:val="9"/>
    <w:semiHidden/>
    <w:rsid w:val="00F34D03"/>
    <w:rPr>
      <w:rFonts w:eastAsiaTheme="majorEastAsia" w:cstheme="majorBidi"/>
      <w:color w:val="2F5496" w:themeColor="accent1" w:themeShade="BF"/>
      <w:kern w:val="0"/>
      <w:sz w:val="24"/>
      <w:szCs w:val="24"/>
      <w:lang w:bidi="ar-SA"/>
      <w14:ligatures w14:val="none"/>
    </w:rPr>
  </w:style>
  <w:style w:type="character" w:customStyle="1" w:styleId="Heading6Char">
    <w:name w:val="Heading 6 Char"/>
    <w:basedOn w:val="DefaultParagraphFont"/>
    <w:link w:val="Heading6"/>
    <w:uiPriority w:val="9"/>
    <w:semiHidden/>
    <w:rsid w:val="00F34D03"/>
    <w:rPr>
      <w:rFonts w:eastAsiaTheme="majorEastAsia" w:cstheme="majorBidi"/>
      <w:i/>
      <w:iCs/>
      <w:color w:val="595959" w:themeColor="text1" w:themeTint="A6"/>
      <w:kern w:val="0"/>
      <w:sz w:val="24"/>
      <w:szCs w:val="24"/>
      <w:lang w:bidi="ar-SA"/>
      <w14:ligatures w14:val="none"/>
    </w:rPr>
  </w:style>
  <w:style w:type="character" w:customStyle="1" w:styleId="Heading7Char">
    <w:name w:val="Heading 7 Char"/>
    <w:basedOn w:val="DefaultParagraphFont"/>
    <w:link w:val="Heading7"/>
    <w:uiPriority w:val="9"/>
    <w:semiHidden/>
    <w:rsid w:val="00F34D03"/>
    <w:rPr>
      <w:rFonts w:eastAsiaTheme="majorEastAsia" w:cstheme="majorBidi"/>
      <w:color w:val="595959" w:themeColor="text1" w:themeTint="A6"/>
      <w:kern w:val="0"/>
      <w:sz w:val="24"/>
      <w:szCs w:val="24"/>
      <w:lang w:bidi="ar-SA"/>
      <w14:ligatures w14:val="none"/>
    </w:rPr>
  </w:style>
  <w:style w:type="character" w:customStyle="1" w:styleId="Heading8Char">
    <w:name w:val="Heading 8 Char"/>
    <w:basedOn w:val="DefaultParagraphFont"/>
    <w:link w:val="Heading8"/>
    <w:uiPriority w:val="9"/>
    <w:semiHidden/>
    <w:rsid w:val="00F34D03"/>
    <w:rPr>
      <w:rFonts w:eastAsiaTheme="majorEastAsia" w:cstheme="majorBidi"/>
      <w:i/>
      <w:iCs/>
      <w:color w:val="272727" w:themeColor="text1" w:themeTint="D8"/>
      <w:kern w:val="0"/>
      <w:sz w:val="24"/>
      <w:szCs w:val="24"/>
      <w:lang w:bidi="ar-SA"/>
      <w14:ligatures w14:val="none"/>
    </w:rPr>
  </w:style>
  <w:style w:type="character" w:customStyle="1" w:styleId="Heading9Char">
    <w:name w:val="Heading 9 Char"/>
    <w:basedOn w:val="DefaultParagraphFont"/>
    <w:link w:val="Heading9"/>
    <w:uiPriority w:val="9"/>
    <w:semiHidden/>
    <w:rsid w:val="00F34D03"/>
    <w:rPr>
      <w:rFonts w:eastAsiaTheme="majorEastAsia" w:cstheme="majorBidi"/>
      <w:color w:val="272727" w:themeColor="text1" w:themeTint="D8"/>
      <w:kern w:val="0"/>
      <w:sz w:val="24"/>
      <w:szCs w:val="24"/>
      <w:lang w:bidi="ar-SA"/>
      <w14:ligatures w14:val="none"/>
    </w:rPr>
  </w:style>
  <w:style w:type="paragraph" w:styleId="Title">
    <w:name w:val="Title"/>
    <w:basedOn w:val="Normal"/>
    <w:next w:val="Normal"/>
    <w:link w:val="TitleChar"/>
    <w:uiPriority w:val="10"/>
    <w:qFormat/>
    <w:rsid w:val="00F34D03"/>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34D03"/>
    <w:rPr>
      <w:rFonts w:asciiTheme="majorHAnsi" w:eastAsiaTheme="majorEastAsia" w:hAnsiTheme="majorHAnsi" w:cstheme="majorBidi"/>
      <w:spacing w:val="-10"/>
      <w:kern w:val="28"/>
      <w:sz w:val="56"/>
      <w:szCs w:val="56"/>
      <w:lang w:bidi="ar-SA"/>
      <w14:ligatures w14:val="none"/>
    </w:rPr>
  </w:style>
  <w:style w:type="paragraph" w:styleId="Subtitle">
    <w:name w:val="Subtitle"/>
    <w:basedOn w:val="Normal"/>
    <w:next w:val="Normal"/>
    <w:link w:val="SubtitleChar"/>
    <w:uiPriority w:val="11"/>
    <w:qFormat/>
    <w:rsid w:val="00F34D03"/>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34D03"/>
    <w:rPr>
      <w:rFonts w:eastAsiaTheme="majorEastAsia" w:cstheme="majorBidi"/>
      <w:color w:val="595959" w:themeColor="text1" w:themeTint="A6"/>
      <w:spacing w:val="15"/>
      <w:kern w:val="0"/>
      <w:sz w:val="28"/>
      <w:lang w:bidi="ar-SA"/>
      <w14:ligatures w14:val="none"/>
    </w:rPr>
  </w:style>
  <w:style w:type="paragraph" w:styleId="Quote">
    <w:name w:val="Quote"/>
    <w:basedOn w:val="Normal"/>
    <w:next w:val="Normal"/>
    <w:link w:val="QuoteChar"/>
    <w:uiPriority w:val="29"/>
    <w:qFormat/>
    <w:rsid w:val="00F34D03"/>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F34D03"/>
    <w:rPr>
      <w:rFonts w:ascii="Times New Roman" w:hAnsi="Times New Roman" w:cs="Times New Roman"/>
      <w:i/>
      <w:iCs/>
      <w:color w:val="404040" w:themeColor="text1" w:themeTint="BF"/>
      <w:kern w:val="0"/>
      <w:sz w:val="24"/>
      <w:szCs w:val="24"/>
      <w:lang w:bidi="ar-SA"/>
      <w14:ligatures w14:val="none"/>
    </w:rPr>
  </w:style>
  <w:style w:type="paragraph" w:styleId="ListParagraph">
    <w:name w:val="List Paragraph"/>
    <w:basedOn w:val="Normal"/>
    <w:uiPriority w:val="34"/>
    <w:qFormat/>
    <w:rsid w:val="00F34D03"/>
    <w:pPr>
      <w:ind w:left="720"/>
      <w:contextualSpacing/>
    </w:pPr>
  </w:style>
  <w:style w:type="character" w:styleId="IntenseEmphasis">
    <w:name w:val="Intense Emphasis"/>
    <w:basedOn w:val="DefaultParagraphFont"/>
    <w:uiPriority w:val="21"/>
    <w:qFormat/>
    <w:rsid w:val="00F34D03"/>
    <w:rPr>
      <w:i/>
      <w:iCs/>
      <w:color w:val="2F5496" w:themeColor="accent1" w:themeShade="BF"/>
    </w:rPr>
  </w:style>
  <w:style w:type="paragraph" w:styleId="IntenseQuote">
    <w:name w:val="Intense Quote"/>
    <w:basedOn w:val="Normal"/>
    <w:next w:val="Normal"/>
    <w:link w:val="IntenseQuoteChar"/>
    <w:uiPriority w:val="30"/>
    <w:qFormat/>
    <w:rsid w:val="00F34D0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34D03"/>
    <w:rPr>
      <w:rFonts w:ascii="Times New Roman" w:hAnsi="Times New Roman" w:cs="Times New Roman"/>
      <w:i/>
      <w:iCs/>
      <w:color w:val="2F5496" w:themeColor="accent1" w:themeShade="BF"/>
      <w:kern w:val="0"/>
      <w:sz w:val="24"/>
      <w:szCs w:val="24"/>
      <w:lang w:bidi="ar-SA"/>
      <w14:ligatures w14:val="none"/>
    </w:rPr>
  </w:style>
  <w:style w:type="character" w:styleId="IntenseReference">
    <w:name w:val="Intense Reference"/>
    <w:basedOn w:val="DefaultParagraphFont"/>
    <w:uiPriority w:val="32"/>
    <w:qFormat/>
    <w:rsid w:val="00F34D03"/>
    <w:rPr>
      <w:b/>
      <w:bCs/>
      <w:smallCaps/>
      <w:color w:val="2F5496" w:themeColor="accent1" w:themeShade="BF"/>
      <w:spacing w:val="5"/>
    </w:rPr>
  </w:style>
  <w:style w:type="paragraph" w:styleId="Header">
    <w:name w:val="header"/>
    <w:basedOn w:val="Normal"/>
    <w:link w:val="HeaderChar"/>
    <w:uiPriority w:val="99"/>
    <w:unhideWhenUsed/>
    <w:rsid w:val="00492953"/>
    <w:pPr>
      <w:tabs>
        <w:tab w:val="center" w:pos="4680"/>
        <w:tab w:val="right" w:pos="9360"/>
      </w:tabs>
    </w:pPr>
  </w:style>
  <w:style w:type="character" w:customStyle="1" w:styleId="HeaderChar">
    <w:name w:val="Header Char"/>
    <w:basedOn w:val="DefaultParagraphFont"/>
    <w:link w:val="Header"/>
    <w:uiPriority w:val="99"/>
    <w:rsid w:val="00492953"/>
    <w:rPr>
      <w:rFonts w:ascii="Times New Roman" w:hAnsi="Times New Roman" w:cs="Times New Roman"/>
      <w:kern w:val="0"/>
      <w:sz w:val="24"/>
      <w:szCs w:val="24"/>
      <w:lang w:bidi="ar-SA"/>
      <w14:ligatures w14:val="none"/>
    </w:rPr>
  </w:style>
  <w:style w:type="paragraph" w:styleId="Footer">
    <w:name w:val="footer"/>
    <w:basedOn w:val="Normal"/>
    <w:link w:val="FooterChar"/>
    <w:uiPriority w:val="99"/>
    <w:unhideWhenUsed/>
    <w:rsid w:val="00492953"/>
    <w:pPr>
      <w:tabs>
        <w:tab w:val="center" w:pos="4680"/>
        <w:tab w:val="right" w:pos="9360"/>
      </w:tabs>
    </w:pPr>
  </w:style>
  <w:style w:type="character" w:customStyle="1" w:styleId="FooterChar">
    <w:name w:val="Footer Char"/>
    <w:basedOn w:val="DefaultParagraphFont"/>
    <w:link w:val="Footer"/>
    <w:uiPriority w:val="99"/>
    <w:rsid w:val="00492953"/>
    <w:rPr>
      <w:rFonts w:ascii="Times New Roman" w:hAnsi="Times New Roman" w:cs="Times New Roman"/>
      <w:kern w:val="0"/>
      <w:sz w:val="24"/>
      <w:szCs w:val="24"/>
      <w:lang w:bidi="ar-SA"/>
      <w14:ligatures w14:val="none"/>
    </w:rPr>
  </w:style>
  <w:style w:type="paragraph" w:styleId="NormalWeb">
    <w:name w:val="Normal (Web)"/>
    <w:basedOn w:val="Normal"/>
    <w:uiPriority w:val="99"/>
    <w:unhideWhenUsed/>
    <w:rsid w:val="0048459A"/>
    <w:pPr>
      <w:spacing w:before="100" w:beforeAutospacing="1" w:after="100" w:afterAutospacing="1"/>
    </w:pPr>
  </w:style>
  <w:style w:type="character" w:styleId="Hyperlink">
    <w:name w:val="Hyperlink"/>
    <w:basedOn w:val="DefaultParagraphFont"/>
    <w:uiPriority w:val="99"/>
    <w:unhideWhenUsed/>
    <w:rsid w:val="0048459A"/>
    <w:rPr>
      <w:color w:val="0563C1" w:themeColor="hyperlink"/>
      <w:u w:val="single"/>
    </w:rPr>
  </w:style>
  <w:style w:type="character" w:styleId="UnresolvedMention">
    <w:name w:val="Unresolved Mention"/>
    <w:basedOn w:val="DefaultParagraphFont"/>
    <w:uiPriority w:val="99"/>
    <w:semiHidden/>
    <w:unhideWhenUsed/>
    <w:rsid w:val="0048459A"/>
    <w:rPr>
      <w:color w:val="605E5C"/>
      <w:shd w:val="clear" w:color="auto" w:fill="E1DFDD"/>
    </w:rPr>
  </w:style>
  <w:style w:type="paragraph" w:styleId="TOCHeading">
    <w:name w:val="TOC Heading"/>
    <w:basedOn w:val="Heading1"/>
    <w:next w:val="Normal"/>
    <w:uiPriority w:val="39"/>
    <w:unhideWhenUsed/>
    <w:qFormat/>
    <w:rsid w:val="000001A3"/>
    <w:pPr>
      <w:spacing w:line="259" w:lineRule="auto"/>
      <w:outlineLvl w:val="9"/>
    </w:pPr>
    <w:rPr>
      <w:rFonts w:asciiTheme="majorHAnsi" w:hAnsiTheme="majorHAnsi"/>
      <w:b w:val="0"/>
      <w:color w:val="2F5496" w:themeColor="accent1" w:themeShade="BF"/>
      <w:sz w:val="32"/>
      <w:lang w:bidi="ar-SA"/>
    </w:rPr>
  </w:style>
  <w:style w:type="paragraph" w:styleId="TOC1">
    <w:name w:val="toc 1"/>
    <w:basedOn w:val="Normal"/>
    <w:next w:val="Normal"/>
    <w:autoRedefine/>
    <w:uiPriority w:val="39"/>
    <w:unhideWhenUsed/>
    <w:rsid w:val="000001A3"/>
    <w:pPr>
      <w:spacing w:after="100"/>
    </w:pPr>
  </w:style>
  <w:style w:type="paragraph" w:styleId="TOC2">
    <w:name w:val="toc 2"/>
    <w:basedOn w:val="Normal"/>
    <w:next w:val="Normal"/>
    <w:autoRedefine/>
    <w:uiPriority w:val="39"/>
    <w:unhideWhenUsed/>
    <w:rsid w:val="000001A3"/>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doi.org/10.1108/jabs-11-2021-0475" TargetMode="External"/><Relationship Id="rId18" Type="http://schemas.openxmlformats.org/officeDocument/2006/relationships/hyperlink" Target="https://doi.org/10.22158/mmse.v6n2p53" TargetMode="External"/><Relationship Id="rId3" Type="http://schemas.openxmlformats.org/officeDocument/2006/relationships/settings" Target="settings.xml"/><Relationship Id="rId21" Type="http://schemas.openxmlformats.org/officeDocument/2006/relationships/hyperlink" Target="https://link.springer.com/chapter/10.1007/978-3-030-94651-7_10" TargetMode="External"/><Relationship Id="rId7" Type="http://schemas.openxmlformats.org/officeDocument/2006/relationships/image" Target="media/image1.png"/><Relationship Id="rId12" Type="http://schemas.openxmlformats.org/officeDocument/2006/relationships/hyperlink" Target="https://www.sciencedirect.com/science/article/pii/S0040162520311690" TargetMode="External"/><Relationship Id="rId17" Type="http://schemas.openxmlformats.org/officeDocument/2006/relationships/hyperlink" Target="https://odr.chalmers.se/handle/20.500.12380/305013"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doi.org/10.54097/es6rry79" TargetMode="External"/><Relationship Id="rId20" Type="http://schemas.openxmlformats.org/officeDocument/2006/relationships/hyperlink" Target="https://doi.org/10.1007/978-3-031-83911-5_21"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elgaronline.com/edcollchap/book/9781035340408/chapter11.xml"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resdojournals.com/index.php/JEEPO/article/view/296" TargetMode="External"/><Relationship Id="rId23" Type="http://schemas.openxmlformats.org/officeDocument/2006/relationships/footer" Target="footer1.xml"/><Relationship Id="rId10" Type="http://schemas.openxmlformats.org/officeDocument/2006/relationships/image" Target="media/image4.png"/><Relationship Id="rId19" Type="http://schemas.openxmlformats.org/officeDocument/2006/relationships/hyperlink" Target="https://doi.org/10.24760/iasme.14.1_67"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doi.org/10.1016/j.egyr.2022.11.120" TargetMode="External"/><Relationship Id="rId22" Type="http://schemas.openxmlformats.org/officeDocument/2006/relationships/hyperlink" Target="https://doi.org/10.25236/ajbm.2023.05022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6E957D3-91CD-4824-9618-29C8654FAA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1262</TotalTime>
  <Pages>15</Pages>
  <Words>3442</Words>
  <Characters>19626</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MARUF HILALI</dc:creator>
  <cp:keywords/>
  <dc:description/>
  <cp:lastModifiedBy>Maruf Hilali</cp:lastModifiedBy>
  <cp:revision>95</cp:revision>
  <dcterms:created xsi:type="dcterms:W3CDTF">2025-11-04T05:23:00Z</dcterms:created>
  <dcterms:modified xsi:type="dcterms:W3CDTF">2025-11-20T10:11:00Z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29d9d9e3-b35b-49bf-913c-67051e7408a7</vt:lpwstr>
  </property>
</Properties>
</file>