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drawing>
          <wp:inline distT="0" distB="0" distL="0" distR="0">
            <wp:extent cx="1590675" cy="733425"/>
            <wp:effectExtent l="0" t="0" r="0" b="0"/>
            <wp:docPr id="1" name="Image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Text&#10;&#10;Description automatically generated"/>
                    <pic:cNvPicPr>
                      <a:picLocks noChangeAspect="1" noChangeArrowheads="1"/>
                    </pic:cNvPicPr>
                  </pic:nvPicPr>
                  <pic:blipFill>
                    <a:blip r:embed="rId2"/>
                    <a:stretch>
                      <a:fillRect/>
                    </a:stretch>
                  </pic:blipFill>
                  <pic:spPr bwMode="auto">
                    <a:xfrm>
                      <a:off x="0" y="0"/>
                      <a:ext cx="1590675" cy="733425"/>
                    </a:xfrm>
                    <a:prstGeom prst="rect">
                      <a:avLst/>
                    </a:prstGeom>
                  </pic:spPr>
                </pic:pic>
              </a:graphicData>
            </a:graphic>
          </wp:inline>
        </w:drawing>
      </w:r>
      <w:r>
        <w:rPr/>
        <w:t xml:space="preserve">                  </w:t>
      </w:r>
    </w:p>
    <w:p>
      <w:pPr>
        <w:pStyle w:val="Normal"/>
        <w:rPr/>
      </w:pPr>
      <w:r>
        <w:rPr/>
      </w:r>
    </w:p>
    <w:p>
      <w:pPr>
        <w:pStyle w:val="Normal"/>
        <w:rPr/>
      </w:pPr>
      <w:r>
        <w:rPr/>
        <w:t xml:space="preserve">                                                                   </w:t>
      </w:r>
      <w:r>
        <w:rPr>
          <w:sz w:val="40"/>
        </w:rPr>
        <w:t xml:space="preserve">    </w:t>
      </w:r>
      <w:r>
        <w:rPr>
          <w:rFonts w:eastAsia="Arial" w:cs="Arial" w:ascii="Arial" w:hAnsi="Arial"/>
          <w:b/>
          <w:bCs/>
          <w:color w:val="000000"/>
          <w:sz w:val="40"/>
          <w:szCs w:val="28"/>
        </w:rPr>
        <w:t>Assessment</w:t>
      </w:r>
    </w:p>
    <w:p>
      <w:pPr>
        <w:pStyle w:val="Normal"/>
        <w:rPr>
          <w:sz w:val="40"/>
        </w:rPr>
      </w:pPr>
      <w:r>
        <w:rPr>
          <w:rFonts w:eastAsia="Arial" w:cs="Arial" w:ascii="Arial" w:hAnsi="Arial"/>
          <w:b/>
          <w:bCs/>
          <w:color w:val="000000"/>
          <w:sz w:val="40"/>
          <w:szCs w:val="28"/>
        </w:rPr>
        <w:t xml:space="preserve">                     </w:t>
      </w:r>
      <w:r>
        <w:rPr>
          <w:rFonts w:eastAsia="Arial" w:cs="Arial" w:ascii="Arial" w:hAnsi="Arial"/>
          <w:sz w:val="40"/>
          <w:szCs w:val="28"/>
        </w:rPr>
        <w:t>Assessment Component 1</w:t>
      </w:r>
    </w:p>
    <w:p>
      <w:pPr>
        <w:pStyle w:val="Normal"/>
        <w:rPr>
          <w:rFonts w:ascii="Arial" w:hAnsi="Arial" w:eastAsia="Arial" w:cs="Arial"/>
          <w:sz w:val="40"/>
          <w:szCs w:val="28"/>
        </w:rPr>
      </w:pPr>
      <w:r>
        <w:rPr>
          <w:rFonts w:eastAsia="Arial" w:cs="Arial" w:ascii="Arial" w:hAnsi="Arial"/>
          <w:sz w:val="40"/>
          <w:szCs w:val="28"/>
        </w:rPr>
        <w:t xml:space="preserve">                </w:t>
      </w:r>
      <w:r>
        <w:rPr>
          <w:rFonts w:eastAsia="Arial" w:cs="Arial" w:ascii="Arial" w:hAnsi="Arial"/>
          <w:sz w:val="40"/>
          <w:szCs w:val="28"/>
        </w:rPr>
        <w:t xml:space="preserve">Written Report- Bradford case study </w:t>
      </w:r>
    </w:p>
    <w:p>
      <w:pPr>
        <w:pStyle w:val="Normal"/>
        <w:rPr>
          <w:rFonts w:ascii="Arial" w:hAnsi="Arial" w:eastAsia="Arial" w:cs="Arial"/>
          <w:sz w:val="40"/>
          <w:szCs w:val="28"/>
        </w:rPr>
      </w:pPr>
      <w:r>
        <w:rPr>
          <w:rFonts w:eastAsia="Arial" w:cs="Arial" w:ascii="Arial" w:hAnsi="Arial"/>
          <w:sz w:val="40"/>
          <w:szCs w:val="28"/>
        </w:rPr>
      </w:r>
    </w:p>
    <w:p>
      <w:pPr>
        <w:pStyle w:val="Normal"/>
        <w:rPr>
          <w:rFonts w:ascii="Arial" w:hAnsi="Arial" w:eastAsia="Arial" w:cs="Arial"/>
          <w:sz w:val="28"/>
          <w:szCs w:val="28"/>
        </w:rPr>
      </w:pPr>
      <w:r>
        <w:rPr>
          <w:rFonts w:eastAsia="Arial" w:cs="Arial" w:ascii="Arial" w:hAnsi="Arial"/>
          <w:sz w:val="28"/>
          <w:szCs w:val="28"/>
        </w:rPr>
      </w:r>
    </w:p>
    <w:p>
      <w:pPr>
        <w:pStyle w:val="Normal"/>
        <w:rPr>
          <w:sz w:val="36"/>
        </w:rPr>
      </w:pPr>
      <w:r>
        <w:rPr>
          <w:rFonts w:eastAsia="Arial" w:cs="Arial" w:ascii="Arial" w:hAnsi="Arial"/>
          <w:b/>
          <w:bCs/>
          <w:sz w:val="36"/>
          <w:szCs w:val="28"/>
        </w:rPr>
        <w:t>Student name:</w:t>
      </w:r>
      <w:r>
        <w:rPr>
          <w:rFonts w:eastAsia="Arial" w:cs="Arial" w:ascii="Arial" w:hAnsi="Arial"/>
          <w:color w:val="000000"/>
          <w:sz w:val="36"/>
          <w:szCs w:val="28"/>
        </w:rPr>
        <w:t xml:space="preserve"> Mihaita Munteanu</w:t>
      </w:r>
    </w:p>
    <w:p>
      <w:pPr>
        <w:pStyle w:val="Normal"/>
        <w:rPr>
          <w:sz w:val="36"/>
        </w:rPr>
      </w:pPr>
      <w:r>
        <w:rPr>
          <w:rFonts w:eastAsia="Arial" w:cs="Arial" w:ascii="Arial" w:hAnsi="Arial"/>
          <w:b/>
          <w:bCs/>
          <w:sz w:val="36"/>
          <w:szCs w:val="28"/>
        </w:rPr>
        <w:t>Student ID:</w:t>
      </w:r>
      <w:r>
        <w:rPr>
          <w:rFonts w:eastAsia="Arial" w:cs="Arial" w:ascii="Arial" w:hAnsi="Arial"/>
          <w:color w:val="000000"/>
          <w:sz w:val="36"/>
          <w:szCs w:val="28"/>
        </w:rPr>
        <w:t xml:space="preserve"> 1913128</w:t>
      </w:r>
    </w:p>
    <w:p>
      <w:pPr>
        <w:pStyle w:val="Normal"/>
        <w:rPr>
          <w:sz w:val="36"/>
        </w:rPr>
      </w:pPr>
      <w:r>
        <w:rPr>
          <w:rFonts w:eastAsia="Arial" w:cs="Arial" w:ascii="Arial" w:hAnsi="Arial"/>
          <w:b/>
          <w:bCs/>
          <w:sz w:val="36"/>
          <w:szCs w:val="28"/>
        </w:rPr>
        <w:t xml:space="preserve">Module name: </w:t>
      </w:r>
      <w:r>
        <w:rPr>
          <w:rFonts w:eastAsia="Arial" w:cs="Arial" w:ascii="Arial" w:hAnsi="Arial"/>
          <w:sz w:val="36"/>
          <w:szCs w:val="28"/>
        </w:rPr>
        <w:t>Children, Young People and Families</w:t>
      </w:r>
    </w:p>
    <w:p>
      <w:pPr>
        <w:pStyle w:val="Normal"/>
        <w:rPr>
          <w:sz w:val="36"/>
        </w:rPr>
      </w:pPr>
      <w:r>
        <w:rPr>
          <w:rFonts w:eastAsia="Arial" w:cs="Arial" w:ascii="Arial" w:hAnsi="Arial"/>
          <w:b/>
          <w:bCs/>
          <w:sz w:val="36"/>
          <w:szCs w:val="28"/>
        </w:rPr>
        <w:t xml:space="preserve">Module code: </w:t>
      </w:r>
      <w:r>
        <w:rPr>
          <w:rFonts w:eastAsia="Arial" w:cs="Arial" w:ascii="Arial" w:hAnsi="Arial"/>
          <w:sz w:val="36"/>
          <w:szCs w:val="28"/>
        </w:rPr>
        <w:t>(BMHP5004_LON)</w:t>
      </w:r>
    </w:p>
    <w:p>
      <w:pPr>
        <w:pStyle w:val="Normal"/>
        <w:rPr>
          <w:sz w:val="36"/>
        </w:rPr>
      </w:pPr>
      <w:r>
        <w:rPr>
          <w:rFonts w:eastAsia="Arial" w:cs="Arial" w:ascii="Arial" w:hAnsi="Arial"/>
          <w:b/>
          <w:bCs/>
          <w:sz w:val="36"/>
          <w:szCs w:val="28"/>
        </w:rPr>
        <w:t xml:space="preserve">Lecturer's name: </w:t>
      </w:r>
      <w:r>
        <w:rPr>
          <w:rFonts w:eastAsia="Arial" w:cs="Arial" w:ascii="Arial" w:hAnsi="Arial"/>
          <w:sz w:val="36"/>
          <w:szCs w:val="28"/>
        </w:rPr>
        <w:t>Bianca Sanfilippo</w:t>
      </w:r>
      <w:r>
        <w:rPr>
          <w:rFonts w:eastAsia="Arial" w:cs="Arial" w:ascii="Arial" w:hAnsi="Arial"/>
          <w:b/>
          <w:bCs/>
          <w:sz w:val="36"/>
          <w:szCs w:val="28"/>
        </w:rPr>
        <w:t xml:space="preserve"> </w:t>
      </w:r>
    </w:p>
    <w:p>
      <w:pPr>
        <w:pStyle w:val="Normal"/>
        <w:rPr>
          <w:rFonts w:ascii="Arial" w:hAnsi="Arial" w:eastAsia="Arial" w:cs="Arial"/>
          <w:b/>
          <w:b/>
          <w:bCs/>
          <w:sz w:val="36"/>
          <w:szCs w:val="28"/>
        </w:rPr>
      </w:pPr>
      <w:r>
        <w:rPr>
          <w:rFonts w:eastAsia="Arial" w:cs="Arial" w:ascii="Arial" w:hAnsi="Arial"/>
          <w:b/>
          <w:bCs/>
          <w:sz w:val="36"/>
          <w:szCs w:val="28"/>
        </w:rPr>
        <w:t>Word count:</w:t>
      </w:r>
      <w:r>
        <w:rPr>
          <w:rFonts w:eastAsia="Arial" w:cs="Arial" w:ascii="Arial" w:hAnsi="Arial"/>
          <w:b w:val="false"/>
          <w:bCs/>
          <w:sz w:val="36"/>
          <w:szCs w:val="28"/>
        </w:rPr>
        <w:t>2160</w:t>
      </w:r>
    </w:p>
    <w:p>
      <w:pPr>
        <w:pStyle w:val="Normal"/>
        <w:rPr>
          <w:rFonts w:ascii="Arial" w:hAnsi="Arial" w:eastAsia="Arial" w:cs="Arial"/>
          <w:sz w:val="28"/>
          <w:szCs w:val="28"/>
        </w:rPr>
      </w:pPr>
      <w:r>
        <w:rPr>
          <w:rFonts w:eastAsia="Arial" w:cs="Arial" w:ascii="Arial" w:hAnsi="Arial"/>
          <w:sz w:val="28"/>
          <w:szCs w:val="28"/>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spacing w:lineRule="auto" w:line="360"/>
        <w:jc w:val="both"/>
        <w:rPr>
          <w:rFonts w:ascii="Times New Roman" w:hAnsi="Times New Roman" w:cs="Times New Roman"/>
          <w:b/>
          <w:b/>
          <w:sz w:val="40"/>
          <w:szCs w:val="24"/>
        </w:rPr>
      </w:pPr>
      <w:r>
        <w:rPr>
          <w:rFonts w:cs="Times New Roman" w:ascii="Times New Roman" w:hAnsi="Times New Roman"/>
          <w:b/>
          <w:sz w:val="40"/>
          <w:szCs w:val="24"/>
        </w:rPr>
        <w:t>Table of content</w:t>
      </w:r>
    </w:p>
    <w:p>
      <w:pPr>
        <w:pStyle w:val="Normal"/>
        <w:spacing w:lineRule="auto" w:line="360"/>
        <w:jc w:val="both"/>
        <w:rPr>
          <w:rFonts w:ascii="Arial" w:hAnsi="Arial"/>
          <w:sz w:val="36"/>
        </w:rPr>
      </w:pPr>
      <w:r>
        <w:rPr>
          <w:rFonts w:ascii="Arial" w:hAnsi="Arial"/>
          <w:sz w:val="36"/>
        </w:rPr>
        <w:t>-Introduction…………………………………………………..3</w:t>
      </w:r>
    </w:p>
    <w:p>
      <w:pPr>
        <w:pStyle w:val="Normal"/>
        <w:spacing w:lineRule="auto" w:line="360"/>
        <w:jc w:val="both"/>
        <w:rPr>
          <w:rFonts w:ascii="Arial" w:hAnsi="Arial"/>
          <w:sz w:val="36"/>
        </w:rPr>
      </w:pPr>
      <w:r>
        <w:rPr>
          <w:rFonts w:ascii="Arial" w:hAnsi="Arial"/>
          <w:sz w:val="36"/>
        </w:rPr>
        <w:t>-Case study…………………………………………………4-6</w:t>
      </w:r>
    </w:p>
    <w:p>
      <w:pPr>
        <w:pStyle w:val="Normal"/>
        <w:spacing w:lineRule="auto" w:line="360"/>
        <w:jc w:val="both"/>
        <w:rPr>
          <w:rFonts w:ascii="Arial" w:hAnsi="Arial"/>
          <w:sz w:val="36"/>
        </w:rPr>
      </w:pPr>
      <w:r>
        <w:rPr>
          <w:rFonts w:ascii="Arial" w:hAnsi="Arial"/>
          <w:sz w:val="36"/>
        </w:rPr>
        <w:t>-Impact of risc factors……………………………… ……..6-8</w:t>
      </w:r>
    </w:p>
    <w:p>
      <w:pPr>
        <w:pStyle w:val="Normal"/>
        <w:spacing w:lineRule="auto" w:line="360"/>
        <w:jc w:val="both"/>
        <w:rPr>
          <w:rFonts w:ascii="Arial" w:hAnsi="Arial"/>
          <w:sz w:val="36"/>
        </w:rPr>
      </w:pPr>
      <w:r>
        <w:rPr>
          <w:rFonts w:ascii="Arial" w:hAnsi="Arial"/>
          <w:sz w:val="36"/>
        </w:rPr>
        <w:t>-The assessment, intervention of multi-agency, and results………………………………………………………8-10</w:t>
      </w:r>
    </w:p>
    <w:p>
      <w:pPr>
        <w:pStyle w:val="Normal"/>
        <w:spacing w:lineRule="auto" w:line="360"/>
        <w:jc w:val="both"/>
        <w:rPr>
          <w:rFonts w:ascii="Arial" w:hAnsi="Arial"/>
          <w:sz w:val="36"/>
        </w:rPr>
      </w:pPr>
      <w:r>
        <w:rPr>
          <w:rFonts w:ascii="Arial" w:hAnsi="Arial"/>
          <w:sz w:val="36"/>
        </w:rPr>
        <w:t>-Conclusion………………………………………………10-11</w:t>
      </w:r>
    </w:p>
    <w:p>
      <w:pPr>
        <w:pStyle w:val="Normal"/>
        <w:spacing w:lineRule="auto" w:line="360"/>
        <w:jc w:val="both"/>
        <w:rPr>
          <w:rFonts w:ascii="Arial" w:hAnsi="Arial"/>
          <w:sz w:val="36"/>
        </w:rPr>
      </w:pPr>
      <w:r>
        <w:rPr>
          <w:rFonts w:ascii="Arial" w:hAnsi="Arial"/>
          <w:sz w:val="36"/>
        </w:rPr>
        <w:t xml:space="preserve">-Reference……………………………………………….12-13 </w:t>
      </w:r>
    </w:p>
    <w:p>
      <w:pPr>
        <w:pStyle w:val="Normal"/>
        <w:spacing w:lineRule="auto" w:line="360"/>
        <w:jc w:val="both"/>
        <w:rPr>
          <w:rFonts w:ascii="Arial" w:hAnsi="Arial"/>
          <w:sz w:val="36"/>
        </w:rPr>
      </w:pPr>
      <w:r>
        <w:rPr>
          <w:rFonts w:ascii="Arial" w:hAnsi="Arial"/>
          <w:sz w:val="36"/>
        </w:rPr>
      </w:r>
    </w:p>
    <w:p>
      <w:pPr>
        <w:pStyle w:val="Normal"/>
        <w:spacing w:lineRule="auto" w:line="360"/>
        <w:jc w:val="both"/>
        <w:rPr>
          <w:rFonts w:ascii="Arial" w:hAnsi="Arial"/>
        </w:rPr>
      </w:pPr>
      <w:r>
        <w:rPr>
          <w:rFonts w:ascii="Arial" w:hAnsi="Arial"/>
        </w:rPr>
      </w:r>
    </w:p>
    <w:p>
      <w:pPr>
        <w:pStyle w:val="Normal"/>
        <w:spacing w:lineRule="auto" w:line="360"/>
        <w:jc w:val="both"/>
        <w:rPr>
          <w:rFonts w:ascii="Arial" w:hAnsi="Arial"/>
        </w:rPr>
      </w:pPr>
      <w:r>
        <w:rPr>
          <w:rFonts w:ascii="Arial" w:hAnsi="Arial"/>
        </w:rPr>
      </w:r>
    </w:p>
    <w:p>
      <w:pPr>
        <w:pStyle w:val="Normal"/>
        <w:spacing w:lineRule="auto" w:line="360"/>
        <w:jc w:val="both"/>
        <w:rPr>
          <w:rFonts w:ascii="Arial" w:hAnsi="Arial"/>
        </w:rPr>
      </w:pPr>
      <w:r>
        <w:rPr>
          <w:rFonts w:ascii="Arial" w:hAnsi="Arial"/>
        </w:rPr>
      </w:r>
    </w:p>
    <w:p>
      <w:pPr>
        <w:pStyle w:val="Normal"/>
        <w:spacing w:lineRule="auto" w:line="360"/>
        <w:jc w:val="both"/>
        <w:rPr>
          <w:rFonts w:ascii="Arial" w:hAnsi="Arial"/>
        </w:rPr>
      </w:pPr>
      <w:r>
        <w:rPr>
          <w:rFonts w:ascii="Arial" w:hAnsi="Arial"/>
        </w:rPr>
      </w:r>
    </w:p>
    <w:p>
      <w:pPr>
        <w:pStyle w:val="Normal"/>
        <w:spacing w:lineRule="auto" w:line="360"/>
        <w:jc w:val="both"/>
        <w:rPr>
          <w:rFonts w:ascii="Arial" w:hAnsi="Arial"/>
        </w:rPr>
      </w:pPr>
      <w:r>
        <w:rPr>
          <w:rFonts w:ascii="Arial" w:hAnsi="Arial"/>
        </w:rPr>
      </w:r>
    </w:p>
    <w:p>
      <w:pPr>
        <w:pStyle w:val="Normal"/>
        <w:spacing w:lineRule="auto" w:line="360"/>
        <w:jc w:val="both"/>
        <w:rPr>
          <w:rFonts w:ascii="Arial" w:hAnsi="Arial"/>
        </w:rPr>
      </w:pPr>
      <w:r>
        <w:rPr>
          <w:rFonts w:ascii="Arial" w:hAnsi="Arial"/>
        </w:rPr>
      </w:r>
    </w:p>
    <w:p>
      <w:pPr>
        <w:pStyle w:val="Normal"/>
        <w:spacing w:lineRule="auto" w:line="360"/>
        <w:jc w:val="both"/>
        <w:rPr>
          <w:rFonts w:ascii="Arial" w:hAnsi="Arial"/>
        </w:rPr>
      </w:pPr>
      <w:r>
        <w:rPr>
          <w:rFonts w:ascii="Arial" w:hAnsi="Arial"/>
        </w:rPr>
      </w:r>
    </w:p>
    <w:p>
      <w:pPr>
        <w:pStyle w:val="Normal"/>
        <w:spacing w:lineRule="auto" w:line="360"/>
        <w:jc w:val="both"/>
        <w:rPr>
          <w:rFonts w:ascii="Arial" w:hAnsi="Arial"/>
        </w:rPr>
      </w:pPr>
      <w:r>
        <w:rPr>
          <w:rFonts w:ascii="Arial" w:hAnsi="Arial"/>
        </w:rPr>
      </w:r>
    </w:p>
    <w:p>
      <w:pPr>
        <w:pStyle w:val="Normal"/>
        <w:spacing w:lineRule="auto" w:line="360"/>
        <w:jc w:val="both"/>
        <w:rPr>
          <w:rFonts w:ascii="Arial" w:hAnsi="Arial"/>
        </w:rPr>
      </w:pPr>
      <w:r>
        <w:rPr>
          <w:rFonts w:ascii="Arial" w:hAnsi="Arial"/>
        </w:rPr>
      </w:r>
    </w:p>
    <w:p>
      <w:pPr>
        <w:pStyle w:val="Normal"/>
        <w:spacing w:lineRule="auto" w:line="360"/>
        <w:jc w:val="both"/>
        <w:rPr>
          <w:rFonts w:ascii="Arial" w:hAnsi="Arial"/>
        </w:rPr>
      </w:pPr>
      <w:r>
        <w:rPr>
          <w:rFonts w:ascii="Arial" w:hAnsi="Arial"/>
        </w:rPr>
      </w:r>
    </w:p>
    <w:p>
      <w:pPr>
        <w:pStyle w:val="Normal"/>
        <w:spacing w:lineRule="auto" w:line="360"/>
        <w:jc w:val="both"/>
        <w:rPr>
          <w:rFonts w:ascii="Arial" w:hAnsi="Arial"/>
          <w:sz w:val="36"/>
        </w:rPr>
      </w:pPr>
      <w:r>
        <w:rPr>
          <w:rFonts w:ascii="Arial" w:hAnsi="Arial"/>
          <w:sz w:val="36"/>
        </w:rPr>
      </w:r>
    </w:p>
    <w:p>
      <w:pPr>
        <w:pStyle w:val="Normal"/>
        <w:spacing w:lineRule="auto" w:line="360"/>
        <w:jc w:val="both"/>
        <w:rPr>
          <w:rFonts w:ascii="Arial" w:hAnsi="Arial"/>
          <w:sz w:val="36"/>
        </w:rPr>
      </w:pPr>
      <w:r>
        <w:rPr>
          <w:rFonts w:ascii="Arial" w:hAnsi="Arial"/>
          <w:sz w:val="36"/>
        </w:rPr>
        <w:t>Introduction</w:t>
      </w:r>
    </w:p>
    <w:p>
      <w:pPr>
        <w:pStyle w:val="Normal"/>
        <w:spacing w:lineRule="auto" w:line="360"/>
        <w:jc w:val="left"/>
        <w:rPr/>
      </w:pPr>
      <w:r>
        <w:rPr>
          <w:rFonts w:cs="Times New Roman" w:ascii="Times New Roman" w:hAnsi="Times New Roman"/>
          <w:sz w:val="24"/>
          <w:szCs w:val="24"/>
        </w:rPr>
        <w:t xml:space="preserve">The family, the core of our society, is the place where our first emotions appear, the place where we begin to develop as individuals a character and an attitude that will follow us all our lives. From the beginning of human history, the family has been the link between the individual and society, assuming the role of the basic institution in the development of individual social behavior </w:t>
      </w:r>
      <w:r>
        <w:rPr>
          <w:rFonts w:cs="Times New Roman" w:ascii="Times New Roman" w:hAnsi="Times New Roman"/>
          <w:color w:val="000000"/>
          <w:sz w:val="24"/>
          <w:szCs w:val="24"/>
        </w:rPr>
        <w:t>(WHO, 1978)</w:t>
      </w:r>
      <w:r>
        <w:rPr>
          <w:rFonts w:cs="Times New Roman" w:ascii="Times New Roman" w:hAnsi="Times New Roman"/>
          <w:sz w:val="24"/>
          <w:szCs w:val="24"/>
        </w:rPr>
        <w:t xml:space="preserve">. Unfortunately, the social and economic environment and the actions of those around us, family, school, friends, etc., can make their mark on our behavior, influencing our physical and mental development. Childhood should be the most beautiful stage of life, but it can turn into a nightmare due to domestic abuse and neglect, and the consequences of parental behavior can directly impact on children's education </w:t>
      </w:r>
      <w:r>
        <w:rPr>
          <w:rFonts w:cs="Times New Roman" w:ascii="Times New Roman" w:hAnsi="Times New Roman"/>
          <w:color w:val="000000"/>
          <w:sz w:val="24"/>
          <w:szCs w:val="24"/>
        </w:rPr>
        <w:t>(Lindberg, 2020)</w:t>
      </w:r>
      <w:r>
        <w:rPr>
          <w:rFonts w:cs="Times New Roman" w:ascii="Times New Roman" w:hAnsi="Times New Roman"/>
          <w:sz w:val="24"/>
          <w:szCs w:val="24"/>
        </w:rPr>
        <w:t>.</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In the report, we will identify and analyze the risk factors in the case study and investigate how social services have been involved to support and help each family member. In this case, we can recognize the lack of parent-child relationships, the non-involvement of the parent in social life and education. Those factors push the children to learn and display socially inappropriate behavior. Examining the case can be identified aspects related to general neglect, which are reflected in the behavior and children education. So taking into account the family situation and risk factors, it is recommended the intervention of the social services department to provide urgent administrative, physical and mental support to both parents and children.</w:t>
      </w:r>
    </w:p>
    <w:p>
      <w:pPr>
        <w:pStyle w:val="Normal"/>
        <w:spacing w:lineRule="auto" w:line="360"/>
        <w:jc w:val="both"/>
        <w:rPr>
          <w:rFonts w:ascii="Times New Roman" w:hAnsi="Times New Roman" w:cs="Times New Roman"/>
          <w:sz w:val="24"/>
          <w:szCs w:val="24"/>
        </w:rPr>
      </w:pPr>
      <w:r>
        <w:rPr>
          <w:rFonts w:cs="Times New Roman" w:ascii="Times New Roman" w:hAnsi="Times New Roman"/>
          <w:sz w:val="36"/>
          <w:szCs w:val="24"/>
        </w:rPr>
        <w:t>Case study</w:t>
      </w:r>
      <w:r>
        <w:rPr>
          <w:rFonts w:cs="Times New Roman" w:ascii="Times New Roman" w:hAnsi="Times New Roman"/>
          <w:sz w:val="24"/>
          <w:szCs w:val="24"/>
        </w:rPr>
        <w:t xml:space="preserv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Julia, single mother of six children, four boys, and two girls Tom, Ricky, Leo, Charley, Kia, Donna, and the children's aunt Sonia are the subject of our case study. From the beginning, we can identify the absence of the children’s father.</w:t>
      </w:r>
    </w:p>
    <w:p>
      <w:pPr>
        <w:pStyle w:val="Normal"/>
        <w:spacing w:lineRule="auto" w:line="360"/>
        <w:jc w:val="both"/>
        <w:rPr/>
      </w:pPr>
      <w:r>
        <w:rPr>
          <w:rFonts w:cs="Times New Roman" w:ascii="Times New Roman" w:hAnsi="Times New Roman"/>
          <w:sz w:val="24"/>
          <w:szCs w:val="24"/>
        </w:rPr>
        <w:t xml:space="preserve"> </w:t>
      </w:r>
      <w:r>
        <w:rPr>
          <w:rFonts w:cs="Times New Roman" w:ascii="Times New Roman" w:hAnsi="Times New Roman"/>
          <w:sz w:val="24"/>
          <w:szCs w:val="24"/>
        </w:rPr>
        <w:t xml:space="preserve">Fathers play an important role in a child's life. The absence of the father can emotionally and mentally affect the child's development in extreme cases involving self-harm or criminal activities. The absence of the father in social life and in the education of the child can be considered as a factor of vulnerability, children raised without a father can develop traumas throughout life </w:t>
      </w:r>
      <w:r>
        <w:rPr>
          <w:rFonts w:cs="Times New Roman" w:ascii="Times New Roman" w:hAnsi="Times New Roman"/>
          <w:color w:val="000000"/>
          <w:sz w:val="24"/>
          <w:szCs w:val="24"/>
        </w:rPr>
        <w:t>(Guertin, 2021)</w:t>
      </w:r>
      <w:r>
        <w:rPr>
          <w:rFonts w:cs="Times New Roman" w:ascii="Times New Roman" w:hAnsi="Times New Roman"/>
          <w:sz w:val="24"/>
          <w:szCs w:val="24"/>
        </w:rPr>
        <w:t>.</w:t>
      </w:r>
    </w:p>
    <w:p>
      <w:pPr>
        <w:pStyle w:val="Normal"/>
        <w:spacing w:lineRule="auto" w:line="360"/>
        <w:jc w:val="both"/>
        <w:rPr/>
      </w:pPr>
      <w:r>
        <w:rPr>
          <w:rFonts w:cs="Times New Roman" w:ascii="Times New Roman" w:hAnsi="Times New Roman"/>
          <w:sz w:val="24"/>
          <w:szCs w:val="24"/>
        </w:rPr>
        <w:t>According to the ''Bedford crime and safety statistics '',Bedford is the city with the highest risk factor and is in the top ten localities with the highest crime rate in Bedfordshire county. Nationally, Bedford ranks 29th in a ranking of the most dangerous major cities, with a crime rate of 29% higher than in the rest of Bedfordshire in 2020.</w:t>
      </w:r>
    </w:p>
    <w:p>
      <w:pPr>
        <w:pStyle w:val="Normal"/>
        <w:spacing w:lineRule="auto" w:line="360"/>
        <w:jc w:val="both"/>
        <w:rPr/>
      </w:pPr>
      <w:r>
        <w:drawing>
          <wp:anchor behindDoc="0" distT="0" distB="0" distL="0" distR="0" simplePos="0" locked="0" layoutInCell="0" allowOverlap="1" relativeHeight="4">
            <wp:simplePos x="0" y="0"/>
            <wp:positionH relativeFrom="column">
              <wp:posOffset>31750</wp:posOffset>
            </wp:positionH>
            <wp:positionV relativeFrom="paragraph">
              <wp:posOffset>115570</wp:posOffset>
            </wp:positionV>
            <wp:extent cx="5943600" cy="2178050"/>
            <wp:effectExtent l="0" t="0" r="0" b="0"/>
            <wp:wrapSquare wrapText="largest"/>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3"/>
                    <a:stretch>
                      <a:fillRect/>
                    </a:stretch>
                  </pic:blipFill>
                  <pic:spPr bwMode="auto">
                    <a:xfrm>
                      <a:off x="0" y="0"/>
                      <a:ext cx="5943600" cy="2178050"/>
                    </a:xfrm>
                    <a:prstGeom prst="rect">
                      <a:avLst/>
                    </a:prstGeom>
                  </pic:spPr>
                </pic:pic>
              </a:graphicData>
            </a:graphic>
          </wp:anchor>
        </w:drawing>
      </w:r>
      <w:r>
        <w:rPr>
          <w:rFonts w:cs="Times New Roman" w:ascii="Times New Roman" w:hAnsi="Times New Roman"/>
          <w:sz w:val="24"/>
          <w:szCs w:val="24"/>
        </w:rPr>
        <w:t>https://crimerate.co.uk/bedfordshire/bedford</w:t>
      </w:r>
    </w:p>
    <w:p>
      <w:pPr>
        <w:pStyle w:val="Normal"/>
        <w:spacing w:lineRule="auto" w:line="360"/>
        <w:jc w:val="both"/>
        <w:rPr/>
      </w:pPr>
      <w:r>
        <w:rPr>
          <w:rFonts w:cs="Times New Roman" w:ascii="Times New Roman" w:hAnsi="Times New Roman"/>
          <w:sz w:val="24"/>
          <w:szCs w:val="24"/>
        </w:rPr>
        <w:t xml:space="preserve">In most cases, one of the major factor of vulnerability is played by the local community. Always a place with an advanced risk of crime and poverty will negatively affect the behavior of family members. The community is part of our daily lives and our behavior in society can have a boomerang effect. In Julia's family, behaviors that involve criminal activity seem to displease other members of the community who end up taking extreme measures to make the family leave the community. Tomorrow's insecurity and poverty are risk factors that also lead to inappropriate behavior in society. The basic elements for the good functioning of the family are related to the house, food and financial stability. When this balance is broken the family may go into physical, mental and emotional decline. </w:t>
      </w:r>
      <w:r>
        <w:rPr>
          <w:rFonts w:cs="Times New Roman" w:ascii="Times New Roman" w:hAnsi="Times New Roman"/>
          <w:color w:val="000000"/>
          <w:sz w:val="24"/>
          <w:szCs w:val="24"/>
        </w:rPr>
        <w:t xml:space="preserve">(Sandstrom and Huerta, 2013). </w:t>
      </w:r>
    </w:p>
    <w:p>
      <w:pPr>
        <w:pStyle w:val="Normal"/>
        <w:spacing w:lineRule="auto" w:line="360"/>
        <w:jc w:val="both"/>
        <w:rPr>
          <w:rFonts w:ascii="Times New Roman" w:hAnsi="Times New Roman" w:cs="Times New Roman"/>
          <w:color w:val="000000"/>
          <w:sz w:val="24"/>
          <w:szCs w:val="24"/>
        </w:rPr>
      </w:pPr>
      <w:r>
        <w:rPr>
          <w:rFonts w:cs="Times New Roman" w:ascii="Times New Roman" w:hAnsi="Times New Roman"/>
          <w:color w:val="000000"/>
          <w:sz w:val="24"/>
          <w:szCs w:val="24"/>
        </w:rPr>
        <w:t>Financial instability and social problems together with the abusive use of parental substances lead in most cases to criminal behavior that affects both physically and mentally the individual.</w:t>
      </w:r>
    </w:p>
    <w:p>
      <w:pPr>
        <w:pStyle w:val="Normal"/>
        <w:spacing w:lineRule="auto" w:line="360"/>
        <w:jc w:val="both"/>
        <w:rPr/>
      </w:pPr>
      <w:r>
        <w:rPr>
          <w:rFonts w:cs="Times New Roman" w:ascii="Times New Roman" w:hAnsi="Times New Roman"/>
          <w:color w:val="000000"/>
          <w:sz w:val="24"/>
          <w:szCs w:val="24"/>
        </w:rPr>
        <w:t>Nowadays, substance misuse (alcohol, illegal drugs or any other medical product use in inappropriate way) have become a national problem (NSPCC, 2018). People of all ages use substance misuse for various reasons, these reasons differ from individual to individual, but it is certain that, for whatever reason is drugs have devastating consequences both physically and mentally .(</w:t>
      </w:r>
      <w:r>
        <w:rPr>
          <w:rFonts w:eastAsia="Calibri" w:cs="Times New Roman" w:ascii="Times New Roman" w:hAnsi="Times New Roman"/>
          <w:color w:val="000000"/>
          <w:kern w:val="0"/>
          <w:sz w:val="24"/>
          <w:szCs w:val="24"/>
          <w:lang w:val="en-US" w:eastAsia="en-US" w:bidi="ar-SA"/>
        </w:rPr>
        <w:t>NICE2021</w:t>
      </w:r>
      <w:r>
        <w:rPr>
          <w:rFonts w:cs="Times New Roman" w:ascii="Times New Roman" w:hAnsi="Times New Roman"/>
          <w:color w:val="000000"/>
          <w:sz w:val="24"/>
          <w:szCs w:val="24"/>
        </w:rPr>
        <w:t>). Drug addiction is more common in communities at high risk of crime and poverty and the most common drugs in the UK being cocaine, cannabis and ecstasy. Heroin and opium are also common drugs among people in degenerate areas social, heroin been considered a high-risk drug that can cause serious health problems. (NICE 2021).</w:t>
      </w:r>
    </w:p>
    <w:p>
      <w:pPr>
        <w:pStyle w:val="Normal"/>
        <w:spacing w:lineRule="auto" w:line="360"/>
        <w:jc w:val="both"/>
        <w:rPr>
          <w:rFonts w:ascii="Times New Roman" w:hAnsi="Times New Roman" w:cs="Times New Roman"/>
          <w:color w:val="000000"/>
          <w:sz w:val="24"/>
          <w:szCs w:val="24"/>
        </w:rPr>
      </w:pPr>
      <w:r>
        <w:rPr>
          <w:rFonts w:cs="Times New Roman" w:ascii="Times New Roman" w:hAnsi="Times New Roman"/>
          <w:color w:val="000000"/>
          <w:sz w:val="24"/>
          <w:szCs w:val="24"/>
        </w:rPr>
        <w:t>Drug addiction can change the individual's behaviors in the bad way. Many users become addicted to drugs and this brings additional problems in their lives, family neglect, loss of jobs, inability to pay rent, bills, mortgages, etc. All of these things can lead to mental and emotional imbalances affecting both parents and children. Children raised in families where drugs are used may feel insecure, physically and emotionally neglected, in some cases blaming themselves for their parents' habits.</w:t>
      </w:r>
    </w:p>
    <w:p>
      <w:pPr>
        <w:pStyle w:val="Normal"/>
        <w:spacing w:lineRule="auto" w:line="360"/>
        <w:jc w:val="both"/>
        <w:rPr>
          <w:rFonts w:ascii="Times New Roman" w:hAnsi="Times New Roman" w:cs="Times New Roman"/>
          <w:color w:val="000000"/>
          <w:sz w:val="24"/>
          <w:szCs w:val="24"/>
        </w:rPr>
      </w:pPr>
      <w:r>
        <w:rPr>
          <w:rFonts w:cs="Times New Roman" w:ascii="Times New Roman" w:hAnsi="Times New Roman"/>
          <w:color w:val="000000"/>
          <w:sz w:val="24"/>
          <w:szCs w:val="24"/>
        </w:rPr>
        <w:t>Look over Julia's attitude towards the family and the fact that over time she had a criminal behavior we can say with certainty that there are concerns about the general neglect of children and the fact that Sonia children’s aunt takes care of them confirms this. Drug addiction, prostitution, and criminal behavior are just some of the risk factors to which family members are subjected. The absence of the father and the mother's behavior affected the school situation and the children's behavior. The lack of a role model in Tom's life and the social conditions in which the family lives have led to the development of his criminal behavior. The fact that he was involved with the youth offending team is not accidental, is due to the neglect he had at an early age from the parents.  Moreover, the fact that none of the children attend school regularly and three of the boys have developed inappropriate behavior being expelled from school is also factors of vulnerability. Finally, leaving aside the fact that he participates only in a very small percentage of the nursery, the youngest child is behind with immunizations and this is a risk factor for him.</w:t>
      </w:r>
    </w:p>
    <w:p>
      <w:pPr>
        <w:pStyle w:val="Normal"/>
        <w:spacing w:lineRule="auto" w:line="360"/>
        <w:jc w:val="both"/>
        <w:rPr>
          <w:rFonts w:ascii="Times New Roman" w:hAnsi="Times New Roman" w:cs="Times New Roman"/>
          <w:sz w:val="36"/>
          <w:szCs w:val="24"/>
        </w:rPr>
      </w:pPr>
      <w:r>
        <w:rPr>
          <w:rFonts w:cs="Times New Roman" w:ascii="Times New Roman" w:hAnsi="Times New Roman"/>
          <w:sz w:val="36"/>
          <w:szCs w:val="24"/>
        </w:rPr>
        <w:t xml:space="preserve">Impact of risk factors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tbl>
      <w:tblPr>
        <w:tblW w:w="9520" w:type="dxa"/>
        <w:jc w:val="left"/>
        <w:tblInd w:w="-226" w:type="dxa"/>
        <w:tblLayout w:type="fixed"/>
        <w:tblCellMar>
          <w:top w:w="0" w:type="dxa"/>
          <w:left w:w="108" w:type="dxa"/>
          <w:bottom w:w="0" w:type="dxa"/>
          <w:right w:w="108" w:type="dxa"/>
        </w:tblCellMar>
      </w:tblPr>
      <w:tblGrid>
        <w:gridCol w:w="1212"/>
        <w:gridCol w:w="3571"/>
        <w:gridCol w:w="4737"/>
      </w:tblGrid>
      <w:tr>
        <w:trPr/>
        <w:tc>
          <w:tcPr>
            <w:tcW w:w="1212" w:type="dxa"/>
            <w:tcBorders>
              <w:top w:val="single" w:sz="4" w:space="0" w:color="000000"/>
              <w:left w:val="single" w:sz="4" w:space="0" w:color="000000"/>
              <w:bottom w:val="single" w:sz="4" w:space="0" w:color="000000"/>
              <w:right w:val="single" w:sz="4" w:space="0" w:color="000000"/>
            </w:tcBorders>
          </w:tcPr>
          <w:p>
            <w:pPr>
              <w:pStyle w:val="Normal"/>
              <w:widowControl w:val="false"/>
              <w:shd w:val="clear" w:fill="FFFFFF"/>
              <w:spacing w:lineRule="auto" w:line="240" w:before="150" w:after="300"/>
              <w:jc w:val="both"/>
              <w:rPr>
                <w:rFonts w:ascii="Times New Roman" w:hAnsi="Times New Roman" w:eastAsia="Times New Roman" w:cs="Times New Roman"/>
                <w:b/>
                <w:b/>
                <w:color w:val="1C2A38"/>
                <w:sz w:val="24"/>
                <w:szCs w:val="24"/>
              </w:rPr>
            </w:pPr>
            <w:r>
              <w:rPr>
                <w:rFonts w:eastAsia="Times New Roman" w:cs="Times New Roman" w:ascii="Times New Roman" w:hAnsi="Times New Roman"/>
                <w:b/>
                <w:color w:val="1C2A38"/>
                <w:sz w:val="24"/>
                <w:szCs w:val="24"/>
              </w:rPr>
            </w:r>
          </w:p>
        </w:tc>
        <w:tc>
          <w:tcPr>
            <w:tcW w:w="3571"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150" w:after="300"/>
              <w:jc w:val="both"/>
              <w:rPr>
                <w:rFonts w:ascii="Times New Roman" w:hAnsi="Times New Roman" w:eastAsia="Times New Roman" w:cs="Times New Roman"/>
                <w:b/>
                <w:b/>
                <w:color w:val="1C2A38"/>
                <w:sz w:val="24"/>
                <w:szCs w:val="24"/>
              </w:rPr>
            </w:pPr>
            <w:r>
              <w:rPr>
                <w:rFonts w:eastAsia="Times New Roman" w:cs="Times New Roman" w:ascii="Times New Roman" w:hAnsi="Times New Roman"/>
                <w:b/>
                <w:color w:val="1C2A38"/>
                <w:sz w:val="24"/>
                <w:szCs w:val="24"/>
              </w:rPr>
              <w:t>Risk factors</w:t>
            </w:r>
          </w:p>
        </w:tc>
        <w:tc>
          <w:tcPr>
            <w:tcW w:w="4737"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150" w:after="300"/>
              <w:jc w:val="both"/>
              <w:rPr>
                <w:rFonts w:ascii="Times New Roman" w:hAnsi="Times New Roman" w:eastAsia="Times New Roman" w:cs="Times New Roman"/>
                <w:b/>
                <w:b/>
                <w:color w:val="1C2A38"/>
                <w:sz w:val="24"/>
                <w:szCs w:val="24"/>
              </w:rPr>
            </w:pPr>
            <w:r>
              <w:rPr>
                <w:rFonts w:eastAsia="Times New Roman" w:cs="Times New Roman" w:ascii="Times New Roman" w:hAnsi="Times New Roman"/>
                <w:b/>
                <w:color w:val="1C2A38"/>
                <w:sz w:val="24"/>
                <w:szCs w:val="24"/>
              </w:rPr>
              <w:t>Impact on children</w:t>
            </w:r>
          </w:p>
        </w:tc>
      </w:tr>
      <w:tr>
        <w:trPr/>
        <w:tc>
          <w:tcPr>
            <w:tcW w:w="1212" w:type="dxa"/>
            <w:tcBorders>
              <w:top w:val="single" w:sz="4" w:space="0" w:color="000000"/>
              <w:left w:val="single" w:sz="4" w:space="0" w:color="000000"/>
              <w:bottom w:val="single" w:sz="4" w:space="0" w:color="000000"/>
              <w:right w:val="single" w:sz="4" w:space="0" w:color="000000"/>
            </w:tcBorders>
          </w:tcPr>
          <w:p>
            <w:pPr>
              <w:pStyle w:val="Normal"/>
              <w:widowControl w:val="false"/>
              <w:shd w:val="clear" w:fill="FFFFFF"/>
              <w:spacing w:lineRule="auto" w:line="240" w:before="150" w:after="300"/>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Julie</w:t>
            </w:r>
          </w:p>
          <w:p>
            <w:pPr>
              <w:pStyle w:val="Normal"/>
              <w:widowControl w:val="false"/>
              <w:spacing w:lineRule="auto" w:line="240" w:before="150" w:after="300"/>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r>
          </w:p>
        </w:tc>
        <w:tc>
          <w:tcPr>
            <w:tcW w:w="3571"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150" w:after="300"/>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Julie – single parent with 6 children, periodically absent from the family home. involved in criminal behavior suspected involved in prostitution, Substance misusing</w:t>
            </w:r>
          </w:p>
          <w:p>
            <w:pPr>
              <w:pStyle w:val="Normal"/>
              <w:widowControl w:val="false"/>
              <w:spacing w:lineRule="auto" w:line="240" w:before="0" w:after="0"/>
              <w:jc w:val="both"/>
              <w:rPr>
                <w:rFonts w:ascii="Times New Roman" w:hAnsi="Times New Roman" w:eastAsia="Times New Roman" w:cs="Times New Roman"/>
                <w:color w:val="09142A"/>
                <w:sz w:val="24"/>
                <w:szCs w:val="24"/>
              </w:rPr>
            </w:pPr>
            <w:r>
              <w:rPr>
                <w:rFonts w:eastAsia="Times New Roman" w:cs="Times New Roman" w:ascii="Times New Roman" w:hAnsi="Times New Roman"/>
                <w:color w:val="09142A"/>
                <w:sz w:val="24"/>
                <w:szCs w:val="24"/>
              </w:rPr>
              <w:t>Julie and children live in deprived area, with the risk of eviction and community high poverty rate.</w:t>
            </w:r>
          </w:p>
          <w:p>
            <w:pPr>
              <w:pStyle w:val="Normal"/>
              <w:widowControl w:val="false"/>
              <w:spacing w:lineRule="auto" w:line="240" w:before="0" w:after="0"/>
              <w:jc w:val="both"/>
              <w:rPr>
                <w:rFonts w:ascii="Times New Roman" w:hAnsi="Times New Roman" w:eastAsia="Times New Roman" w:cs="Times New Roman"/>
                <w:color w:val="09142A"/>
                <w:sz w:val="24"/>
                <w:szCs w:val="24"/>
              </w:rPr>
            </w:pPr>
            <w:r>
              <w:rPr>
                <w:rFonts w:eastAsia="Times New Roman" w:cs="Times New Roman" w:ascii="Times New Roman" w:hAnsi="Times New Roman"/>
                <w:color w:val="09142A"/>
                <w:sz w:val="24"/>
                <w:szCs w:val="24"/>
              </w:rPr>
            </w:r>
          </w:p>
          <w:p>
            <w:pPr>
              <w:pStyle w:val="Normal"/>
              <w:widowControl w:val="false"/>
              <w:spacing w:lineRule="auto" w:line="240" w:before="0" w:after="0"/>
              <w:jc w:val="both"/>
              <w:rPr>
                <w:rFonts w:ascii="Times New Roman" w:hAnsi="Times New Roman" w:eastAsia="Times New Roman" w:cs="Times New Roman"/>
                <w:color w:val="09142A"/>
                <w:sz w:val="24"/>
                <w:szCs w:val="24"/>
              </w:rPr>
            </w:pPr>
            <w:r>
              <w:rPr>
                <w:rFonts w:eastAsia="Times New Roman" w:cs="Times New Roman" w:ascii="Times New Roman" w:hAnsi="Times New Roman"/>
                <w:color w:val="09142A"/>
                <w:sz w:val="24"/>
                <w:szCs w:val="24"/>
              </w:rPr>
              <w:t>Children are exposed to neglect</w:t>
            </w:r>
          </w:p>
        </w:tc>
        <w:tc>
          <w:tcPr>
            <w:tcW w:w="4737" w:type="dxa"/>
            <w:vMerge w:val="restart"/>
            <w:tcBorders>
              <w:top w:val="single" w:sz="4" w:space="0" w:color="000000"/>
              <w:left w:val="single" w:sz="4" w:space="0" w:color="000000"/>
              <w:bottom w:val="single" w:sz="4" w:space="0" w:color="000000"/>
              <w:right w:val="single" w:sz="4" w:space="0" w:color="000000"/>
            </w:tcBorders>
          </w:tcPr>
          <w:p>
            <w:pPr>
              <w:pStyle w:val="ListParagraph"/>
              <w:widowControl w:val="false"/>
              <w:numPr>
                <w:ilvl w:val="0"/>
                <w:numId w:val="1"/>
              </w:numPr>
              <w:spacing w:lineRule="auto" w:line="240" w:before="150" w:after="300"/>
              <w:ind w:left="720" w:right="0" w:hanging="360"/>
              <w:contextualSpacing/>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Children do not have a stable available care giver. For them is difficult to build up a trustful relationship with the caregiver and they may develop attachment disorder</w:t>
            </w:r>
          </w:p>
          <w:p>
            <w:pPr>
              <w:pStyle w:val="ListParagraph"/>
              <w:widowControl w:val="false"/>
              <w:numPr>
                <w:ilvl w:val="0"/>
                <w:numId w:val="1"/>
              </w:numPr>
              <w:spacing w:lineRule="auto" w:line="240" w:before="150" w:after="300"/>
              <w:ind w:left="720" w:right="0" w:hanging="360"/>
              <w:contextualSpacing/>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Mother’s substance misusing may impact on her capacity to exercise parenting role prevent her react immediately if children are in a danger or keep them safe.</w:t>
            </w:r>
          </w:p>
          <w:p>
            <w:pPr>
              <w:pStyle w:val="ListParagraph"/>
              <w:widowControl w:val="false"/>
              <w:numPr>
                <w:ilvl w:val="0"/>
                <w:numId w:val="1"/>
              </w:numPr>
              <w:spacing w:lineRule="auto" w:line="240" w:before="150" w:after="300"/>
              <w:ind w:left="720" w:right="0" w:hanging="360"/>
              <w:contextualSpacing/>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Children do not have a stable home environment emotional providing them with stability, security and sense of being valued.</w:t>
            </w:r>
          </w:p>
          <w:p>
            <w:pPr>
              <w:pStyle w:val="ListParagraph"/>
              <w:widowControl w:val="false"/>
              <w:numPr>
                <w:ilvl w:val="0"/>
                <w:numId w:val="1"/>
              </w:numPr>
              <w:spacing w:lineRule="auto" w:line="240" w:before="150" w:after="300"/>
              <w:ind w:left="720" w:right="0" w:hanging="360"/>
              <w:contextualSpacing/>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School nonattendance could impact on children’s intellectual development and minimize their chance to succeed in their professional life.</w:t>
            </w:r>
          </w:p>
          <w:p>
            <w:pPr>
              <w:pStyle w:val="ListParagraph"/>
              <w:widowControl w:val="false"/>
              <w:numPr>
                <w:ilvl w:val="0"/>
                <w:numId w:val="1"/>
              </w:numPr>
              <w:spacing w:lineRule="auto" w:line="240" w:before="150" w:after="300"/>
              <w:ind w:left="720" w:right="0" w:hanging="360"/>
              <w:contextualSpacing/>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Children display behavior issue: poor regulation, aggression, risky taking behavior.</w:t>
            </w:r>
          </w:p>
          <w:p>
            <w:pPr>
              <w:pStyle w:val="ListParagraph"/>
              <w:widowControl w:val="false"/>
              <w:numPr>
                <w:ilvl w:val="0"/>
                <w:numId w:val="1"/>
              </w:numPr>
              <w:spacing w:lineRule="auto" w:line="240" w:before="150" w:after="300"/>
              <w:ind w:left="720" w:right="0" w:hanging="360"/>
              <w:contextualSpacing/>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Children have difficulty I controlling emotions</w:t>
            </w:r>
          </w:p>
          <w:p>
            <w:pPr>
              <w:pStyle w:val="ListParagraph"/>
              <w:widowControl w:val="false"/>
              <w:numPr>
                <w:ilvl w:val="0"/>
                <w:numId w:val="1"/>
              </w:numPr>
              <w:spacing w:lineRule="auto" w:line="240" w:before="150" w:after="300"/>
              <w:ind w:left="720" w:right="0" w:hanging="360"/>
              <w:contextualSpacing/>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Missing medical appointment could lead Dona to have a poor immune system which makes her vulnerable to infections and diseases.</w:t>
            </w:r>
          </w:p>
          <w:p>
            <w:pPr>
              <w:pStyle w:val="ListParagraph"/>
              <w:widowControl w:val="false"/>
              <w:numPr>
                <w:ilvl w:val="0"/>
                <w:numId w:val="1"/>
              </w:numPr>
              <w:spacing w:lineRule="auto" w:line="240" w:before="150" w:after="300"/>
              <w:ind w:left="720" w:right="0" w:hanging="360"/>
              <w:contextualSpacing/>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Children could develop poor coping skills, Low self-esteem, and social isolation and as consequences all of this may affect their mental health.</w:t>
            </w:r>
          </w:p>
        </w:tc>
      </w:tr>
      <w:tr>
        <w:trPr/>
        <w:tc>
          <w:tcPr>
            <w:tcW w:w="1212" w:type="dxa"/>
            <w:tcBorders>
              <w:top w:val="single" w:sz="4" w:space="0" w:color="000000"/>
              <w:left w:val="single" w:sz="4" w:space="0" w:color="000000"/>
              <w:bottom w:val="single" w:sz="4" w:space="0" w:color="000000"/>
              <w:right w:val="single" w:sz="4" w:space="0" w:color="000000"/>
            </w:tcBorders>
          </w:tcPr>
          <w:p>
            <w:pPr>
              <w:pStyle w:val="Normal"/>
              <w:widowControl w:val="false"/>
              <w:shd w:val="clear" w:fill="FFFFFF"/>
              <w:spacing w:lineRule="auto" w:line="240" w:before="150" w:after="300"/>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Tom</w:t>
            </w:r>
          </w:p>
        </w:tc>
        <w:tc>
          <w:tcPr>
            <w:tcW w:w="3571"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150" w:after="300"/>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Was involved with the youth offending team due to his criminal behavior.</w:t>
            </w:r>
          </w:p>
        </w:tc>
        <w:tc>
          <w:tcPr>
            <w:tcW w:w="4737"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overflowPunct w:val="false"/>
              <w:bidi w:val="0"/>
              <w:spacing w:lineRule="auto" w:line="259" w:before="0" w:after="160"/>
              <w:jc w:val="left"/>
              <w:rPr/>
            </w:pPr>
            <w:r>
              <w:rPr/>
            </w:r>
          </w:p>
        </w:tc>
      </w:tr>
      <w:tr>
        <w:trPr/>
        <w:tc>
          <w:tcPr>
            <w:tcW w:w="1212"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150" w:after="300"/>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Ricky</w:t>
            </w:r>
          </w:p>
        </w:tc>
        <w:tc>
          <w:tcPr>
            <w:tcW w:w="3571"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hd w:val="clear" w:fill="FFFFFF"/>
              <w:spacing w:lineRule="auto" w:line="240" w:before="150" w:after="300"/>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 xml:space="preserve"> </w:t>
            </w:r>
            <w:r>
              <w:rPr>
                <w:rFonts w:eastAsia="Times New Roman" w:cs="Times New Roman" w:ascii="Times New Roman" w:hAnsi="Times New Roman"/>
                <w:color w:val="1C2A38"/>
                <w:sz w:val="24"/>
                <w:szCs w:val="24"/>
              </w:rPr>
              <w:t>Permanent exclusion from school and supposed to be attending alternative provision.</w:t>
            </w:r>
          </w:p>
          <w:p>
            <w:pPr>
              <w:pStyle w:val="Normal"/>
              <w:widowControl w:val="false"/>
              <w:spacing w:lineRule="auto" w:line="240" w:before="150" w:after="300"/>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r>
          </w:p>
        </w:tc>
        <w:tc>
          <w:tcPr>
            <w:tcW w:w="4737"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overflowPunct w:val="false"/>
              <w:bidi w:val="0"/>
              <w:spacing w:lineRule="auto" w:line="259" w:before="0" w:after="160"/>
              <w:jc w:val="left"/>
              <w:rPr/>
            </w:pPr>
            <w:r>
              <w:rPr/>
            </w:r>
          </w:p>
        </w:tc>
      </w:tr>
      <w:tr>
        <w:trPr/>
        <w:tc>
          <w:tcPr>
            <w:tcW w:w="1212"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150" w:after="300"/>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Leo</w:t>
            </w:r>
          </w:p>
        </w:tc>
        <w:tc>
          <w:tcPr>
            <w:tcW w:w="3571"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overflowPunct w:val="false"/>
              <w:bidi w:val="0"/>
              <w:spacing w:lineRule="auto" w:line="259" w:before="0" w:after="160"/>
              <w:jc w:val="left"/>
              <w:rPr/>
            </w:pPr>
            <w:r>
              <w:rPr/>
            </w:r>
          </w:p>
        </w:tc>
        <w:tc>
          <w:tcPr>
            <w:tcW w:w="4737"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overflowPunct w:val="false"/>
              <w:bidi w:val="0"/>
              <w:spacing w:lineRule="auto" w:line="259" w:before="0" w:after="160"/>
              <w:jc w:val="left"/>
              <w:rPr/>
            </w:pPr>
            <w:r>
              <w:rPr/>
            </w:r>
          </w:p>
        </w:tc>
      </w:tr>
      <w:tr>
        <w:trPr/>
        <w:tc>
          <w:tcPr>
            <w:tcW w:w="1212"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150" w:after="300"/>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Charley</w:t>
            </w:r>
          </w:p>
        </w:tc>
        <w:tc>
          <w:tcPr>
            <w:tcW w:w="3571"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overflowPunct w:val="false"/>
              <w:bidi w:val="0"/>
              <w:spacing w:lineRule="auto" w:line="259" w:before="0" w:after="160"/>
              <w:jc w:val="left"/>
              <w:rPr/>
            </w:pPr>
            <w:r>
              <w:rPr/>
            </w:r>
          </w:p>
        </w:tc>
        <w:tc>
          <w:tcPr>
            <w:tcW w:w="4737"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overflowPunct w:val="false"/>
              <w:bidi w:val="0"/>
              <w:spacing w:lineRule="auto" w:line="259" w:before="0" w:after="160"/>
              <w:jc w:val="left"/>
              <w:rPr/>
            </w:pPr>
            <w:r>
              <w:rPr/>
            </w:r>
          </w:p>
        </w:tc>
      </w:tr>
      <w:tr>
        <w:trPr/>
        <w:tc>
          <w:tcPr>
            <w:tcW w:w="1212"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150" w:after="300"/>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Kia</w:t>
            </w:r>
          </w:p>
        </w:tc>
        <w:tc>
          <w:tcPr>
            <w:tcW w:w="3571"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150" w:after="300"/>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r>
          </w:p>
        </w:tc>
        <w:tc>
          <w:tcPr>
            <w:tcW w:w="4737"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overflowPunct w:val="false"/>
              <w:bidi w:val="0"/>
              <w:spacing w:lineRule="auto" w:line="259" w:before="0" w:after="160"/>
              <w:jc w:val="left"/>
              <w:rPr/>
            </w:pPr>
            <w:r>
              <w:rPr/>
            </w:r>
          </w:p>
        </w:tc>
      </w:tr>
      <w:tr>
        <w:trPr/>
        <w:tc>
          <w:tcPr>
            <w:tcW w:w="1212"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150" w:after="300"/>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Donna</w:t>
            </w:r>
          </w:p>
        </w:tc>
        <w:tc>
          <w:tcPr>
            <w:tcW w:w="3571"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150" w:after="300"/>
              <w:jc w:val="both"/>
              <w:rPr>
                <w:rFonts w:ascii="Times New Roman" w:hAnsi="Times New Roman" w:eastAsia="Times New Roman" w:cs="Times New Roman"/>
                <w:color w:val="1C2A38"/>
                <w:sz w:val="24"/>
                <w:szCs w:val="24"/>
              </w:rPr>
            </w:pPr>
            <w:r>
              <w:rPr>
                <w:rFonts w:eastAsia="Times New Roman" w:cs="Times New Roman" w:ascii="Times New Roman" w:hAnsi="Times New Roman"/>
                <w:color w:val="1C2A38"/>
                <w:sz w:val="24"/>
                <w:szCs w:val="24"/>
              </w:rPr>
              <w:t>Behind with immunization luck of attending educational provision</w:t>
            </w:r>
          </w:p>
        </w:tc>
        <w:tc>
          <w:tcPr>
            <w:tcW w:w="4737"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overflowPunct w:val="false"/>
              <w:bidi w:val="0"/>
              <w:spacing w:lineRule="auto" w:line="259" w:before="0" w:after="160"/>
              <w:jc w:val="left"/>
              <w:rPr/>
            </w:pPr>
            <w:r>
              <w:rPr/>
            </w:r>
          </w:p>
        </w:tc>
      </w:tr>
    </w:tbl>
    <w:p>
      <w:pPr>
        <w:pStyle w:val="Normal"/>
        <w:spacing w:lineRule="auto" w:line="360"/>
        <w:jc w:val="both"/>
        <w:rPr>
          <w:rFonts w:ascii="Times New Roman" w:hAnsi="Times New Roman" w:cs="Times New Roman"/>
          <w:color w:val="000000"/>
          <w:sz w:val="24"/>
          <w:szCs w:val="24"/>
        </w:rPr>
      </w:pPr>
      <w:r>
        <w:rPr>
          <w:rFonts w:cs="Times New Roman" w:ascii="Times New Roman" w:hAnsi="Times New Roman"/>
          <w:color w:val="000000"/>
          <w:sz w:val="24"/>
          <w:szCs w:val="24"/>
        </w:rPr>
        <w:t xml:space="preserve">Autor source </w:t>
      </w:r>
    </w:p>
    <w:p>
      <w:pPr>
        <w:pStyle w:val="PreformattedText"/>
        <w:spacing w:lineRule="auto" w:line="360"/>
        <w:jc w:val="both"/>
        <w:rPr>
          <w:rFonts w:ascii="Times New Roman" w:hAnsi="Times New Roman" w:cs="Times New Roman"/>
          <w:sz w:val="24"/>
          <w:szCs w:val="24"/>
          <w:lang w:val="en-GB"/>
        </w:rPr>
      </w:pPr>
      <w:r>
        <w:rPr>
          <w:rFonts w:cs="Times New Roman" w:ascii="Times New Roman" w:hAnsi="Times New Roman"/>
          <w:sz w:val="24"/>
          <w:szCs w:val="24"/>
          <w:lang w:val="en-GB"/>
        </w:rPr>
        <w:t xml:space="preserve">Analyzing the case, we can determine that Julia's family is facing adversity, substance abuse, poverty, criminal behaviour, social and environmental problems are risk factors that can directly affect the health and well-being of family members. When children are raised in poverty, the probability of not attending school or committing criminal acts is very high (Pedowitz, 2021). Also, family drug use can lead to both physical and mental disorders among children, in our case we can see how all these risk factors have a particular impact on children's education and social behaviour. Likewise, it has been shown that the association between poverty and parental misuse leads to general neglect (Shaw, Egan and Gillespie, 2007) . </w:t>
      </w:r>
    </w:p>
    <w:p>
      <w:pPr>
        <w:pStyle w:val="PreformattedText"/>
        <w:spacing w:lineRule="auto" w:line="360"/>
        <w:jc w:val="both"/>
        <w:rPr>
          <w:rFonts w:ascii="Times New Roman" w:hAnsi="Times New Roman" w:cs="Times New Roman"/>
          <w:sz w:val="24"/>
          <w:szCs w:val="24"/>
        </w:rPr>
      </w:pPr>
      <w:r>
        <w:rPr>
          <w:rFonts w:cs="Times New Roman" w:ascii="Times New Roman" w:hAnsi="Times New Roman"/>
          <w:sz w:val="24"/>
          <w:szCs w:val="24"/>
        </w:rPr>
        <w:drawing>
          <wp:anchor behindDoc="0" distT="0" distB="0" distL="0" distR="0" simplePos="0" locked="0" layoutInCell="0" allowOverlap="1" relativeHeight="5">
            <wp:simplePos x="0" y="0"/>
            <wp:positionH relativeFrom="column">
              <wp:posOffset>292735</wp:posOffset>
            </wp:positionH>
            <wp:positionV relativeFrom="paragraph">
              <wp:posOffset>-205740</wp:posOffset>
            </wp:positionV>
            <wp:extent cx="3382645" cy="2148840"/>
            <wp:effectExtent l="0" t="0" r="0" b="0"/>
            <wp:wrapSquare wrapText="largest"/>
            <wp:docPr id="3"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descr=""/>
                    <pic:cNvPicPr>
                      <a:picLocks noChangeAspect="1" noChangeArrowheads="1"/>
                    </pic:cNvPicPr>
                  </pic:nvPicPr>
                  <pic:blipFill>
                    <a:blip r:embed="rId4"/>
                    <a:stretch>
                      <a:fillRect/>
                    </a:stretch>
                  </pic:blipFill>
                  <pic:spPr bwMode="auto">
                    <a:xfrm>
                      <a:off x="0" y="0"/>
                      <a:ext cx="3382645" cy="2148840"/>
                    </a:xfrm>
                    <a:prstGeom prst="rect">
                      <a:avLst/>
                    </a:prstGeom>
                  </pic:spPr>
                </pic:pic>
              </a:graphicData>
            </a:graphic>
          </wp:anchor>
        </w:drawing>
      </w:r>
    </w:p>
    <w:p>
      <w:pPr>
        <w:pStyle w:val="PreformattedText"/>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PreformattedText"/>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rPr/>
      </w:pPr>
      <w:r>
        <w:rPr/>
        <w:t xml:space="preserve">Risk factors for child violence and neglect (Council of Europe). </w:t>
      </w:r>
      <w:r>
        <w:rPr>
          <w:color w:val="000000"/>
        </w:rPr>
        <w:t>(Evans, Garner and Honig           , 2014)</w:t>
      </w:r>
      <w:r>
        <w:rPr/>
        <w:t xml:space="preserve"> </w:t>
      </w:r>
    </w:p>
    <w:p>
      <w:pPr>
        <w:pStyle w:val="TextBody"/>
        <w:rPr/>
      </w:pPr>
      <w:r>
        <w:rPr/>
      </w:r>
    </w:p>
    <w:p>
      <w:pPr>
        <w:pStyle w:val="PreformattedText"/>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PreformattedText"/>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PreformattedText"/>
        <w:spacing w:lineRule="auto" w:line="360"/>
        <w:jc w:val="both"/>
        <w:rPr/>
      </w:pPr>
      <w:r>
        <w:rPr>
          <w:rFonts w:cs="Times New Roman" w:ascii="Times New Roman" w:hAnsi="Times New Roman"/>
          <w:sz w:val="24"/>
          <w:szCs w:val="24"/>
          <w:lang w:val="en-GB"/>
        </w:rPr>
        <w:t>In order to understand the impact of neglect on children, we must first define the term neglect. According to NSPCC ‘’Neglect is the on-going failure to meet a child's basic needs and the most common form of child abuse ‘’(NSPCC, 2021). Any form of physical or emotional neglect can have a negative impact on the child's life, the child can develop physical and mental issues. Neglect can also be associated with negative behavioural changes that children develop in childhood and adolescence</w:t>
      </w:r>
      <w:r>
        <w:rPr>
          <w:rFonts w:cs="Times New Roman" w:ascii="Times New Roman" w:hAnsi="Times New Roman"/>
          <w:sz w:val="24"/>
          <w:szCs w:val="24"/>
        </w:rPr>
        <w:t>. Children who have experienced various forms of neglect are more likely to develop physical and mental health issues, also to adopt criminal or anxious behavior in society.</w:t>
      </w:r>
    </w:p>
    <w:p>
      <w:pPr>
        <w:pStyle w:val="PreformattedText"/>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PreformattedText"/>
        <w:spacing w:lineRule="auto" w:line="360"/>
        <w:jc w:val="both"/>
        <w:rPr>
          <w:rFonts w:ascii="Times New Roman" w:hAnsi="Times New Roman" w:cs="Times New Roman"/>
          <w:b/>
          <w:b/>
          <w:i/>
          <w:i/>
        </w:rPr>
      </w:pPr>
      <w:r>
        <w:rPr>
          <w:rFonts w:cs="Times New Roman" w:ascii="Times New Roman" w:hAnsi="Times New Roman"/>
          <w:b/>
          <w:i/>
        </w:rPr>
        <w:t xml:space="preserve">The impact of neglect on behavior, mental health and wellbeing       The impact of neglect on relational and social outcomes </w:t>
      </w:r>
    </w:p>
    <w:p>
      <w:pPr>
        <w:pStyle w:val="PreformattedText"/>
        <w:spacing w:lineRule="auto" w:line="360"/>
        <w:jc w:val="both"/>
        <w:rPr>
          <w:rFonts w:ascii="Times New Roman" w:hAnsi="Times New Roman" w:cs="Times New Roman"/>
          <w:sz w:val="24"/>
          <w:szCs w:val="24"/>
        </w:rPr>
      </w:pPr>
      <w:r>
        <w:drawing>
          <wp:anchor behindDoc="0" distT="0" distB="0" distL="0" distR="0" simplePos="0" locked="0" layoutInCell="0" allowOverlap="1" relativeHeight="6">
            <wp:simplePos x="0" y="0"/>
            <wp:positionH relativeFrom="column">
              <wp:posOffset>34925</wp:posOffset>
            </wp:positionH>
            <wp:positionV relativeFrom="paragraph">
              <wp:posOffset>165100</wp:posOffset>
            </wp:positionV>
            <wp:extent cx="2943225" cy="1936750"/>
            <wp:effectExtent l="0" t="0" r="0" b="0"/>
            <wp:wrapSquare wrapText="largest"/>
            <wp:docPr id="4"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descr=""/>
                    <pic:cNvPicPr>
                      <a:picLocks noChangeAspect="1" noChangeArrowheads="1"/>
                    </pic:cNvPicPr>
                  </pic:nvPicPr>
                  <pic:blipFill>
                    <a:blip r:embed="rId5"/>
                    <a:stretch>
                      <a:fillRect/>
                    </a:stretch>
                  </pic:blipFill>
                  <pic:spPr bwMode="auto">
                    <a:xfrm>
                      <a:off x="0" y="0"/>
                      <a:ext cx="2943225" cy="1936750"/>
                    </a:xfrm>
                    <a:prstGeom prst="rect">
                      <a:avLst/>
                    </a:prstGeom>
                  </pic:spPr>
                </pic:pic>
              </a:graphicData>
            </a:graphic>
          </wp:anchor>
        </w:drawing>
        <w:drawing>
          <wp:anchor behindDoc="0" distT="0" distB="0" distL="0" distR="0" simplePos="0" locked="0" layoutInCell="0" allowOverlap="1" relativeHeight="7">
            <wp:simplePos x="0" y="0"/>
            <wp:positionH relativeFrom="column">
              <wp:posOffset>3542030</wp:posOffset>
            </wp:positionH>
            <wp:positionV relativeFrom="paragraph">
              <wp:posOffset>172085</wp:posOffset>
            </wp:positionV>
            <wp:extent cx="2769235" cy="1916430"/>
            <wp:effectExtent l="0" t="0" r="0" b="0"/>
            <wp:wrapSquare wrapText="largest"/>
            <wp:docPr id="5"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descr=""/>
                    <pic:cNvPicPr>
                      <a:picLocks noChangeAspect="1" noChangeArrowheads="1"/>
                    </pic:cNvPicPr>
                  </pic:nvPicPr>
                  <pic:blipFill>
                    <a:blip r:embed="rId6"/>
                    <a:stretch>
                      <a:fillRect/>
                    </a:stretch>
                  </pic:blipFill>
                  <pic:spPr bwMode="auto">
                    <a:xfrm>
                      <a:off x="0" y="0"/>
                      <a:ext cx="2769235" cy="1916430"/>
                    </a:xfrm>
                    <a:prstGeom prst="rect">
                      <a:avLst/>
                    </a:prstGeom>
                  </pic:spPr>
                </pic:pic>
              </a:graphicData>
            </a:graphic>
          </wp:anchor>
        </w:drawing>
      </w:r>
      <w:r>
        <w:rPr>
          <w:rFonts w:cs="Times New Roman" w:ascii="Times New Roman" w:hAnsi="Times New Roman"/>
          <w:sz w:val="24"/>
          <w:szCs w:val="24"/>
        </w:rPr>
        <w:t xml:space="preserve"> </w:t>
      </w:r>
    </w:p>
    <w:p>
      <w:pPr>
        <w:pStyle w:val="PreformattedText"/>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PreformattedText"/>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b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pPr>
      <w:r>
        <w:rPr>
          <w:rFonts w:cs="Times New Roman" w:ascii="Times New Roman" w:hAnsi="Times New Roman"/>
          <w:color w:val="000000"/>
          <w:sz w:val="24"/>
          <w:szCs w:val="24"/>
        </w:rPr>
        <w:t>(NSW, 2021)</w:t>
      </w:r>
      <w:r>
        <w:rPr>
          <w:rFonts w:cs="Times New Roman" w:ascii="Times New Roman" w:hAnsi="Times New Roman"/>
          <w:sz w:val="24"/>
          <w:szCs w:val="24"/>
        </w:rPr>
        <w:t xml:space="preserve"> </w:t>
      </w:r>
    </w:p>
    <w:p>
      <w:pPr>
        <w:pStyle w:val="Normal"/>
        <w:spacing w:lineRule="auto" w:line="360"/>
        <w:jc w:val="both"/>
        <w:rPr>
          <w:rFonts w:ascii="Arial" w:hAnsi="Arial" w:cs="Times New Roman"/>
          <w:b/>
          <w:b/>
          <w:bCs/>
          <w:sz w:val="36"/>
          <w:szCs w:val="24"/>
          <w:u w:val="single"/>
        </w:rPr>
      </w:pPr>
      <w:r>
        <w:rPr>
          <w:rFonts w:cs="Times New Roman" w:ascii="Arial" w:hAnsi="Arial"/>
          <w:b w:val="false"/>
          <w:bCs/>
          <w:sz w:val="36"/>
          <w:szCs w:val="24"/>
          <w:u w:val="single"/>
        </w:rPr>
        <w:t>The assessment, intervention of multi-agency and results.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According to The Universal Declaration of Human Rights 'Article 25  ''Everyone has the right to a standard of living adequate for the health and well-being of himself and of his family, including food, clothing, housing and medical care and necessary social services, etc. ''(Universal Declaration of Human Rights, 1948).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Nowadays, most families enjoy a decent life, but there are also families who fail to cope on their own due to various risk factors. In these families, the most affected are children for that reason the intervention of social service is imperative. Every child is unique and has different needs. According to The Children's Act of 1989, section 17 a child will be considered in need if he does not meet decent living standards without the help of local authorities. Also when the health, education, and social behavior of children are endangered we can say that they are children with special needs and in this case, the children’s service has the duty to provide help and support. The duty of social services in accordance with sections 17 is to protect and help children to develop in areas where they are deficient and to make this possible a good collaboration between services and with parents is strongly recommended.</w:t>
      </w:r>
    </w:p>
    <w:p>
      <w:pPr>
        <w:pStyle w:val="Heading1"/>
        <w:spacing w:lineRule="auto" w:line="360" w:before="0" w:after="160"/>
        <w:jc w:val="both"/>
        <w:rPr>
          <w:rFonts w:ascii="Times New Roman" w:hAnsi="Times New Roman" w:cs="Times New Roman"/>
          <w:color w:val="000000"/>
          <w:sz w:val="24"/>
          <w:szCs w:val="24"/>
        </w:rPr>
      </w:pPr>
      <w:r>
        <w:rPr>
          <w:rFonts w:cs="Times New Roman" w:ascii="Times New Roman" w:hAnsi="Times New Roman"/>
          <w:color w:val="000000"/>
          <w:sz w:val="24"/>
          <w:szCs w:val="24"/>
        </w:rPr>
        <w:t>Assessing needs under section 17</w:t>
      </w:r>
    </w:p>
    <w:p>
      <w:pPr>
        <w:pStyle w:val="TextBody"/>
        <w:spacing w:lineRule="auto" w:line="360" w:before="0" w:after="160"/>
        <w:jc w:val="both"/>
        <w:rPr>
          <w:rFonts w:ascii="Times New Roman" w:hAnsi="Times New Roman" w:cs="Times New Roman"/>
          <w:sz w:val="24"/>
          <w:szCs w:val="24"/>
        </w:rPr>
      </w:pPr>
      <w:r>
        <w:rPr>
          <w:rFonts w:cs="Times New Roman" w:ascii="Times New Roman" w:hAnsi="Times New Roman"/>
          <w:sz w:val="24"/>
          <w:szCs w:val="24"/>
        </w:rPr>
        <w:t>The local authority has a duty to provide support and protection to the families in need. The support usually is given to families in planed and strategic way. Initially the family with the children must be referred to the social services for a Social care assessment. Every child is evaluating base on the assessment framework.</w:t>
      </w:r>
    </w:p>
    <w:p>
      <w:pPr>
        <w:pStyle w:val="TextBody"/>
        <w:spacing w:lineRule="auto" w:line="360" w:before="0" w:after="160"/>
        <w:jc w:val="both"/>
        <w:rPr/>
      </w:pPr>
      <w:r>
        <w:rPr/>
        <w:drawing>
          <wp:inline distT="0" distB="0" distL="0" distR="0">
            <wp:extent cx="3145790" cy="1943735"/>
            <wp:effectExtent l="0" t="0" r="0" b="0"/>
            <wp:docPr id="6" name="Image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7" descr="Diagram&#10;&#10;Description automatically generated"/>
                    <pic:cNvPicPr>
                      <a:picLocks noChangeAspect="1" noChangeArrowheads="1"/>
                    </pic:cNvPicPr>
                  </pic:nvPicPr>
                  <pic:blipFill>
                    <a:blip r:embed="rId7"/>
                    <a:srcRect l="25467" t="23974" r="24584" b="8462"/>
                    <a:stretch>
                      <a:fillRect/>
                    </a:stretch>
                  </pic:blipFill>
                  <pic:spPr bwMode="auto">
                    <a:xfrm>
                      <a:off x="0" y="0"/>
                      <a:ext cx="3145790" cy="1943735"/>
                    </a:xfrm>
                    <a:prstGeom prst="rect">
                      <a:avLst/>
                    </a:prstGeom>
                  </pic:spPr>
                </pic:pic>
              </a:graphicData>
            </a:graphic>
          </wp:inline>
        </w:drawing>
      </w:r>
      <w:r>
        <w:rPr>
          <w:color w:val="5A5B5B"/>
          <w:sz w:val="24"/>
          <w:szCs w:val="24"/>
        </w:rPr>
        <w:t> </w:t>
      </w:r>
      <w:r>
        <w:rPr>
          <w:rFonts w:ascii="Arial;Helvetica;sans-serif" w:hAnsi="Arial;Helvetica;sans-serif"/>
          <w:color w:val="5A5B5B"/>
          <w:sz w:val="24"/>
          <w:szCs w:val="24"/>
        </w:rPr>
        <w:t>(Department of Health 2000)</w:t>
      </w:r>
      <w:r>
        <w:rPr>
          <w:sz w:val="24"/>
          <w:szCs w:val="24"/>
        </w:rPr>
        <w:t xml:space="preserve"> </w:t>
      </w:r>
    </w:p>
    <w:p>
      <w:pPr>
        <w:pStyle w:val="TextBody"/>
        <w:spacing w:lineRule="auto" w:line="360"/>
        <w:jc w:val="both"/>
        <w:rPr/>
      </w:pPr>
      <w:r>
        <w:rPr>
          <w:rFonts w:cs="Times New Roman" w:ascii="Times New Roman" w:hAnsi="Times New Roman"/>
          <w:sz w:val="24"/>
          <w:szCs w:val="24"/>
        </w:rPr>
        <w:t xml:space="preserve">In this case the social care assessment was completed by a qualified social worker, assessing children’s developmental needs, parenting capacity and family and environmental factors. The social worker established that children do not meet the conditions of decent well-being and health, which affect the physical and mental development of the child (The Children’s Act of 1989) they became subject of child in need plan. The help may be provided under section 17 of the Children Act 1989 (children in need). Where there are child protection concerns (reasonable cause to suspect a child is suffering or likely to suffer significant harm) local authority must make enquiries to escalate to the Child Protection under section 47 of the Children Act 1989. </w:t>
      </w:r>
      <w:r>
        <w:rPr>
          <w:rFonts w:cs="Times New Roman" w:ascii="Open Sans;Arial;sans-serif" w:hAnsi="Open Sans;Arial;sans-serif"/>
          <w:b w:val="false"/>
          <w:i w:val="false"/>
          <w:caps w:val="false"/>
          <w:smallCaps w:val="false"/>
          <w:color w:val="000000"/>
          <w:spacing w:val="0"/>
          <w:sz w:val="22"/>
          <w:szCs w:val="24"/>
        </w:rPr>
        <w:t>(Working Together to Safeguard Children, 2018).</w:t>
      </w:r>
      <w:r>
        <w:rPr>
          <w:rFonts w:cs="Times New Roman" w:ascii="Times New Roman" w:hAnsi="Times New Roman"/>
          <w:sz w:val="22"/>
          <w:szCs w:val="24"/>
        </w:rPr>
        <w:t xml:space="preserve"> </w:t>
      </w:r>
    </w:p>
    <w:p>
      <w:pPr>
        <w:pStyle w:val="TextBody"/>
        <w:spacing w:lineRule="auto" w:line="360"/>
        <w:jc w:val="both"/>
        <w:rPr/>
      </w:pPr>
      <w:r>
        <w:rPr>
          <w:rFonts w:cs="Times New Roman" w:ascii="Times New Roman" w:hAnsi="Times New Roman"/>
          <w:sz w:val="24"/>
          <w:szCs w:val="24"/>
        </w:rPr>
        <w:t xml:space="preserve">It appear that Local Authority worked together with all agency working with the family and they coordinated the actions plan to keep children safe and prevent escalating of the vulnerability. Following the Procedure they discussed the case at the Planning Meeting provides an opportunity for a children an  mother together with key agencies, to identify and agree the package of services required and to develop the Child in Need Plan </w:t>
      </w:r>
      <w:r>
        <w:rPr>
          <w:rFonts w:cs="Times New Roman" w:ascii="Open Sans;Arial;sans-serif" w:hAnsi="Open Sans;Arial;sans-serif"/>
          <w:b w:val="false"/>
          <w:i w:val="false"/>
          <w:caps w:val="false"/>
          <w:smallCaps w:val="false"/>
          <w:color w:val="000000"/>
          <w:spacing w:val="0"/>
          <w:sz w:val="21"/>
          <w:szCs w:val="24"/>
        </w:rPr>
        <w:t>(Working Together to Safeguard Children, 2018).</w:t>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drawing>
          <wp:anchor behindDoc="0" distT="0" distB="0" distL="114300" distR="114300" simplePos="0" locked="0" layoutInCell="0" allowOverlap="1" relativeHeight="8">
            <wp:simplePos x="0" y="0"/>
            <wp:positionH relativeFrom="column">
              <wp:posOffset>299720</wp:posOffset>
            </wp:positionH>
            <wp:positionV relativeFrom="paragraph">
              <wp:posOffset>-1161415</wp:posOffset>
            </wp:positionV>
            <wp:extent cx="3547110" cy="2080260"/>
            <wp:effectExtent l="0" t="0" r="0" b="0"/>
            <wp:wrapSquare wrapText="bothSides"/>
            <wp:docPr id="7" name="Picture 13"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3" descr="Chart, diagram&#10;&#10;Description automatically generated"/>
                    <pic:cNvPicPr>
                      <a:picLocks noChangeAspect="1" noChangeArrowheads="1"/>
                    </pic:cNvPicPr>
                  </pic:nvPicPr>
                  <pic:blipFill>
                    <a:blip r:embed="rId8"/>
                    <a:stretch>
                      <a:fillRect/>
                    </a:stretch>
                  </pic:blipFill>
                  <pic:spPr bwMode="auto">
                    <a:xfrm>
                      <a:off x="0" y="0"/>
                      <a:ext cx="3547110" cy="2080260"/>
                    </a:xfrm>
                    <a:prstGeom prst="rect">
                      <a:avLst/>
                    </a:prstGeom>
                  </pic:spPr>
                </pic:pic>
              </a:graphicData>
            </a:graphic>
          </wp:anchor>
        </w:drawing>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jc w:val="both"/>
        <w:rPr>
          <w:rFonts w:ascii="Times New Roman" w:hAnsi="Times New Roman" w:cs="Times New Roman"/>
          <w:sz w:val="24"/>
          <w:szCs w:val="24"/>
        </w:rPr>
      </w:pPr>
      <w:r>
        <w:rPr>
          <w:rFonts w:cs="Times New Roman" w:ascii="Open Sans;Arial;sans-serif" w:hAnsi="Open Sans;Arial;sans-serif"/>
          <w:b w:val="false"/>
          <w:i w:val="false"/>
          <w:caps w:val="false"/>
          <w:smallCaps w:val="false"/>
          <w:color w:val="000000"/>
          <w:spacing w:val="0"/>
          <w:sz w:val="13"/>
          <w:szCs w:val="24"/>
        </w:rPr>
        <w:t>(</w:t>
      </w:r>
      <w:r>
        <w:rPr>
          <w:rFonts w:cs="Times New Roman" w:ascii="Open Sans;Arial;sans-serif" w:hAnsi="Open Sans;Arial;sans-serif"/>
          <w:b w:val="false"/>
          <w:i w:val="false"/>
          <w:caps w:val="false"/>
          <w:smallCaps w:val="false"/>
          <w:color w:val="000000"/>
          <w:spacing w:val="0"/>
          <w:sz w:val="18"/>
          <w:szCs w:val="24"/>
        </w:rPr>
        <w:t>Children in Need, 2021)</w:t>
      </w:r>
      <w:r>
        <w:rPr>
          <w:rFonts w:cs="Times New Roman" w:ascii="Times New Roman" w:hAnsi="Times New Roman"/>
          <w:sz w:val="18"/>
          <w:szCs w:val="24"/>
        </w:rPr>
        <w:t xml:space="preserve"> </w:t>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jc w:val="left"/>
        <w:rPr>
          <w:rFonts w:ascii="Times New Roman" w:hAnsi="Times New Roman" w:cs="Times New Roman"/>
          <w:sz w:val="24"/>
          <w:szCs w:val="24"/>
        </w:rPr>
      </w:pPr>
      <w:r>
        <w:drawing>
          <wp:anchor behindDoc="0" distT="0" distB="0" distL="0" distR="0" simplePos="0" locked="0" layoutInCell="0" allowOverlap="1" relativeHeight="9">
            <wp:simplePos x="0" y="0"/>
            <wp:positionH relativeFrom="column">
              <wp:align>center</wp:align>
            </wp:positionH>
            <wp:positionV relativeFrom="paragraph">
              <wp:posOffset>635</wp:posOffset>
            </wp:positionV>
            <wp:extent cx="5943600" cy="4423410"/>
            <wp:effectExtent l="0" t="0" r="0" b="0"/>
            <wp:wrapSquare wrapText="largest"/>
            <wp:docPr id="8"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6" descr=""/>
                    <pic:cNvPicPr>
                      <a:picLocks noChangeAspect="1" noChangeArrowheads="1"/>
                    </pic:cNvPicPr>
                  </pic:nvPicPr>
                  <pic:blipFill>
                    <a:blip r:embed="rId9"/>
                    <a:stretch>
                      <a:fillRect/>
                    </a:stretch>
                  </pic:blipFill>
                  <pic:spPr bwMode="auto">
                    <a:xfrm>
                      <a:off x="0" y="0"/>
                      <a:ext cx="5943600" cy="4423410"/>
                    </a:xfrm>
                    <a:prstGeom prst="rect">
                      <a:avLst/>
                    </a:prstGeom>
                  </pic:spPr>
                </pic:pic>
              </a:graphicData>
            </a:graphic>
          </wp:anchor>
        </w:drawing>
      </w:r>
      <w:r>
        <w:rPr>
          <w:rFonts w:cs="Times New Roman" w:ascii="Times New Roman" w:hAnsi="Times New Roman"/>
          <w:sz w:val="24"/>
          <w:szCs w:val="24"/>
        </w:rPr>
        <w:t xml:space="preserve">Autor source </w:t>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jc w:val="both"/>
        <w:rPr>
          <w:rFonts w:ascii="Times New Roman" w:hAnsi="Times New Roman" w:cs="Times New Roman"/>
          <w:b/>
          <w:b/>
          <w:i/>
          <w:i/>
          <w:sz w:val="24"/>
          <w:szCs w:val="24"/>
        </w:rPr>
      </w:pPr>
      <w:r>
        <w:rPr>
          <w:rFonts w:cs="Times New Roman" w:ascii="Times New Roman" w:hAnsi="Times New Roman"/>
          <w:b/>
          <w:i/>
          <w:sz w:val="24"/>
          <w:szCs w:val="24"/>
        </w:rPr>
        <w:t xml:space="preserve">Conclusion </w:t>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t>The success of this case reside in the fact that social worker get around the table all the professionals involved with the family schools, nursery, hosing department, youth offending team, drugs support project, health visitor, the family has been connected to the relevant program as parenting program and educational course in basic literacy.</w:t>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t>The social care assessment offers exhaustive analyze and evaluation of the risks and protective factors from different agency for each children and family in general. This information laid for a robust child in need plan designed to prevent and improve the needs in the future and empower family to keep children safe. It is positive that extend family member Sonia has been involved in the plan but I consider she took more responsibility on her than children’s mother. There is risk if Sonia will leave the home, the situation can deteriorate.</w:t>
      </w:r>
    </w:p>
    <w:p>
      <w:pPr>
        <w:pStyle w:val="TextBody"/>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 </w:t>
      </w:r>
      <w:r>
        <w:rPr>
          <w:rFonts w:cs="Times New Roman" w:ascii="Times New Roman" w:hAnsi="Times New Roman"/>
          <w:sz w:val="24"/>
          <w:szCs w:val="24"/>
        </w:rPr>
        <w:t xml:space="preserve">In my point of view to get a more robust plan in place it is paramount for the social worker to assess children’s father/fathers in order to understand if they are suitable to get active part in children’s life and contribute to their safety. </w:t>
      </w:r>
    </w:p>
    <w:p>
      <w:pPr>
        <w:pStyle w:val="TextBody"/>
        <w:spacing w:lineRule="auto" w:line="360"/>
        <w:jc w:val="both"/>
        <w:rPr>
          <w:rFonts w:ascii="Times New Roman" w:hAnsi="Times New Roman" w:cs="Times New Roman"/>
          <w:sz w:val="26"/>
          <w:szCs w:val="24"/>
        </w:rPr>
      </w:pPr>
      <w:r>
        <w:rPr>
          <w:rFonts w:cs="Times New Roman" w:ascii="Times New Roman" w:hAnsi="Times New Roman"/>
          <w:sz w:val="26"/>
          <w:szCs w:val="24"/>
        </w:rPr>
      </w:r>
    </w:p>
    <w:p>
      <w:pPr>
        <w:pStyle w:val="TextBody"/>
        <w:spacing w:lineRule="auto" w:line="360"/>
        <w:jc w:val="both"/>
        <w:rPr>
          <w:rFonts w:ascii="Times New Roman" w:hAnsi="Times New Roman" w:cs="Times New Roman"/>
          <w:sz w:val="26"/>
          <w:szCs w:val="24"/>
        </w:rPr>
      </w:pPr>
      <w:r>
        <w:rPr>
          <w:rFonts w:cs="Times New Roman" w:ascii="Times New Roman" w:hAnsi="Times New Roman"/>
          <w:sz w:val="26"/>
          <w:szCs w:val="24"/>
        </w:rPr>
        <w:t xml:space="preserve"> </w:t>
      </w:r>
    </w:p>
    <w:p>
      <w:pPr>
        <w:pStyle w:val="TextBody"/>
        <w:spacing w:lineRule="auto" w:line="360" w:before="0" w:after="160"/>
        <w:jc w:val="both"/>
        <w:rPr>
          <w:rFonts w:ascii="Times New Roman" w:hAnsi="Times New Roman" w:cs="Times New Roman"/>
          <w:sz w:val="24"/>
          <w:szCs w:val="24"/>
        </w:rPr>
      </w:pPr>
      <w:r>
        <w:rPr>
          <w:rFonts w:cs="Times New Roman" w:ascii="Times New Roman" w:hAnsi="Times New Roman"/>
          <w:sz w:val="24"/>
          <w:szCs w:val="24"/>
        </w:rPr>
      </w:r>
    </w:p>
    <w:p>
      <w:pPr>
        <w:pStyle w:val="TextBody"/>
        <w:spacing w:lineRule="auto" w:line="360" w:before="0" w:after="160"/>
        <w:jc w:val="both"/>
        <w:rPr>
          <w:sz w:val="24"/>
          <w:szCs w:val="24"/>
        </w:rPr>
      </w:pPr>
      <w:r>
        <w:rPr>
          <w:sz w:val="24"/>
          <w:szCs w:val="24"/>
        </w:rPr>
      </w:r>
    </w:p>
    <w:p>
      <w:pPr>
        <w:pStyle w:val="TextBody"/>
        <w:spacing w:lineRule="auto" w:line="360" w:before="0" w:after="160"/>
        <w:jc w:val="both"/>
        <w:rPr>
          <w:sz w:val="24"/>
          <w:szCs w:val="24"/>
        </w:rPr>
      </w:pPr>
      <w:r>
        <w:rPr>
          <w:sz w:val="24"/>
          <w:szCs w:val="24"/>
        </w:rPr>
      </w:r>
    </w:p>
    <w:p>
      <w:pPr>
        <w:pStyle w:val="Normal"/>
        <w:spacing w:lineRule="auto" w:line="360"/>
        <w:jc w:val="both"/>
        <w:rPr>
          <w:rFonts w:ascii="Arial" w:hAnsi="Arial"/>
          <w:sz w:val="24"/>
          <w:szCs w:val="24"/>
        </w:rPr>
      </w:pPr>
      <w:r>
        <w:rPr>
          <w:rFonts w:ascii="Arial" w:hAnsi="Arial"/>
          <w:sz w:val="24"/>
          <w:szCs w:val="24"/>
        </w:rPr>
      </w:r>
    </w:p>
    <w:p>
      <w:pPr>
        <w:pStyle w:val="Normal"/>
        <w:spacing w:lineRule="auto" w:line="360" w:before="0" w:after="160"/>
        <w:jc w:val="both"/>
        <w:rPr/>
      </w:pPr>
      <w:r>
        <w:rPr/>
      </w:r>
    </w:p>
    <w:p>
      <w:pPr>
        <w:pStyle w:val="Normal"/>
        <w:spacing w:lineRule="auto" w:line="360" w:before="0" w:after="160"/>
        <w:jc w:val="both"/>
        <w:rPr/>
      </w:pPr>
      <w:r>
        <w:rPr/>
      </w:r>
    </w:p>
    <w:p>
      <w:pPr>
        <w:pStyle w:val="Normal"/>
        <w:spacing w:lineRule="auto" w:line="360" w:before="0" w:after="160"/>
        <w:jc w:val="both"/>
        <w:rPr/>
      </w:pPr>
      <w:r>
        <w:rPr/>
      </w:r>
    </w:p>
    <w:p>
      <w:pPr>
        <w:pStyle w:val="Normal"/>
        <w:spacing w:lineRule="auto" w:line="360" w:before="0" w:after="160"/>
        <w:jc w:val="both"/>
        <w:rPr/>
      </w:pPr>
      <w:r>
        <w:rPr/>
      </w:r>
    </w:p>
    <w:p>
      <w:pPr>
        <w:pStyle w:val="Normal"/>
        <w:spacing w:lineRule="auto" w:line="360" w:before="0" w:after="160"/>
        <w:jc w:val="both"/>
        <w:rPr/>
      </w:pPr>
      <w:r>
        <w:rPr/>
      </w:r>
    </w:p>
    <w:p>
      <w:pPr>
        <w:pStyle w:val="Normal"/>
        <w:spacing w:lineRule="auto" w:line="360" w:before="0" w:after="160"/>
        <w:jc w:val="both"/>
        <w:rPr/>
      </w:pPr>
      <w:r>
        <w:rPr/>
      </w:r>
    </w:p>
    <w:p>
      <w:pPr>
        <w:pStyle w:val="Normal"/>
        <w:spacing w:lineRule="auto" w:line="360" w:before="0" w:after="160"/>
        <w:jc w:val="both"/>
        <w:rPr/>
      </w:pPr>
      <w:r>
        <w:rPr/>
      </w:r>
    </w:p>
    <w:p>
      <w:pPr>
        <w:pStyle w:val="Normal"/>
        <w:spacing w:lineRule="auto" w:line="360" w:before="0" w:after="160"/>
        <w:jc w:val="both"/>
        <w:rPr/>
      </w:pPr>
      <w:r>
        <w:rPr/>
      </w:r>
    </w:p>
    <w:p>
      <w:pPr>
        <w:pStyle w:val="Normal"/>
        <w:spacing w:lineRule="auto" w:line="360" w:before="0" w:after="160"/>
        <w:jc w:val="both"/>
        <w:rPr/>
      </w:pPr>
      <w:r>
        <w:rPr/>
      </w:r>
    </w:p>
    <w:p>
      <w:pPr>
        <w:pStyle w:val="Normal"/>
        <w:spacing w:lineRule="auto" w:line="360" w:before="0" w:after="160"/>
        <w:jc w:val="both"/>
        <w:rPr/>
      </w:pPr>
      <w:r>
        <w:rPr/>
      </w:r>
    </w:p>
    <w:p>
      <w:pPr>
        <w:pStyle w:val="Normal"/>
        <w:spacing w:lineRule="auto" w:line="360" w:before="0" w:after="160"/>
        <w:jc w:val="both"/>
        <w:rPr/>
      </w:pPr>
      <w:r>
        <w:rPr/>
      </w:r>
    </w:p>
    <w:p>
      <w:pPr>
        <w:pStyle w:val="Normal"/>
        <w:spacing w:lineRule="auto" w:line="360" w:before="0" w:after="160"/>
        <w:jc w:val="both"/>
        <w:rPr/>
      </w:pPr>
      <w:r>
        <w:rPr/>
      </w:r>
    </w:p>
    <w:p>
      <w:pPr>
        <w:pStyle w:val="Normal"/>
        <w:spacing w:lineRule="auto" w:line="360" w:before="0" w:after="160"/>
        <w:jc w:val="both"/>
        <w:rPr/>
      </w:pPr>
      <w:r>
        <w:rPr/>
      </w:r>
    </w:p>
    <w:p>
      <w:pPr>
        <w:pStyle w:val="Normal"/>
        <w:spacing w:lineRule="auto" w:line="360" w:before="0" w:after="160"/>
        <w:jc w:val="both"/>
        <w:rPr/>
      </w:pPr>
      <w:r>
        <w:rPr/>
      </w:r>
    </w:p>
    <w:p>
      <w:pPr>
        <w:pStyle w:val="Normal"/>
        <w:spacing w:lineRule="auto" w:line="360" w:before="0" w:after="160"/>
        <w:jc w:val="both"/>
        <w:rPr/>
      </w:pPr>
      <w:r>
        <w:rPr/>
      </w:r>
    </w:p>
    <w:p>
      <w:pPr>
        <w:pStyle w:val="Normal"/>
        <w:spacing w:lineRule="auto" w:line="360" w:before="0" w:after="160"/>
        <w:jc w:val="both"/>
        <w:rPr>
          <w:sz w:val="36"/>
        </w:rPr>
      </w:pPr>
      <w:r>
        <w:rPr>
          <w:sz w:val="36"/>
        </w:rPr>
        <w:t>Reference</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Bedford, 2020. [online] Available at: &lt;https://crimerate.co.uk/bedfordshire/bedford&gt; [Accessed 18 August 2021].</w:t>
      </w:r>
      <w:r>
        <w:rPr>
          <w:sz w:val="18"/>
        </w:rPr>
        <w:t xml:space="preserve"> </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Cildren Act 1989, 1989. </w:t>
      </w:r>
      <w:r>
        <w:rPr>
          <w:rFonts w:ascii="Open Sans;Arial;sans-serif" w:hAnsi="Open Sans;Arial;sans-serif"/>
          <w:b w:val="false"/>
          <w:i/>
          <w:color w:val="000000"/>
          <w:spacing w:val="0"/>
          <w:sz w:val="18"/>
        </w:rPr>
        <w:t>Children Act 1989</w:t>
      </w:r>
      <w:r>
        <w:rPr>
          <w:rFonts w:ascii="Open Sans;Arial;sans-serif" w:hAnsi="Open Sans;Arial;sans-serif"/>
          <w:b w:val="false"/>
          <w:i w:val="false"/>
          <w:caps w:val="false"/>
          <w:smallCaps w:val="false"/>
          <w:color w:val="000000"/>
          <w:spacing w:val="0"/>
          <w:sz w:val="18"/>
        </w:rPr>
        <w:t>. [online] Legislation.gov.uk. Available at: &lt;https://www.legislation.gov.uk/ukpga/1989/41/contents&gt; [Accessed 20 August 2021].</w:t>
      </w:r>
      <w:r>
        <w:rPr>
          <w:sz w:val="18"/>
        </w:rPr>
        <w:t xml:space="preserve"> </w:t>
      </w:r>
    </w:p>
    <w:p>
      <w:pPr>
        <w:pStyle w:val="Normal"/>
        <w:spacing w:lineRule="auto" w:line="360" w:before="0" w:after="160"/>
        <w:jc w:val="both"/>
        <w:rPr>
          <w:sz w:val="36"/>
        </w:rPr>
      </w:pPr>
      <w:r>
        <w:rPr>
          <w:rFonts w:ascii="Open Sans;Arial;sans-serif" w:hAnsi="Open Sans;Arial;sans-serif"/>
          <w:b w:val="false"/>
          <w:i w:val="false"/>
          <w:caps w:val="false"/>
          <w:smallCaps w:val="false"/>
          <w:color w:val="000000"/>
          <w:spacing w:val="0"/>
          <w:sz w:val="18"/>
        </w:rPr>
        <w:t>Children in Need, 2021. </w:t>
      </w:r>
      <w:r>
        <w:rPr>
          <w:rFonts w:ascii="Open Sans;Arial;sans-serif" w:hAnsi="Open Sans;Arial;sans-serif"/>
          <w:b w:val="false"/>
          <w:i/>
          <w:color w:val="000000"/>
          <w:spacing w:val="0"/>
          <w:sz w:val="18"/>
        </w:rPr>
        <w:t>1.2.2 Children in Need Framework/Thresholds for Children's Social Care Intervention</w:t>
      </w:r>
      <w:r>
        <w:rPr>
          <w:rFonts w:ascii="Open Sans;Arial;sans-serif" w:hAnsi="Open Sans;Arial;sans-serif"/>
          <w:b w:val="false"/>
          <w:i w:val="false"/>
          <w:caps w:val="false"/>
          <w:smallCaps w:val="false"/>
          <w:color w:val="000000"/>
          <w:spacing w:val="0"/>
          <w:sz w:val="18"/>
        </w:rPr>
        <w:t>. [online] Proceduresonline.com. Available at: &lt;https://www.proceduresonline.com/trafford/cs/chapters/p_framework_thresholds.html&gt; [Accessed 24 August 2021]</w:t>
      </w:r>
      <w:r>
        <w:rPr>
          <w:rFonts w:ascii="Open Sans;Arial;sans-serif" w:hAnsi="Open Sans;Arial;sans-serif"/>
          <w:b w:val="false"/>
          <w:i w:val="false"/>
          <w:caps w:val="false"/>
          <w:smallCaps w:val="false"/>
          <w:color w:val="000000"/>
          <w:spacing w:val="0"/>
          <w:sz w:val="13"/>
        </w:rPr>
        <w:t>.</w:t>
      </w:r>
      <w:r>
        <w:rPr>
          <w:sz w:val="18"/>
        </w:rPr>
        <w:t xml:space="preserve"> </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Evans, R., Garner, P. and Honig, A., 2014. Prevention of violence, abuse and neglect in early childhood: a review of the literature on research, policy and practice. </w:t>
      </w:r>
      <w:r>
        <w:rPr>
          <w:rFonts w:ascii="Open Sans;Arial;sans-serif" w:hAnsi="Open Sans;Arial;sans-serif"/>
          <w:b w:val="false"/>
          <w:i/>
          <w:color w:val="000000"/>
          <w:spacing w:val="0"/>
          <w:sz w:val="18"/>
        </w:rPr>
        <w:t>Early Child Development and Care</w:t>
      </w:r>
      <w:r>
        <w:rPr>
          <w:rFonts w:ascii="Open Sans;Arial;sans-serif" w:hAnsi="Open Sans;Arial;sans-serif"/>
          <w:b w:val="false"/>
          <w:i w:val="false"/>
          <w:caps w:val="false"/>
          <w:smallCaps w:val="false"/>
          <w:color w:val="000000"/>
          <w:spacing w:val="0"/>
          <w:sz w:val="18"/>
        </w:rPr>
        <w:t>, 184(9-10), pp.1295-1335.</w:t>
      </w:r>
      <w:r>
        <w:rPr>
          <w:sz w:val="18"/>
        </w:rPr>
        <w:t xml:space="preserve"> </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Guertin, A., 2021. </w:t>
      </w:r>
      <w:r>
        <w:rPr>
          <w:rFonts w:ascii="Open Sans;Arial;sans-serif" w:hAnsi="Open Sans;Arial;sans-serif"/>
          <w:b w:val="false"/>
          <w:i/>
          <w:color w:val="000000"/>
          <w:spacing w:val="0"/>
          <w:sz w:val="18"/>
        </w:rPr>
        <w:t>The Effect on Men That Grow Up Without a Father Figure</w:t>
      </w:r>
      <w:r>
        <w:rPr>
          <w:rFonts w:ascii="Open Sans;Arial;sans-serif" w:hAnsi="Open Sans;Arial;sans-serif"/>
          <w:b w:val="false"/>
          <w:i w:val="false"/>
          <w:caps w:val="false"/>
          <w:smallCaps w:val="false"/>
          <w:color w:val="000000"/>
          <w:spacing w:val="0"/>
          <w:sz w:val="18"/>
        </w:rPr>
        <w:t>. [online] Our Everyday Life. Available at: &lt;https://oureverydaylife.com/effect-men-grow-up-father-figure-43045.html&gt; [Accessed 17 August 2021].</w:t>
      </w:r>
      <w:r>
        <w:rPr>
          <w:sz w:val="18"/>
        </w:rPr>
        <w:t xml:space="preserve"> </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Lindberg, S., 2020. </w:t>
      </w:r>
      <w:r>
        <w:rPr>
          <w:rFonts w:ascii="Open Sans;Arial;sans-serif" w:hAnsi="Open Sans;Arial;sans-serif"/>
          <w:b w:val="false"/>
          <w:i/>
          <w:caps w:val="false"/>
          <w:smallCaps w:val="false"/>
          <w:color w:val="000000"/>
          <w:spacing w:val="0"/>
          <w:sz w:val="18"/>
        </w:rPr>
        <w:t>Bad Parenting: Signs, Effects, and How to Change It</w:t>
      </w:r>
      <w:r>
        <w:rPr>
          <w:rFonts w:ascii="Open Sans;Arial;sans-serif" w:hAnsi="Open Sans;Arial;sans-serif"/>
          <w:b w:val="false"/>
          <w:i w:val="false"/>
          <w:caps w:val="false"/>
          <w:smallCaps w:val="false"/>
          <w:color w:val="000000"/>
          <w:spacing w:val="0"/>
          <w:sz w:val="18"/>
        </w:rPr>
        <w:t>. [online] Healthline. Available at: &lt;https://www.healthline.com/health/parenting/bad-parenting&gt; [Accessed 18 August 2021].</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 xml:space="preserve"> </w:t>
      </w:r>
      <w:r>
        <w:rPr>
          <w:rFonts w:ascii="Open Sans;Arial;sans-serif" w:hAnsi="Open Sans;Arial;sans-serif"/>
          <w:b w:val="false"/>
          <w:i w:val="false"/>
          <w:caps w:val="false"/>
          <w:smallCaps w:val="false"/>
          <w:color w:val="000000"/>
          <w:spacing w:val="0"/>
          <w:sz w:val="18"/>
        </w:rPr>
        <w:t>NICE, 2021. </w:t>
      </w:r>
      <w:r>
        <w:rPr>
          <w:rFonts w:ascii="Open Sans;Arial;sans-serif" w:hAnsi="Open Sans;Arial;sans-serif"/>
          <w:b w:val="false"/>
          <w:i/>
          <w:caps w:val="false"/>
          <w:smallCaps w:val="false"/>
          <w:color w:val="000000"/>
          <w:spacing w:val="0"/>
          <w:sz w:val="18"/>
        </w:rPr>
        <w:t>NICE</w:t>
      </w:r>
      <w:r>
        <w:rPr>
          <w:rFonts w:ascii="Open Sans;Arial;sans-serif" w:hAnsi="Open Sans;Arial;sans-serif"/>
          <w:b w:val="false"/>
          <w:i w:val="false"/>
          <w:caps w:val="false"/>
          <w:smallCaps w:val="false"/>
          <w:color w:val="000000"/>
          <w:spacing w:val="0"/>
          <w:sz w:val="18"/>
        </w:rPr>
        <w:t xml:space="preserve">. [online] NICE. Available at: &lt;https://www.nice.org.uk/&gt; [Accessed 24 August 2021]. </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NSPCC, 2021. </w:t>
      </w:r>
      <w:r>
        <w:rPr>
          <w:rFonts w:ascii="Open Sans;Arial;sans-serif" w:hAnsi="Open Sans;Arial;sans-serif"/>
          <w:b w:val="false"/>
          <w:i/>
          <w:caps w:val="false"/>
          <w:smallCaps w:val="false"/>
          <w:color w:val="000000"/>
          <w:spacing w:val="0"/>
          <w:sz w:val="18"/>
        </w:rPr>
        <w:t>Neglect</w:t>
      </w:r>
      <w:r>
        <w:rPr>
          <w:rFonts w:ascii="Open Sans;Arial;sans-serif" w:hAnsi="Open Sans;Arial;sans-serif"/>
          <w:b w:val="false"/>
          <w:i w:val="false"/>
          <w:caps w:val="false"/>
          <w:smallCaps w:val="false"/>
          <w:color w:val="000000"/>
          <w:spacing w:val="0"/>
          <w:sz w:val="18"/>
        </w:rPr>
        <w:t xml:space="preserve">. [online] NSPCC. Available at: &lt;https://www.nspcc.org.uk/what-is-child-abuse/types-of-abuse/neglect/&gt; [Accessed 19 August 2021]. </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NSPCC Learning, 2021. </w:t>
      </w:r>
      <w:r>
        <w:rPr>
          <w:rFonts w:ascii="Open Sans;Arial;sans-serif" w:hAnsi="Open Sans;Arial;sans-serif"/>
          <w:b w:val="false"/>
          <w:i/>
          <w:caps w:val="false"/>
          <w:smallCaps w:val="false"/>
          <w:color w:val="000000"/>
          <w:spacing w:val="0"/>
          <w:sz w:val="18"/>
        </w:rPr>
        <w:t>Parental substance misuse | NSPCC Learning</w:t>
      </w:r>
      <w:r>
        <w:rPr>
          <w:rFonts w:ascii="Open Sans;Arial;sans-serif" w:hAnsi="Open Sans;Arial;sans-serif"/>
          <w:b w:val="false"/>
          <w:i w:val="false"/>
          <w:caps w:val="false"/>
          <w:smallCaps w:val="false"/>
          <w:color w:val="000000"/>
          <w:spacing w:val="0"/>
          <w:sz w:val="18"/>
        </w:rPr>
        <w:t xml:space="preserve">. [online] NSPCC Learning. Available at: &lt;https://learning.nspcc.org.uk/children-and-families-at-risk/parental-substance-misuse#heading-top&gt; [Accessed 18 August 2021]. </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NSW, 2021. </w:t>
      </w:r>
      <w:r>
        <w:rPr>
          <w:rFonts w:ascii="Open Sans;Arial;sans-serif" w:hAnsi="Open Sans;Arial;sans-serif"/>
          <w:b w:val="false"/>
          <w:i/>
          <w:caps w:val="false"/>
          <w:smallCaps w:val="false"/>
          <w:color w:val="000000"/>
          <w:spacing w:val="0"/>
          <w:sz w:val="18"/>
        </w:rPr>
        <w:t>The impact of child neglect - FACS</w:t>
      </w:r>
      <w:r>
        <w:rPr>
          <w:rFonts w:ascii="Open Sans;Arial;sans-serif" w:hAnsi="Open Sans;Arial;sans-serif"/>
          <w:b w:val="false"/>
          <w:i w:val="false"/>
          <w:caps w:val="false"/>
          <w:smallCaps w:val="false"/>
          <w:color w:val="000000"/>
          <w:spacing w:val="0"/>
          <w:sz w:val="18"/>
        </w:rPr>
        <w:t xml:space="preserve">. [online] FACS. Available at: &lt;https://www.cwpracticelive.facs.nsw.gov.au/@acting-with-urgency/2017/08/04/41277/the-impact-of-child-neglect&gt; [Accessed 19 August 2021]. </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Parental substance misuse, 2021. </w:t>
      </w:r>
      <w:r>
        <w:rPr>
          <w:rFonts w:ascii="Open Sans;Arial;sans-serif" w:hAnsi="Open Sans;Arial;sans-serif"/>
          <w:b w:val="false"/>
          <w:i/>
          <w:caps w:val="false"/>
          <w:smallCaps w:val="false"/>
          <w:color w:val="000000"/>
          <w:spacing w:val="0"/>
          <w:sz w:val="18"/>
        </w:rPr>
        <w:t>Parental substance misuse | NSPCC Learning</w:t>
      </w:r>
      <w:r>
        <w:rPr>
          <w:rFonts w:ascii="Open Sans;Arial;sans-serif" w:hAnsi="Open Sans;Arial;sans-serif"/>
          <w:b w:val="false"/>
          <w:i w:val="false"/>
          <w:caps w:val="false"/>
          <w:smallCaps w:val="false"/>
          <w:color w:val="000000"/>
          <w:spacing w:val="0"/>
          <w:sz w:val="18"/>
        </w:rPr>
        <w:t xml:space="preserve">. [online] NSPCC Learning. Available at: &lt;https://learning.nspcc.org.uk/children-and-families-at-risk/parental-substance-misuse&gt; [Accessed 18 August 2021]. </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Podowitz, K., 2021. </w:t>
      </w:r>
      <w:r>
        <w:rPr>
          <w:rFonts w:ascii="Open Sans;Arial;sans-serif" w:hAnsi="Open Sans;Arial;sans-serif"/>
          <w:b w:val="false"/>
          <w:i/>
          <w:caps w:val="false"/>
          <w:smallCaps w:val="false"/>
          <w:color w:val="000000"/>
          <w:spacing w:val="0"/>
          <w:sz w:val="18"/>
        </w:rPr>
        <w:t>Risk Factors for Criminal Behavior | Poverty</w:t>
      </w:r>
      <w:r>
        <w:rPr>
          <w:rFonts w:ascii="Open Sans;Arial;sans-serif" w:hAnsi="Open Sans;Arial;sans-serif"/>
          <w:b w:val="false"/>
          <w:i w:val="false"/>
          <w:caps w:val="false"/>
          <w:smallCaps w:val="false"/>
          <w:color w:val="000000"/>
          <w:spacing w:val="0"/>
          <w:sz w:val="18"/>
        </w:rPr>
        <w:t xml:space="preserve">. [online] Criminal Defense Attorney | Psychology of Law And Criminal Behavior. Available at: &lt;http://www.psychology-criminalbehavior-law.com/2015/01/risk-factors-poverty/#:~:text=Some%20risk%20factors%20include%20failing,influence%2C%20or&gt; [Accessed 19 August 2021]. </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 xml:space="preserve">Sandstrom, H. and Huerta, S., 2013. [online] Urban.org. Available at: &lt;https://www.urban.org/sites/default/files/publication/32706/412899-The-Negative-Effects-of-Instability-on-Child-Development-A-Research-Synthesis.PDF&gt; [Accessed 18 August 2021]. </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Shaw, A., Egan, J. and Gillespie, M., 2007. </w:t>
      </w:r>
      <w:r>
        <w:rPr>
          <w:rFonts w:ascii="Open Sans;Arial;sans-serif" w:hAnsi="Open Sans;Arial;sans-serif"/>
          <w:b w:val="false"/>
          <w:i/>
          <w:caps w:val="false"/>
          <w:smallCaps w:val="false"/>
          <w:color w:val="000000"/>
          <w:spacing w:val="0"/>
          <w:sz w:val="18"/>
        </w:rPr>
        <w:t>Drugs and poverty: a literature review. - Drugs and Alcohol</w:t>
      </w:r>
      <w:r>
        <w:rPr>
          <w:rFonts w:ascii="Open Sans;Arial;sans-serif" w:hAnsi="Open Sans;Arial;sans-serif"/>
          <w:b w:val="false"/>
          <w:i w:val="false"/>
          <w:caps w:val="false"/>
          <w:smallCaps w:val="false"/>
          <w:color w:val="000000"/>
          <w:spacing w:val="0"/>
          <w:sz w:val="18"/>
        </w:rPr>
        <w:t xml:space="preserve">. [online] Drugsandalcohol.ie. Available at: &lt;https://www.drugsandalcohol.ie/11489/&gt; [Accessed 19 August 2021]. </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Universal Declaration of Human Rights, 1948. </w:t>
      </w:r>
      <w:r>
        <w:rPr>
          <w:rFonts w:ascii="Open Sans;Arial;sans-serif" w:hAnsi="Open Sans;Arial;sans-serif"/>
          <w:b w:val="false"/>
          <w:i/>
          <w:caps w:val="false"/>
          <w:smallCaps w:val="false"/>
          <w:color w:val="000000"/>
          <w:spacing w:val="0"/>
          <w:sz w:val="18"/>
        </w:rPr>
        <w:t>OHCHR | Universal Declaration of Human Rights at 70: 30 Articles on 30 Articles - Article 25</w:t>
      </w:r>
      <w:r>
        <w:rPr>
          <w:rFonts w:ascii="Open Sans;Arial;sans-serif" w:hAnsi="Open Sans;Arial;sans-serif"/>
          <w:b w:val="false"/>
          <w:i w:val="false"/>
          <w:caps w:val="false"/>
          <w:smallCaps w:val="false"/>
          <w:color w:val="000000"/>
          <w:spacing w:val="0"/>
          <w:sz w:val="18"/>
        </w:rPr>
        <w:t xml:space="preserve">. [online] Ohchr.org. Available at: &lt;https://www.ohchr.org/EN/NewsEvents/Pages/DisplayNews.aspx?NewsID=23970&amp;LangID=E&gt; [Accessed 18 August 2021]. </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 xml:space="preserve">WHO, 1978. [online] Apps.who.int. Available at: &lt;https://apps.who.int/iris/bitstream/handle/10665/40336/16937_eng.pdf?sequence=1&amp;isAllowed=y&gt; [Accessed 18 August 2021]. </w:t>
      </w:r>
    </w:p>
    <w:p>
      <w:pPr>
        <w:pStyle w:val="Normal"/>
        <w:spacing w:lineRule="auto" w:line="360" w:before="0" w:after="160"/>
        <w:jc w:val="both"/>
        <w:rPr>
          <w:sz w:val="18"/>
        </w:rPr>
      </w:pPr>
      <w:r>
        <w:rPr>
          <w:rFonts w:ascii="Open Sans;Arial;sans-serif" w:hAnsi="Open Sans;Arial;sans-serif"/>
          <w:b w:val="false"/>
          <w:i w:val="false"/>
          <w:caps w:val="false"/>
          <w:smallCaps w:val="false"/>
          <w:color w:val="000000"/>
          <w:spacing w:val="0"/>
          <w:sz w:val="18"/>
        </w:rPr>
        <w:t>Working Together to Safeguard Children, 2018. </w:t>
      </w:r>
      <w:r>
        <w:rPr>
          <w:rFonts w:ascii="Open Sans;Arial;sans-serif" w:hAnsi="Open Sans;Arial;sans-serif"/>
          <w:b w:val="false"/>
          <w:i/>
          <w:caps w:val="false"/>
          <w:smallCaps w:val="false"/>
          <w:color w:val="000000"/>
          <w:spacing w:val="0"/>
          <w:sz w:val="18"/>
        </w:rPr>
        <w:t>Working together to safeguard children</w:t>
      </w:r>
      <w:r>
        <w:rPr>
          <w:rFonts w:ascii="Open Sans;Arial;sans-serif" w:hAnsi="Open Sans;Arial;sans-serif"/>
          <w:b w:val="false"/>
          <w:i w:val="false"/>
          <w:caps w:val="false"/>
          <w:smallCaps w:val="false"/>
          <w:color w:val="000000"/>
          <w:spacing w:val="0"/>
          <w:sz w:val="18"/>
        </w:rPr>
        <w:t xml:space="preserve">. [online] GOV.UK. Available at: &lt;https://www.gov.uk/government/publications/working-together-to-safeguard-children--2&gt; [Accessed 23 August 2021]. </w:t>
      </w:r>
    </w:p>
    <w:sectPr>
      <w:footerReference w:type="default" r:id="rId10"/>
      <w:type w:val="nextPage"/>
      <w:pgSz w:w="12240" w:h="15840"/>
      <w:pgMar w:left="1440" w:right="1440" w:header="0" w:top="1440" w:footer="0" w:bottom="1440" w:gutter="0"/>
      <w:pgNumType w:fmt="decimal"/>
      <w:formProt w:val="false"/>
      <w:textDirection w:val="lrTb"/>
      <w:docGrid w:type="default" w:linePitch="360"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erif">
    <w:altName w:val="Times New Roman"/>
    <w:charset w:val="00"/>
    <w:family w:val="swiss"/>
    <w:pitch w:val="variable"/>
  </w:font>
  <w:font w:name="Tahoma">
    <w:charset w:val="00"/>
    <w:family w:val="roman"/>
    <w:pitch w:val="variable"/>
  </w:font>
  <w:font w:name="Liberation Sans">
    <w:altName w:val="Arial"/>
    <w:charset w:val="00"/>
    <w:family w:val="roman"/>
    <w:pitch w:val="variable"/>
  </w:font>
  <w:font w:name="Liberation Mono">
    <w:altName w:val="Courier New"/>
    <w:charset w:val="00"/>
    <w:family w:val="roman"/>
    <w:pitch w:val="variable"/>
  </w:font>
  <w:font w:name="Arial">
    <w:charset w:val="00"/>
    <w:family w:val="roman"/>
    <w:pitch w:val="variable"/>
  </w:font>
  <w:font w:name="Arial">
    <w:altName w:val="Helvetica"/>
    <w:charset w:val="00"/>
    <w:family w:val="roman"/>
    <w:pitch w:val="variable"/>
  </w:font>
  <w:font w:name="Open Sans">
    <w:altName w:val="Arial"/>
    <w:charset w:val="00"/>
    <w:family w:val="roman"/>
    <w:pitch w:val="variable"/>
  </w:font>
  <w:font w:name="Wingdings">
    <w:charset w:val="02"/>
    <w:family w:val="auto"/>
    <w:pitch w:val="variable"/>
  </w:font>
  <w:font w:name="Courier New">
    <w:charset w:val="01"/>
    <w:family w:val="modern"/>
    <w:pitch w:val="fixed"/>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pBdr>
        <w:top w:val="single" w:sz="4" w:space="1" w:color="D9D9D9"/>
      </w:pBdr>
      <w:jc w:val="right"/>
      <w:rPr/>
    </w:pPr>
    <w:r>
      <w:rPr/>
      <w:fldChar w:fldCharType="begin"/>
    </w:r>
    <w:r>
      <w:rPr/>
      <w:instrText> PAGE </w:instrText>
    </w:r>
    <w:r>
      <w:rPr/>
      <w:fldChar w:fldCharType="separate"/>
    </w:r>
    <w:r>
      <w:rPr/>
      <w:t>13</w:t>
    </w:r>
    <w:r>
      <w:rPr/>
      <w:fldChar w:fldCharType="end"/>
    </w:r>
    <w:r>
      <w:rPr/>
      <w:t xml:space="preserve"> </w:t>
    </w:r>
    <w:r>
      <w:rPr/>
      <w:t xml:space="preserve">| </w:t>
    </w:r>
    <w:r>
      <w:rPr>
        <w:color w:val="808080"/>
        <w:spacing w:val="60"/>
      </w:rPr>
      <w:t>Page</w:t>
    </w:r>
  </w:p>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99"/>
  <w:defaultTabStop w:val="720"/>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ahoma"/>
        <w:sz w:val="22"/>
        <w:szCs w:val="22"/>
        <w:lang w:val="en-US" w:eastAsia="en-US" w:bidi="ar-SA"/>
      </w:rPr>
    </w:rPrDefault>
    <w:pPrDefault>
      <w:pPr>
        <w:suppressAutoHyphens w:val="true"/>
      </w:pPr>
    </w:pPrDefault>
  </w:docDefaults>
  <w:style w:type="paragraph" w:styleId="Normal">
    <w:name w:val="Normal"/>
    <w:qFormat/>
    <w:pPr>
      <w:widowControl/>
      <w:suppressAutoHyphens w:val="true"/>
      <w:overflowPunct w:val="false"/>
      <w:bidi w:val="0"/>
      <w:spacing w:lineRule="auto" w:line="259" w:before="0" w:after="160"/>
      <w:jc w:val="left"/>
    </w:pPr>
    <w:rPr>
      <w:rFonts w:ascii="Calibri" w:hAnsi="Calibri" w:eastAsia="Calibri" w:cs="Tahoma"/>
      <w:color w:val="auto"/>
      <w:kern w:val="0"/>
      <w:sz w:val="22"/>
      <w:szCs w:val="22"/>
      <w:lang w:val="en-US" w:eastAsia="en-US" w:bidi="ar-SA"/>
    </w:rPr>
  </w:style>
  <w:style w:type="paragraph" w:styleId="Heading1">
    <w:name w:val="Heading 1"/>
    <w:basedOn w:val="Heading"/>
    <w:next w:val="TextBody"/>
    <w:qFormat/>
    <w:pPr>
      <w:outlineLvl w:val="0"/>
    </w:pPr>
    <w:rPr>
      <w:rFonts w:ascii="Liberation Serif" w:hAnsi="Liberation Serif" w:eastAsia="Segoe UI" w:cs="Tahoma"/>
      <w:b/>
      <w:bCs/>
      <w:sz w:val="48"/>
      <w:szCs w:val="48"/>
    </w:rPr>
  </w:style>
  <w:style w:type="character" w:styleId="DefaultParagraphFont">
    <w:name w:val="Default Paragraph Font"/>
    <w:qFormat/>
    <w:rPr/>
  </w:style>
  <w:style w:type="character" w:styleId="BalloonTextChar">
    <w:name w:val="Balloon Text Char"/>
    <w:basedOn w:val="DefaultParagraphFont"/>
    <w:qFormat/>
    <w:rPr>
      <w:rFonts w:ascii="Tahoma" w:hAnsi="Tahoma"/>
      <w:sz w:val="16"/>
      <w:szCs w:val="16"/>
    </w:rPr>
  </w:style>
  <w:style w:type="character" w:styleId="InternetLink">
    <w:name w:val="Hyperlink"/>
    <w:basedOn w:val="DefaultParagraphFont"/>
    <w:rPr>
      <w:color w:val="0000FF"/>
      <w:u w:val="single"/>
    </w:rPr>
  </w:style>
  <w:style w:type="character" w:styleId="HeaderChar">
    <w:name w:val="Header Char"/>
    <w:basedOn w:val="DefaultParagraphFont"/>
    <w:qFormat/>
    <w:rPr/>
  </w:style>
  <w:style w:type="character" w:styleId="FooterChar">
    <w:name w:val="Footer Char"/>
    <w:basedOn w:val="DefaultParagraphFont"/>
    <w:qFormat/>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Caption1">
    <w:name w:val="caption"/>
    <w:basedOn w:val="Normal"/>
    <w:qFormat/>
    <w:pPr>
      <w:suppressLineNumbers/>
      <w:spacing w:before="120" w:after="120"/>
    </w:pPr>
    <w:rPr>
      <w:rFonts w:cs="Lucida Sans"/>
      <w:i/>
      <w:iCs/>
      <w:sz w:val="24"/>
      <w:szCs w:val="24"/>
    </w:rPr>
  </w:style>
  <w:style w:type="paragraph" w:styleId="PreformattedText">
    <w:name w:val="Preformatted Text"/>
    <w:basedOn w:val="Normal"/>
    <w:qFormat/>
    <w:pPr>
      <w:spacing w:before="0" w:after="0"/>
    </w:pPr>
    <w:rPr>
      <w:rFonts w:ascii="Liberation Mono" w:hAnsi="Liberation Mono" w:eastAsia="Liberation Mono" w:cs="Liberation Mono"/>
      <w:sz w:val="20"/>
      <w:szCs w:val="20"/>
    </w:rPr>
  </w:style>
  <w:style w:type="paragraph" w:styleId="TableContents">
    <w:name w:val="Table Contents"/>
    <w:basedOn w:val="Normal"/>
    <w:qFormat/>
    <w:pPr>
      <w:widowControl w:val="false"/>
      <w:suppressLineNumbers/>
    </w:pPr>
    <w:rPr/>
  </w:style>
  <w:style w:type="paragraph" w:styleId="ListParagraph">
    <w:name w:val="List Paragraph"/>
    <w:basedOn w:val="Normal"/>
    <w:qFormat/>
    <w:pPr>
      <w:spacing w:before="0" w:after="200"/>
      <w:ind w:left="720" w:right="0" w:hanging="0"/>
      <w:contextualSpacing/>
    </w:pPr>
    <w:rPr/>
  </w:style>
  <w:style w:type="paragraph" w:styleId="BalloonText">
    <w:name w:val="Balloon Text"/>
    <w:basedOn w:val="Normal"/>
    <w:qFormat/>
    <w:pPr>
      <w:spacing w:lineRule="auto" w:line="240" w:before="0" w:after="0"/>
    </w:pPr>
    <w:rPr>
      <w:rFonts w:ascii="Tahoma" w:hAnsi="Tahoma"/>
      <w:sz w:val="16"/>
      <w:szCs w:val="16"/>
    </w:rPr>
  </w:style>
  <w:style w:type="paragraph" w:styleId="NormalWeb">
    <w:name w:val="Normal (Web)"/>
    <w:basedOn w:val="Normal"/>
    <w:qFormat/>
    <w:pPr>
      <w:suppressAutoHyphens w:val="false"/>
      <w:overflowPunct w:val="true"/>
      <w:spacing w:lineRule="auto" w:line="240" w:before="280" w:after="280"/>
    </w:pPr>
    <w:rPr>
      <w:rFonts w:ascii="Times New Roman" w:hAnsi="Times New Roman" w:eastAsia="Times New Roman" w:cs="Times New Roman"/>
      <w:sz w:val="24"/>
      <w:szCs w:val="24"/>
    </w:rPr>
  </w:style>
  <w:style w:type="paragraph" w:styleId="HeaderandFooter">
    <w:name w:val="Header and Footer"/>
    <w:basedOn w:val="Normal"/>
    <w:qFormat/>
    <w:pPr/>
    <w:rPr/>
  </w:style>
  <w:style w:type="paragraph" w:styleId="Header">
    <w:name w:val="Header"/>
    <w:basedOn w:val="Normal"/>
    <w:pPr>
      <w:tabs>
        <w:tab w:val="clear" w:pos="720"/>
        <w:tab w:val="center" w:pos="4844" w:leader="none"/>
        <w:tab w:val="right" w:pos="9689" w:leader="none"/>
      </w:tabs>
      <w:spacing w:lineRule="auto" w:line="240" w:before="0" w:after="0"/>
    </w:pPr>
    <w:rPr/>
  </w:style>
  <w:style w:type="paragraph" w:styleId="Footer">
    <w:name w:val="Footer"/>
    <w:basedOn w:val="Normal"/>
    <w:pPr>
      <w:tabs>
        <w:tab w:val="clear" w:pos="720"/>
        <w:tab w:val="center" w:pos="4844" w:leader="none"/>
        <w:tab w:val="right" w:pos="9689" w:leader="none"/>
      </w:tabs>
      <w:spacing w:lineRule="auto" w:line="240" w:before="0" w:after="0"/>
    </w:pPr>
    <w:rPr/>
  </w:style>
  <w:style w:type="numbering" w:styleId="NoList">
    <w:name w:val="No List"/>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footer" Target="footer1.xml"/><Relationship Id="rId11" Type="http://schemas.openxmlformats.org/officeDocument/2006/relationships/numbering" Target="numbering.xml"/><Relationship Id="rId12" Type="http://schemas.openxmlformats.org/officeDocument/2006/relationships/fontTable" Target="fontTable.xml"/><Relationship Id="rId13"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Normal.dotm</Template>
  <TotalTime>356</TotalTime>
  <Application>Coolle_Office_Suite_Pro_For_Windows_10/7.1.0.0.alpha0$Windows_x86 LibreOffice_project/3fa9ba636be5f95a85f9da8e94e8b31a80f45161</Application>
  <Pages>13</Pages>
  <Words>2552</Words>
  <Characters>15056</Characters>
  <CharactersWithSpaces>17695</CharactersWithSpaces>
  <Paragraphs>96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2021-08-21T15:25:00Z</dcterms:created>
  <dc:creator>Mihaita Sandel Munteanu (1913128)</dc:creator>
  <dc:description/>
  <dc:language>en-GB</dc:language>
  <cp:lastModifiedBy/>
  <dcterms:modified xsi:type="dcterms:W3CDTF">2021-08-24T09:39:34Z</dcterms:modified>
  <cp:revision>19</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