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CFA00A" w14:textId="77777777" w:rsidR="008A4EBC" w:rsidRDefault="008A4EBC" w:rsidP="008A4EBC">
      <w:pPr>
        <w:pBdr>
          <w:bottom w:val="single" w:sz="4" w:space="0" w:color="auto"/>
        </w:pBdr>
        <w:jc w:val="center"/>
        <w:rPr>
          <w:rFonts w:ascii="Arial" w:eastAsia="Times New Roman" w:hAnsi="Arial" w:cs="Arial"/>
          <w:bCs/>
          <w:sz w:val="24"/>
          <w:szCs w:val="24"/>
        </w:rPr>
      </w:pPr>
      <w:r>
        <w:rPr>
          <w:noProof/>
        </w:rPr>
        <w:fldChar w:fldCharType="begin"/>
      </w:r>
      <w:r>
        <w:rPr>
          <w:noProof/>
        </w:rPr>
        <w:instrText xml:space="preserve"> INCLUDEPICTURE  "/Users/shajinqi/Library/Containers/com.kingsoft.wpsoffice.mac/Data/tmp/wps-shajinqi/ksohtml/wps1.png" \* MERGEFORMATINET </w:instrText>
      </w:r>
      <w:r>
        <w:rPr>
          <w:noProof/>
        </w:rPr>
        <w:fldChar w:fldCharType="separate"/>
      </w:r>
      <w:r>
        <w:rPr>
          <w:noProof/>
        </w:rPr>
        <w:drawing>
          <wp:inline distT="0" distB="0" distL="0" distR="0" wp14:anchorId="75146834" wp14:editId="2AEE84A2">
            <wp:extent cx="2514600" cy="1143000"/>
            <wp:effectExtent l="0" t="0" r="0" b="0"/>
            <wp:docPr id="1310207909" name="图片 1" descr="文本&#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文本&#10;&#10;AI 生成的内容可能不正确。"/>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2514600" cy="1143000"/>
                    </a:xfrm>
                    <a:prstGeom prst="rect">
                      <a:avLst/>
                    </a:prstGeom>
                    <a:noFill/>
                    <a:ln>
                      <a:noFill/>
                    </a:ln>
                  </pic:spPr>
                </pic:pic>
              </a:graphicData>
            </a:graphic>
          </wp:inline>
        </w:drawing>
      </w:r>
      <w:r>
        <w:rPr>
          <w:noProof/>
        </w:rPr>
        <w:fldChar w:fldCharType="end"/>
      </w:r>
    </w:p>
    <w:p w14:paraId="263B7248" w14:textId="77777777" w:rsidR="008A4EBC" w:rsidRPr="008E1CB8" w:rsidRDefault="008A4EBC" w:rsidP="008A4EBC">
      <w:pPr>
        <w:jc w:val="center"/>
        <w:rPr>
          <w:rFonts w:ascii="Arial" w:hAnsi="Arial" w:cs="Arial"/>
          <w:sz w:val="24"/>
          <w:szCs w:val="24"/>
        </w:rPr>
      </w:pPr>
      <w:r>
        <w:rPr>
          <w:rFonts w:ascii="Arial" w:hAnsi="Arial" w:cs="Arial"/>
          <w:sz w:val="24"/>
          <w:szCs w:val="24"/>
        </w:rPr>
        <w:t>Module Code: BMBM6016                  Module: Strategic Marketing</w:t>
      </w:r>
    </w:p>
    <w:p w14:paraId="519BF50B" w14:textId="77777777" w:rsidR="008A4EBC" w:rsidRDefault="008A4EBC" w:rsidP="008A4EBC">
      <w:pPr>
        <w:spacing w:line="360" w:lineRule="auto"/>
        <w:jc w:val="center"/>
        <w:rPr>
          <w:rFonts w:ascii="Arial" w:hAnsi="Arial" w:cs="Arial" w:hint="eastAsia"/>
          <w:bCs/>
          <w:sz w:val="24"/>
          <w:szCs w:val="24"/>
        </w:rPr>
      </w:pPr>
    </w:p>
    <w:p w14:paraId="67148C5F" w14:textId="77777777" w:rsidR="008A4EBC" w:rsidRDefault="008A4EBC" w:rsidP="008A4EBC">
      <w:pPr>
        <w:spacing w:line="360" w:lineRule="auto"/>
        <w:jc w:val="center"/>
        <w:rPr>
          <w:rFonts w:ascii="Arial" w:hAnsi="Arial" w:cs="Arial"/>
          <w:bCs/>
          <w:sz w:val="24"/>
          <w:szCs w:val="24"/>
        </w:rPr>
      </w:pPr>
    </w:p>
    <w:p w14:paraId="1A5A0F80" w14:textId="77777777" w:rsidR="008A4EBC" w:rsidRDefault="008A4EBC" w:rsidP="008A4EBC">
      <w:pPr>
        <w:spacing w:line="360" w:lineRule="auto"/>
        <w:jc w:val="center"/>
        <w:rPr>
          <w:rFonts w:ascii="Arial" w:hAnsi="Arial" w:cs="Arial"/>
          <w:bCs/>
          <w:sz w:val="24"/>
          <w:szCs w:val="24"/>
        </w:rPr>
      </w:pPr>
    </w:p>
    <w:p w14:paraId="0C116610" w14:textId="77777777" w:rsidR="008A4EBC" w:rsidRDefault="008A4EBC" w:rsidP="008A4EBC">
      <w:pPr>
        <w:spacing w:line="360" w:lineRule="auto"/>
        <w:jc w:val="center"/>
        <w:rPr>
          <w:rFonts w:ascii="Arial" w:hAnsi="Arial" w:cs="Arial"/>
          <w:bCs/>
          <w:sz w:val="24"/>
          <w:szCs w:val="24"/>
        </w:rPr>
      </w:pPr>
    </w:p>
    <w:p w14:paraId="12852F02" w14:textId="77777777" w:rsidR="008A4EBC" w:rsidRDefault="008A4EBC" w:rsidP="008A4EBC">
      <w:pPr>
        <w:spacing w:line="360" w:lineRule="auto"/>
        <w:jc w:val="center"/>
        <w:rPr>
          <w:rFonts w:ascii="Arial" w:hAnsi="Arial" w:cs="Arial"/>
          <w:bCs/>
          <w:sz w:val="24"/>
          <w:szCs w:val="24"/>
        </w:rPr>
      </w:pPr>
    </w:p>
    <w:p w14:paraId="1A69263D" w14:textId="77777777" w:rsidR="008A4EBC" w:rsidRDefault="008A4EBC" w:rsidP="008A4EBC">
      <w:pPr>
        <w:spacing w:line="360" w:lineRule="auto"/>
        <w:jc w:val="center"/>
        <w:rPr>
          <w:rFonts w:ascii="Arial" w:hAnsi="Arial" w:cs="Arial"/>
          <w:bCs/>
          <w:sz w:val="24"/>
          <w:szCs w:val="24"/>
        </w:rPr>
      </w:pPr>
    </w:p>
    <w:p w14:paraId="4EECA2B7" w14:textId="77777777" w:rsidR="008A4EBC" w:rsidRDefault="008A4EBC" w:rsidP="008A4EBC">
      <w:pPr>
        <w:spacing w:line="360" w:lineRule="auto"/>
        <w:jc w:val="center"/>
        <w:rPr>
          <w:rFonts w:ascii="Arial" w:hAnsi="Arial" w:cs="Arial"/>
          <w:bCs/>
          <w:sz w:val="24"/>
          <w:szCs w:val="24"/>
        </w:rPr>
      </w:pPr>
    </w:p>
    <w:p w14:paraId="6AEC97E0" w14:textId="7B4EDF4C" w:rsidR="008A4EBC" w:rsidRDefault="00DD5D49" w:rsidP="006C1D03">
      <w:pPr>
        <w:spacing w:line="360" w:lineRule="auto"/>
        <w:jc w:val="center"/>
        <w:rPr>
          <w:rFonts w:ascii="Arial" w:hAnsi="Arial" w:cs="Arial" w:hint="eastAsia"/>
          <w:bCs/>
          <w:sz w:val="24"/>
          <w:szCs w:val="24"/>
        </w:rPr>
      </w:pPr>
      <w:r w:rsidRPr="00DD5D49">
        <w:rPr>
          <w:rFonts w:ascii="Arial" w:hAnsi="Arial" w:cs="Arial"/>
          <w:b/>
          <w:sz w:val="48"/>
          <w:szCs w:val="48"/>
        </w:rPr>
        <w:t>Strategic Marketing Plan for Greggs</w:t>
      </w:r>
      <w:r>
        <w:rPr>
          <w:rFonts w:ascii="Arial" w:hAnsi="Arial" w:cs="Arial"/>
          <w:bCs/>
          <w:noProof/>
          <w:sz w:val="24"/>
          <w:szCs w:val="24"/>
          <w14:ligatures w14:val="standardContextual"/>
        </w:rPr>
        <w:t xml:space="preserve"> </w:t>
      </w:r>
      <w:r w:rsidR="008A4EBC">
        <w:rPr>
          <w:rFonts w:ascii="Arial" w:hAnsi="Arial" w:cs="Arial"/>
          <w:bCs/>
          <w:noProof/>
          <w:sz w:val="24"/>
          <w:szCs w:val="24"/>
          <w14:ligatures w14:val="standardContextual"/>
        </w:rPr>
        <w:drawing>
          <wp:inline distT="0" distB="0" distL="0" distR="0" wp14:anchorId="1B630A5A" wp14:editId="4190EDD2">
            <wp:extent cx="4174729" cy="1273629"/>
            <wp:effectExtent l="0" t="0" r="3810" b="0"/>
            <wp:docPr id="1569818612" name="图片 1" descr="徽标&#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818612" name="图片 1" descr="徽标&#10;&#10;AI 生成的内容可能不正确。"/>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84043" cy="1337487"/>
                    </a:xfrm>
                    <a:prstGeom prst="rect">
                      <a:avLst/>
                    </a:prstGeom>
                  </pic:spPr>
                </pic:pic>
              </a:graphicData>
            </a:graphic>
          </wp:inline>
        </w:drawing>
      </w:r>
    </w:p>
    <w:p w14:paraId="118B4E76" w14:textId="77777777" w:rsidR="008A4EBC" w:rsidRDefault="008A4EBC" w:rsidP="008A4EBC">
      <w:pPr>
        <w:spacing w:line="360" w:lineRule="auto"/>
        <w:jc w:val="center"/>
        <w:rPr>
          <w:rFonts w:ascii="Arial" w:hAnsi="Arial" w:cs="Arial"/>
          <w:bCs/>
          <w:sz w:val="24"/>
          <w:szCs w:val="24"/>
        </w:rPr>
      </w:pPr>
    </w:p>
    <w:p w14:paraId="284DAF81" w14:textId="77777777" w:rsidR="008A4EBC" w:rsidRDefault="008A4EBC" w:rsidP="008A4EBC">
      <w:pPr>
        <w:spacing w:line="360" w:lineRule="auto"/>
        <w:jc w:val="center"/>
        <w:rPr>
          <w:rFonts w:ascii="Arial" w:hAnsi="Arial" w:cs="Arial"/>
          <w:bCs/>
          <w:sz w:val="24"/>
          <w:szCs w:val="24"/>
        </w:rPr>
      </w:pPr>
    </w:p>
    <w:p w14:paraId="4752A8E7" w14:textId="77777777" w:rsidR="008A4EBC" w:rsidRDefault="008A4EBC" w:rsidP="008A4EBC">
      <w:pPr>
        <w:spacing w:line="360" w:lineRule="auto"/>
        <w:jc w:val="center"/>
        <w:rPr>
          <w:rFonts w:ascii="Arial" w:hAnsi="Arial" w:cs="Arial"/>
          <w:bCs/>
          <w:sz w:val="24"/>
          <w:szCs w:val="24"/>
        </w:rPr>
      </w:pPr>
    </w:p>
    <w:p w14:paraId="492672DE" w14:textId="77777777" w:rsidR="008A4EBC" w:rsidRDefault="008A4EBC" w:rsidP="008A4EBC">
      <w:pPr>
        <w:spacing w:line="360" w:lineRule="auto"/>
        <w:jc w:val="center"/>
        <w:rPr>
          <w:rFonts w:ascii="Arial" w:hAnsi="Arial" w:cs="Arial"/>
          <w:bCs/>
          <w:sz w:val="24"/>
          <w:szCs w:val="24"/>
        </w:rPr>
      </w:pPr>
    </w:p>
    <w:p w14:paraId="63119D64" w14:textId="77777777" w:rsidR="008A4EBC" w:rsidRDefault="008A4EBC" w:rsidP="008A4EBC">
      <w:pPr>
        <w:spacing w:line="360" w:lineRule="auto"/>
        <w:jc w:val="center"/>
        <w:rPr>
          <w:rFonts w:ascii="Arial" w:hAnsi="Arial" w:cs="Arial"/>
          <w:bCs/>
          <w:sz w:val="24"/>
          <w:szCs w:val="24"/>
        </w:rPr>
      </w:pPr>
    </w:p>
    <w:p w14:paraId="35CFF100" w14:textId="77777777" w:rsidR="008A4EBC" w:rsidRDefault="008A4EBC" w:rsidP="008A4EBC">
      <w:pPr>
        <w:spacing w:line="360" w:lineRule="auto"/>
        <w:jc w:val="center"/>
        <w:rPr>
          <w:rFonts w:ascii="Arial" w:hAnsi="Arial" w:cs="Arial"/>
          <w:bCs/>
          <w:sz w:val="24"/>
          <w:szCs w:val="24"/>
        </w:rPr>
      </w:pPr>
    </w:p>
    <w:p w14:paraId="63F2C154" w14:textId="77777777" w:rsidR="00CC6491" w:rsidRPr="00CC6491" w:rsidRDefault="00CC6491" w:rsidP="008A4EBC">
      <w:pPr>
        <w:spacing w:line="360" w:lineRule="auto"/>
        <w:jc w:val="center"/>
        <w:rPr>
          <w:rFonts w:ascii="Arial" w:hAnsi="Arial" w:cs="Arial" w:hint="eastAsia"/>
          <w:bCs/>
          <w:sz w:val="24"/>
          <w:szCs w:val="24"/>
        </w:rPr>
      </w:pPr>
    </w:p>
    <w:p w14:paraId="055D6784" w14:textId="77777777" w:rsidR="008A4EBC" w:rsidRDefault="008A4EBC" w:rsidP="008A4EBC">
      <w:pPr>
        <w:spacing w:line="360" w:lineRule="auto"/>
        <w:jc w:val="center"/>
        <w:rPr>
          <w:rFonts w:ascii="Arial" w:hAnsi="Arial" w:cs="Arial"/>
          <w:bCs/>
          <w:sz w:val="24"/>
          <w:szCs w:val="24"/>
        </w:rPr>
      </w:pPr>
      <w:r>
        <w:rPr>
          <w:rFonts w:ascii="Arial" w:hAnsi="Arial" w:cs="Arial"/>
          <w:bCs/>
          <w:sz w:val="24"/>
          <w:szCs w:val="24"/>
        </w:rPr>
        <w:t>Student Name</w:t>
      </w:r>
      <w:r>
        <w:rPr>
          <w:rFonts w:ascii="Arial" w:hAnsi="Arial" w:cs="Arial" w:hint="eastAsia"/>
          <w:bCs/>
          <w:sz w:val="24"/>
          <w:szCs w:val="24"/>
        </w:rPr>
        <w:t>：</w:t>
      </w:r>
      <w:r>
        <w:rPr>
          <w:rFonts w:ascii="Arial" w:hAnsi="Arial" w:cs="Arial"/>
          <w:bCs/>
          <w:sz w:val="24"/>
          <w:szCs w:val="24"/>
        </w:rPr>
        <w:t>Jinqi Sha</w:t>
      </w:r>
    </w:p>
    <w:p w14:paraId="6B58F69C" w14:textId="77777777" w:rsidR="008A4EBC" w:rsidRDefault="008A4EBC" w:rsidP="008A4EBC">
      <w:pPr>
        <w:spacing w:line="360" w:lineRule="auto"/>
        <w:jc w:val="center"/>
        <w:rPr>
          <w:rFonts w:ascii="Arial" w:hAnsi="Arial" w:cs="Arial"/>
          <w:bCs/>
          <w:sz w:val="24"/>
          <w:szCs w:val="24"/>
        </w:rPr>
      </w:pPr>
      <w:r>
        <w:rPr>
          <w:rFonts w:ascii="Arial" w:hAnsi="Arial" w:cs="Arial"/>
          <w:bCs/>
          <w:sz w:val="24"/>
          <w:szCs w:val="24"/>
        </w:rPr>
        <w:t>Student ID Number</w:t>
      </w:r>
      <w:r>
        <w:rPr>
          <w:rFonts w:ascii="Arial" w:hAnsi="Arial" w:cs="Arial" w:hint="eastAsia"/>
          <w:bCs/>
          <w:sz w:val="24"/>
          <w:szCs w:val="24"/>
        </w:rPr>
        <w:t>：</w:t>
      </w:r>
      <w:r>
        <w:rPr>
          <w:rFonts w:ascii="Arial" w:hAnsi="Arial" w:cs="Arial"/>
          <w:bCs/>
          <w:sz w:val="24"/>
          <w:szCs w:val="24"/>
        </w:rPr>
        <w:t>2502887</w:t>
      </w:r>
    </w:p>
    <w:p w14:paraId="4EF9BFB3" w14:textId="77777777" w:rsidR="008A4EBC" w:rsidRDefault="008A4EBC" w:rsidP="008A4EBC">
      <w:pPr>
        <w:spacing w:line="360" w:lineRule="auto"/>
        <w:jc w:val="center"/>
        <w:rPr>
          <w:rFonts w:ascii="Arial" w:hAnsi="Arial" w:cs="Arial"/>
          <w:bCs/>
          <w:sz w:val="24"/>
          <w:szCs w:val="24"/>
        </w:rPr>
      </w:pPr>
      <w:r>
        <w:rPr>
          <w:rFonts w:ascii="Arial" w:hAnsi="Arial" w:cs="Arial"/>
          <w:bCs/>
          <w:sz w:val="24"/>
          <w:szCs w:val="24"/>
        </w:rPr>
        <w:t>Programme</w:t>
      </w:r>
      <w:r>
        <w:rPr>
          <w:rFonts w:ascii="Arial" w:hAnsi="Arial" w:cs="Arial" w:hint="eastAsia"/>
          <w:bCs/>
          <w:sz w:val="24"/>
          <w:szCs w:val="24"/>
        </w:rPr>
        <w:t>：</w:t>
      </w:r>
      <w:r>
        <w:rPr>
          <w:rFonts w:ascii="Arial" w:hAnsi="Arial" w:cs="Arial"/>
          <w:bCs/>
          <w:sz w:val="24"/>
          <w:szCs w:val="24"/>
        </w:rPr>
        <w:t>Strategic Marketing</w:t>
      </w:r>
    </w:p>
    <w:p w14:paraId="5E3C079F" w14:textId="77777777" w:rsidR="008A4EBC" w:rsidRDefault="008A4EBC" w:rsidP="008A4EBC">
      <w:pPr>
        <w:spacing w:line="360" w:lineRule="auto"/>
        <w:jc w:val="center"/>
        <w:rPr>
          <w:rFonts w:ascii="Arial" w:hAnsi="Arial" w:cs="Arial"/>
          <w:bCs/>
          <w:sz w:val="24"/>
          <w:szCs w:val="24"/>
        </w:rPr>
      </w:pPr>
      <w:r>
        <w:rPr>
          <w:rFonts w:ascii="Arial" w:hAnsi="Arial" w:cs="Arial"/>
          <w:bCs/>
          <w:sz w:val="24"/>
          <w:szCs w:val="24"/>
        </w:rPr>
        <w:t>Lecturer Name</w:t>
      </w:r>
      <w:r>
        <w:rPr>
          <w:rFonts w:ascii="Arial" w:hAnsi="Arial" w:cs="Arial" w:hint="eastAsia"/>
          <w:bCs/>
          <w:sz w:val="24"/>
          <w:szCs w:val="24"/>
        </w:rPr>
        <w:t>：</w:t>
      </w:r>
      <w:r>
        <w:rPr>
          <w:rFonts w:ascii="Arial" w:hAnsi="Arial" w:cs="Arial"/>
          <w:bCs/>
          <w:sz w:val="24"/>
          <w:szCs w:val="24"/>
        </w:rPr>
        <w:t>Gwyneth Jones</w:t>
      </w:r>
    </w:p>
    <w:p w14:paraId="3FFD578C" w14:textId="4F54C668" w:rsidR="008A4EBC" w:rsidRPr="00023FE7" w:rsidRDefault="008A4EBC" w:rsidP="008A4EBC">
      <w:pPr>
        <w:spacing w:line="360" w:lineRule="auto"/>
        <w:jc w:val="center"/>
        <w:rPr>
          <w:rFonts w:ascii="Arial" w:hAnsi="Arial" w:cs="Arial" w:hint="eastAsia"/>
          <w:bCs/>
          <w:sz w:val="24"/>
          <w:szCs w:val="24"/>
          <w:lang w:val="en-US"/>
        </w:rPr>
      </w:pPr>
      <w:r>
        <w:rPr>
          <w:rFonts w:ascii="Arial" w:hAnsi="Arial" w:cs="Arial"/>
          <w:bCs/>
          <w:sz w:val="24"/>
          <w:szCs w:val="24"/>
        </w:rPr>
        <w:t>Submission Deadline</w:t>
      </w:r>
      <w:r>
        <w:rPr>
          <w:rFonts w:ascii="Arial" w:hAnsi="Arial" w:cs="Arial" w:hint="eastAsia"/>
          <w:bCs/>
          <w:sz w:val="24"/>
          <w:szCs w:val="24"/>
        </w:rPr>
        <w:t>：</w:t>
      </w:r>
      <w:r w:rsidR="00551D8F">
        <w:rPr>
          <w:rFonts w:ascii="Arial" w:hAnsi="Arial" w:cs="Arial"/>
          <w:bCs/>
          <w:sz w:val="24"/>
          <w:szCs w:val="24"/>
        </w:rPr>
        <w:t>11</w:t>
      </w:r>
      <w:r>
        <w:rPr>
          <w:rFonts w:ascii="Arial" w:hAnsi="Arial" w:cs="Arial"/>
          <w:bCs/>
          <w:sz w:val="24"/>
          <w:szCs w:val="24"/>
        </w:rPr>
        <w:t>/0</w:t>
      </w:r>
      <w:r w:rsidR="00551D8F">
        <w:rPr>
          <w:rFonts w:ascii="Arial" w:hAnsi="Arial" w:cs="Arial"/>
          <w:bCs/>
          <w:sz w:val="24"/>
          <w:szCs w:val="24"/>
        </w:rPr>
        <w:t>5</w:t>
      </w:r>
      <w:r>
        <w:rPr>
          <w:rFonts w:ascii="Arial" w:hAnsi="Arial" w:cs="Arial"/>
          <w:bCs/>
          <w:sz w:val="24"/>
          <w:szCs w:val="24"/>
        </w:rPr>
        <w:t>/2026</w:t>
      </w:r>
    </w:p>
    <w:p w14:paraId="3AC5F2BA" w14:textId="77777777" w:rsidR="00023FE7" w:rsidRPr="00CC6491" w:rsidRDefault="00023FE7" w:rsidP="006E27A3">
      <w:pPr>
        <w:spacing w:line="360" w:lineRule="auto"/>
        <w:rPr>
          <w:rFonts w:ascii="Arial" w:hAnsi="Arial" w:cs="Arial"/>
          <w:b/>
          <w:bCs/>
          <w:sz w:val="28"/>
          <w:szCs w:val="28"/>
          <w:lang w:val="en-US"/>
        </w:rPr>
      </w:pPr>
      <w:r w:rsidRPr="00CC6491">
        <w:rPr>
          <w:rFonts w:ascii="Arial" w:hAnsi="Arial" w:cs="Arial"/>
          <w:b/>
          <w:bCs/>
          <w:sz w:val="28"/>
          <w:szCs w:val="28"/>
          <w:lang w:val="en-US"/>
        </w:rPr>
        <w:lastRenderedPageBreak/>
        <w:t xml:space="preserve">Abstract </w:t>
      </w:r>
    </w:p>
    <w:p w14:paraId="7A76EEB2" w14:textId="35B31335" w:rsidR="006E27A3" w:rsidRDefault="00AD2F90" w:rsidP="006E27A3">
      <w:pPr>
        <w:spacing w:line="360" w:lineRule="auto"/>
        <w:rPr>
          <w:rFonts w:ascii="Arial" w:hAnsi="Arial" w:cs="Arial"/>
          <w:lang w:val="en-US"/>
        </w:rPr>
      </w:pPr>
      <w:r w:rsidRPr="00AD2F90">
        <w:rPr>
          <w:rFonts w:ascii="Arial" w:hAnsi="Arial" w:cs="Arial"/>
          <w:lang w:val="en-US"/>
        </w:rPr>
        <w:t>This marketing plan is designed to meet Greggs' strategic requirements. It aims to enhance its long-term competitiveness by meeting the growing demand of consumers for healthier food options, while maintaining its core positioning of low cost and convenience. Based on a comprehensive analysis conducted using PESTEL, Porter's Five Forces Model, VRIN, and SWOT frameworks. Greggs has limited range of healthy products, leading customers to shift to competitors that focus on health. To address this threat and fully leverage Greggs' advantages, this plan sets clear and measurable marketing goals. According to the SOSTAC guideline, this strategy adopts a focused differentiation approach and product development direction. The target customer groups include price-sensitive daily consumers, office commuters, and mainstream families seeking affordable, convenient, and healthier fast food. This includes launching the "Healthy Choices" product line, targeted marketing, employee training, and clear nutritional labels, which help Greggs seize growth opportunities while maintaining its convenience and operational efficiency.</w:t>
      </w:r>
    </w:p>
    <w:p w14:paraId="63560EE5" w14:textId="77777777" w:rsidR="006E27A3" w:rsidRDefault="006E27A3" w:rsidP="006E27A3">
      <w:pPr>
        <w:spacing w:line="360" w:lineRule="auto"/>
        <w:rPr>
          <w:rFonts w:ascii="Arial" w:hAnsi="Arial" w:cs="Arial"/>
          <w:lang w:val="en-US"/>
        </w:rPr>
      </w:pPr>
    </w:p>
    <w:p w14:paraId="791CCC2A" w14:textId="77777777" w:rsidR="006E27A3" w:rsidRDefault="006E27A3" w:rsidP="006E27A3">
      <w:pPr>
        <w:spacing w:line="360" w:lineRule="auto"/>
        <w:rPr>
          <w:rFonts w:ascii="Arial" w:hAnsi="Arial" w:cs="Arial"/>
          <w:lang w:val="en-US"/>
        </w:rPr>
      </w:pPr>
    </w:p>
    <w:p w14:paraId="5A530471" w14:textId="77777777" w:rsidR="006E27A3" w:rsidRDefault="006E27A3" w:rsidP="006E27A3">
      <w:pPr>
        <w:spacing w:line="360" w:lineRule="auto"/>
        <w:rPr>
          <w:rFonts w:ascii="Arial" w:hAnsi="Arial" w:cs="Arial"/>
          <w:lang w:val="en-US"/>
        </w:rPr>
      </w:pPr>
    </w:p>
    <w:p w14:paraId="1664B3DE" w14:textId="77777777" w:rsidR="006E27A3" w:rsidRDefault="006E27A3" w:rsidP="006E27A3">
      <w:pPr>
        <w:spacing w:line="360" w:lineRule="auto"/>
        <w:rPr>
          <w:rFonts w:ascii="Arial" w:hAnsi="Arial" w:cs="Arial"/>
          <w:lang w:val="en-US"/>
        </w:rPr>
      </w:pPr>
    </w:p>
    <w:p w14:paraId="49560E94" w14:textId="77777777" w:rsidR="006E27A3" w:rsidRDefault="006E27A3" w:rsidP="006E27A3">
      <w:pPr>
        <w:spacing w:line="360" w:lineRule="auto"/>
        <w:rPr>
          <w:rFonts w:ascii="Arial" w:hAnsi="Arial" w:cs="Arial"/>
          <w:lang w:val="en-US"/>
        </w:rPr>
      </w:pPr>
    </w:p>
    <w:p w14:paraId="3A5E2301" w14:textId="77777777" w:rsidR="006E27A3" w:rsidRDefault="006E27A3" w:rsidP="006E27A3">
      <w:pPr>
        <w:spacing w:line="360" w:lineRule="auto"/>
        <w:rPr>
          <w:rFonts w:ascii="Arial" w:hAnsi="Arial" w:cs="Arial"/>
          <w:lang w:val="en-US"/>
        </w:rPr>
      </w:pPr>
    </w:p>
    <w:p w14:paraId="4DE173D0" w14:textId="77777777" w:rsidR="006E27A3" w:rsidRDefault="006E27A3" w:rsidP="006E27A3">
      <w:pPr>
        <w:spacing w:line="360" w:lineRule="auto"/>
        <w:rPr>
          <w:rFonts w:ascii="Arial" w:hAnsi="Arial" w:cs="Arial"/>
          <w:lang w:val="en-US"/>
        </w:rPr>
      </w:pPr>
    </w:p>
    <w:p w14:paraId="6707857E" w14:textId="77777777" w:rsidR="006E27A3" w:rsidRDefault="006E27A3" w:rsidP="006E27A3">
      <w:pPr>
        <w:spacing w:line="360" w:lineRule="auto"/>
        <w:rPr>
          <w:rFonts w:ascii="Arial" w:hAnsi="Arial" w:cs="Arial"/>
          <w:lang w:val="en-US"/>
        </w:rPr>
      </w:pPr>
    </w:p>
    <w:p w14:paraId="5E1A546E" w14:textId="77777777" w:rsidR="006E27A3" w:rsidRDefault="006E27A3" w:rsidP="006E27A3">
      <w:pPr>
        <w:spacing w:line="360" w:lineRule="auto"/>
        <w:rPr>
          <w:rFonts w:ascii="Arial" w:hAnsi="Arial" w:cs="Arial"/>
          <w:lang w:val="en-US"/>
        </w:rPr>
      </w:pPr>
    </w:p>
    <w:p w14:paraId="5193D771" w14:textId="77777777" w:rsidR="006E27A3" w:rsidRDefault="006E27A3" w:rsidP="006E27A3">
      <w:pPr>
        <w:spacing w:line="360" w:lineRule="auto"/>
        <w:rPr>
          <w:rFonts w:ascii="Arial" w:hAnsi="Arial" w:cs="Arial"/>
          <w:lang w:val="en-US"/>
        </w:rPr>
      </w:pPr>
    </w:p>
    <w:p w14:paraId="7C8DD2DA" w14:textId="77777777" w:rsidR="006E27A3" w:rsidRDefault="006E27A3" w:rsidP="006E27A3">
      <w:pPr>
        <w:spacing w:line="360" w:lineRule="auto"/>
        <w:rPr>
          <w:rFonts w:ascii="Arial" w:hAnsi="Arial" w:cs="Arial"/>
          <w:lang w:val="en-US"/>
        </w:rPr>
      </w:pPr>
    </w:p>
    <w:p w14:paraId="6C516011" w14:textId="77777777" w:rsidR="006E27A3" w:rsidRDefault="006E27A3" w:rsidP="006E27A3">
      <w:pPr>
        <w:spacing w:line="360" w:lineRule="auto"/>
        <w:rPr>
          <w:rFonts w:ascii="Arial" w:hAnsi="Arial" w:cs="Arial"/>
          <w:lang w:val="en-US"/>
        </w:rPr>
      </w:pPr>
    </w:p>
    <w:p w14:paraId="798DAD9D" w14:textId="77777777" w:rsidR="006E27A3" w:rsidRDefault="006E27A3" w:rsidP="006E27A3">
      <w:pPr>
        <w:spacing w:line="360" w:lineRule="auto"/>
        <w:rPr>
          <w:rFonts w:ascii="Arial" w:hAnsi="Arial" w:cs="Arial"/>
          <w:lang w:val="en-US"/>
        </w:rPr>
      </w:pPr>
    </w:p>
    <w:p w14:paraId="7C109BB9" w14:textId="77777777" w:rsidR="006E27A3" w:rsidRDefault="006E27A3" w:rsidP="006E27A3">
      <w:pPr>
        <w:spacing w:line="360" w:lineRule="auto"/>
        <w:rPr>
          <w:rFonts w:ascii="Arial" w:hAnsi="Arial" w:cs="Arial"/>
          <w:lang w:val="en-US"/>
        </w:rPr>
      </w:pPr>
    </w:p>
    <w:p w14:paraId="69A4F616" w14:textId="77777777" w:rsidR="006E27A3" w:rsidRDefault="006E27A3" w:rsidP="006E27A3">
      <w:pPr>
        <w:spacing w:line="360" w:lineRule="auto"/>
        <w:rPr>
          <w:rFonts w:ascii="Arial" w:hAnsi="Arial" w:cs="Arial" w:hint="eastAsia"/>
          <w:lang w:val="en-US"/>
        </w:rPr>
      </w:pPr>
    </w:p>
    <w:p w14:paraId="7F3A47D1" w14:textId="15F8F014" w:rsidR="006E27A3" w:rsidRPr="00CC6491" w:rsidRDefault="00791BF3" w:rsidP="00CC6491">
      <w:pPr>
        <w:spacing w:line="360" w:lineRule="auto"/>
        <w:jc w:val="center"/>
        <w:rPr>
          <w:rFonts w:ascii="Arial" w:hAnsi="Arial" w:cs="Arial"/>
          <w:b/>
          <w:bCs/>
          <w:sz w:val="28"/>
          <w:szCs w:val="28"/>
          <w:lang w:val="en-US"/>
        </w:rPr>
      </w:pPr>
      <w:r w:rsidRPr="00CC6491">
        <w:rPr>
          <w:rFonts w:ascii="Arial" w:hAnsi="Arial" w:cs="Arial" w:hint="eastAsia"/>
          <w:b/>
          <w:bCs/>
          <w:sz w:val="28"/>
          <w:szCs w:val="28"/>
          <w:lang w:val="en-US"/>
        </w:rPr>
        <w:lastRenderedPageBreak/>
        <w:t>Content</w:t>
      </w:r>
    </w:p>
    <w:p w14:paraId="7BA200C9" w14:textId="77777777" w:rsidR="00791BF3" w:rsidRDefault="00791BF3" w:rsidP="006E27A3">
      <w:pPr>
        <w:spacing w:line="360" w:lineRule="auto"/>
        <w:rPr>
          <w:rFonts w:ascii="Arial" w:hAnsi="Arial" w:cs="Arial" w:hint="eastAsia"/>
          <w:lang w:val="en-US"/>
        </w:rPr>
      </w:pPr>
    </w:p>
    <w:p w14:paraId="56FDAFD9" w14:textId="075AD771" w:rsidR="00023FE7" w:rsidRPr="00023FE7" w:rsidRDefault="00023FE7" w:rsidP="00C55E77">
      <w:pPr>
        <w:tabs>
          <w:tab w:val="right" w:leader="middleDot" w:pos="7980"/>
        </w:tabs>
        <w:spacing w:line="360" w:lineRule="auto"/>
        <w:rPr>
          <w:rFonts w:ascii="Arial" w:hAnsi="Arial" w:cs="Arial" w:hint="eastAsia"/>
          <w:lang w:val="en-US"/>
        </w:rPr>
      </w:pPr>
      <w:r w:rsidRPr="00023FE7">
        <w:rPr>
          <w:rFonts w:ascii="Arial" w:hAnsi="Arial" w:cs="Arial"/>
          <w:lang w:val="en-US"/>
        </w:rPr>
        <w:t>1.0 Introduction</w:t>
      </w:r>
      <w:r w:rsidR="00C55E77">
        <w:rPr>
          <w:rFonts w:ascii="Arial" w:hAnsi="Arial" w:cs="Arial"/>
          <w:lang w:val="en-US"/>
        </w:rPr>
        <w:tab/>
      </w:r>
      <w:r w:rsidR="00C42C8F">
        <w:rPr>
          <w:rFonts w:ascii="Arial" w:hAnsi="Arial" w:cs="Arial" w:hint="eastAsia"/>
          <w:lang w:val="en-US"/>
        </w:rPr>
        <w:t>5</w:t>
      </w:r>
    </w:p>
    <w:p w14:paraId="5D4FEF59" w14:textId="4307C59E" w:rsidR="00023FE7" w:rsidRPr="00023FE7" w:rsidRDefault="00023FE7" w:rsidP="00C55E77">
      <w:pPr>
        <w:tabs>
          <w:tab w:val="right" w:leader="middleDot" w:pos="7980"/>
        </w:tabs>
        <w:spacing w:line="360" w:lineRule="auto"/>
        <w:rPr>
          <w:rFonts w:ascii="Arial" w:hAnsi="Arial" w:cs="Arial" w:hint="eastAsia"/>
          <w:lang w:val="en-US"/>
        </w:rPr>
      </w:pPr>
      <w:r w:rsidRPr="00023FE7">
        <w:rPr>
          <w:rFonts w:ascii="Arial" w:hAnsi="Arial" w:cs="Arial"/>
          <w:lang w:val="en-US"/>
        </w:rPr>
        <w:t>2.0 Situation Analysis</w:t>
      </w:r>
      <w:r w:rsidR="00C55E77">
        <w:rPr>
          <w:rFonts w:ascii="Arial" w:hAnsi="Arial" w:cs="Arial"/>
          <w:lang w:val="en-US"/>
        </w:rPr>
        <w:tab/>
      </w:r>
      <w:r w:rsidR="00C42C8F">
        <w:rPr>
          <w:rFonts w:ascii="Arial" w:hAnsi="Arial" w:cs="Arial" w:hint="eastAsia"/>
          <w:lang w:val="en-US"/>
        </w:rPr>
        <w:t>5</w:t>
      </w:r>
    </w:p>
    <w:p w14:paraId="5E9E092A" w14:textId="1C3527C0" w:rsidR="00023FE7" w:rsidRPr="00023FE7" w:rsidRDefault="00023FE7" w:rsidP="00C55E77">
      <w:pPr>
        <w:tabs>
          <w:tab w:val="right" w:leader="middleDot" w:pos="7980"/>
        </w:tabs>
        <w:spacing w:line="360" w:lineRule="auto"/>
        <w:ind w:firstLineChars="50" w:firstLine="105"/>
        <w:rPr>
          <w:rFonts w:ascii="Arial" w:hAnsi="Arial" w:cs="Arial" w:hint="eastAsia"/>
          <w:lang w:val="en-US"/>
        </w:rPr>
      </w:pPr>
      <w:r w:rsidRPr="00023FE7">
        <w:rPr>
          <w:rFonts w:ascii="Arial" w:hAnsi="Arial" w:cs="Arial"/>
          <w:lang w:val="en-US"/>
        </w:rPr>
        <w:t>2.1 External Environment</w:t>
      </w:r>
      <w:r w:rsidR="00C55E77">
        <w:rPr>
          <w:rFonts w:ascii="Arial" w:hAnsi="Arial" w:cs="Arial"/>
          <w:lang w:val="en-US"/>
        </w:rPr>
        <w:tab/>
      </w:r>
      <w:r w:rsidR="00C42C8F">
        <w:rPr>
          <w:rFonts w:ascii="Arial" w:hAnsi="Arial" w:cs="Arial" w:hint="eastAsia"/>
          <w:lang w:val="en-US"/>
        </w:rPr>
        <w:t>5</w:t>
      </w:r>
    </w:p>
    <w:p w14:paraId="6FD2764F" w14:textId="3E42B310" w:rsidR="00023FE7" w:rsidRPr="00023FE7" w:rsidRDefault="00023FE7" w:rsidP="00C55E77">
      <w:pPr>
        <w:tabs>
          <w:tab w:val="right" w:leader="middleDot" w:pos="7980"/>
        </w:tabs>
        <w:spacing w:line="360" w:lineRule="auto"/>
        <w:ind w:firstLineChars="50" w:firstLine="105"/>
        <w:rPr>
          <w:rFonts w:ascii="Arial" w:hAnsi="Arial" w:cs="Arial" w:hint="eastAsia"/>
          <w:lang w:val="en-US"/>
        </w:rPr>
      </w:pPr>
      <w:r w:rsidRPr="00023FE7">
        <w:rPr>
          <w:rFonts w:ascii="Arial" w:hAnsi="Arial" w:cs="Arial"/>
          <w:lang w:val="en-US"/>
        </w:rPr>
        <w:t>2.2 Industry Competitive Environment</w:t>
      </w:r>
      <w:r w:rsidR="00C55E77">
        <w:rPr>
          <w:rFonts w:ascii="Arial" w:hAnsi="Arial" w:cs="Arial"/>
          <w:lang w:val="en-US"/>
        </w:rPr>
        <w:tab/>
      </w:r>
      <w:r w:rsidR="00946505">
        <w:rPr>
          <w:rFonts w:ascii="Arial" w:hAnsi="Arial" w:cs="Arial" w:hint="eastAsia"/>
          <w:lang w:val="en-US"/>
        </w:rPr>
        <w:t>6</w:t>
      </w:r>
    </w:p>
    <w:p w14:paraId="78119DAC" w14:textId="1FDC3D23" w:rsidR="00023FE7" w:rsidRPr="00023FE7" w:rsidRDefault="00023FE7" w:rsidP="00C55E77">
      <w:pPr>
        <w:tabs>
          <w:tab w:val="right" w:leader="middleDot" w:pos="7980"/>
        </w:tabs>
        <w:spacing w:line="360" w:lineRule="auto"/>
        <w:ind w:firstLineChars="50" w:firstLine="105"/>
        <w:rPr>
          <w:rFonts w:ascii="Arial" w:hAnsi="Arial" w:cs="Arial" w:hint="eastAsia"/>
          <w:lang w:val="en-US"/>
        </w:rPr>
      </w:pPr>
      <w:r w:rsidRPr="00023FE7">
        <w:rPr>
          <w:rFonts w:ascii="Arial" w:hAnsi="Arial" w:cs="Arial"/>
          <w:lang w:val="en-US"/>
        </w:rPr>
        <w:t>2.3 Internal Capabilities</w:t>
      </w:r>
      <w:r w:rsidR="00C55E77">
        <w:rPr>
          <w:rFonts w:ascii="Arial" w:hAnsi="Arial" w:cs="Arial"/>
          <w:lang w:val="en-US"/>
        </w:rPr>
        <w:tab/>
      </w:r>
      <w:r w:rsidR="00946505">
        <w:rPr>
          <w:rFonts w:ascii="Arial" w:hAnsi="Arial" w:cs="Arial" w:hint="eastAsia"/>
          <w:lang w:val="en-US"/>
        </w:rPr>
        <w:t>6</w:t>
      </w:r>
    </w:p>
    <w:p w14:paraId="56DABBC1" w14:textId="5F2236C3" w:rsidR="00023FE7" w:rsidRPr="00023FE7" w:rsidRDefault="00023FE7" w:rsidP="00C55E77">
      <w:pPr>
        <w:tabs>
          <w:tab w:val="right" w:leader="middleDot" w:pos="7980"/>
        </w:tabs>
        <w:spacing w:line="360" w:lineRule="auto"/>
        <w:ind w:firstLineChars="50" w:firstLine="105"/>
        <w:rPr>
          <w:rFonts w:ascii="Arial" w:hAnsi="Arial" w:cs="Arial" w:hint="eastAsia"/>
          <w:lang w:val="en-US"/>
        </w:rPr>
      </w:pPr>
      <w:r w:rsidRPr="00023FE7">
        <w:rPr>
          <w:rFonts w:ascii="Arial" w:hAnsi="Arial" w:cs="Arial"/>
          <w:lang w:val="en-US"/>
        </w:rPr>
        <w:t>2.4 SWOT Summary &amp; Strategic Focus Area</w:t>
      </w:r>
      <w:r w:rsidR="00C55E77">
        <w:rPr>
          <w:rFonts w:ascii="Arial" w:hAnsi="Arial" w:cs="Arial"/>
          <w:lang w:val="en-US"/>
        </w:rPr>
        <w:tab/>
      </w:r>
      <w:r w:rsidR="00946505">
        <w:rPr>
          <w:rFonts w:ascii="Arial" w:hAnsi="Arial" w:cs="Arial" w:hint="eastAsia"/>
          <w:lang w:val="en-US"/>
        </w:rPr>
        <w:t>6</w:t>
      </w:r>
    </w:p>
    <w:p w14:paraId="2061C716" w14:textId="3E9BC8E2" w:rsidR="00023FE7" w:rsidRPr="00023FE7" w:rsidRDefault="00023FE7" w:rsidP="00C55E77">
      <w:pPr>
        <w:tabs>
          <w:tab w:val="right" w:leader="middleDot" w:pos="7980"/>
        </w:tabs>
        <w:spacing w:line="360" w:lineRule="auto"/>
        <w:rPr>
          <w:rFonts w:ascii="Arial" w:hAnsi="Arial" w:cs="Arial" w:hint="eastAsia"/>
          <w:lang w:val="en-US"/>
        </w:rPr>
      </w:pPr>
      <w:r w:rsidRPr="00023FE7">
        <w:rPr>
          <w:rFonts w:ascii="Arial" w:hAnsi="Arial" w:cs="Arial"/>
          <w:lang w:val="en-US"/>
        </w:rPr>
        <w:t>3.0 Marketing Objectives</w:t>
      </w:r>
      <w:r w:rsidR="00C55E77">
        <w:rPr>
          <w:rFonts w:ascii="Arial" w:hAnsi="Arial" w:cs="Arial"/>
          <w:lang w:val="en-US"/>
        </w:rPr>
        <w:tab/>
      </w:r>
      <w:r w:rsidR="00946505">
        <w:rPr>
          <w:rFonts w:ascii="Arial" w:hAnsi="Arial" w:cs="Arial" w:hint="eastAsia"/>
          <w:lang w:val="en-US"/>
        </w:rPr>
        <w:t>7</w:t>
      </w:r>
    </w:p>
    <w:p w14:paraId="621F6704" w14:textId="79764B1B" w:rsidR="00023FE7" w:rsidRPr="00023FE7" w:rsidRDefault="00023FE7" w:rsidP="00C55E77">
      <w:pPr>
        <w:tabs>
          <w:tab w:val="right" w:leader="middleDot" w:pos="7980"/>
        </w:tabs>
        <w:spacing w:line="360" w:lineRule="auto"/>
        <w:ind w:firstLineChars="50" w:firstLine="105"/>
        <w:rPr>
          <w:rFonts w:ascii="Arial" w:hAnsi="Arial" w:cs="Arial" w:hint="eastAsia"/>
          <w:lang w:val="en-US"/>
        </w:rPr>
      </w:pPr>
      <w:r w:rsidRPr="00023FE7">
        <w:rPr>
          <w:rFonts w:ascii="Arial" w:hAnsi="Arial" w:cs="Arial"/>
          <w:lang w:val="en-US"/>
        </w:rPr>
        <w:t>3.1 SMART Objectives</w:t>
      </w:r>
      <w:r w:rsidR="00C55E77">
        <w:rPr>
          <w:rFonts w:ascii="Arial" w:hAnsi="Arial" w:cs="Arial"/>
          <w:lang w:val="en-US"/>
        </w:rPr>
        <w:tab/>
      </w:r>
      <w:r w:rsidR="00946505">
        <w:rPr>
          <w:rFonts w:ascii="Arial" w:hAnsi="Arial" w:cs="Arial" w:hint="eastAsia"/>
          <w:lang w:val="en-US"/>
        </w:rPr>
        <w:t>7</w:t>
      </w:r>
    </w:p>
    <w:p w14:paraId="69BFDDFD" w14:textId="4A2C562D" w:rsidR="00023FE7" w:rsidRPr="00023FE7" w:rsidRDefault="00023FE7" w:rsidP="00C55E77">
      <w:pPr>
        <w:tabs>
          <w:tab w:val="right" w:leader="middleDot" w:pos="7980"/>
        </w:tabs>
        <w:spacing w:line="360" w:lineRule="auto"/>
        <w:ind w:firstLineChars="50" w:firstLine="105"/>
        <w:rPr>
          <w:rFonts w:ascii="Arial" w:hAnsi="Arial" w:cs="Arial" w:hint="eastAsia"/>
          <w:lang w:val="en-US"/>
        </w:rPr>
      </w:pPr>
      <w:r w:rsidRPr="00023FE7">
        <w:rPr>
          <w:rFonts w:ascii="Arial" w:hAnsi="Arial" w:cs="Arial"/>
          <w:lang w:val="en-US"/>
        </w:rPr>
        <w:t xml:space="preserve">3.2 Alignment with </w:t>
      </w:r>
      <w:r w:rsidR="006E27A3" w:rsidRPr="00023FE7">
        <w:rPr>
          <w:rFonts w:ascii="Arial" w:hAnsi="Arial" w:cs="Arial"/>
          <w:lang w:val="en-US"/>
        </w:rPr>
        <w:t>Organizational</w:t>
      </w:r>
      <w:r w:rsidRPr="00023FE7">
        <w:rPr>
          <w:rFonts w:ascii="Arial" w:hAnsi="Arial" w:cs="Arial"/>
          <w:lang w:val="en-US"/>
        </w:rPr>
        <w:t xml:space="preserve"> Goals</w:t>
      </w:r>
      <w:r w:rsidR="00C55E77">
        <w:rPr>
          <w:rFonts w:ascii="Arial" w:hAnsi="Arial" w:cs="Arial"/>
          <w:lang w:val="en-US"/>
        </w:rPr>
        <w:tab/>
      </w:r>
      <w:r w:rsidR="00946505">
        <w:rPr>
          <w:rFonts w:ascii="Arial" w:hAnsi="Arial" w:cs="Arial" w:hint="eastAsia"/>
          <w:lang w:val="en-US"/>
        </w:rPr>
        <w:t>7</w:t>
      </w:r>
    </w:p>
    <w:p w14:paraId="00B43570" w14:textId="21F2D07F" w:rsidR="00023FE7" w:rsidRPr="00023FE7" w:rsidRDefault="00023FE7" w:rsidP="00C55E77">
      <w:pPr>
        <w:tabs>
          <w:tab w:val="right" w:leader="middleDot" w:pos="7980"/>
        </w:tabs>
        <w:spacing w:line="360" w:lineRule="auto"/>
        <w:rPr>
          <w:rFonts w:ascii="Arial" w:hAnsi="Arial" w:cs="Arial" w:hint="eastAsia"/>
          <w:lang w:val="en-US"/>
        </w:rPr>
      </w:pPr>
      <w:r w:rsidRPr="00023FE7">
        <w:rPr>
          <w:rFonts w:ascii="Arial" w:hAnsi="Arial" w:cs="Arial"/>
          <w:lang w:val="en-US"/>
        </w:rPr>
        <w:t>4.0 Marketing Strategy</w:t>
      </w:r>
      <w:r w:rsidR="00C55E77">
        <w:rPr>
          <w:rFonts w:ascii="Arial" w:hAnsi="Arial" w:cs="Arial"/>
          <w:lang w:val="en-US"/>
        </w:rPr>
        <w:tab/>
      </w:r>
      <w:r w:rsidR="00946505">
        <w:rPr>
          <w:rFonts w:ascii="Arial" w:hAnsi="Arial" w:cs="Arial" w:hint="eastAsia"/>
          <w:lang w:val="en-US"/>
        </w:rPr>
        <w:t>7</w:t>
      </w:r>
    </w:p>
    <w:p w14:paraId="1C72CD33" w14:textId="7B354AEF" w:rsidR="00023FE7" w:rsidRPr="00023FE7" w:rsidRDefault="00023FE7" w:rsidP="00C55E77">
      <w:pPr>
        <w:tabs>
          <w:tab w:val="right" w:leader="middleDot" w:pos="7980"/>
        </w:tabs>
        <w:spacing w:line="360" w:lineRule="auto"/>
        <w:ind w:firstLineChars="50" w:firstLine="105"/>
        <w:rPr>
          <w:rFonts w:ascii="Arial" w:hAnsi="Arial" w:cs="Arial" w:hint="eastAsia"/>
          <w:lang w:val="en-US"/>
        </w:rPr>
      </w:pPr>
      <w:r w:rsidRPr="00023FE7">
        <w:rPr>
          <w:rFonts w:ascii="Arial" w:hAnsi="Arial" w:cs="Arial"/>
          <w:lang w:val="en-US"/>
        </w:rPr>
        <w:t>4.1 Segmentation, Targeting and Positioning (STP)</w:t>
      </w:r>
      <w:r w:rsidR="00C55E77">
        <w:rPr>
          <w:rFonts w:ascii="Arial" w:hAnsi="Arial" w:cs="Arial"/>
          <w:lang w:val="en-US"/>
        </w:rPr>
        <w:tab/>
      </w:r>
      <w:r w:rsidR="00946505">
        <w:rPr>
          <w:rFonts w:ascii="Arial" w:hAnsi="Arial" w:cs="Arial" w:hint="eastAsia"/>
          <w:lang w:val="en-US"/>
        </w:rPr>
        <w:t>7</w:t>
      </w:r>
    </w:p>
    <w:p w14:paraId="7B36EA40" w14:textId="4688B8DF" w:rsidR="00023FE7" w:rsidRPr="00023FE7" w:rsidRDefault="00023FE7" w:rsidP="00C55E77">
      <w:pPr>
        <w:tabs>
          <w:tab w:val="right" w:leader="middleDot" w:pos="7980"/>
        </w:tabs>
        <w:spacing w:line="360" w:lineRule="auto"/>
        <w:ind w:firstLineChars="50" w:firstLine="105"/>
        <w:rPr>
          <w:rFonts w:ascii="Arial" w:hAnsi="Arial" w:cs="Arial" w:hint="eastAsia"/>
          <w:lang w:val="en-US"/>
        </w:rPr>
      </w:pPr>
      <w:r w:rsidRPr="00023FE7">
        <w:rPr>
          <w:rFonts w:ascii="Arial" w:hAnsi="Arial" w:cs="Arial"/>
          <w:lang w:val="en-US"/>
        </w:rPr>
        <w:t>4.2 Competitive Strategy</w:t>
      </w:r>
      <w:r w:rsidR="00C55E77">
        <w:rPr>
          <w:rFonts w:ascii="Arial" w:hAnsi="Arial" w:cs="Arial"/>
          <w:lang w:val="en-US"/>
        </w:rPr>
        <w:tab/>
      </w:r>
      <w:r w:rsidR="00946505">
        <w:rPr>
          <w:rFonts w:ascii="Arial" w:hAnsi="Arial" w:cs="Arial" w:hint="eastAsia"/>
          <w:lang w:val="en-US"/>
        </w:rPr>
        <w:t>8</w:t>
      </w:r>
    </w:p>
    <w:p w14:paraId="04C5A4F5" w14:textId="06291B35" w:rsidR="00023FE7" w:rsidRPr="00023FE7" w:rsidRDefault="00023FE7" w:rsidP="00C55E77">
      <w:pPr>
        <w:tabs>
          <w:tab w:val="right" w:leader="middleDot" w:pos="7980"/>
        </w:tabs>
        <w:spacing w:line="360" w:lineRule="auto"/>
        <w:ind w:firstLineChars="50" w:firstLine="105"/>
        <w:rPr>
          <w:rFonts w:ascii="Arial" w:hAnsi="Arial" w:cs="Arial" w:hint="eastAsia"/>
          <w:lang w:val="en-US"/>
        </w:rPr>
      </w:pPr>
      <w:r w:rsidRPr="00023FE7">
        <w:rPr>
          <w:rFonts w:ascii="Arial" w:hAnsi="Arial" w:cs="Arial"/>
          <w:lang w:val="en-US"/>
        </w:rPr>
        <w:t>4.3 Strategic Direction</w:t>
      </w:r>
      <w:r w:rsidR="00C55E77">
        <w:rPr>
          <w:rFonts w:ascii="Arial" w:hAnsi="Arial" w:cs="Arial"/>
          <w:lang w:val="en-US"/>
        </w:rPr>
        <w:tab/>
      </w:r>
      <w:r w:rsidR="00946505">
        <w:rPr>
          <w:rFonts w:ascii="Arial" w:hAnsi="Arial" w:cs="Arial" w:hint="eastAsia"/>
          <w:lang w:val="en-US"/>
        </w:rPr>
        <w:t>8</w:t>
      </w:r>
    </w:p>
    <w:p w14:paraId="2D5604ED" w14:textId="72056BB6" w:rsidR="00023FE7" w:rsidRPr="00023FE7" w:rsidRDefault="00023FE7" w:rsidP="00C55E77">
      <w:pPr>
        <w:tabs>
          <w:tab w:val="right" w:leader="middleDot" w:pos="7980"/>
        </w:tabs>
        <w:spacing w:line="360" w:lineRule="auto"/>
        <w:ind w:firstLineChars="50" w:firstLine="105"/>
        <w:rPr>
          <w:rFonts w:ascii="Arial" w:hAnsi="Arial" w:cs="Arial" w:hint="eastAsia"/>
          <w:lang w:val="en-US"/>
        </w:rPr>
      </w:pPr>
      <w:r w:rsidRPr="00023FE7">
        <w:rPr>
          <w:rFonts w:ascii="Arial" w:hAnsi="Arial" w:cs="Arial"/>
          <w:lang w:val="en-US"/>
        </w:rPr>
        <w:t>4.4 Strategic Justification</w:t>
      </w:r>
      <w:r w:rsidR="00C55E77">
        <w:rPr>
          <w:rFonts w:ascii="Arial" w:hAnsi="Arial" w:cs="Arial"/>
          <w:lang w:val="en-US"/>
        </w:rPr>
        <w:tab/>
      </w:r>
      <w:r w:rsidR="00946505">
        <w:rPr>
          <w:rFonts w:ascii="Arial" w:hAnsi="Arial" w:cs="Arial" w:hint="eastAsia"/>
          <w:lang w:val="en-US"/>
        </w:rPr>
        <w:t>8</w:t>
      </w:r>
    </w:p>
    <w:p w14:paraId="5807BB3B" w14:textId="55020C71" w:rsidR="00023FE7" w:rsidRPr="00023FE7" w:rsidRDefault="00023FE7" w:rsidP="00C55E77">
      <w:pPr>
        <w:tabs>
          <w:tab w:val="right" w:leader="middleDot" w:pos="7980"/>
        </w:tabs>
        <w:spacing w:line="360" w:lineRule="auto"/>
        <w:rPr>
          <w:rFonts w:ascii="Arial" w:hAnsi="Arial" w:cs="Arial" w:hint="eastAsia"/>
          <w:lang w:val="en-US"/>
        </w:rPr>
      </w:pPr>
      <w:r w:rsidRPr="00023FE7">
        <w:rPr>
          <w:rFonts w:ascii="Arial" w:hAnsi="Arial" w:cs="Arial"/>
          <w:lang w:val="en-US"/>
        </w:rPr>
        <w:t>5.0 Marketing Tactics</w:t>
      </w:r>
      <w:r w:rsidR="00C55E77">
        <w:rPr>
          <w:rFonts w:ascii="Arial" w:hAnsi="Arial" w:cs="Arial"/>
          <w:lang w:val="en-US"/>
        </w:rPr>
        <w:tab/>
      </w:r>
      <w:r w:rsidR="00946505">
        <w:rPr>
          <w:rFonts w:ascii="Arial" w:hAnsi="Arial" w:cs="Arial" w:hint="eastAsia"/>
          <w:lang w:val="en-US"/>
        </w:rPr>
        <w:t>8</w:t>
      </w:r>
    </w:p>
    <w:p w14:paraId="3BA6BD0C" w14:textId="4AA43779" w:rsidR="00023FE7" w:rsidRPr="00023FE7" w:rsidRDefault="00023FE7" w:rsidP="00C55E77">
      <w:pPr>
        <w:tabs>
          <w:tab w:val="right" w:leader="middleDot" w:pos="7980"/>
        </w:tabs>
        <w:spacing w:line="360" w:lineRule="auto"/>
        <w:ind w:firstLineChars="50" w:firstLine="105"/>
        <w:rPr>
          <w:rFonts w:ascii="Arial" w:hAnsi="Arial" w:cs="Arial" w:hint="eastAsia"/>
          <w:lang w:val="en-US"/>
        </w:rPr>
      </w:pPr>
      <w:r w:rsidRPr="00023FE7">
        <w:rPr>
          <w:rFonts w:ascii="Arial" w:hAnsi="Arial" w:cs="Arial"/>
          <w:lang w:val="en-US"/>
        </w:rPr>
        <w:t>5.1 Product</w:t>
      </w:r>
      <w:r w:rsidR="00C55E77">
        <w:rPr>
          <w:rFonts w:ascii="Arial" w:hAnsi="Arial" w:cs="Arial"/>
          <w:lang w:val="en-US"/>
        </w:rPr>
        <w:tab/>
      </w:r>
      <w:r w:rsidR="00946505">
        <w:rPr>
          <w:rFonts w:ascii="Arial" w:hAnsi="Arial" w:cs="Arial" w:hint="eastAsia"/>
          <w:lang w:val="en-US"/>
        </w:rPr>
        <w:t>8</w:t>
      </w:r>
    </w:p>
    <w:p w14:paraId="06AF3D72" w14:textId="18F0F06E" w:rsidR="00023FE7" w:rsidRPr="00023FE7" w:rsidRDefault="00023FE7" w:rsidP="00C55E77">
      <w:pPr>
        <w:tabs>
          <w:tab w:val="right" w:leader="middleDot" w:pos="7980"/>
        </w:tabs>
        <w:spacing w:line="360" w:lineRule="auto"/>
        <w:ind w:firstLineChars="50" w:firstLine="105"/>
        <w:rPr>
          <w:rFonts w:ascii="Arial" w:hAnsi="Arial" w:cs="Arial" w:hint="eastAsia"/>
          <w:lang w:val="en-US"/>
        </w:rPr>
      </w:pPr>
      <w:r w:rsidRPr="00023FE7">
        <w:rPr>
          <w:rFonts w:ascii="Arial" w:hAnsi="Arial" w:cs="Arial"/>
          <w:lang w:val="en-US"/>
        </w:rPr>
        <w:t>5.2 Price</w:t>
      </w:r>
      <w:r w:rsidR="00C55E77">
        <w:rPr>
          <w:rFonts w:ascii="Arial" w:hAnsi="Arial" w:cs="Arial"/>
          <w:lang w:val="en-US"/>
        </w:rPr>
        <w:tab/>
      </w:r>
      <w:r w:rsidR="00110419">
        <w:rPr>
          <w:rFonts w:ascii="Arial" w:hAnsi="Arial" w:cs="Arial" w:hint="eastAsia"/>
          <w:lang w:val="en-US"/>
        </w:rPr>
        <w:t>9</w:t>
      </w:r>
    </w:p>
    <w:p w14:paraId="0BD4E7DA" w14:textId="6E446CC5" w:rsidR="00023FE7" w:rsidRPr="00023FE7" w:rsidRDefault="00023FE7" w:rsidP="00C55E77">
      <w:pPr>
        <w:tabs>
          <w:tab w:val="right" w:leader="middleDot" w:pos="7980"/>
        </w:tabs>
        <w:spacing w:line="360" w:lineRule="auto"/>
        <w:ind w:firstLineChars="50" w:firstLine="105"/>
        <w:rPr>
          <w:rFonts w:ascii="Arial" w:hAnsi="Arial" w:cs="Arial" w:hint="eastAsia"/>
          <w:lang w:val="en-US"/>
        </w:rPr>
      </w:pPr>
      <w:r w:rsidRPr="00023FE7">
        <w:rPr>
          <w:rFonts w:ascii="Arial" w:hAnsi="Arial" w:cs="Arial"/>
          <w:lang w:val="en-US"/>
        </w:rPr>
        <w:t>5.3 Place</w:t>
      </w:r>
      <w:r w:rsidR="00C55E77">
        <w:rPr>
          <w:rFonts w:ascii="Arial" w:hAnsi="Arial" w:cs="Arial"/>
          <w:lang w:val="en-US"/>
        </w:rPr>
        <w:tab/>
      </w:r>
      <w:r w:rsidR="00110419">
        <w:rPr>
          <w:rFonts w:ascii="Arial" w:hAnsi="Arial" w:cs="Arial" w:hint="eastAsia"/>
          <w:lang w:val="en-US"/>
        </w:rPr>
        <w:t>9</w:t>
      </w:r>
    </w:p>
    <w:p w14:paraId="01CF5AD5" w14:textId="2ACF9AFD" w:rsidR="00023FE7" w:rsidRPr="00023FE7" w:rsidRDefault="00023FE7" w:rsidP="00C55E77">
      <w:pPr>
        <w:tabs>
          <w:tab w:val="right" w:leader="middleDot" w:pos="7980"/>
        </w:tabs>
        <w:spacing w:line="360" w:lineRule="auto"/>
        <w:ind w:firstLineChars="50" w:firstLine="105"/>
        <w:rPr>
          <w:rFonts w:ascii="Arial" w:hAnsi="Arial" w:cs="Arial" w:hint="eastAsia"/>
          <w:lang w:val="en-US"/>
        </w:rPr>
      </w:pPr>
      <w:r w:rsidRPr="00023FE7">
        <w:rPr>
          <w:rFonts w:ascii="Arial" w:hAnsi="Arial" w:cs="Arial"/>
          <w:lang w:val="en-US"/>
        </w:rPr>
        <w:t>5.4 Promotion</w:t>
      </w:r>
      <w:r w:rsidR="00C55E77">
        <w:rPr>
          <w:rFonts w:ascii="Arial" w:hAnsi="Arial" w:cs="Arial"/>
          <w:lang w:val="en-US"/>
        </w:rPr>
        <w:tab/>
      </w:r>
      <w:r w:rsidR="00110419">
        <w:rPr>
          <w:rFonts w:ascii="Arial" w:hAnsi="Arial" w:cs="Arial" w:hint="eastAsia"/>
          <w:lang w:val="en-US"/>
        </w:rPr>
        <w:t>9</w:t>
      </w:r>
    </w:p>
    <w:p w14:paraId="0ADC5F8B" w14:textId="7979A2DD" w:rsidR="00023FE7" w:rsidRPr="00023FE7" w:rsidRDefault="00023FE7" w:rsidP="00C55E77">
      <w:pPr>
        <w:tabs>
          <w:tab w:val="right" w:leader="middleDot" w:pos="7980"/>
        </w:tabs>
        <w:spacing w:line="360" w:lineRule="auto"/>
        <w:ind w:firstLineChars="50" w:firstLine="105"/>
        <w:rPr>
          <w:rFonts w:ascii="Arial" w:hAnsi="Arial" w:cs="Arial" w:hint="eastAsia"/>
          <w:lang w:val="en-US"/>
        </w:rPr>
      </w:pPr>
      <w:r w:rsidRPr="00023FE7">
        <w:rPr>
          <w:rFonts w:ascii="Arial" w:hAnsi="Arial" w:cs="Arial"/>
          <w:lang w:val="en-US"/>
        </w:rPr>
        <w:t>5.5 People</w:t>
      </w:r>
      <w:r w:rsidR="00C55E77">
        <w:rPr>
          <w:rFonts w:ascii="Arial" w:hAnsi="Arial" w:cs="Arial"/>
          <w:lang w:val="en-US"/>
        </w:rPr>
        <w:tab/>
      </w:r>
      <w:r w:rsidR="00110419">
        <w:rPr>
          <w:rFonts w:ascii="Arial" w:hAnsi="Arial" w:cs="Arial" w:hint="eastAsia"/>
          <w:lang w:val="en-US"/>
        </w:rPr>
        <w:t>9</w:t>
      </w:r>
    </w:p>
    <w:p w14:paraId="434A19E3" w14:textId="4A69F903" w:rsidR="00023FE7" w:rsidRPr="00023FE7" w:rsidRDefault="00023FE7" w:rsidP="00C55E77">
      <w:pPr>
        <w:tabs>
          <w:tab w:val="right" w:leader="middleDot" w:pos="7980"/>
        </w:tabs>
        <w:spacing w:line="360" w:lineRule="auto"/>
        <w:ind w:firstLineChars="50" w:firstLine="105"/>
        <w:rPr>
          <w:rFonts w:ascii="Arial" w:hAnsi="Arial" w:cs="Arial" w:hint="eastAsia"/>
          <w:lang w:val="en-US"/>
        </w:rPr>
      </w:pPr>
      <w:r w:rsidRPr="00023FE7">
        <w:rPr>
          <w:rFonts w:ascii="Arial" w:hAnsi="Arial" w:cs="Arial"/>
          <w:lang w:val="en-US"/>
        </w:rPr>
        <w:t>5.6 Process</w:t>
      </w:r>
      <w:r w:rsidR="00C55E77">
        <w:rPr>
          <w:rFonts w:ascii="Arial" w:hAnsi="Arial" w:cs="Arial"/>
          <w:lang w:val="en-US"/>
        </w:rPr>
        <w:tab/>
      </w:r>
      <w:r w:rsidR="00110419">
        <w:rPr>
          <w:rFonts w:ascii="Arial" w:hAnsi="Arial" w:cs="Arial" w:hint="eastAsia"/>
          <w:lang w:val="en-US"/>
        </w:rPr>
        <w:t>10</w:t>
      </w:r>
    </w:p>
    <w:p w14:paraId="0CCFE164" w14:textId="5E82C42D" w:rsidR="00023FE7" w:rsidRPr="00023FE7" w:rsidRDefault="00023FE7" w:rsidP="00C55E77">
      <w:pPr>
        <w:tabs>
          <w:tab w:val="right" w:leader="middleDot" w:pos="7980"/>
        </w:tabs>
        <w:spacing w:line="360" w:lineRule="auto"/>
        <w:ind w:firstLineChars="50" w:firstLine="105"/>
        <w:rPr>
          <w:rFonts w:ascii="Arial" w:hAnsi="Arial" w:cs="Arial" w:hint="eastAsia"/>
          <w:lang w:val="en-US"/>
        </w:rPr>
      </w:pPr>
      <w:r w:rsidRPr="00023FE7">
        <w:rPr>
          <w:rFonts w:ascii="Arial" w:hAnsi="Arial" w:cs="Arial"/>
          <w:lang w:val="en-US"/>
        </w:rPr>
        <w:t>5.7 Physical Evidence</w:t>
      </w:r>
      <w:r w:rsidR="00C55E77">
        <w:rPr>
          <w:rFonts w:ascii="Arial" w:hAnsi="Arial" w:cs="Arial"/>
          <w:lang w:val="en-US"/>
        </w:rPr>
        <w:tab/>
      </w:r>
      <w:r w:rsidR="00110419">
        <w:rPr>
          <w:rFonts w:ascii="Arial" w:hAnsi="Arial" w:cs="Arial" w:hint="eastAsia"/>
          <w:lang w:val="en-US"/>
        </w:rPr>
        <w:t>10</w:t>
      </w:r>
    </w:p>
    <w:p w14:paraId="1E066BE8" w14:textId="59ACD540" w:rsidR="00023FE7" w:rsidRPr="00023FE7" w:rsidRDefault="00023FE7" w:rsidP="00C55E77">
      <w:pPr>
        <w:tabs>
          <w:tab w:val="right" w:leader="middleDot" w:pos="7980"/>
        </w:tabs>
        <w:spacing w:line="360" w:lineRule="auto"/>
        <w:rPr>
          <w:rFonts w:ascii="Arial" w:hAnsi="Arial" w:cs="Arial" w:hint="eastAsia"/>
          <w:lang w:val="en-US"/>
        </w:rPr>
      </w:pPr>
      <w:r w:rsidRPr="00023FE7">
        <w:rPr>
          <w:rFonts w:ascii="Arial" w:hAnsi="Arial" w:cs="Arial"/>
          <w:lang w:val="en-US"/>
        </w:rPr>
        <w:t>6.0 Action Plan</w:t>
      </w:r>
      <w:r w:rsidR="00C55E77">
        <w:rPr>
          <w:rFonts w:ascii="Arial" w:hAnsi="Arial" w:cs="Arial"/>
          <w:lang w:val="en-US"/>
        </w:rPr>
        <w:tab/>
      </w:r>
      <w:r w:rsidR="00110419">
        <w:rPr>
          <w:rFonts w:ascii="Arial" w:hAnsi="Arial" w:cs="Arial" w:hint="eastAsia"/>
          <w:lang w:val="en-US"/>
        </w:rPr>
        <w:t>10</w:t>
      </w:r>
    </w:p>
    <w:p w14:paraId="77666E0E" w14:textId="567DEF76" w:rsidR="00023FE7" w:rsidRPr="00023FE7" w:rsidRDefault="00023FE7" w:rsidP="00C55E77">
      <w:pPr>
        <w:tabs>
          <w:tab w:val="right" w:leader="middleDot" w:pos="7980"/>
        </w:tabs>
        <w:spacing w:line="360" w:lineRule="auto"/>
        <w:ind w:firstLineChars="50" w:firstLine="105"/>
        <w:rPr>
          <w:rFonts w:ascii="Arial" w:hAnsi="Arial" w:cs="Arial" w:hint="eastAsia"/>
          <w:lang w:val="en-US"/>
        </w:rPr>
      </w:pPr>
      <w:r w:rsidRPr="00023FE7">
        <w:rPr>
          <w:rFonts w:ascii="Arial" w:hAnsi="Arial" w:cs="Arial"/>
          <w:lang w:val="en-US"/>
        </w:rPr>
        <w:t>6.1 Implementation Timeline</w:t>
      </w:r>
      <w:r w:rsidR="00C55E77">
        <w:rPr>
          <w:rFonts w:ascii="Arial" w:hAnsi="Arial" w:cs="Arial"/>
          <w:lang w:val="en-US"/>
        </w:rPr>
        <w:tab/>
      </w:r>
      <w:r w:rsidR="00110419">
        <w:rPr>
          <w:rFonts w:ascii="Arial" w:hAnsi="Arial" w:cs="Arial" w:hint="eastAsia"/>
          <w:lang w:val="en-US"/>
        </w:rPr>
        <w:t>10</w:t>
      </w:r>
    </w:p>
    <w:p w14:paraId="2F9919EE" w14:textId="38585B55" w:rsidR="00023FE7" w:rsidRPr="00023FE7" w:rsidRDefault="00023FE7" w:rsidP="00C55E77">
      <w:pPr>
        <w:tabs>
          <w:tab w:val="right" w:leader="middleDot" w:pos="7980"/>
        </w:tabs>
        <w:spacing w:line="360" w:lineRule="auto"/>
        <w:ind w:firstLineChars="50" w:firstLine="105"/>
        <w:rPr>
          <w:rFonts w:ascii="Arial" w:hAnsi="Arial" w:cs="Arial" w:hint="eastAsia"/>
          <w:lang w:val="en-US"/>
        </w:rPr>
      </w:pPr>
      <w:r w:rsidRPr="00023FE7">
        <w:rPr>
          <w:rFonts w:ascii="Arial" w:hAnsi="Arial" w:cs="Arial"/>
          <w:lang w:val="en-US"/>
        </w:rPr>
        <w:t>6.2 Resource Requirements</w:t>
      </w:r>
      <w:r w:rsidR="00C55E77">
        <w:rPr>
          <w:rFonts w:ascii="Arial" w:hAnsi="Arial" w:cs="Arial"/>
          <w:lang w:val="en-US"/>
        </w:rPr>
        <w:tab/>
      </w:r>
      <w:r w:rsidR="00110419">
        <w:rPr>
          <w:rFonts w:ascii="Arial" w:hAnsi="Arial" w:cs="Arial" w:hint="eastAsia"/>
          <w:lang w:val="en-US"/>
        </w:rPr>
        <w:t>10</w:t>
      </w:r>
    </w:p>
    <w:p w14:paraId="1F848945" w14:textId="30B4A113" w:rsidR="00023FE7" w:rsidRPr="00023FE7" w:rsidRDefault="00023FE7" w:rsidP="00C55E77">
      <w:pPr>
        <w:tabs>
          <w:tab w:val="right" w:leader="middleDot" w:pos="7980"/>
        </w:tabs>
        <w:spacing w:line="360" w:lineRule="auto"/>
        <w:ind w:firstLineChars="50" w:firstLine="105"/>
        <w:rPr>
          <w:rFonts w:ascii="Arial" w:hAnsi="Arial" w:cs="Arial" w:hint="eastAsia"/>
          <w:lang w:val="en-US"/>
        </w:rPr>
      </w:pPr>
      <w:r w:rsidRPr="00023FE7">
        <w:rPr>
          <w:rFonts w:ascii="Arial" w:hAnsi="Arial" w:cs="Arial"/>
          <w:lang w:val="en-US"/>
        </w:rPr>
        <w:t>6.3 Responsibilities &amp; Stakeholders</w:t>
      </w:r>
      <w:r w:rsidR="00C55E77">
        <w:rPr>
          <w:rFonts w:ascii="Arial" w:hAnsi="Arial" w:cs="Arial"/>
          <w:lang w:val="en-US"/>
        </w:rPr>
        <w:tab/>
      </w:r>
      <w:r w:rsidR="00110419">
        <w:rPr>
          <w:rFonts w:ascii="Arial" w:hAnsi="Arial" w:cs="Arial" w:hint="eastAsia"/>
          <w:lang w:val="en-US"/>
        </w:rPr>
        <w:t>10</w:t>
      </w:r>
    </w:p>
    <w:p w14:paraId="3A92CC52" w14:textId="1C941D89" w:rsidR="00023FE7" w:rsidRPr="00023FE7" w:rsidRDefault="00023FE7" w:rsidP="00C55E77">
      <w:pPr>
        <w:tabs>
          <w:tab w:val="right" w:leader="middleDot" w:pos="7980"/>
        </w:tabs>
        <w:spacing w:line="360" w:lineRule="auto"/>
        <w:ind w:firstLineChars="50" w:firstLine="105"/>
        <w:rPr>
          <w:rFonts w:ascii="Arial" w:hAnsi="Arial" w:cs="Arial" w:hint="eastAsia"/>
          <w:lang w:val="en-US"/>
        </w:rPr>
      </w:pPr>
      <w:r w:rsidRPr="00023FE7">
        <w:rPr>
          <w:rFonts w:ascii="Arial" w:hAnsi="Arial" w:cs="Arial"/>
          <w:lang w:val="en-US"/>
        </w:rPr>
        <w:t>6.4 Risk Assessment &amp; Mitigation</w:t>
      </w:r>
      <w:r w:rsidR="00C55E77">
        <w:rPr>
          <w:rFonts w:ascii="Arial" w:hAnsi="Arial" w:cs="Arial"/>
          <w:lang w:val="en-US"/>
        </w:rPr>
        <w:tab/>
      </w:r>
      <w:r w:rsidR="00110419">
        <w:rPr>
          <w:rFonts w:ascii="Arial" w:hAnsi="Arial" w:cs="Arial" w:hint="eastAsia"/>
          <w:lang w:val="en-US"/>
        </w:rPr>
        <w:t>11</w:t>
      </w:r>
    </w:p>
    <w:p w14:paraId="2CB53EBB" w14:textId="793DDD1E" w:rsidR="00023FE7" w:rsidRPr="00023FE7" w:rsidRDefault="00023FE7" w:rsidP="00C55E77">
      <w:pPr>
        <w:tabs>
          <w:tab w:val="right" w:leader="middleDot" w:pos="7980"/>
        </w:tabs>
        <w:spacing w:line="360" w:lineRule="auto"/>
        <w:rPr>
          <w:rFonts w:ascii="Arial" w:hAnsi="Arial" w:cs="Arial" w:hint="eastAsia"/>
          <w:lang w:val="en-US"/>
        </w:rPr>
      </w:pPr>
      <w:r w:rsidRPr="00023FE7">
        <w:rPr>
          <w:rFonts w:ascii="Arial" w:hAnsi="Arial" w:cs="Arial"/>
          <w:lang w:val="en-US"/>
        </w:rPr>
        <w:lastRenderedPageBreak/>
        <w:t>7.0 Control, Monitoring &amp; Adaptation</w:t>
      </w:r>
      <w:r w:rsidR="00C55E77">
        <w:rPr>
          <w:rFonts w:ascii="Arial" w:hAnsi="Arial" w:cs="Arial"/>
          <w:lang w:val="en-US"/>
        </w:rPr>
        <w:tab/>
      </w:r>
      <w:r w:rsidR="00526F1E">
        <w:rPr>
          <w:rFonts w:ascii="Arial" w:hAnsi="Arial" w:cs="Arial" w:hint="eastAsia"/>
          <w:lang w:val="en-US"/>
        </w:rPr>
        <w:t>11</w:t>
      </w:r>
    </w:p>
    <w:p w14:paraId="403456B6" w14:textId="5558CB9F" w:rsidR="00023FE7" w:rsidRPr="00023FE7" w:rsidRDefault="00023FE7" w:rsidP="00C55E77">
      <w:pPr>
        <w:tabs>
          <w:tab w:val="right" w:leader="middleDot" w:pos="7980"/>
        </w:tabs>
        <w:spacing w:line="360" w:lineRule="auto"/>
        <w:ind w:firstLineChars="50" w:firstLine="105"/>
        <w:rPr>
          <w:rFonts w:ascii="Arial" w:hAnsi="Arial" w:cs="Arial" w:hint="eastAsia"/>
          <w:lang w:val="en-US"/>
        </w:rPr>
      </w:pPr>
      <w:r w:rsidRPr="00023FE7">
        <w:rPr>
          <w:rFonts w:ascii="Arial" w:hAnsi="Arial" w:cs="Arial"/>
          <w:lang w:val="en-US"/>
        </w:rPr>
        <w:t>7.1 Key Performance Indicators (KPIs)</w:t>
      </w:r>
      <w:r w:rsidR="00C55E77">
        <w:rPr>
          <w:rFonts w:ascii="Arial" w:hAnsi="Arial" w:cs="Arial"/>
          <w:lang w:val="en-US"/>
        </w:rPr>
        <w:tab/>
      </w:r>
      <w:r w:rsidR="00526F1E">
        <w:rPr>
          <w:rFonts w:ascii="Arial" w:hAnsi="Arial" w:cs="Arial" w:hint="eastAsia"/>
          <w:lang w:val="en-US"/>
        </w:rPr>
        <w:t>11</w:t>
      </w:r>
    </w:p>
    <w:p w14:paraId="32EF6899" w14:textId="4A88790A" w:rsidR="00023FE7" w:rsidRPr="00023FE7" w:rsidRDefault="00023FE7" w:rsidP="00C55E77">
      <w:pPr>
        <w:tabs>
          <w:tab w:val="right" w:leader="middleDot" w:pos="7980"/>
        </w:tabs>
        <w:spacing w:line="360" w:lineRule="auto"/>
        <w:ind w:firstLineChars="50" w:firstLine="105"/>
        <w:rPr>
          <w:rFonts w:ascii="Arial" w:hAnsi="Arial" w:cs="Arial" w:hint="eastAsia"/>
          <w:lang w:val="en-US"/>
        </w:rPr>
      </w:pPr>
      <w:r w:rsidRPr="00023FE7">
        <w:rPr>
          <w:rFonts w:ascii="Arial" w:hAnsi="Arial" w:cs="Arial"/>
          <w:lang w:val="en-US"/>
        </w:rPr>
        <w:t>7.2 Monitoring Methods &amp; Frequency</w:t>
      </w:r>
      <w:r w:rsidR="00C55E77">
        <w:rPr>
          <w:rFonts w:ascii="Arial" w:hAnsi="Arial" w:cs="Arial"/>
          <w:lang w:val="en-US"/>
        </w:rPr>
        <w:tab/>
      </w:r>
      <w:r w:rsidR="00526F1E">
        <w:rPr>
          <w:rFonts w:ascii="Arial" w:hAnsi="Arial" w:cs="Arial" w:hint="eastAsia"/>
          <w:lang w:val="en-US"/>
        </w:rPr>
        <w:t>11</w:t>
      </w:r>
    </w:p>
    <w:p w14:paraId="258C7F50" w14:textId="70984C25" w:rsidR="00023FE7" w:rsidRPr="00023FE7" w:rsidRDefault="00023FE7" w:rsidP="00C55E77">
      <w:pPr>
        <w:tabs>
          <w:tab w:val="right" w:leader="middleDot" w:pos="7980"/>
        </w:tabs>
        <w:spacing w:line="360" w:lineRule="auto"/>
        <w:ind w:firstLineChars="50" w:firstLine="105"/>
        <w:rPr>
          <w:rFonts w:ascii="Arial" w:hAnsi="Arial" w:cs="Arial" w:hint="eastAsia"/>
          <w:lang w:val="en-US"/>
        </w:rPr>
      </w:pPr>
      <w:r w:rsidRPr="00023FE7">
        <w:rPr>
          <w:rFonts w:ascii="Arial" w:hAnsi="Arial" w:cs="Arial"/>
          <w:lang w:val="en-US"/>
        </w:rPr>
        <w:t>7.3 Performance Evaluation</w:t>
      </w:r>
      <w:r w:rsidR="00C55E77">
        <w:rPr>
          <w:rFonts w:ascii="Arial" w:hAnsi="Arial" w:cs="Arial"/>
          <w:lang w:val="en-US"/>
        </w:rPr>
        <w:tab/>
      </w:r>
      <w:r w:rsidR="00526F1E">
        <w:rPr>
          <w:rFonts w:ascii="Arial" w:hAnsi="Arial" w:cs="Arial" w:hint="eastAsia"/>
          <w:lang w:val="en-US"/>
        </w:rPr>
        <w:t>11</w:t>
      </w:r>
    </w:p>
    <w:p w14:paraId="19FCEFB7" w14:textId="1DAE2DA4" w:rsidR="00023FE7" w:rsidRPr="00023FE7" w:rsidRDefault="00023FE7" w:rsidP="00C55E77">
      <w:pPr>
        <w:tabs>
          <w:tab w:val="right" w:leader="middleDot" w:pos="7980"/>
        </w:tabs>
        <w:spacing w:line="360" w:lineRule="auto"/>
        <w:ind w:firstLineChars="50" w:firstLine="105"/>
        <w:rPr>
          <w:rFonts w:ascii="Arial" w:hAnsi="Arial" w:cs="Arial" w:hint="eastAsia"/>
          <w:lang w:val="en-US"/>
        </w:rPr>
      </w:pPr>
      <w:r w:rsidRPr="00023FE7">
        <w:rPr>
          <w:rFonts w:ascii="Arial" w:hAnsi="Arial" w:cs="Arial"/>
          <w:lang w:val="en-US"/>
        </w:rPr>
        <w:t>7.4 Continuous Improvement &amp; Adaptation</w:t>
      </w:r>
      <w:r w:rsidR="00C55E77">
        <w:rPr>
          <w:rFonts w:ascii="Arial" w:hAnsi="Arial" w:cs="Arial"/>
          <w:lang w:val="en-US"/>
        </w:rPr>
        <w:tab/>
      </w:r>
      <w:r w:rsidR="00526F1E">
        <w:rPr>
          <w:rFonts w:ascii="Arial" w:hAnsi="Arial" w:cs="Arial" w:hint="eastAsia"/>
          <w:lang w:val="en-US"/>
        </w:rPr>
        <w:t>12</w:t>
      </w:r>
    </w:p>
    <w:p w14:paraId="09DFB837" w14:textId="3E19AC58" w:rsidR="0093780E" w:rsidRDefault="00023FE7" w:rsidP="00C55E77">
      <w:pPr>
        <w:tabs>
          <w:tab w:val="right" w:leader="middleDot" w:pos="7980"/>
        </w:tabs>
        <w:spacing w:line="360" w:lineRule="auto"/>
        <w:rPr>
          <w:rFonts w:ascii="Arial" w:hAnsi="Arial" w:cs="Arial" w:hint="eastAsia"/>
          <w:lang w:val="en-US"/>
        </w:rPr>
      </w:pPr>
      <w:r w:rsidRPr="00023FE7">
        <w:rPr>
          <w:rFonts w:ascii="Arial" w:hAnsi="Arial" w:cs="Arial"/>
          <w:lang w:val="en-US"/>
        </w:rPr>
        <w:t>8.0 Conclusion</w:t>
      </w:r>
      <w:r w:rsidR="00C55E77">
        <w:rPr>
          <w:rFonts w:ascii="Arial" w:hAnsi="Arial" w:cs="Arial"/>
          <w:lang w:val="en-US"/>
        </w:rPr>
        <w:tab/>
      </w:r>
      <w:r w:rsidR="00526F1E">
        <w:rPr>
          <w:rFonts w:ascii="Arial" w:hAnsi="Arial" w:cs="Arial" w:hint="eastAsia"/>
          <w:lang w:val="en-US"/>
        </w:rPr>
        <w:t>12</w:t>
      </w:r>
    </w:p>
    <w:p w14:paraId="34D627FA" w14:textId="79F5758C" w:rsidR="00374F96" w:rsidRDefault="00374F96" w:rsidP="00C55E77">
      <w:pPr>
        <w:tabs>
          <w:tab w:val="right" w:leader="middleDot" w:pos="7980"/>
        </w:tabs>
        <w:spacing w:line="360" w:lineRule="auto"/>
        <w:rPr>
          <w:rFonts w:ascii="Arial" w:hAnsi="Arial" w:cs="Arial" w:hint="eastAsia"/>
          <w:lang w:val="en-US"/>
        </w:rPr>
      </w:pPr>
      <w:r>
        <w:rPr>
          <w:rFonts w:ascii="Arial" w:hAnsi="Arial" w:cs="Arial" w:hint="eastAsia"/>
          <w:lang w:val="en-US"/>
        </w:rPr>
        <w:t>References</w:t>
      </w:r>
      <w:r w:rsidR="00C55E77">
        <w:rPr>
          <w:rFonts w:ascii="Arial" w:hAnsi="Arial" w:cs="Arial"/>
          <w:lang w:val="en-US"/>
        </w:rPr>
        <w:tab/>
      </w:r>
      <w:r w:rsidR="00526F1E">
        <w:rPr>
          <w:rFonts w:ascii="Arial" w:hAnsi="Arial" w:cs="Arial" w:hint="eastAsia"/>
          <w:lang w:val="en-US"/>
        </w:rPr>
        <w:t>13</w:t>
      </w:r>
    </w:p>
    <w:p w14:paraId="1179C320" w14:textId="77777777" w:rsidR="00374F96" w:rsidRDefault="00374F96" w:rsidP="006E27A3">
      <w:pPr>
        <w:spacing w:line="360" w:lineRule="auto"/>
        <w:rPr>
          <w:rFonts w:ascii="Arial" w:hAnsi="Arial" w:cs="Arial"/>
          <w:lang w:val="en-US"/>
        </w:rPr>
      </w:pPr>
    </w:p>
    <w:p w14:paraId="24C58A63" w14:textId="77777777" w:rsidR="00374F96" w:rsidRDefault="00374F96" w:rsidP="006E27A3">
      <w:pPr>
        <w:spacing w:line="360" w:lineRule="auto"/>
        <w:rPr>
          <w:rFonts w:ascii="Arial" w:hAnsi="Arial" w:cs="Arial"/>
          <w:lang w:val="en-US"/>
        </w:rPr>
      </w:pPr>
    </w:p>
    <w:p w14:paraId="36DA3AF0" w14:textId="77777777" w:rsidR="00374F96" w:rsidRDefault="00374F96" w:rsidP="006E27A3">
      <w:pPr>
        <w:spacing w:line="360" w:lineRule="auto"/>
        <w:rPr>
          <w:rFonts w:ascii="Arial" w:hAnsi="Arial" w:cs="Arial"/>
          <w:lang w:val="en-US"/>
        </w:rPr>
      </w:pPr>
    </w:p>
    <w:p w14:paraId="2F0D7450" w14:textId="77777777" w:rsidR="00374F96" w:rsidRDefault="00374F96" w:rsidP="006E27A3">
      <w:pPr>
        <w:spacing w:line="360" w:lineRule="auto"/>
        <w:rPr>
          <w:rFonts w:ascii="Arial" w:hAnsi="Arial" w:cs="Arial"/>
          <w:lang w:val="en-US"/>
        </w:rPr>
      </w:pPr>
    </w:p>
    <w:p w14:paraId="0ACC3408" w14:textId="77777777" w:rsidR="00374F96" w:rsidRDefault="00374F96" w:rsidP="006E27A3">
      <w:pPr>
        <w:spacing w:line="360" w:lineRule="auto"/>
        <w:rPr>
          <w:rFonts w:ascii="Arial" w:hAnsi="Arial" w:cs="Arial"/>
          <w:lang w:val="en-US"/>
        </w:rPr>
      </w:pPr>
    </w:p>
    <w:p w14:paraId="07586B09" w14:textId="77777777" w:rsidR="00374F96" w:rsidRDefault="00374F96" w:rsidP="006E27A3">
      <w:pPr>
        <w:spacing w:line="360" w:lineRule="auto"/>
        <w:rPr>
          <w:rFonts w:ascii="Arial" w:hAnsi="Arial" w:cs="Arial"/>
          <w:lang w:val="en-US"/>
        </w:rPr>
      </w:pPr>
    </w:p>
    <w:p w14:paraId="67F4F359" w14:textId="77777777" w:rsidR="00374F96" w:rsidRDefault="00374F96" w:rsidP="006E27A3">
      <w:pPr>
        <w:spacing w:line="360" w:lineRule="auto"/>
        <w:rPr>
          <w:rFonts w:ascii="Arial" w:hAnsi="Arial" w:cs="Arial"/>
          <w:lang w:val="en-US"/>
        </w:rPr>
      </w:pPr>
    </w:p>
    <w:p w14:paraId="1B3F9B59" w14:textId="77777777" w:rsidR="00374F96" w:rsidRDefault="00374F96" w:rsidP="006E27A3">
      <w:pPr>
        <w:spacing w:line="360" w:lineRule="auto"/>
        <w:rPr>
          <w:rFonts w:ascii="Arial" w:hAnsi="Arial" w:cs="Arial"/>
          <w:lang w:val="en-US"/>
        </w:rPr>
      </w:pPr>
    </w:p>
    <w:p w14:paraId="51CC7E0F" w14:textId="77777777" w:rsidR="00374F96" w:rsidRDefault="00374F96" w:rsidP="006E27A3">
      <w:pPr>
        <w:spacing w:line="360" w:lineRule="auto"/>
        <w:rPr>
          <w:rFonts w:ascii="Arial" w:hAnsi="Arial" w:cs="Arial"/>
          <w:lang w:val="en-US"/>
        </w:rPr>
      </w:pPr>
    </w:p>
    <w:p w14:paraId="62016A00" w14:textId="77777777" w:rsidR="00374F96" w:rsidRDefault="00374F96" w:rsidP="006E27A3">
      <w:pPr>
        <w:spacing w:line="360" w:lineRule="auto"/>
        <w:rPr>
          <w:rFonts w:ascii="Arial" w:hAnsi="Arial" w:cs="Arial"/>
          <w:lang w:val="en-US"/>
        </w:rPr>
      </w:pPr>
    </w:p>
    <w:p w14:paraId="6F712A7A" w14:textId="77777777" w:rsidR="00374F96" w:rsidRDefault="00374F96" w:rsidP="006E27A3">
      <w:pPr>
        <w:spacing w:line="360" w:lineRule="auto"/>
        <w:rPr>
          <w:rFonts w:ascii="Arial" w:hAnsi="Arial" w:cs="Arial"/>
          <w:lang w:val="en-US"/>
        </w:rPr>
      </w:pPr>
    </w:p>
    <w:p w14:paraId="79582776" w14:textId="77777777" w:rsidR="00374F96" w:rsidRDefault="00374F96" w:rsidP="006E27A3">
      <w:pPr>
        <w:spacing w:line="360" w:lineRule="auto"/>
        <w:rPr>
          <w:rFonts w:ascii="Arial" w:hAnsi="Arial" w:cs="Arial"/>
          <w:lang w:val="en-US"/>
        </w:rPr>
      </w:pPr>
    </w:p>
    <w:p w14:paraId="76E8D971" w14:textId="77777777" w:rsidR="00374F96" w:rsidRDefault="00374F96" w:rsidP="006E27A3">
      <w:pPr>
        <w:spacing w:line="360" w:lineRule="auto"/>
        <w:rPr>
          <w:rFonts w:ascii="Arial" w:hAnsi="Arial" w:cs="Arial"/>
          <w:lang w:val="en-US"/>
        </w:rPr>
      </w:pPr>
    </w:p>
    <w:p w14:paraId="1097B8E3" w14:textId="77777777" w:rsidR="00374F96" w:rsidRDefault="00374F96" w:rsidP="006E27A3">
      <w:pPr>
        <w:spacing w:line="360" w:lineRule="auto"/>
        <w:rPr>
          <w:rFonts w:ascii="Arial" w:hAnsi="Arial" w:cs="Arial"/>
          <w:lang w:val="en-US"/>
        </w:rPr>
      </w:pPr>
    </w:p>
    <w:p w14:paraId="3BE08702" w14:textId="77777777" w:rsidR="00374F96" w:rsidRDefault="00374F96" w:rsidP="006E27A3">
      <w:pPr>
        <w:spacing w:line="360" w:lineRule="auto"/>
        <w:rPr>
          <w:rFonts w:ascii="Arial" w:hAnsi="Arial" w:cs="Arial"/>
          <w:lang w:val="en-US"/>
        </w:rPr>
      </w:pPr>
    </w:p>
    <w:p w14:paraId="624BBBCE" w14:textId="77777777" w:rsidR="00374F96" w:rsidRDefault="00374F96" w:rsidP="006E27A3">
      <w:pPr>
        <w:spacing w:line="360" w:lineRule="auto"/>
        <w:rPr>
          <w:rFonts w:ascii="Arial" w:hAnsi="Arial" w:cs="Arial"/>
          <w:lang w:val="en-US"/>
        </w:rPr>
      </w:pPr>
    </w:p>
    <w:p w14:paraId="13088795" w14:textId="77777777" w:rsidR="00374F96" w:rsidRDefault="00374F96" w:rsidP="006E27A3">
      <w:pPr>
        <w:spacing w:line="360" w:lineRule="auto"/>
        <w:rPr>
          <w:rFonts w:ascii="Arial" w:hAnsi="Arial" w:cs="Arial"/>
          <w:lang w:val="en-US"/>
        </w:rPr>
      </w:pPr>
    </w:p>
    <w:p w14:paraId="226F5D06" w14:textId="77777777" w:rsidR="00374F96" w:rsidRDefault="00374F96" w:rsidP="006E27A3">
      <w:pPr>
        <w:spacing w:line="360" w:lineRule="auto"/>
        <w:rPr>
          <w:rFonts w:ascii="Arial" w:hAnsi="Arial" w:cs="Arial"/>
          <w:lang w:val="en-US"/>
        </w:rPr>
      </w:pPr>
    </w:p>
    <w:p w14:paraId="195E27C4" w14:textId="77777777" w:rsidR="00374F96" w:rsidRDefault="00374F96" w:rsidP="006E27A3">
      <w:pPr>
        <w:spacing w:line="360" w:lineRule="auto"/>
        <w:rPr>
          <w:rFonts w:ascii="Arial" w:hAnsi="Arial" w:cs="Arial"/>
          <w:lang w:val="en-US"/>
        </w:rPr>
      </w:pPr>
    </w:p>
    <w:p w14:paraId="3E577372" w14:textId="77777777" w:rsidR="00374F96" w:rsidRDefault="00374F96" w:rsidP="006E27A3">
      <w:pPr>
        <w:spacing w:line="360" w:lineRule="auto"/>
        <w:rPr>
          <w:rFonts w:ascii="Arial" w:hAnsi="Arial" w:cs="Arial"/>
          <w:lang w:val="en-US"/>
        </w:rPr>
      </w:pPr>
    </w:p>
    <w:p w14:paraId="33BEE748" w14:textId="77777777" w:rsidR="00374F96" w:rsidRDefault="00374F96" w:rsidP="006E27A3">
      <w:pPr>
        <w:spacing w:line="360" w:lineRule="auto"/>
        <w:rPr>
          <w:rFonts w:ascii="Arial" w:hAnsi="Arial" w:cs="Arial"/>
          <w:lang w:val="en-US"/>
        </w:rPr>
      </w:pPr>
    </w:p>
    <w:p w14:paraId="5CFF9A1D" w14:textId="77777777" w:rsidR="00374F96" w:rsidRDefault="00374F96" w:rsidP="006E27A3">
      <w:pPr>
        <w:spacing w:line="360" w:lineRule="auto"/>
        <w:rPr>
          <w:rFonts w:ascii="Arial" w:hAnsi="Arial" w:cs="Arial"/>
          <w:lang w:val="en-US"/>
        </w:rPr>
      </w:pPr>
    </w:p>
    <w:p w14:paraId="63726A31" w14:textId="77777777" w:rsidR="00374F96" w:rsidRDefault="00374F96" w:rsidP="006E27A3">
      <w:pPr>
        <w:spacing w:line="360" w:lineRule="auto"/>
        <w:rPr>
          <w:rFonts w:ascii="Arial" w:hAnsi="Arial" w:cs="Arial" w:hint="eastAsia"/>
          <w:lang w:val="en-US"/>
        </w:rPr>
      </w:pPr>
    </w:p>
    <w:p w14:paraId="153AE04F" w14:textId="77777777" w:rsidR="00FE14F0" w:rsidRPr="002A1396" w:rsidRDefault="00FE14F0" w:rsidP="00FE14F0">
      <w:pPr>
        <w:spacing w:line="360" w:lineRule="auto"/>
        <w:rPr>
          <w:rFonts w:ascii="Arial" w:hAnsi="Arial" w:cs="Arial"/>
          <w:b/>
          <w:bCs/>
          <w:sz w:val="28"/>
          <w:szCs w:val="28"/>
          <w:lang w:val="en-US"/>
        </w:rPr>
      </w:pPr>
      <w:r w:rsidRPr="002A1396">
        <w:rPr>
          <w:rFonts w:ascii="Arial" w:hAnsi="Arial" w:cs="Arial"/>
          <w:b/>
          <w:bCs/>
          <w:sz w:val="28"/>
          <w:szCs w:val="28"/>
          <w:lang w:val="en-US"/>
        </w:rPr>
        <w:lastRenderedPageBreak/>
        <w:t>1.0 Introduction</w:t>
      </w:r>
    </w:p>
    <w:p w14:paraId="01DB499F" w14:textId="040FC6C0" w:rsidR="008801C0" w:rsidRPr="008801C0" w:rsidRDefault="008801C0" w:rsidP="008801C0">
      <w:pPr>
        <w:spacing w:line="360" w:lineRule="auto"/>
        <w:rPr>
          <w:rFonts w:ascii="Arial" w:hAnsi="Arial" w:cs="Arial"/>
          <w:lang w:val="en-US"/>
        </w:rPr>
      </w:pPr>
      <w:r w:rsidRPr="008801C0">
        <w:rPr>
          <w:rFonts w:ascii="Arial" w:hAnsi="Arial" w:cs="Arial"/>
          <w:lang w:val="en-US"/>
        </w:rPr>
        <w:t>Greggs is the largest low-cost fast-food chain in the UK</w:t>
      </w:r>
      <w:r w:rsidR="005A7F0B">
        <w:rPr>
          <w:rFonts w:ascii="Arial" w:hAnsi="Arial" w:cs="Arial"/>
          <w:lang w:val="en-US"/>
        </w:rPr>
        <w:fldChar w:fldCharType="begin"/>
      </w:r>
      <w:r w:rsidR="0016600C">
        <w:rPr>
          <w:rFonts w:ascii="Arial" w:hAnsi="Arial" w:cs="Arial"/>
          <w:lang w:val="en-US"/>
        </w:rPr>
        <w:instrText xml:space="preserve"> ADDIN ZOTERO_ITEM CSL_CITATION {"citationID":"pe45XWIO","properties":{"formattedCitation":"(Inc, no date)","plainCitation":"(Inc, no date)","noteIndex":0},"citationItems":[{"id":496,"uris":["http://zotero.org/users/18628635/items/WSNDBDBR"],"itemData":{"id":496,"type":"webpage","abstract":"Expert industry market research on the Takeaway &amp; Fast-Food Restaurants in the UK (2015-2030). Make better business decisions, faster with IBISWorld's industry market research reports, statistics, analysis, data, trends and forecasts.","language":"en","title":"Takeaway &amp; Fast-Food Restaurants in the UK Industry Analysis, 2025","URL":"https://www.ibisworld.com/united-kingdom/industry/takeaway-fast-food-restaurants/3423/","author":[{"family":"Inc","given":"IBISWorld"}],"accessed":{"date-parts":[["2026",5,10]]}}}],"schema":"https://github.com/citation-style-language/schema/raw/master/csl-citation.json"} </w:instrText>
      </w:r>
      <w:r w:rsidR="005A7F0B">
        <w:rPr>
          <w:rFonts w:ascii="Arial" w:hAnsi="Arial" w:cs="Arial"/>
          <w:lang w:val="en-US"/>
        </w:rPr>
        <w:fldChar w:fldCharType="separate"/>
      </w:r>
      <w:r w:rsidR="0016600C">
        <w:rPr>
          <w:rFonts w:ascii="Arial" w:hAnsi="Arial" w:cs="Arial"/>
          <w:noProof/>
          <w:lang w:val="en-US"/>
        </w:rPr>
        <w:t>(Inc, no date)</w:t>
      </w:r>
      <w:r w:rsidR="005A7F0B">
        <w:rPr>
          <w:rFonts w:ascii="Arial" w:hAnsi="Arial" w:cs="Arial"/>
          <w:lang w:val="en-US"/>
        </w:rPr>
        <w:fldChar w:fldCharType="end"/>
      </w:r>
      <w:r w:rsidRPr="008801C0">
        <w:rPr>
          <w:rFonts w:ascii="Arial" w:hAnsi="Arial" w:cs="Arial"/>
          <w:lang w:val="en-US"/>
        </w:rPr>
        <w:t>. Previously, its external macro-environment was analyzed through the PESTEL model, the industry competition situation was analyzed through Porter's Five Forces model</w:t>
      </w:r>
      <w:r w:rsidR="00ED2D35">
        <w:rPr>
          <w:rFonts w:ascii="Arial" w:hAnsi="Arial" w:cs="Arial"/>
          <w:lang w:val="en-US"/>
        </w:rPr>
        <w:fldChar w:fldCharType="begin"/>
      </w:r>
      <w:r w:rsidR="00C10870">
        <w:rPr>
          <w:rFonts w:ascii="Arial" w:hAnsi="Arial" w:cs="Arial"/>
          <w:lang w:val="en-US"/>
        </w:rPr>
        <w:instrText xml:space="preserve"> ADDIN ZOTERO_ITEM CSL_CITATION {"citationID":"55sZlpNg","properties":{"formattedCitation":"({\\i{}The Five Competitive Forces That Shape Strategy - Article - Faculty &amp; Research - Harvard Business School}, no date)","plainCitation":"(The Five Competitive Forces That Shape Strategy - Article - Faculty &amp; Research - Harvard Business School, no date)","noteIndex":0},"citationItems":[{"id":498,"uris":["http://zotero.org/users/18628635/items/WPXFFKJ5"],"itemData":{"id":498,"type":"webpage","title":"The Five Competitive Forces That Shape Strategy - Article - Faculty &amp; Research - Harvard Business School","URL":"https://www.hbs.edu/faculty/Pages/item.aspx?num=34522","accessed":{"date-parts":[["2026",5,10]]}}}],"schema":"https://github.com/citation-style-language/schema/raw/master/csl-citation.json"} </w:instrText>
      </w:r>
      <w:r w:rsidR="00ED2D35">
        <w:rPr>
          <w:rFonts w:ascii="Arial" w:hAnsi="Arial" w:cs="Arial"/>
          <w:lang w:val="en-US"/>
        </w:rPr>
        <w:fldChar w:fldCharType="separate"/>
      </w:r>
      <w:r w:rsidR="00C10870" w:rsidRPr="00C10870">
        <w:rPr>
          <w:rFonts w:ascii="Arial" w:eastAsiaTheme="minorEastAsia" w:hAnsi="Arial" w:cs="Arial"/>
          <w:kern w:val="0"/>
          <w:szCs w:val="24"/>
          <w:lang w:val="en-US"/>
          <w14:ligatures w14:val="standardContextual"/>
        </w:rPr>
        <w:t>(</w:t>
      </w:r>
      <w:r w:rsidR="00C10870" w:rsidRPr="00C10870">
        <w:rPr>
          <w:rFonts w:ascii="Arial" w:eastAsiaTheme="minorEastAsia" w:hAnsi="Arial" w:cs="Arial"/>
          <w:i/>
          <w:iCs/>
          <w:kern w:val="0"/>
          <w:szCs w:val="24"/>
          <w:lang w:val="en-US"/>
          <w14:ligatures w14:val="standardContextual"/>
        </w:rPr>
        <w:t>The Five Competitive Forces That Shape Strategy - Article - Faculty &amp; Research - Harvard Business School</w:t>
      </w:r>
      <w:r w:rsidR="00C10870" w:rsidRPr="00C10870">
        <w:rPr>
          <w:rFonts w:ascii="Arial" w:eastAsiaTheme="minorEastAsia" w:hAnsi="Arial" w:cs="Arial"/>
          <w:kern w:val="0"/>
          <w:szCs w:val="24"/>
          <w:lang w:val="en-US"/>
          <w14:ligatures w14:val="standardContextual"/>
        </w:rPr>
        <w:t>, no date)</w:t>
      </w:r>
      <w:r w:rsidR="00ED2D35">
        <w:rPr>
          <w:rFonts w:ascii="Arial" w:hAnsi="Arial" w:cs="Arial"/>
          <w:lang w:val="en-US"/>
        </w:rPr>
        <w:fldChar w:fldCharType="end"/>
      </w:r>
      <w:r w:rsidRPr="008801C0">
        <w:rPr>
          <w:rFonts w:ascii="Arial" w:hAnsi="Arial" w:cs="Arial"/>
          <w:lang w:val="en-US"/>
        </w:rPr>
        <w:t>, its internal environment was evaluated using the VRIN framework, and the overall situation was analyzed through the SWOT model</w:t>
      </w:r>
      <w:r w:rsidR="001774D4">
        <w:rPr>
          <w:rFonts w:ascii="Arial" w:hAnsi="Arial" w:cs="Arial"/>
          <w:lang w:val="en-US"/>
        </w:rPr>
        <w:fldChar w:fldCharType="begin"/>
      </w:r>
      <w:r w:rsidR="000B59B2">
        <w:rPr>
          <w:rFonts w:ascii="Arial" w:hAnsi="Arial" w:cs="Arial"/>
          <w:lang w:val="en-US"/>
        </w:rPr>
        <w:instrText xml:space="preserve"> ADDIN ZOTERO_ITEM CSL_CITATION {"citationID":"XWSX535t","properties":{"formattedCitation":"(admin, 2023)","plainCitation":"(admin, 2023)","noteIndex":0},"citationItems":[{"id":500,"uris":["http://zotero.org/users/18628635/items/25RXVSQD"],"itemData":{"id":500,"type":"post-weblog","abstract":"A SWOT analysis is a strategic planning tool used to evaluate the Strengths, Weaknesses, Opportunities, and Threats of a business. In this article we do a SWOT Analysis of Greggs.","container-title":"The Strategy Story","language":"en-US","title":"Greggs SWOT Analysis","URL":"https://thestrategystory.com/blog/greggs-swot-analysis/","author":[{"family":"admin","given":""}],"accessed":{"date-parts":[["2026",5,10]]},"issued":{"date-parts":[["2023",10,6]]}}}],"schema":"https://github.com/citation-style-language/schema/raw/master/csl-citation.json"} </w:instrText>
      </w:r>
      <w:r w:rsidR="001774D4">
        <w:rPr>
          <w:rFonts w:ascii="Arial" w:hAnsi="Arial" w:cs="Arial"/>
          <w:lang w:val="en-US"/>
        </w:rPr>
        <w:fldChar w:fldCharType="separate"/>
      </w:r>
      <w:r w:rsidR="000B59B2">
        <w:rPr>
          <w:rFonts w:ascii="Arial" w:hAnsi="Arial" w:cs="Arial"/>
          <w:noProof/>
          <w:lang w:val="en-US"/>
        </w:rPr>
        <w:t>(admin, 2023)</w:t>
      </w:r>
      <w:r w:rsidR="001774D4">
        <w:rPr>
          <w:rFonts w:ascii="Arial" w:hAnsi="Arial" w:cs="Arial"/>
          <w:lang w:val="en-US"/>
        </w:rPr>
        <w:fldChar w:fldCharType="end"/>
      </w:r>
      <w:r w:rsidRPr="008801C0">
        <w:rPr>
          <w:rFonts w:ascii="Arial" w:hAnsi="Arial" w:cs="Arial"/>
          <w:lang w:val="en-US"/>
        </w:rPr>
        <w:t>. Greggs benefited from its strong brand loyalty, extensive store coverage, efficient internal supply chain, and stable cost advantages</w:t>
      </w:r>
      <w:r w:rsidR="000F73FB">
        <w:rPr>
          <w:rFonts w:ascii="Arial" w:hAnsi="Arial" w:cs="Arial"/>
          <w:lang w:val="en-US"/>
        </w:rPr>
        <w:fldChar w:fldCharType="begin"/>
      </w:r>
      <w:r w:rsidR="00BB0543">
        <w:rPr>
          <w:rFonts w:ascii="Arial" w:hAnsi="Arial" w:cs="Arial"/>
          <w:lang w:val="en-US"/>
        </w:rPr>
        <w:instrText xml:space="preserve"> ADDIN ZOTERO_ITEM CSL_CITATION {"citationID":"79P2og0b","properties":{"formattedCitation":"({\\i{}Greggs Corporate | Results and regulatory news}, no date)","plainCitation":"(Greggs Corporate | Results and regulatory news, no date)","noteIndex":0},"citationItems":[{"id":502,"uris":["http://zotero.org/users/18628635/items/Y8JJ9NG5"],"itemData":{"id":502,"type":"webpage","abstract":"View previous financial reports, as well as financial conduct documents and news.","language":"en-GB","title":"Greggs Corporate | Results and regulatory news","URL":"https://corporate.greggs.co.uk/investors/results-and-regulatory-news","accessed":{"date-parts":[["2026",5,10]]}}}],"schema":"https://github.com/citation-style-language/schema/raw/master/csl-citation.json"} </w:instrText>
      </w:r>
      <w:r w:rsidR="000F73FB">
        <w:rPr>
          <w:rFonts w:ascii="Arial" w:hAnsi="Arial" w:cs="Arial"/>
          <w:lang w:val="en-US"/>
        </w:rPr>
        <w:fldChar w:fldCharType="separate"/>
      </w:r>
      <w:r w:rsidR="00BB0543" w:rsidRPr="00BB0543">
        <w:rPr>
          <w:rFonts w:ascii="Arial" w:eastAsiaTheme="minorEastAsia" w:hAnsi="Arial" w:cs="Arial"/>
          <w:kern w:val="0"/>
          <w:szCs w:val="24"/>
          <w:lang w:val="en-US"/>
          <w14:ligatures w14:val="standardContextual"/>
        </w:rPr>
        <w:t>(</w:t>
      </w:r>
      <w:r w:rsidR="00BB0543" w:rsidRPr="00BB0543">
        <w:rPr>
          <w:rFonts w:ascii="Arial" w:eastAsiaTheme="minorEastAsia" w:hAnsi="Arial" w:cs="Arial"/>
          <w:i/>
          <w:iCs/>
          <w:kern w:val="0"/>
          <w:szCs w:val="24"/>
          <w:lang w:val="en-US"/>
          <w14:ligatures w14:val="standardContextual"/>
        </w:rPr>
        <w:t>Greggs Corporate | Results and regulatory news</w:t>
      </w:r>
      <w:r w:rsidR="00BB0543" w:rsidRPr="00BB0543">
        <w:rPr>
          <w:rFonts w:ascii="Arial" w:eastAsiaTheme="minorEastAsia" w:hAnsi="Arial" w:cs="Arial"/>
          <w:kern w:val="0"/>
          <w:szCs w:val="24"/>
          <w:lang w:val="en-US"/>
          <w14:ligatures w14:val="standardContextual"/>
        </w:rPr>
        <w:t>, no date)</w:t>
      </w:r>
      <w:r w:rsidR="000F73FB">
        <w:rPr>
          <w:rFonts w:ascii="Arial" w:hAnsi="Arial" w:cs="Arial"/>
          <w:lang w:val="en-US"/>
        </w:rPr>
        <w:fldChar w:fldCharType="end"/>
      </w:r>
      <w:r w:rsidRPr="008801C0">
        <w:rPr>
          <w:rFonts w:ascii="Arial" w:hAnsi="Arial" w:cs="Arial"/>
          <w:lang w:val="en-US"/>
        </w:rPr>
        <w:t>. However, it also has key weaknesses, including excessive reliance on traditional products, limited healthy options, and an increased loss of customers to health-conscious competitors</w:t>
      </w:r>
      <w:r w:rsidR="00A70F20">
        <w:rPr>
          <w:rFonts w:ascii="Arial" w:hAnsi="Arial" w:cs="Arial"/>
          <w:lang w:val="en-US"/>
        </w:rPr>
        <w:fldChar w:fldCharType="begin"/>
      </w:r>
      <w:r w:rsidR="00A70F20">
        <w:rPr>
          <w:rFonts w:ascii="Arial" w:hAnsi="Arial" w:cs="Arial"/>
          <w:lang w:val="en-US"/>
        </w:rPr>
        <w:instrText xml:space="preserve"> ADDIN ZOTERO_ITEM CSL_CITATION {"citationID":"Ww0NiDJ4","properties":{"formattedCitation":"({\\i{}GRG DCF Valuation - Greggs PLC}, no date)","plainCitation":"(GRG DCF Valuation - Greggs PLC, no date)","noteIndex":0},"citationItems":[{"id":503,"uris":["http://zotero.org/users/18628635/items/EARQLQV4"],"itemData":{"id":503,"type":"webpage","abstract":"Greggs PLC (LSE:GRG) DCF value calculation. Find out whether GRG is undervalued or overvalued.","container-title":"Alpha Spread","language":"en","title":"GRG DCF Valuation - Greggs PLC","URL":"https://www.alphaspread.com/security/lse/grg/dcf-valuation/base-case","accessed":{"date-parts":[["2026",5,10]]}}}],"schema":"https://github.com/citation-style-language/schema/raw/master/csl-citation.json"} </w:instrText>
      </w:r>
      <w:r w:rsidR="00A70F20">
        <w:rPr>
          <w:rFonts w:ascii="Arial" w:hAnsi="Arial" w:cs="Arial"/>
          <w:lang w:val="en-US"/>
        </w:rPr>
        <w:fldChar w:fldCharType="separate"/>
      </w:r>
      <w:r w:rsidR="00A70F20" w:rsidRPr="00A70F20">
        <w:rPr>
          <w:rFonts w:ascii="Arial" w:eastAsiaTheme="minorEastAsia" w:hAnsi="Arial" w:cs="Arial"/>
          <w:kern w:val="0"/>
          <w:szCs w:val="24"/>
          <w:lang w:val="en-US"/>
          <w14:ligatures w14:val="standardContextual"/>
        </w:rPr>
        <w:t>(</w:t>
      </w:r>
      <w:r w:rsidR="00A70F20" w:rsidRPr="00A70F20">
        <w:rPr>
          <w:rFonts w:ascii="Arial" w:eastAsiaTheme="minorEastAsia" w:hAnsi="Arial" w:cs="Arial"/>
          <w:i/>
          <w:iCs/>
          <w:kern w:val="0"/>
          <w:szCs w:val="24"/>
          <w:lang w:val="en-US"/>
          <w14:ligatures w14:val="standardContextual"/>
        </w:rPr>
        <w:t>GRG DCF Valuation - Greggs PLC</w:t>
      </w:r>
      <w:r w:rsidR="00A70F20" w:rsidRPr="00A70F20">
        <w:rPr>
          <w:rFonts w:ascii="Arial" w:eastAsiaTheme="minorEastAsia" w:hAnsi="Arial" w:cs="Arial"/>
          <w:kern w:val="0"/>
          <w:szCs w:val="24"/>
          <w:lang w:val="en-US"/>
          <w14:ligatures w14:val="standardContextual"/>
        </w:rPr>
        <w:t>, no date)</w:t>
      </w:r>
      <w:r w:rsidR="00A70F20">
        <w:rPr>
          <w:rFonts w:ascii="Arial" w:hAnsi="Arial" w:cs="Arial"/>
          <w:lang w:val="en-US"/>
        </w:rPr>
        <w:fldChar w:fldCharType="end"/>
      </w:r>
      <w:r w:rsidRPr="008801C0">
        <w:rPr>
          <w:rFonts w:ascii="Arial" w:hAnsi="Arial" w:cs="Arial"/>
          <w:lang w:val="en-US"/>
        </w:rPr>
        <w:t>.</w:t>
      </w:r>
    </w:p>
    <w:p w14:paraId="0A39DA0A" w14:textId="516F9C55" w:rsidR="00CC6491" w:rsidRDefault="008801C0" w:rsidP="00FE14F0">
      <w:pPr>
        <w:spacing w:line="360" w:lineRule="auto"/>
        <w:rPr>
          <w:rFonts w:ascii="Arial" w:hAnsi="Arial" w:cs="Arial" w:hint="eastAsia"/>
          <w:lang w:val="en-US"/>
        </w:rPr>
      </w:pPr>
      <w:r w:rsidRPr="008801C0">
        <w:rPr>
          <w:rFonts w:ascii="Arial" w:hAnsi="Arial" w:cs="Arial"/>
          <w:lang w:val="en-US"/>
        </w:rPr>
        <w:t>According to the SOSTAC guideline, based on marketing goals, develop actionable 7Ps strategies, outline practical implementation plans, establish monitoring and adaptation mechanisms, carry out healthy product innovation, and optimize health-oriented brand positioning to enhance long-term competitiveness while maintaining Greggs' core values and convenience advantages.</w:t>
      </w:r>
    </w:p>
    <w:p w14:paraId="6FAAFA81" w14:textId="77777777" w:rsidR="00CC6491" w:rsidRDefault="00CC6491" w:rsidP="00FE14F0">
      <w:pPr>
        <w:spacing w:line="360" w:lineRule="auto"/>
        <w:rPr>
          <w:rFonts w:ascii="Arial" w:hAnsi="Arial" w:cs="Arial"/>
          <w:lang w:val="en-US"/>
        </w:rPr>
      </w:pPr>
    </w:p>
    <w:p w14:paraId="0EBBFFD5" w14:textId="686E6F26" w:rsidR="00FE14F0" w:rsidRPr="002A1396" w:rsidRDefault="00FE14F0" w:rsidP="00FE14F0">
      <w:pPr>
        <w:spacing w:line="360" w:lineRule="auto"/>
        <w:rPr>
          <w:rFonts w:ascii="Arial" w:hAnsi="Arial" w:cs="Arial"/>
          <w:b/>
          <w:bCs/>
          <w:sz w:val="28"/>
          <w:szCs w:val="28"/>
          <w:lang w:val="en-US"/>
        </w:rPr>
      </w:pPr>
      <w:r w:rsidRPr="002A1396">
        <w:rPr>
          <w:rFonts w:ascii="Arial" w:hAnsi="Arial" w:cs="Arial"/>
          <w:b/>
          <w:bCs/>
          <w:sz w:val="28"/>
          <w:szCs w:val="28"/>
          <w:lang w:val="en-US"/>
        </w:rPr>
        <w:t>2.0 Situation Analysis</w:t>
      </w:r>
    </w:p>
    <w:p w14:paraId="5D524CA5" w14:textId="77777777" w:rsidR="00FE14F0" w:rsidRPr="002A1396" w:rsidRDefault="00FE14F0" w:rsidP="00FE14F0">
      <w:pPr>
        <w:spacing w:line="360" w:lineRule="auto"/>
        <w:rPr>
          <w:rFonts w:ascii="Arial" w:hAnsi="Arial" w:cs="Arial"/>
          <w:b/>
          <w:bCs/>
          <w:sz w:val="24"/>
          <w:szCs w:val="24"/>
          <w:lang w:val="en-US"/>
        </w:rPr>
      </w:pPr>
      <w:r w:rsidRPr="002A1396">
        <w:rPr>
          <w:rFonts w:ascii="Arial" w:hAnsi="Arial" w:cs="Arial"/>
          <w:b/>
          <w:bCs/>
          <w:sz w:val="24"/>
          <w:szCs w:val="24"/>
          <w:lang w:val="en-US"/>
        </w:rPr>
        <w:t>2.1 External Environment</w:t>
      </w:r>
    </w:p>
    <w:p w14:paraId="7930B2AC" w14:textId="6808D40A" w:rsidR="00CC6491" w:rsidRDefault="00E7079C" w:rsidP="00FE14F0">
      <w:pPr>
        <w:spacing w:line="360" w:lineRule="auto"/>
        <w:rPr>
          <w:rFonts w:ascii="Arial" w:hAnsi="Arial" w:cs="Arial" w:hint="eastAsia"/>
          <w:lang w:val="en-US"/>
        </w:rPr>
      </w:pPr>
      <w:r w:rsidRPr="00E7079C">
        <w:rPr>
          <w:rFonts w:ascii="Arial" w:hAnsi="Arial" w:cs="Arial"/>
          <w:lang w:val="en-US"/>
        </w:rPr>
        <w:t>In terms of politics, the British government implemented strict anti-obesity regulations and mandatory calorie labeling, prompting Greggs to re-formulate its products</w:t>
      </w:r>
      <w:r w:rsidR="00A263DB">
        <w:rPr>
          <w:rFonts w:ascii="Arial" w:hAnsi="Arial" w:cs="Arial"/>
          <w:lang w:val="en-US"/>
        </w:rPr>
        <w:fldChar w:fldCharType="begin"/>
      </w:r>
      <w:r w:rsidR="00A263DB">
        <w:rPr>
          <w:rFonts w:ascii="Arial" w:hAnsi="Arial" w:cs="Arial"/>
          <w:lang w:val="en-US"/>
        </w:rPr>
        <w:instrText xml:space="preserve"> ADDIN ZOTERO_ITEM CSL_CITATION {"citationID":"Fa7Ln4LY","properties":{"formattedCitation":"(Essman {\\i{}et al.}, 2025)","plainCitation":"(Essman et al., 2025)","noteIndex":0},"citationItems":[{"id":505,"uris":["http://zotero.org/users/18628635/items/JNZ4QB74"],"itemData":{"id":505,"type":"article-journal","abstract":"Introduction Eating from out-of-home food outlets (OHFO) is common and linked to poor dietary quality, weight gain and obesity. In response, England implemented mandatory calorie labelling regulations in April 2022. The aim of this evaluation study was to examine pre–post changes in the energy content of menu items from large OHFO in England after the labelling policy.Methods Energy content of menu items from large OHFO in England was obtained using MenuTracker, a longitudinal database of online menus. Data were collected in two waves: September 2021 (prepolicy) and September 2022 (postpolicy). Linear mixed regression models were used to estimate pre–post changes in mean energy content (kcal) for all items by food group and by chain type. We also examined reformulation by estimating energy content for removed, continuous and new items.Results Overall, a small reduction of 9 (−2.0%) (95% CI: −16 to −1) kcal in mean energy content per item was observed postpolicy. Significant mean reductions per item were found in beverages (−36 (−16.4%); 95% CI: −52 to −21 kcal), burgers (−103 (−11.1%); 95% CI: −150 to −56 kcal) and mains (−30 (−4.2%); 95% CI: −48 to −12 kcal). By chain type, significant mean reductions per item were seen in pubs, bars and inns (−52 (−8.8%); 95% CI: −68 to −36 kcal), restaurants (−23 (−4.9%); 95% CI: −42 to −5 kcal) and sports and entertainment venues (−49 (−13.4%); 95% CI: −79 to −19 kcal). Changes were driven by the removal of higher kcal items (458 kcal, 95% CI: 394 to 523) and addition of lower kcal new items (434 kcal, 95% CI: 370 to 499). There was no significant change in energy content for continuously available items, indicating limited evidence of reformulation.Conclusions The 2022 mandatory calorie labelling policy in England led to a small reduction in the mean energy content of menu items, primarily driven by the removal of higher calorie items and the addition of lower calorie items. Further research is needed to assess long-term effects and strategies to enhance policy impact.","container-title":"BMJ Public Health","DOI":"10.1136/bmjph-2024-001905","ISSN":"2753-4294","issue":"2","journalAbbreviation":"bmjph","language":"en","license":"This is an open access article distributed in accordance with the Creative Commons Attribution 4.0 Unported (CC BY 4.0) license","PMID":"10.1136/bmjph-2024-001905","publisher":"BMJ Publishing Group Ltd","source":"bmjpublichealth.bmj.com","title":"Changes in energy content of menu items at out-of-home food outlets in England after calorie labelling policy implementation: a pre–post analysis (2021–2022)","title-short":"Changes in energy content of menu items at out-of-home food outlets in England after calorie labelling policy implementation","URL":"https://bmjpublichealth.bmj.com/content/3/2/e001905","volume":"3","author":[{"family":"Essman","given":"Michael"},{"family":"Burgoine","given":"Thomas"},{"family":"Huang","given":"Yuru"},{"family":"Jones","given":"Andrew"},{"family":"Polden","given":"Megan"},{"family":"Robinson","given":"Eric"},{"family":"Sharp","given":"Stephen J."},{"family":"Smith","given":"Richard"},{"family":"White","given":"Martin"},{"family":"Adams","given":"Jean"}],"accessed":{"date-parts":[["2026",5,10]]},"issued":{"date-parts":[["2025",10,7]]}}}],"schema":"https://github.com/citation-style-language/schema/raw/master/csl-citation.json"} </w:instrText>
      </w:r>
      <w:r w:rsidR="00A263DB">
        <w:rPr>
          <w:rFonts w:ascii="Arial" w:hAnsi="Arial" w:cs="Arial"/>
          <w:lang w:val="en-US"/>
        </w:rPr>
        <w:fldChar w:fldCharType="separate"/>
      </w:r>
      <w:r w:rsidR="00A263DB" w:rsidRPr="00A263DB">
        <w:rPr>
          <w:rFonts w:ascii="Arial" w:eastAsiaTheme="minorEastAsia" w:hAnsi="Arial" w:cs="Arial"/>
          <w:kern w:val="0"/>
          <w:szCs w:val="24"/>
          <w:lang w:val="en-US"/>
          <w14:ligatures w14:val="standardContextual"/>
        </w:rPr>
        <w:t xml:space="preserve">(Essman </w:t>
      </w:r>
      <w:r w:rsidR="00A263DB" w:rsidRPr="00A263DB">
        <w:rPr>
          <w:rFonts w:ascii="Arial" w:eastAsiaTheme="minorEastAsia" w:hAnsi="Arial" w:cs="Arial"/>
          <w:i/>
          <w:iCs/>
          <w:kern w:val="0"/>
          <w:szCs w:val="24"/>
          <w:lang w:val="en-US"/>
          <w14:ligatures w14:val="standardContextual"/>
        </w:rPr>
        <w:t>et al.</w:t>
      </w:r>
      <w:r w:rsidR="00A263DB" w:rsidRPr="00A263DB">
        <w:rPr>
          <w:rFonts w:ascii="Arial" w:eastAsiaTheme="minorEastAsia" w:hAnsi="Arial" w:cs="Arial"/>
          <w:kern w:val="0"/>
          <w:szCs w:val="24"/>
          <w:lang w:val="en-US"/>
          <w14:ligatures w14:val="standardContextual"/>
        </w:rPr>
        <w:t>, 2025)</w:t>
      </w:r>
      <w:r w:rsidR="00A263DB">
        <w:rPr>
          <w:rFonts w:ascii="Arial" w:hAnsi="Arial" w:cs="Arial"/>
          <w:lang w:val="en-US"/>
        </w:rPr>
        <w:fldChar w:fldCharType="end"/>
      </w:r>
      <w:r w:rsidRPr="00E7079C">
        <w:rPr>
          <w:rFonts w:ascii="Arial" w:hAnsi="Arial" w:cs="Arial"/>
          <w:lang w:val="en-US"/>
        </w:rPr>
        <w:t>. In the economic aspect, high inflation increased operational costs but enhanced consumers' demand for affordable food, supporting Greggs' low-price positioning</w:t>
      </w:r>
      <w:r w:rsidR="004D2B22">
        <w:rPr>
          <w:rFonts w:ascii="Arial" w:hAnsi="Arial" w:cs="Arial"/>
          <w:lang w:val="en-US"/>
        </w:rPr>
        <w:fldChar w:fldCharType="begin"/>
      </w:r>
      <w:r w:rsidR="004D2B22">
        <w:rPr>
          <w:rFonts w:ascii="Arial" w:hAnsi="Arial" w:cs="Arial"/>
          <w:lang w:val="en-US"/>
        </w:rPr>
        <w:instrText xml:space="preserve"> ADDIN ZOTERO_ITEM CSL_CITATION {"citationID":"swD1K0wl","properties":{"formattedCitation":"({\\i{}UK Fast Food Industry Size Share Growth &amp; Analysis - 2034}, no date)","plainCitation":"(UK Fast Food Industry Size Share Growth &amp; Analysis - 2034, no date)","noteIndex":0},"citationItems":[{"id":508,"uris":["http://zotero.org/users/18628635/items/UVRUF2JV"],"itemData":{"id":508,"type":"webpage","abstract":"According to the latest report by the Imarc Group The UK fast food market size is projected to exhibit a growth rate (CAGR) of 5.52% during 2026-2034.","language":"en","title":"UK Fast Food Industry Size Share Growth &amp; Analysis - 2034","URL":"https://www.imarcgroup.com/uk-fast-food-market","accessed":{"date-parts":[["2026",5,10]]}}}],"schema":"https://github.com/citation-style-language/schema/raw/master/csl-citation.json"} </w:instrText>
      </w:r>
      <w:r w:rsidR="004D2B22">
        <w:rPr>
          <w:rFonts w:ascii="Arial" w:hAnsi="Arial" w:cs="Arial"/>
          <w:lang w:val="en-US"/>
        </w:rPr>
        <w:fldChar w:fldCharType="separate"/>
      </w:r>
      <w:r w:rsidR="004D2B22" w:rsidRPr="004D2B22">
        <w:rPr>
          <w:rFonts w:ascii="Arial" w:eastAsiaTheme="minorEastAsia" w:hAnsi="Arial" w:cs="Arial"/>
          <w:kern w:val="0"/>
          <w:szCs w:val="24"/>
          <w:lang w:val="en-US"/>
          <w14:ligatures w14:val="standardContextual"/>
        </w:rPr>
        <w:t>(</w:t>
      </w:r>
      <w:r w:rsidR="004D2B22" w:rsidRPr="004D2B22">
        <w:rPr>
          <w:rFonts w:ascii="Arial" w:eastAsiaTheme="minorEastAsia" w:hAnsi="Arial" w:cs="Arial"/>
          <w:i/>
          <w:iCs/>
          <w:kern w:val="0"/>
          <w:szCs w:val="24"/>
          <w:lang w:val="en-US"/>
          <w14:ligatures w14:val="standardContextual"/>
        </w:rPr>
        <w:t>UK Fast Food Industry Size Share Growth &amp; Analysis - 2034</w:t>
      </w:r>
      <w:r w:rsidR="004D2B22" w:rsidRPr="004D2B22">
        <w:rPr>
          <w:rFonts w:ascii="Arial" w:eastAsiaTheme="minorEastAsia" w:hAnsi="Arial" w:cs="Arial"/>
          <w:kern w:val="0"/>
          <w:szCs w:val="24"/>
          <w:lang w:val="en-US"/>
          <w14:ligatures w14:val="standardContextual"/>
        </w:rPr>
        <w:t>, no date)</w:t>
      </w:r>
      <w:r w:rsidR="004D2B22">
        <w:rPr>
          <w:rFonts w:ascii="Arial" w:hAnsi="Arial" w:cs="Arial"/>
          <w:lang w:val="en-US"/>
        </w:rPr>
        <w:fldChar w:fldCharType="end"/>
      </w:r>
      <w:r w:rsidRPr="00E7079C">
        <w:rPr>
          <w:rFonts w:ascii="Arial" w:hAnsi="Arial" w:cs="Arial"/>
          <w:lang w:val="en-US"/>
        </w:rPr>
        <w:t>. In the social aspect, the growing awareness of health promoted the demand for lighter and more balanced portable meals</w:t>
      </w:r>
      <w:r w:rsidR="00EE7301">
        <w:rPr>
          <w:rFonts w:ascii="Arial" w:hAnsi="Arial" w:cs="Arial"/>
          <w:lang w:val="en-US"/>
        </w:rPr>
        <w:fldChar w:fldCharType="begin"/>
      </w:r>
      <w:r w:rsidR="002C568D">
        <w:rPr>
          <w:rFonts w:ascii="Arial" w:hAnsi="Arial" w:cs="Arial"/>
          <w:lang w:val="en-US"/>
        </w:rPr>
        <w:instrText xml:space="preserve"> ADDIN ZOTERO_ITEM CSL_CITATION {"citationID":"cApg8O36","properties":{"formattedCitation":"({\\i{}UK Food Service Market Insight Report 2025\\uc0\\u8211{}2028}, no date)","plainCitation":"(UK Food Service Market Insight Report 2025–2028, no date)","noteIndex":0},"citationItems":[{"id":509,"uris":["http://zotero.org/users/18628635/items/IRFMUHIX"],"itemData":{"id":509,"type":"webpage","abstract":"Authoritative UK Food Service Market Insight 2025–2028—market size, channel shifts, consumer trends, costs and forecasts. Enter your password to view the PDF","container-title":"UK Food Council","language":"en-GB","title":"UK Food Service Market Insight Report 2025–2028","URL":"https://foodcouncil.uk/ukfsmir2528","accessed":{"date-parts":[["2026",5,10]]}}}],"schema":"https://github.com/citation-style-language/schema/raw/master/csl-citation.json"} </w:instrText>
      </w:r>
      <w:r w:rsidR="00EE7301">
        <w:rPr>
          <w:rFonts w:ascii="Arial" w:hAnsi="Arial" w:cs="Arial"/>
          <w:lang w:val="en-US"/>
        </w:rPr>
        <w:fldChar w:fldCharType="separate"/>
      </w:r>
      <w:r w:rsidR="002C568D" w:rsidRPr="002C568D">
        <w:rPr>
          <w:rFonts w:ascii="Arial" w:eastAsiaTheme="minorEastAsia" w:hAnsi="Arial" w:cs="Arial"/>
          <w:kern w:val="0"/>
          <w:szCs w:val="24"/>
          <w:lang w:val="en-US"/>
          <w14:ligatures w14:val="standardContextual"/>
        </w:rPr>
        <w:t>(</w:t>
      </w:r>
      <w:r w:rsidR="002C568D" w:rsidRPr="002C568D">
        <w:rPr>
          <w:rFonts w:ascii="Arial" w:eastAsiaTheme="minorEastAsia" w:hAnsi="Arial" w:cs="Arial"/>
          <w:i/>
          <w:iCs/>
          <w:kern w:val="0"/>
          <w:szCs w:val="24"/>
          <w:lang w:val="en-US"/>
          <w14:ligatures w14:val="standardContextual"/>
        </w:rPr>
        <w:t>UK Food Service Market Insight Report 2025–2028</w:t>
      </w:r>
      <w:r w:rsidR="002C568D" w:rsidRPr="002C568D">
        <w:rPr>
          <w:rFonts w:ascii="Arial" w:eastAsiaTheme="minorEastAsia" w:hAnsi="Arial" w:cs="Arial"/>
          <w:kern w:val="0"/>
          <w:szCs w:val="24"/>
          <w:lang w:val="en-US"/>
          <w14:ligatures w14:val="standardContextual"/>
        </w:rPr>
        <w:t>, no date)</w:t>
      </w:r>
      <w:r w:rsidR="00EE7301">
        <w:rPr>
          <w:rFonts w:ascii="Arial" w:hAnsi="Arial" w:cs="Arial"/>
          <w:lang w:val="en-US"/>
        </w:rPr>
        <w:fldChar w:fldCharType="end"/>
      </w:r>
      <w:r w:rsidRPr="00E7079C">
        <w:rPr>
          <w:rFonts w:ascii="Arial" w:hAnsi="Arial" w:cs="Arial"/>
          <w:lang w:val="en-US"/>
        </w:rPr>
        <w:t>. In the technological aspect, online ordering and increased efficiency were achieved. In the environmental aspect, laws reduced plastic usage and lowered carbon emissions</w:t>
      </w:r>
      <w:r w:rsidR="00B35756">
        <w:rPr>
          <w:rFonts w:ascii="Arial" w:hAnsi="Arial" w:cs="Arial"/>
          <w:lang w:val="en-US"/>
        </w:rPr>
        <w:fldChar w:fldCharType="begin"/>
      </w:r>
      <w:r w:rsidR="00B35756">
        <w:rPr>
          <w:rFonts w:ascii="Arial" w:hAnsi="Arial" w:cs="Arial"/>
          <w:lang w:val="en-US"/>
        </w:rPr>
        <w:instrText xml:space="preserve"> ADDIN ZOTERO_ITEM CSL_CITATION {"citationID":"O6FYWJ63","properties":{"formattedCitation":"({\\i{}Wider Determinants of Health: statistical commentary on the location of fast food outlets, February 2025}, no date)","plainCitation":"(Wider Determinants of Health: statistical commentary on the location of fast food outlets, February 2025, no date)","noteIndex":0},"citationItems":[{"id":511,"uris":["http://zotero.org/users/18628635/items/XCJGIJKC"],"itemData":{"id":511,"type":"webpage","container-title":"GOV.UK","language":"en","title":"Wider Determinants of Health: statistical commentary on the location of fast food outlets, February 2025","title-short":"Wider Determinants of Health","URL":"https://www.gov.uk/government/statistics/wider-determinants-of-health-february-2025-update/wider-determinants-of-health-statistical-commentary-february-2025","accessed":{"date-parts":[["2026",5,10]]}}}],"schema":"https://github.com/citation-style-language/schema/raw/master/csl-citation.json"} </w:instrText>
      </w:r>
      <w:r w:rsidR="00B35756">
        <w:rPr>
          <w:rFonts w:ascii="Arial" w:hAnsi="Arial" w:cs="Arial"/>
          <w:lang w:val="en-US"/>
        </w:rPr>
        <w:fldChar w:fldCharType="separate"/>
      </w:r>
      <w:r w:rsidR="00B35756" w:rsidRPr="00B35756">
        <w:rPr>
          <w:rFonts w:ascii="Arial" w:eastAsiaTheme="minorEastAsia" w:hAnsi="Arial" w:cs="Arial"/>
          <w:kern w:val="0"/>
          <w:szCs w:val="24"/>
          <w:lang w:val="en-US"/>
          <w14:ligatures w14:val="standardContextual"/>
        </w:rPr>
        <w:t>(</w:t>
      </w:r>
      <w:r w:rsidR="00B35756" w:rsidRPr="00B35756">
        <w:rPr>
          <w:rFonts w:ascii="Arial" w:eastAsiaTheme="minorEastAsia" w:hAnsi="Arial" w:cs="Arial"/>
          <w:i/>
          <w:iCs/>
          <w:kern w:val="0"/>
          <w:szCs w:val="24"/>
          <w:lang w:val="en-US"/>
          <w14:ligatures w14:val="standardContextual"/>
        </w:rPr>
        <w:t xml:space="preserve">Wider Determinants of </w:t>
      </w:r>
      <w:r w:rsidR="00B35756" w:rsidRPr="00B35756">
        <w:rPr>
          <w:rFonts w:ascii="Arial" w:eastAsiaTheme="minorEastAsia" w:hAnsi="Arial" w:cs="Arial"/>
          <w:i/>
          <w:iCs/>
          <w:kern w:val="0"/>
          <w:szCs w:val="24"/>
          <w:lang w:val="en-US"/>
          <w14:ligatures w14:val="standardContextual"/>
        </w:rPr>
        <w:lastRenderedPageBreak/>
        <w:t>Health: statistical commentary on the location of fast food outlets, February 2025</w:t>
      </w:r>
      <w:r w:rsidR="00B35756" w:rsidRPr="00B35756">
        <w:rPr>
          <w:rFonts w:ascii="Arial" w:eastAsiaTheme="minorEastAsia" w:hAnsi="Arial" w:cs="Arial"/>
          <w:kern w:val="0"/>
          <w:szCs w:val="24"/>
          <w:lang w:val="en-US"/>
          <w14:ligatures w14:val="standardContextual"/>
        </w:rPr>
        <w:t>, no date)</w:t>
      </w:r>
      <w:r w:rsidR="00B35756">
        <w:rPr>
          <w:rFonts w:ascii="Arial" w:hAnsi="Arial" w:cs="Arial"/>
          <w:lang w:val="en-US"/>
        </w:rPr>
        <w:fldChar w:fldCharType="end"/>
      </w:r>
      <w:r w:rsidRPr="00E7079C">
        <w:rPr>
          <w:rFonts w:ascii="Arial" w:hAnsi="Arial" w:cs="Arial"/>
          <w:lang w:val="en-US"/>
        </w:rPr>
        <w:t>. In the legal aspect, Greggs must maintain high food safety standards and provide transparent product information.</w:t>
      </w:r>
    </w:p>
    <w:p w14:paraId="1FC01EB6" w14:textId="77777777" w:rsidR="00CC6491" w:rsidRDefault="00CC6491" w:rsidP="00FE14F0">
      <w:pPr>
        <w:spacing w:line="360" w:lineRule="auto"/>
        <w:rPr>
          <w:rFonts w:ascii="Arial" w:hAnsi="Arial" w:cs="Arial"/>
          <w:lang w:val="en-US"/>
        </w:rPr>
      </w:pPr>
    </w:p>
    <w:p w14:paraId="39532D9C" w14:textId="5C435FD4" w:rsidR="00FE14F0" w:rsidRPr="002A1396" w:rsidRDefault="00FE14F0" w:rsidP="00FE14F0">
      <w:pPr>
        <w:spacing w:line="360" w:lineRule="auto"/>
        <w:rPr>
          <w:rFonts w:ascii="Arial" w:hAnsi="Arial" w:cs="Arial" w:hint="eastAsia"/>
          <w:b/>
          <w:bCs/>
          <w:sz w:val="24"/>
          <w:szCs w:val="24"/>
          <w:lang w:val="en-US"/>
        </w:rPr>
      </w:pPr>
      <w:r w:rsidRPr="002A1396">
        <w:rPr>
          <w:rFonts w:ascii="Arial" w:hAnsi="Arial" w:cs="Arial"/>
          <w:b/>
          <w:bCs/>
          <w:sz w:val="24"/>
          <w:szCs w:val="24"/>
          <w:lang w:val="en-US"/>
        </w:rPr>
        <w:t>2.2 Industry Competitive Environment</w:t>
      </w:r>
    </w:p>
    <w:p w14:paraId="744BB9FD" w14:textId="6BE9F753" w:rsidR="00CC6491" w:rsidRDefault="008476F7" w:rsidP="00FE14F0">
      <w:pPr>
        <w:spacing w:line="360" w:lineRule="auto"/>
        <w:rPr>
          <w:rFonts w:ascii="Arial" w:hAnsi="Arial" w:cs="Arial" w:hint="eastAsia"/>
          <w:lang w:val="en-US"/>
        </w:rPr>
      </w:pPr>
      <w:r w:rsidRPr="008476F7">
        <w:rPr>
          <w:rFonts w:ascii="Arial" w:hAnsi="Arial" w:cs="Arial"/>
          <w:lang w:val="en-US"/>
        </w:rPr>
        <w:t xml:space="preserve">The </w:t>
      </w:r>
      <w:proofErr w:type="gramStart"/>
      <w:r w:rsidRPr="008476F7">
        <w:rPr>
          <w:rFonts w:ascii="Arial" w:hAnsi="Arial" w:cs="Arial"/>
          <w:lang w:val="en-US"/>
        </w:rPr>
        <w:t>fast food</w:t>
      </w:r>
      <w:proofErr w:type="gramEnd"/>
      <w:r w:rsidRPr="008476F7">
        <w:rPr>
          <w:rFonts w:ascii="Arial" w:hAnsi="Arial" w:cs="Arial"/>
          <w:lang w:val="en-US"/>
        </w:rPr>
        <w:t xml:space="preserve"> industry in the UK is highly competitive, with fierce competition from large chain enterprises such as McDonald's and Starbucks, as well as emerging healthy and quick-service brands. Due to the high capital investment required for supply chain and store network construction, the threat from new entrants is relatively low. The threat of substitution is at a medium level, as supermarket sandwiches and high-quality salads attract health-conscious consumers. Greggs has strong bargaining power with suppliers due to its large purchase volume, while consumers' bargaining power is constrained by high brand loyalty and low prices.</w:t>
      </w:r>
    </w:p>
    <w:p w14:paraId="4A77C025" w14:textId="77777777" w:rsidR="00CC6491" w:rsidRDefault="00CC6491" w:rsidP="00FE14F0">
      <w:pPr>
        <w:spacing w:line="360" w:lineRule="auto"/>
        <w:rPr>
          <w:rFonts w:ascii="Arial" w:hAnsi="Arial" w:cs="Arial"/>
          <w:lang w:val="en-US"/>
        </w:rPr>
      </w:pPr>
    </w:p>
    <w:p w14:paraId="47098114" w14:textId="182B26AF" w:rsidR="00FE14F0" w:rsidRPr="002A1396" w:rsidRDefault="00FE14F0" w:rsidP="00FE14F0">
      <w:pPr>
        <w:spacing w:line="360" w:lineRule="auto"/>
        <w:rPr>
          <w:rFonts w:ascii="Arial" w:hAnsi="Arial" w:cs="Arial"/>
          <w:b/>
          <w:bCs/>
          <w:sz w:val="24"/>
          <w:szCs w:val="24"/>
          <w:lang w:val="en-US"/>
        </w:rPr>
      </w:pPr>
      <w:r w:rsidRPr="002A1396">
        <w:rPr>
          <w:rFonts w:ascii="Arial" w:hAnsi="Arial" w:cs="Arial"/>
          <w:b/>
          <w:bCs/>
          <w:sz w:val="24"/>
          <w:szCs w:val="24"/>
          <w:lang w:val="en-US"/>
        </w:rPr>
        <w:t>2.3 Internal Capabilities</w:t>
      </w:r>
    </w:p>
    <w:p w14:paraId="7B325445" w14:textId="507FCCC1" w:rsidR="00CC6491" w:rsidRDefault="008476F7" w:rsidP="00FE14F0">
      <w:pPr>
        <w:spacing w:line="360" w:lineRule="auto"/>
        <w:rPr>
          <w:rFonts w:ascii="Arial" w:hAnsi="Arial" w:cs="Arial" w:hint="eastAsia"/>
          <w:lang w:val="en-US"/>
        </w:rPr>
      </w:pPr>
      <w:r w:rsidRPr="008476F7">
        <w:rPr>
          <w:rFonts w:ascii="Arial" w:hAnsi="Arial" w:cs="Arial"/>
          <w:lang w:val="en-US"/>
        </w:rPr>
        <w:t>Through the VRIN framework analysis, Greggs possesses valuable, scarce, non-replicable, and non-substitutable advantages. Its store density, national brand identity, low-cost supply chain, and standardized operation system have created sustainable competitive advantages that are difficult for competitors to easily replicate. These capabilities support stable product quality, high convenience, and strong customer loyalty.</w:t>
      </w:r>
    </w:p>
    <w:p w14:paraId="780F374B" w14:textId="77777777" w:rsidR="00CC6491" w:rsidRDefault="00CC6491" w:rsidP="00FE14F0">
      <w:pPr>
        <w:spacing w:line="360" w:lineRule="auto"/>
        <w:rPr>
          <w:rFonts w:ascii="Arial" w:hAnsi="Arial" w:cs="Arial"/>
          <w:lang w:val="en-US"/>
        </w:rPr>
      </w:pPr>
    </w:p>
    <w:p w14:paraId="52A9BA13" w14:textId="54D7DB91" w:rsidR="00FE14F0" w:rsidRPr="002A1396" w:rsidRDefault="00FE14F0" w:rsidP="00FE14F0">
      <w:pPr>
        <w:spacing w:line="360" w:lineRule="auto"/>
        <w:rPr>
          <w:rFonts w:ascii="Arial" w:hAnsi="Arial" w:cs="Arial" w:hint="eastAsia"/>
          <w:b/>
          <w:bCs/>
          <w:sz w:val="24"/>
          <w:szCs w:val="24"/>
          <w:lang w:val="en-US"/>
        </w:rPr>
      </w:pPr>
      <w:r w:rsidRPr="002A1396">
        <w:rPr>
          <w:rFonts w:ascii="Arial" w:hAnsi="Arial" w:cs="Arial"/>
          <w:b/>
          <w:bCs/>
          <w:sz w:val="24"/>
          <w:szCs w:val="24"/>
          <w:lang w:val="en-US"/>
        </w:rPr>
        <w:t>2.4 SWOT Summary &amp; Strategic Focus Area</w:t>
      </w:r>
    </w:p>
    <w:p w14:paraId="5785F6F6" w14:textId="77777777" w:rsidR="00300FBC" w:rsidRPr="00300FBC" w:rsidRDefault="00300FBC" w:rsidP="00300FBC">
      <w:pPr>
        <w:spacing w:line="360" w:lineRule="auto"/>
        <w:rPr>
          <w:rFonts w:ascii="Arial" w:hAnsi="Arial" w:cs="Arial"/>
          <w:lang w:val="en-US"/>
        </w:rPr>
      </w:pPr>
      <w:r w:rsidRPr="00300FBC">
        <w:rPr>
          <w:rFonts w:ascii="Arial" w:hAnsi="Arial" w:cs="Arial"/>
          <w:lang w:val="en-US"/>
        </w:rPr>
        <w:t>The strengths of Greggs include low costs, extensive store coverage, strong brand loyalty, and control over the supply chain. Its weaknesses lie in its limited understanding of healthy products and its excessive reliance on traditional product lines. Opportunities include the growing demand for affordable healthy food and the development of eco-friendly brands. Threats include rising costs and customer loss to competitors who focus on health.</w:t>
      </w:r>
    </w:p>
    <w:p w14:paraId="466F391E" w14:textId="4E5FA8A7" w:rsidR="00CC6491" w:rsidRDefault="00300FBC" w:rsidP="00FE14F0">
      <w:pPr>
        <w:spacing w:line="360" w:lineRule="auto"/>
        <w:rPr>
          <w:rFonts w:ascii="Arial" w:hAnsi="Arial" w:cs="Arial" w:hint="eastAsia"/>
          <w:lang w:val="en-US"/>
        </w:rPr>
      </w:pPr>
      <w:r w:rsidRPr="00300FBC">
        <w:rPr>
          <w:rFonts w:ascii="Arial" w:hAnsi="Arial" w:cs="Arial"/>
          <w:lang w:val="en-US"/>
        </w:rPr>
        <w:t xml:space="preserve">The strategic priorities selected for the marketing plan are to innovate healthy products and reposition the brand, </w:t>
      </w:r>
      <w:proofErr w:type="gramStart"/>
      <w:r w:rsidRPr="00300FBC">
        <w:rPr>
          <w:rFonts w:ascii="Arial" w:hAnsi="Arial" w:cs="Arial"/>
          <w:lang w:val="en-US"/>
        </w:rPr>
        <w:t>in order to</w:t>
      </w:r>
      <w:proofErr w:type="gramEnd"/>
      <w:r w:rsidRPr="00300FBC">
        <w:rPr>
          <w:rFonts w:ascii="Arial" w:hAnsi="Arial" w:cs="Arial"/>
          <w:lang w:val="en-US"/>
        </w:rPr>
        <w:t xml:space="preserve"> enhance health awareness, reduce customer attrition rates, and drive sustainable sales growth without abandoning Greggs' value positioning.</w:t>
      </w:r>
    </w:p>
    <w:p w14:paraId="545454A0" w14:textId="60E82F66" w:rsidR="00FE14F0" w:rsidRPr="002A1396" w:rsidRDefault="00FE14F0" w:rsidP="00FE14F0">
      <w:pPr>
        <w:spacing w:line="360" w:lineRule="auto"/>
        <w:rPr>
          <w:rFonts w:ascii="Arial" w:hAnsi="Arial" w:cs="Arial"/>
          <w:b/>
          <w:bCs/>
          <w:sz w:val="28"/>
          <w:szCs w:val="28"/>
          <w:lang w:val="en-US"/>
        </w:rPr>
      </w:pPr>
      <w:r w:rsidRPr="002A1396">
        <w:rPr>
          <w:rFonts w:ascii="Arial" w:hAnsi="Arial" w:cs="Arial"/>
          <w:b/>
          <w:bCs/>
          <w:sz w:val="28"/>
          <w:szCs w:val="28"/>
          <w:lang w:val="en-US"/>
        </w:rPr>
        <w:lastRenderedPageBreak/>
        <w:t>3.0 Marketing Objectives</w:t>
      </w:r>
    </w:p>
    <w:p w14:paraId="423F6347" w14:textId="77777777" w:rsidR="00FE14F0" w:rsidRPr="002A1396" w:rsidRDefault="00FE14F0" w:rsidP="00FE14F0">
      <w:pPr>
        <w:spacing w:line="360" w:lineRule="auto"/>
        <w:rPr>
          <w:rFonts w:ascii="Arial" w:hAnsi="Arial" w:cs="Arial" w:hint="eastAsia"/>
          <w:b/>
          <w:bCs/>
          <w:sz w:val="24"/>
          <w:szCs w:val="24"/>
          <w:lang w:val="en-US"/>
        </w:rPr>
      </w:pPr>
      <w:r w:rsidRPr="002A1396">
        <w:rPr>
          <w:rFonts w:ascii="Arial" w:hAnsi="Arial" w:cs="Arial"/>
          <w:b/>
          <w:bCs/>
          <w:sz w:val="24"/>
          <w:szCs w:val="24"/>
          <w:lang w:val="en-US"/>
        </w:rPr>
        <w:t>3.1 SMART Objectives</w:t>
      </w:r>
    </w:p>
    <w:p w14:paraId="23F29E99" w14:textId="5B380378" w:rsidR="00CC6491" w:rsidRDefault="0073797C" w:rsidP="00FE14F0">
      <w:pPr>
        <w:spacing w:line="360" w:lineRule="auto"/>
        <w:rPr>
          <w:rFonts w:ascii="Arial" w:hAnsi="Arial" w:cs="Arial" w:hint="eastAsia"/>
          <w:lang w:val="en-US"/>
        </w:rPr>
      </w:pPr>
      <w:r w:rsidRPr="0073797C">
        <w:rPr>
          <w:rFonts w:ascii="Arial" w:hAnsi="Arial" w:cs="Arial"/>
          <w:lang w:val="en-US"/>
        </w:rPr>
        <w:t>Based on Greggs' weaknesses, opportunities and threats. According to the SMART principle</w:t>
      </w:r>
      <w:r w:rsidR="00FC42BA">
        <w:rPr>
          <w:rFonts w:ascii="Arial" w:hAnsi="Arial" w:cs="Arial"/>
          <w:lang w:val="en-US"/>
        </w:rPr>
        <w:fldChar w:fldCharType="begin"/>
      </w:r>
      <w:r w:rsidR="0016600C">
        <w:rPr>
          <w:rFonts w:ascii="Arial" w:hAnsi="Arial" w:cs="Arial"/>
          <w:lang w:val="en-US"/>
        </w:rPr>
        <w:instrText xml:space="preserve"> ADDIN ZOTERO_ITEM CSL_CITATION {"citationID":"vZGAqzLb","properties":{"formattedCitation":"(Johnson {\\i{}et al.}, 2020)","plainCitation":"(Johnson et al., 2020)","noteIndex":0},"citationItems":[{"id":518,"uris":["http://zotero.org/users/18628635/items/GAI2XDZJ"],"itemData":{"id":518,"type":"book","abstract":"Exploring Strategy, 12th Edition, by Whittington, Angwin, Regner, Johnson and Scholes has long been the essential introduction to strategy for the managers of today and tomorrow and has sold over one million copies worldwide. From entrepreneurial start-ups to multinationals, charities to government agencies, this book raises the big questions about organisations – how they prosper, how they grow, how they innovate and how they change. Text and Cases also provides a wealth of extra case studies written by experts in the subject to aid and enrich your understanding. Examples are taken from events and organisations as diverse as Adnams, Siemens, Air Asia, Apple, Handelsbanken, Glastonbury and the Indian Premier League","edition":"Twelfth edition","ISBN":"978-1-292-28245-9","language":"en","number-of-pages":"1","publisher":"Pearson","publisher-place":"Harlow, England London New York Munich [und 18 andere]","source":"K10plus ISBN","title":"Exploring strategy: text and cases","title-short":"Exploring strategy","author":[{"family":"Johnson","given":"Gerry"},{"family":"Whittington","given":"Richard"},{"family":"Scholes","given":"Kevan"},{"family":"Angwin","given":"Duncan"},{"family":"Regnér","given":"Patrick"}],"contributor":[{"family":"Evans","given":"Jason"},{"family":"Kerridge","given":"Clive"},{"family":"Pyle","given":"Steve"}],"issued":{"date-parts":[["2020"]]}}}],"schema":"https://github.com/citation-style-language/schema/raw/master/csl-citation.json"} </w:instrText>
      </w:r>
      <w:r w:rsidR="00FC42BA">
        <w:rPr>
          <w:rFonts w:ascii="Arial" w:hAnsi="Arial" w:cs="Arial"/>
          <w:lang w:val="en-US"/>
        </w:rPr>
        <w:fldChar w:fldCharType="separate"/>
      </w:r>
      <w:r w:rsidR="0016600C" w:rsidRPr="0016600C">
        <w:rPr>
          <w:rFonts w:ascii="Arial" w:eastAsiaTheme="minorEastAsia" w:hAnsi="Arial" w:cs="Arial"/>
          <w:kern w:val="0"/>
          <w:szCs w:val="24"/>
          <w:lang w:val="en-US"/>
          <w14:ligatures w14:val="standardContextual"/>
        </w:rPr>
        <w:t xml:space="preserve">(Johnson </w:t>
      </w:r>
      <w:r w:rsidR="0016600C" w:rsidRPr="0016600C">
        <w:rPr>
          <w:rFonts w:ascii="Arial" w:eastAsiaTheme="minorEastAsia" w:hAnsi="Arial" w:cs="Arial"/>
          <w:i/>
          <w:iCs/>
          <w:kern w:val="0"/>
          <w:szCs w:val="24"/>
          <w:lang w:val="en-US"/>
          <w14:ligatures w14:val="standardContextual"/>
        </w:rPr>
        <w:t>et al.</w:t>
      </w:r>
      <w:r w:rsidR="0016600C" w:rsidRPr="0016600C">
        <w:rPr>
          <w:rFonts w:ascii="Arial" w:eastAsiaTheme="minorEastAsia" w:hAnsi="Arial" w:cs="Arial"/>
          <w:kern w:val="0"/>
          <w:szCs w:val="24"/>
          <w:lang w:val="en-US"/>
          <w14:ligatures w14:val="standardContextual"/>
        </w:rPr>
        <w:t>, 2020)</w:t>
      </w:r>
      <w:r w:rsidR="00FC42BA">
        <w:rPr>
          <w:rFonts w:ascii="Arial" w:hAnsi="Arial" w:cs="Arial"/>
          <w:lang w:val="en-US"/>
        </w:rPr>
        <w:fldChar w:fldCharType="end"/>
      </w:r>
      <w:r w:rsidRPr="0073797C">
        <w:rPr>
          <w:rFonts w:ascii="Arial" w:hAnsi="Arial" w:cs="Arial"/>
          <w:lang w:val="en-US"/>
        </w:rPr>
        <w:t>, Greggs should increase the sales contribution rate of health-oriented products, and ensure that the highest price premium of the newly launched healthy products compared to the standard product line does not exceed 10 - 15 pence, so as not to affect the affordability and accessibility of the products.</w:t>
      </w:r>
    </w:p>
    <w:p w14:paraId="7F350C23" w14:textId="77777777" w:rsidR="00CC6491" w:rsidRDefault="00CC6491" w:rsidP="00FE14F0">
      <w:pPr>
        <w:spacing w:line="360" w:lineRule="auto"/>
        <w:rPr>
          <w:rFonts w:ascii="Arial" w:hAnsi="Arial" w:cs="Arial"/>
          <w:lang w:val="en-US"/>
        </w:rPr>
      </w:pPr>
    </w:p>
    <w:p w14:paraId="14D07CE1" w14:textId="2DBB22DC" w:rsidR="00FE14F0" w:rsidRPr="002A1396" w:rsidRDefault="00FE14F0" w:rsidP="00FE14F0">
      <w:pPr>
        <w:spacing w:line="360" w:lineRule="auto"/>
        <w:rPr>
          <w:rFonts w:ascii="Arial" w:hAnsi="Arial" w:cs="Arial"/>
          <w:b/>
          <w:bCs/>
          <w:sz w:val="24"/>
          <w:szCs w:val="24"/>
          <w:lang w:val="en-US"/>
        </w:rPr>
      </w:pPr>
      <w:r w:rsidRPr="002A1396">
        <w:rPr>
          <w:rFonts w:ascii="Arial" w:hAnsi="Arial" w:cs="Arial"/>
          <w:b/>
          <w:bCs/>
          <w:sz w:val="24"/>
          <w:szCs w:val="24"/>
          <w:lang w:val="en-US"/>
        </w:rPr>
        <w:t>3.2 Alignment with Organizational Goals</w:t>
      </w:r>
    </w:p>
    <w:p w14:paraId="1415782F" w14:textId="7434EAFD" w:rsidR="00CC6491" w:rsidRDefault="007F15A3" w:rsidP="007F15A3">
      <w:pPr>
        <w:tabs>
          <w:tab w:val="left" w:pos="727"/>
        </w:tabs>
        <w:spacing w:line="360" w:lineRule="auto"/>
        <w:rPr>
          <w:rFonts w:ascii="Arial" w:hAnsi="Arial" w:cs="Arial" w:hint="eastAsia"/>
          <w:lang w:val="en-US"/>
        </w:rPr>
      </w:pPr>
      <w:r w:rsidRPr="007F15A3">
        <w:rPr>
          <w:rFonts w:ascii="Arial" w:hAnsi="Arial" w:cs="Arial"/>
          <w:lang w:val="en-US"/>
        </w:rPr>
        <w:t>This will help Greggs achieve its corporate goals such as sustainable growth and long-term brand stability. By improving the health level of the product range, it reduces reputational risks, expands its appeal to health-conscious consumers, and enhances its defensive advantage over competitors targeting the health-consumption market.</w:t>
      </w:r>
    </w:p>
    <w:p w14:paraId="07ACFD1D" w14:textId="77777777" w:rsidR="00CC6491" w:rsidRDefault="00CC6491" w:rsidP="00FE14F0">
      <w:pPr>
        <w:spacing w:line="360" w:lineRule="auto"/>
        <w:rPr>
          <w:rFonts w:ascii="Arial" w:hAnsi="Arial" w:cs="Arial"/>
          <w:lang w:val="en-US"/>
        </w:rPr>
      </w:pPr>
    </w:p>
    <w:p w14:paraId="1D536E4D" w14:textId="16B06204" w:rsidR="00FE14F0" w:rsidRPr="002A1396" w:rsidRDefault="00FE14F0" w:rsidP="00FE14F0">
      <w:pPr>
        <w:spacing w:line="360" w:lineRule="auto"/>
        <w:rPr>
          <w:rFonts w:ascii="Arial" w:hAnsi="Arial" w:cs="Arial"/>
          <w:b/>
          <w:bCs/>
          <w:sz w:val="28"/>
          <w:szCs w:val="28"/>
          <w:lang w:val="en-US"/>
        </w:rPr>
      </w:pPr>
      <w:r w:rsidRPr="002A1396">
        <w:rPr>
          <w:rFonts w:ascii="Arial" w:hAnsi="Arial" w:cs="Arial"/>
          <w:b/>
          <w:bCs/>
          <w:sz w:val="28"/>
          <w:szCs w:val="28"/>
          <w:lang w:val="en-US"/>
        </w:rPr>
        <w:t>4.0 Marketing Strategy</w:t>
      </w:r>
    </w:p>
    <w:p w14:paraId="24BB3A0B" w14:textId="77777777" w:rsidR="00FE14F0" w:rsidRPr="002A1396" w:rsidRDefault="00FE14F0" w:rsidP="00FE14F0">
      <w:pPr>
        <w:spacing w:line="360" w:lineRule="auto"/>
        <w:rPr>
          <w:rFonts w:ascii="Arial" w:hAnsi="Arial" w:cs="Arial"/>
          <w:b/>
          <w:bCs/>
          <w:sz w:val="24"/>
          <w:szCs w:val="24"/>
          <w:lang w:val="en-US"/>
        </w:rPr>
      </w:pPr>
      <w:r w:rsidRPr="002A1396">
        <w:rPr>
          <w:rFonts w:ascii="Arial" w:hAnsi="Arial" w:cs="Arial"/>
          <w:b/>
          <w:bCs/>
          <w:sz w:val="24"/>
          <w:szCs w:val="24"/>
          <w:lang w:val="en-US"/>
        </w:rPr>
        <w:t>4.1 Segmentation, Targeting and Positioning (STP)</w:t>
      </w:r>
    </w:p>
    <w:p w14:paraId="2783AC5C" w14:textId="5C377E77" w:rsidR="007F3D2B" w:rsidRPr="007F3D2B" w:rsidRDefault="007F3D2B" w:rsidP="007F3D2B">
      <w:pPr>
        <w:spacing w:line="360" w:lineRule="auto"/>
        <w:rPr>
          <w:rFonts w:ascii="Arial" w:hAnsi="Arial" w:cs="Arial"/>
          <w:lang w:val="en-US"/>
        </w:rPr>
      </w:pPr>
      <w:r w:rsidRPr="007F3D2B">
        <w:rPr>
          <w:rFonts w:ascii="Arial" w:hAnsi="Arial" w:cs="Arial"/>
          <w:lang w:val="en-US"/>
        </w:rPr>
        <w:t>Market segmentation has identified three main groups: price-sensitive daily consumers, office and commuters seeking convenience, and mainstream family customers who prioritize balance and do not seek high prices. These customers are those who seek low-cost, convenient, and now healthier food</w:t>
      </w:r>
      <w:r w:rsidR="00867ABC">
        <w:rPr>
          <w:rFonts w:ascii="Arial" w:hAnsi="Arial" w:cs="Arial"/>
          <w:lang w:val="en-US"/>
        </w:rPr>
        <w:fldChar w:fldCharType="begin"/>
      </w:r>
      <w:r w:rsidR="0032100B">
        <w:rPr>
          <w:rFonts w:ascii="Arial" w:hAnsi="Arial" w:cs="Arial"/>
          <w:lang w:val="en-US"/>
        </w:rPr>
        <w:instrText xml:space="preserve"> ADDIN ZOTERO_ITEM CSL_CITATION {"citationID":"iPUhqEAH","properties":{"formattedCitation":"(Agency and Ireland, 2025)","plainCitation":"(Agency and Ireland, 2025)","noteIndex":0},"citationItems":[{"id":519,"uris":["http://zotero.org/users/18628635/items/LZBIGYIX"],"itemData":{"id":519,"type":"article-journal","abstract":"Original report can be downloaded from data sets/files.","container-title":"FSA Research and Evidence","DOI":"10.46756/001c.130815","journalAbbreviation":"Food Standards Agency","language":"en","source":"science.food.gov.uk","title":"Making Food Better Tracker Survey 2024","URL":"https://science.food.gov.uk/article/130815-making-food-better-tracker-survey-2024","author":[{"family":"Agency","given":"Food Standards"},{"family":"Ireland","given":"IPSOS Northern"}],"accessed":{"date-parts":[["2026",5,10]]},"issued":{"date-parts":[["2025",2,27]]}}}],"schema":"https://github.com/citation-style-language/schema/raw/master/csl-citation.json"} </w:instrText>
      </w:r>
      <w:r w:rsidR="00867ABC">
        <w:rPr>
          <w:rFonts w:ascii="Arial" w:hAnsi="Arial" w:cs="Arial"/>
          <w:lang w:val="en-US"/>
        </w:rPr>
        <w:fldChar w:fldCharType="separate"/>
      </w:r>
      <w:r w:rsidR="0032100B">
        <w:rPr>
          <w:rFonts w:ascii="Arial" w:hAnsi="Arial" w:cs="Arial"/>
          <w:noProof/>
          <w:lang w:val="en-US"/>
        </w:rPr>
        <w:t>(Agency and Ireland, 2025)</w:t>
      </w:r>
      <w:r w:rsidR="00867ABC">
        <w:rPr>
          <w:rFonts w:ascii="Arial" w:hAnsi="Arial" w:cs="Arial"/>
          <w:lang w:val="en-US"/>
        </w:rPr>
        <w:fldChar w:fldCharType="end"/>
      </w:r>
      <w:r w:rsidRPr="007F3D2B">
        <w:rPr>
          <w:rFonts w:ascii="Arial" w:hAnsi="Arial" w:cs="Arial"/>
          <w:lang w:val="en-US"/>
        </w:rPr>
        <w:t>.</w:t>
      </w:r>
    </w:p>
    <w:p w14:paraId="01781034" w14:textId="77777777" w:rsidR="007F3D2B" w:rsidRPr="007F3D2B" w:rsidRDefault="007F3D2B" w:rsidP="007F3D2B">
      <w:pPr>
        <w:spacing w:line="360" w:lineRule="auto"/>
        <w:rPr>
          <w:rFonts w:ascii="Arial" w:hAnsi="Arial" w:cs="Arial"/>
          <w:lang w:val="en-US"/>
        </w:rPr>
      </w:pPr>
      <w:r w:rsidRPr="007F3D2B">
        <w:rPr>
          <w:rFonts w:ascii="Arial" w:hAnsi="Arial" w:cs="Arial"/>
          <w:lang w:val="en-US"/>
        </w:rPr>
        <w:t>Target positioning focuses on Greggs' core customer group, individuals who seek low-cost, convenient, and healthier food. This group avoids expensive salad chains and is increasingly avoiding overly indulgent fast food. For the existing customer group, Greggs needs to reduce acquisition costs and leverage its existing stores and supply chain resources to enhance its competitive advantage.</w:t>
      </w:r>
    </w:p>
    <w:p w14:paraId="441F9E3A" w14:textId="5179DA3D" w:rsidR="00CC6491" w:rsidRDefault="007F3D2B" w:rsidP="00FE14F0">
      <w:pPr>
        <w:spacing w:line="360" w:lineRule="auto"/>
        <w:rPr>
          <w:rFonts w:ascii="Arial" w:hAnsi="Arial" w:cs="Arial" w:hint="eastAsia"/>
          <w:lang w:val="en-US"/>
        </w:rPr>
      </w:pPr>
      <w:r w:rsidRPr="007F3D2B">
        <w:rPr>
          <w:rFonts w:ascii="Arial" w:hAnsi="Arial" w:cs="Arial"/>
          <w:lang w:val="en-US"/>
        </w:rPr>
        <w:t xml:space="preserve">Greggs' positioning should be a chain of </w:t>
      </w:r>
      <w:proofErr w:type="gramStart"/>
      <w:r w:rsidRPr="007F3D2B">
        <w:rPr>
          <w:rFonts w:ascii="Arial" w:hAnsi="Arial" w:cs="Arial"/>
          <w:lang w:val="en-US"/>
        </w:rPr>
        <w:t>fast food</w:t>
      </w:r>
      <w:proofErr w:type="gramEnd"/>
      <w:r w:rsidRPr="007F3D2B">
        <w:rPr>
          <w:rFonts w:ascii="Arial" w:hAnsi="Arial" w:cs="Arial"/>
          <w:lang w:val="en-US"/>
        </w:rPr>
        <w:t xml:space="preserve"> restaurants that offer reasonably priced, convenient, and healthy food in daily life.</w:t>
      </w:r>
    </w:p>
    <w:p w14:paraId="58FB2335" w14:textId="77777777" w:rsidR="00CC6491" w:rsidRDefault="00CC6491" w:rsidP="00FE14F0">
      <w:pPr>
        <w:spacing w:line="360" w:lineRule="auto"/>
        <w:rPr>
          <w:rFonts w:ascii="Arial" w:hAnsi="Arial" w:cs="Arial"/>
          <w:lang w:val="en-US"/>
        </w:rPr>
      </w:pPr>
    </w:p>
    <w:p w14:paraId="0C2577BA" w14:textId="77777777" w:rsidR="00C01090" w:rsidRDefault="00C01090" w:rsidP="00FE14F0">
      <w:pPr>
        <w:spacing w:line="360" w:lineRule="auto"/>
        <w:rPr>
          <w:rFonts w:ascii="Arial" w:hAnsi="Arial" w:cs="Arial"/>
          <w:b/>
          <w:bCs/>
          <w:sz w:val="24"/>
          <w:szCs w:val="24"/>
          <w:lang w:val="en-US"/>
        </w:rPr>
      </w:pPr>
    </w:p>
    <w:p w14:paraId="3DAE8912" w14:textId="0961E89D" w:rsidR="00FE14F0" w:rsidRPr="002A1396" w:rsidRDefault="00FE14F0" w:rsidP="00FE14F0">
      <w:pPr>
        <w:spacing w:line="360" w:lineRule="auto"/>
        <w:rPr>
          <w:rFonts w:ascii="Arial" w:hAnsi="Arial" w:cs="Arial" w:hint="eastAsia"/>
          <w:b/>
          <w:bCs/>
          <w:sz w:val="24"/>
          <w:szCs w:val="24"/>
          <w:lang w:val="en-US"/>
        </w:rPr>
      </w:pPr>
      <w:r w:rsidRPr="002A1396">
        <w:rPr>
          <w:rFonts w:ascii="Arial" w:hAnsi="Arial" w:cs="Arial"/>
          <w:b/>
          <w:bCs/>
          <w:sz w:val="24"/>
          <w:szCs w:val="24"/>
          <w:lang w:val="en-US"/>
        </w:rPr>
        <w:lastRenderedPageBreak/>
        <w:t>4.2 Competitive Strategy</w:t>
      </w:r>
    </w:p>
    <w:p w14:paraId="3470D646" w14:textId="60329DD8" w:rsidR="00CC6491" w:rsidRDefault="007E3885" w:rsidP="00FE14F0">
      <w:pPr>
        <w:spacing w:line="360" w:lineRule="auto"/>
        <w:rPr>
          <w:rFonts w:ascii="Arial" w:hAnsi="Arial" w:cs="Arial" w:hint="eastAsia"/>
          <w:lang w:val="en-US"/>
        </w:rPr>
      </w:pPr>
      <w:r w:rsidRPr="007E3885">
        <w:rPr>
          <w:rFonts w:ascii="Arial" w:hAnsi="Arial" w:cs="Arial"/>
          <w:lang w:val="en-US"/>
        </w:rPr>
        <w:t>Greggs will adopt Porter's focus on differentiation strategy. Differentiation is achieved through healthy products, clear nutritional transparency, and convenient store access. The focus remains on the mass market rather than the high-end niche market. This strategy can avoid direct price wars and address the health trend without sacrificing affordability.</w:t>
      </w:r>
    </w:p>
    <w:p w14:paraId="0B6E4822" w14:textId="77777777" w:rsidR="00CC6491" w:rsidRDefault="00CC6491" w:rsidP="00FE14F0">
      <w:pPr>
        <w:spacing w:line="360" w:lineRule="auto"/>
        <w:rPr>
          <w:rFonts w:ascii="Arial" w:hAnsi="Arial" w:cs="Arial"/>
          <w:lang w:val="en-US"/>
        </w:rPr>
      </w:pPr>
    </w:p>
    <w:p w14:paraId="6BCD3F8B" w14:textId="67D903A9" w:rsidR="00FE14F0" w:rsidRPr="002A1396" w:rsidRDefault="00FE14F0" w:rsidP="00FE14F0">
      <w:pPr>
        <w:spacing w:line="360" w:lineRule="auto"/>
        <w:rPr>
          <w:rFonts w:ascii="Arial" w:hAnsi="Arial" w:cs="Arial"/>
          <w:b/>
          <w:bCs/>
          <w:sz w:val="24"/>
          <w:szCs w:val="24"/>
          <w:lang w:val="en-US"/>
        </w:rPr>
      </w:pPr>
      <w:r w:rsidRPr="002A1396">
        <w:rPr>
          <w:rFonts w:ascii="Arial" w:hAnsi="Arial" w:cs="Arial"/>
          <w:b/>
          <w:bCs/>
          <w:sz w:val="24"/>
          <w:szCs w:val="24"/>
          <w:lang w:val="en-US"/>
        </w:rPr>
        <w:t>4.3 Strategic Direction</w:t>
      </w:r>
    </w:p>
    <w:p w14:paraId="70F9E6DE" w14:textId="75A35FFE" w:rsidR="00CC6491" w:rsidRDefault="007E3885" w:rsidP="00FE14F0">
      <w:pPr>
        <w:spacing w:line="360" w:lineRule="auto"/>
        <w:rPr>
          <w:rFonts w:ascii="Arial" w:hAnsi="Arial" w:cs="Arial" w:hint="eastAsia"/>
          <w:lang w:val="en-US"/>
        </w:rPr>
      </w:pPr>
      <w:r w:rsidRPr="007E3885">
        <w:rPr>
          <w:rFonts w:ascii="Arial" w:hAnsi="Arial" w:cs="Arial"/>
          <w:lang w:val="en-US"/>
        </w:rPr>
        <w:t>According to the Ansoff Matrix, Greggs should adopt a product development strategy. Introduce a new health product line in the existing market in the UK. This strategy has lower risks, makes use of the existing infrastructure, and is conducive to addressing the weakness pointed out in the SWOT analysis, which is the limited availability of health options</w:t>
      </w:r>
      <w:r w:rsidR="007F0E7F">
        <w:rPr>
          <w:rFonts w:ascii="Arial" w:hAnsi="Arial" w:cs="Arial"/>
          <w:lang w:val="en-US"/>
        </w:rPr>
        <w:fldChar w:fldCharType="begin"/>
      </w:r>
      <w:r w:rsidR="007F0E7F">
        <w:rPr>
          <w:rFonts w:ascii="Arial" w:hAnsi="Arial" w:cs="Arial"/>
          <w:lang w:val="en-US"/>
        </w:rPr>
        <w:instrText xml:space="preserve"> ADDIN ZOTERO_ITEM CSL_CITATION {"citationID":"ja3U5h12","properties":{"formattedCitation":"({\\i{}Mintel announces Global Food and Drink Trends for 2025 | Mintel}, no date)","plainCitation":"(Mintel announces Global Food and Drink Trends for 2025 | Mintel, no date)","noteIndex":0},"citationItems":[{"id":521,"uris":["http://zotero.org/users/18628635/items/IK4YJWIJ"],"itemData":{"id":521,"type":"webpage","abstract":"Mintel, the experts in what consumers want and why, has announced four key trends that will shape the global food and drink industry in the years ahead. In","language":"en_GB","title":"Mintel announces Global Food and Drink Trends for 2025 | Mintel","URL":"https://www.mintel.com/press-centre/mintel-announces-global-food-and-drink-trends-for-2025/","accessed":{"date-parts":[["2026",5,10]]}}}],"schema":"https://github.com/citation-style-language/schema/raw/master/csl-citation.json"} </w:instrText>
      </w:r>
      <w:r w:rsidR="007F0E7F">
        <w:rPr>
          <w:rFonts w:ascii="Arial" w:hAnsi="Arial" w:cs="Arial"/>
          <w:lang w:val="en-US"/>
        </w:rPr>
        <w:fldChar w:fldCharType="separate"/>
      </w:r>
      <w:r w:rsidR="007F0E7F" w:rsidRPr="007F0E7F">
        <w:rPr>
          <w:rFonts w:ascii="Arial" w:eastAsiaTheme="minorEastAsia" w:hAnsi="Arial" w:cs="Arial"/>
          <w:kern w:val="0"/>
          <w:szCs w:val="24"/>
          <w:lang w:val="en-US"/>
          <w14:ligatures w14:val="standardContextual"/>
        </w:rPr>
        <w:t>(</w:t>
      </w:r>
      <w:r w:rsidR="007F0E7F" w:rsidRPr="007F0E7F">
        <w:rPr>
          <w:rFonts w:ascii="Arial" w:eastAsiaTheme="minorEastAsia" w:hAnsi="Arial" w:cs="Arial"/>
          <w:i/>
          <w:iCs/>
          <w:kern w:val="0"/>
          <w:szCs w:val="24"/>
          <w:lang w:val="en-US"/>
          <w14:ligatures w14:val="standardContextual"/>
        </w:rPr>
        <w:t>Mintel announces Global Food and Drink Trends for 2025 | Mintel</w:t>
      </w:r>
      <w:r w:rsidR="007F0E7F" w:rsidRPr="007F0E7F">
        <w:rPr>
          <w:rFonts w:ascii="Arial" w:eastAsiaTheme="minorEastAsia" w:hAnsi="Arial" w:cs="Arial"/>
          <w:kern w:val="0"/>
          <w:szCs w:val="24"/>
          <w:lang w:val="en-US"/>
          <w14:ligatures w14:val="standardContextual"/>
        </w:rPr>
        <w:t>, no date)</w:t>
      </w:r>
      <w:r w:rsidR="007F0E7F">
        <w:rPr>
          <w:rFonts w:ascii="Arial" w:hAnsi="Arial" w:cs="Arial"/>
          <w:lang w:val="en-US"/>
        </w:rPr>
        <w:fldChar w:fldCharType="end"/>
      </w:r>
      <w:r w:rsidRPr="007E3885">
        <w:rPr>
          <w:rFonts w:ascii="Arial" w:hAnsi="Arial" w:cs="Arial"/>
          <w:lang w:val="en-US"/>
        </w:rPr>
        <w:t>.</w:t>
      </w:r>
    </w:p>
    <w:p w14:paraId="246E5A16" w14:textId="77777777" w:rsidR="00CC6491" w:rsidRDefault="00CC6491" w:rsidP="00FE14F0">
      <w:pPr>
        <w:spacing w:line="360" w:lineRule="auto"/>
        <w:rPr>
          <w:rFonts w:ascii="Arial" w:hAnsi="Arial" w:cs="Arial"/>
          <w:lang w:val="en-US"/>
        </w:rPr>
      </w:pPr>
    </w:p>
    <w:p w14:paraId="3C0BA6B1" w14:textId="3E1AC7C3" w:rsidR="00FE14F0" w:rsidRPr="002A1396" w:rsidRDefault="00FE14F0" w:rsidP="00FE14F0">
      <w:pPr>
        <w:spacing w:line="360" w:lineRule="auto"/>
        <w:rPr>
          <w:rFonts w:ascii="Arial" w:hAnsi="Arial" w:cs="Arial"/>
          <w:b/>
          <w:bCs/>
          <w:sz w:val="24"/>
          <w:szCs w:val="24"/>
          <w:lang w:val="en-US"/>
        </w:rPr>
      </w:pPr>
      <w:r w:rsidRPr="002A1396">
        <w:rPr>
          <w:rFonts w:ascii="Arial" w:hAnsi="Arial" w:cs="Arial"/>
          <w:b/>
          <w:bCs/>
          <w:sz w:val="24"/>
          <w:szCs w:val="24"/>
          <w:lang w:val="en-US"/>
        </w:rPr>
        <w:t>4.4 Strategic Justification</w:t>
      </w:r>
    </w:p>
    <w:p w14:paraId="64B76A0A" w14:textId="66A84124" w:rsidR="00CC6491" w:rsidRDefault="00FE0C46" w:rsidP="00FE14F0">
      <w:pPr>
        <w:spacing w:line="360" w:lineRule="auto"/>
        <w:rPr>
          <w:rFonts w:ascii="Arial" w:hAnsi="Arial" w:cs="Arial" w:hint="eastAsia"/>
          <w:lang w:val="en-US"/>
        </w:rPr>
      </w:pPr>
      <w:r w:rsidRPr="00FE0C46">
        <w:rPr>
          <w:rFonts w:ascii="Arial" w:hAnsi="Arial" w:cs="Arial"/>
          <w:lang w:val="en-US"/>
        </w:rPr>
        <w:t>This strategy leverages Greggs' supply chain and store advantages, meets the social demand for healthier food, mitigates the threat of customer attrition, and transforms the weakness of poor health perception into an opportunity for growth</w:t>
      </w:r>
      <w:r w:rsidR="009B0C13">
        <w:rPr>
          <w:rFonts w:ascii="Arial" w:hAnsi="Arial" w:cs="Arial"/>
          <w:lang w:val="en-US"/>
        </w:rPr>
        <w:fldChar w:fldCharType="begin"/>
      </w:r>
      <w:r w:rsidR="009B0C13">
        <w:rPr>
          <w:rFonts w:ascii="Arial" w:hAnsi="Arial" w:cs="Arial"/>
          <w:lang w:val="en-US"/>
        </w:rPr>
        <w:instrText xml:space="preserve"> ADDIN ZOTERO_ITEM CSL_CITATION {"citationID":"9HdAcQLv","properties":{"formattedCitation":"({\\i{}Government response to the House of Lords Food, Diet and Obesity Committee\\uc0\\u8217{}s report \\uc0\\u8216{}Recipe for health: a plan to fix our broken food system\\uc0\\u8217{}}, no date)","plainCitation":"(Government response to the House of Lords Food, Diet and Obesity Committee’s report ‘Recipe for health: a plan to fix our broken food system’, no date)","noteIndex":0},"citationItems":[{"id":523,"uris":["http://zotero.org/users/18628635/items/AXU2KH23"],"itemData":{"id":523,"type":"webpage","container-title":"GOV.UK","language":"en","title":"Government response to the House of Lords Food, Diet and Obesity Committee’s report 'Recipe for health: a plan to fix our broken food system'","title-short":"Government response to the House of Lords Food, Diet and Obesity Committee’s report 'Recipe for health","URL":"https://www.gov.uk/government/publications/government-response-to-the-house-of-lords-food-and-health-report/government-response-to-the-house-of-lords-food-diet-and-obesity-committees-report-recipe-for-health-a-plan-to-fix-our-broken-food-system","accessed":{"date-parts":[["2026",5,10]]}}}],"schema":"https://github.com/citation-style-language/schema/raw/master/csl-citation.json"} </w:instrText>
      </w:r>
      <w:r w:rsidR="009B0C13">
        <w:rPr>
          <w:rFonts w:ascii="Arial" w:hAnsi="Arial" w:cs="Arial"/>
          <w:lang w:val="en-US"/>
        </w:rPr>
        <w:fldChar w:fldCharType="separate"/>
      </w:r>
      <w:r w:rsidR="009B0C13" w:rsidRPr="009B0C13">
        <w:rPr>
          <w:rFonts w:ascii="Arial" w:eastAsiaTheme="minorEastAsia" w:hAnsi="Arial" w:cs="Arial"/>
          <w:kern w:val="0"/>
          <w:szCs w:val="24"/>
          <w:lang w:val="en-US"/>
          <w14:ligatures w14:val="standardContextual"/>
        </w:rPr>
        <w:t>(</w:t>
      </w:r>
      <w:r w:rsidR="009B0C13" w:rsidRPr="009B0C13">
        <w:rPr>
          <w:rFonts w:ascii="Arial" w:eastAsiaTheme="minorEastAsia" w:hAnsi="Arial" w:cs="Arial"/>
          <w:i/>
          <w:iCs/>
          <w:kern w:val="0"/>
          <w:szCs w:val="24"/>
          <w:lang w:val="en-US"/>
          <w14:ligatures w14:val="standardContextual"/>
        </w:rPr>
        <w:t>Government response to the House of Lords Food, Diet and Obesity Committee’s report ‘Recipe for health: a plan to fix our broken food system’</w:t>
      </w:r>
      <w:r w:rsidR="009B0C13" w:rsidRPr="009B0C13">
        <w:rPr>
          <w:rFonts w:ascii="Arial" w:eastAsiaTheme="minorEastAsia" w:hAnsi="Arial" w:cs="Arial"/>
          <w:kern w:val="0"/>
          <w:szCs w:val="24"/>
          <w:lang w:val="en-US"/>
          <w14:ligatures w14:val="standardContextual"/>
        </w:rPr>
        <w:t>, no date)</w:t>
      </w:r>
      <w:r w:rsidR="009B0C13">
        <w:rPr>
          <w:rFonts w:ascii="Arial" w:hAnsi="Arial" w:cs="Arial"/>
          <w:lang w:val="en-US"/>
        </w:rPr>
        <w:fldChar w:fldCharType="end"/>
      </w:r>
      <w:r w:rsidRPr="00FE0C46">
        <w:rPr>
          <w:rFonts w:ascii="Arial" w:hAnsi="Arial" w:cs="Arial"/>
          <w:lang w:val="en-US"/>
        </w:rPr>
        <w:t>. This strategy is in line with the actual situation and is in line with Greggs' organizational capabilities.</w:t>
      </w:r>
    </w:p>
    <w:p w14:paraId="263986D3" w14:textId="77777777" w:rsidR="00CC6491" w:rsidRDefault="00CC6491" w:rsidP="00FE14F0">
      <w:pPr>
        <w:spacing w:line="360" w:lineRule="auto"/>
        <w:rPr>
          <w:rFonts w:ascii="Arial" w:hAnsi="Arial" w:cs="Arial"/>
          <w:lang w:val="en-US"/>
        </w:rPr>
      </w:pPr>
    </w:p>
    <w:p w14:paraId="26069D0F" w14:textId="6B6BEB94" w:rsidR="00FE14F0" w:rsidRPr="002A1396" w:rsidRDefault="00FE14F0" w:rsidP="00FE14F0">
      <w:pPr>
        <w:spacing w:line="360" w:lineRule="auto"/>
        <w:rPr>
          <w:rFonts w:ascii="Arial" w:hAnsi="Arial" w:cs="Arial"/>
          <w:b/>
          <w:bCs/>
          <w:sz w:val="28"/>
          <w:szCs w:val="28"/>
          <w:lang w:val="en-US"/>
        </w:rPr>
      </w:pPr>
      <w:r w:rsidRPr="002A1396">
        <w:rPr>
          <w:rFonts w:ascii="Arial" w:hAnsi="Arial" w:cs="Arial"/>
          <w:b/>
          <w:bCs/>
          <w:sz w:val="28"/>
          <w:szCs w:val="28"/>
          <w:lang w:val="en-US"/>
        </w:rPr>
        <w:t>5.0 Marketing Tactics</w:t>
      </w:r>
    </w:p>
    <w:p w14:paraId="66C40A3C" w14:textId="77777777" w:rsidR="00FE14F0" w:rsidRPr="002A1396" w:rsidRDefault="00FE14F0" w:rsidP="00FE14F0">
      <w:pPr>
        <w:spacing w:line="360" w:lineRule="auto"/>
        <w:rPr>
          <w:rFonts w:ascii="Arial" w:hAnsi="Arial" w:cs="Arial"/>
          <w:b/>
          <w:bCs/>
          <w:sz w:val="24"/>
          <w:szCs w:val="24"/>
          <w:lang w:val="en-US"/>
        </w:rPr>
      </w:pPr>
      <w:r w:rsidRPr="002A1396">
        <w:rPr>
          <w:rFonts w:ascii="Arial" w:hAnsi="Arial" w:cs="Arial"/>
          <w:b/>
          <w:bCs/>
          <w:sz w:val="24"/>
          <w:szCs w:val="24"/>
          <w:lang w:val="en-US"/>
        </w:rPr>
        <w:t>5.1 Product</w:t>
      </w:r>
    </w:p>
    <w:p w14:paraId="3BCF811D" w14:textId="56469AB5" w:rsidR="00CC6491" w:rsidRDefault="00B7596F" w:rsidP="00FE14F0">
      <w:pPr>
        <w:spacing w:line="360" w:lineRule="auto"/>
        <w:rPr>
          <w:rFonts w:ascii="Arial" w:hAnsi="Arial" w:cs="Arial" w:hint="eastAsia"/>
          <w:lang w:val="en-US"/>
        </w:rPr>
      </w:pPr>
      <w:r w:rsidRPr="00B7596F">
        <w:rPr>
          <w:rFonts w:ascii="Arial" w:hAnsi="Arial" w:cs="Arial"/>
          <w:lang w:val="en-US"/>
        </w:rPr>
        <w:t>Greggs can launch a new series, a new product line focusing on "</w:t>
      </w:r>
      <w:r w:rsidR="00286C94">
        <w:rPr>
          <w:rFonts w:ascii="Arial" w:hAnsi="Arial" w:cs="Arial" w:hint="eastAsia"/>
          <w:lang w:val="en-US"/>
        </w:rPr>
        <w:t>H</w:t>
      </w:r>
      <w:r w:rsidRPr="00B7596F">
        <w:rPr>
          <w:rFonts w:ascii="Arial" w:hAnsi="Arial" w:cs="Arial"/>
          <w:lang w:val="en-US"/>
        </w:rPr>
        <w:t xml:space="preserve">ealthy </w:t>
      </w:r>
      <w:r w:rsidR="00286C94">
        <w:rPr>
          <w:rFonts w:ascii="Arial" w:hAnsi="Arial" w:cs="Arial" w:hint="eastAsia"/>
          <w:lang w:val="en-US"/>
        </w:rPr>
        <w:t>C</w:t>
      </w:r>
      <w:r w:rsidRPr="00B7596F">
        <w:rPr>
          <w:rFonts w:ascii="Arial" w:hAnsi="Arial" w:cs="Arial"/>
          <w:lang w:val="en-US"/>
        </w:rPr>
        <w:t>hoices". These products will contain lower calories, less sugar and salt, higher fiber content, and plant-based alternatives. This product line can include lighter sausage rolls, high-fiber wraps, fruit canned goods, low-sugar baked goods, and pre-packaged balanced meal combinations. All products will display clear front nutrition labels to support consumers in making informed choices and comply with relevant regulations in the UK</w:t>
      </w:r>
      <w:r w:rsidR="00B65CAF">
        <w:rPr>
          <w:rFonts w:ascii="Arial" w:hAnsi="Arial" w:cs="Arial"/>
          <w:lang w:val="en-US"/>
        </w:rPr>
        <w:fldChar w:fldCharType="begin"/>
      </w:r>
      <w:r w:rsidR="00CB535C">
        <w:rPr>
          <w:rFonts w:ascii="Arial" w:hAnsi="Arial" w:cs="Arial"/>
          <w:lang w:val="en-US"/>
        </w:rPr>
        <w:instrText xml:space="preserve"> ADDIN ZOTERO_ITEM CSL_CITATION {"citationID":"GmrCrwnv","properties":{"formattedCitation":"(Aschemann-Witzel and Zielke, 2017)","plainCitation":"(Aschemann-Witzel and Zielke, 2017)","noteIndex":0},"citationItems":[{"id":525,"uris":["http://zotero.org/users/18628635/items/WWY8PBP8"],"itemData":{"id":525,"type":"article-journal","abstract":"Support for organic farming is a promising policy for improving sustainability in the food sector. Further consumer demand, however, is hindered by high prices. We review research from 2000 to 2014 on the role of perceived price, income, price knowledge, willingness to pay, and reactions to price changes on organic food. We find that price is the major perceived barrier to purchase. Income is only a partial explanatory factor and is superseded by psychographic variables. Willingness to pay a premium is around 30% (ranging from 0% to 105%) and depends on consumer segments and product category. Price knowledge is vague, and organic consumers' price sensitivity is relatively lower than that of occasional or nonorganic consumers. The results suggest that further market differentiation in terms of organic consumer segments and food categories is necessary. Furthermore, we discuss detailed implications for public policy and practice and present a future research agenda.","container-title":"The Journal of Consumer Affairs","ISSN":"0022-0078","issue":"1","page":"211-251","publisher":"Wiley","source":"JSTOR","title":"Can't Buy Me Green? A Review of Consumer Perceptions of and Behavior Toward the Price of Organic Food","title-short":"Can't Buy Me Green?","volume":"51","author":[{"family":"Aschemann-Witzel","given":"Jessica"},{"family":"Zielke","given":"Stephan"}],"issued":{"date-parts":[["2017"]]}}}],"schema":"https://github.com/citation-style-language/schema/raw/master/csl-citation.json"} </w:instrText>
      </w:r>
      <w:r w:rsidR="00B65CAF">
        <w:rPr>
          <w:rFonts w:ascii="Arial" w:hAnsi="Arial" w:cs="Arial"/>
          <w:lang w:val="en-US"/>
        </w:rPr>
        <w:fldChar w:fldCharType="separate"/>
      </w:r>
      <w:r w:rsidR="00CB535C">
        <w:rPr>
          <w:rFonts w:ascii="Arial" w:hAnsi="Arial" w:cs="Arial"/>
          <w:noProof/>
          <w:lang w:val="en-US"/>
        </w:rPr>
        <w:t>(</w:t>
      </w:r>
      <w:proofErr w:type="spellStart"/>
      <w:r w:rsidR="00CB535C">
        <w:rPr>
          <w:rFonts w:ascii="Arial" w:hAnsi="Arial" w:cs="Arial"/>
          <w:noProof/>
          <w:lang w:val="en-US"/>
        </w:rPr>
        <w:t>Aschemann</w:t>
      </w:r>
      <w:proofErr w:type="spellEnd"/>
      <w:r w:rsidR="00CB535C">
        <w:rPr>
          <w:rFonts w:ascii="Arial" w:hAnsi="Arial" w:cs="Arial"/>
          <w:noProof/>
          <w:lang w:val="en-US"/>
        </w:rPr>
        <w:t>-</w:t>
      </w:r>
      <w:r w:rsidR="00CB535C">
        <w:rPr>
          <w:rFonts w:ascii="Arial" w:hAnsi="Arial" w:cs="Arial"/>
          <w:noProof/>
          <w:lang w:val="en-US"/>
        </w:rPr>
        <w:lastRenderedPageBreak/>
        <w:t>Witzel and Zielke, 2017)</w:t>
      </w:r>
      <w:r w:rsidR="00B65CAF">
        <w:rPr>
          <w:rFonts w:ascii="Arial" w:hAnsi="Arial" w:cs="Arial"/>
          <w:lang w:val="en-US"/>
        </w:rPr>
        <w:fldChar w:fldCharType="end"/>
      </w:r>
      <w:r w:rsidRPr="00B7596F">
        <w:rPr>
          <w:rFonts w:ascii="Arial" w:hAnsi="Arial" w:cs="Arial"/>
          <w:lang w:val="en-US"/>
        </w:rPr>
        <w:t>.</w:t>
      </w:r>
    </w:p>
    <w:p w14:paraId="629402B4" w14:textId="77777777" w:rsidR="00CC6491" w:rsidRDefault="00CC6491" w:rsidP="00FE14F0">
      <w:pPr>
        <w:spacing w:line="360" w:lineRule="auto"/>
        <w:rPr>
          <w:rFonts w:ascii="Arial" w:hAnsi="Arial" w:cs="Arial"/>
          <w:lang w:val="en-US"/>
        </w:rPr>
      </w:pPr>
    </w:p>
    <w:p w14:paraId="09C98C12" w14:textId="2298FFA4" w:rsidR="00FE14F0" w:rsidRPr="002A1396" w:rsidRDefault="00FE14F0" w:rsidP="00FE14F0">
      <w:pPr>
        <w:spacing w:line="360" w:lineRule="auto"/>
        <w:rPr>
          <w:rFonts w:ascii="Arial" w:hAnsi="Arial" w:cs="Arial"/>
          <w:b/>
          <w:bCs/>
          <w:sz w:val="24"/>
          <w:szCs w:val="24"/>
          <w:lang w:val="en-US"/>
        </w:rPr>
      </w:pPr>
      <w:r w:rsidRPr="002A1396">
        <w:rPr>
          <w:rFonts w:ascii="Arial" w:hAnsi="Arial" w:cs="Arial"/>
          <w:b/>
          <w:bCs/>
          <w:sz w:val="24"/>
          <w:szCs w:val="24"/>
          <w:lang w:val="en-US"/>
        </w:rPr>
        <w:t>5.2 Price</w:t>
      </w:r>
    </w:p>
    <w:p w14:paraId="3BB6CE87" w14:textId="20EB37C0" w:rsidR="00CC6491" w:rsidRDefault="007257E4" w:rsidP="00FE14F0">
      <w:pPr>
        <w:spacing w:line="360" w:lineRule="auto"/>
        <w:rPr>
          <w:rFonts w:ascii="Arial" w:hAnsi="Arial" w:cs="Arial" w:hint="eastAsia"/>
          <w:lang w:val="en-US"/>
        </w:rPr>
      </w:pPr>
      <w:r w:rsidRPr="007257E4">
        <w:rPr>
          <w:rFonts w:ascii="Arial" w:hAnsi="Arial" w:cs="Arial"/>
          <w:lang w:val="en-US"/>
        </w:rPr>
        <w:t>The pricing will follow the strategy of Greggs' other products. The "Healthy Choice" series will be sold at a price 10 to 15 pence higher than the standard products to cover the additional raw material costs, while still maintaining its appeal to core customers</w:t>
      </w:r>
      <w:r w:rsidR="001B3036">
        <w:rPr>
          <w:rFonts w:ascii="Arial" w:hAnsi="Arial" w:cs="Arial"/>
          <w:lang w:val="en-US"/>
        </w:rPr>
        <w:fldChar w:fldCharType="begin"/>
      </w:r>
      <w:r w:rsidR="00826DD8">
        <w:rPr>
          <w:rFonts w:ascii="Arial" w:hAnsi="Arial" w:cs="Arial"/>
          <w:lang w:val="en-US"/>
        </w:rPr>
        <w:instrText xml:space="preserve"> ADDIN ZOTERO_ITEM CSL_CITATION {"citationID":"IDWDa2yC","properties":{"formattedCitation":"(Julia {\\i{}et al.}, 2020)","plainCitation":"(Julia et al., 2020)","noteIndex":0},"citationItems":[{"id":526,"uris":["http://zotero.org/users/18628635/items/ALEB2IJQ"],"itemData":{"id":526,"type":"article-journal","abstract":"If retailers and brand manufacturers of food succeed in presenting their products at the point of sale, quickly generating a high level of attention, the likelihood of a purchase is significantly increased. Particularly, in recent years, they have been relying on the megatrend of sustainability. The importance of sustainable food has grown accordingly. Hence, an increasing number of manufacturers are challenged to communicate the sustainability of their products via packaging and displays at the point of sale.","container-title":"Business Systems Research","DOI":"10.2478/bsrj-2020-0023","ISSN":"1847-9375","issue":"3","language":"en","page":"1-13","publisher":"Sciendo","source":"doaj.org","title":"Is there a Link between Sustainability, Perception and Buying Decision at the Point of Sale?","volume":"11","author":[{"family":"Julia","given":"Lamberz"},{"family":"Thorsten","given":"Litfin"},{"family":"Özlem","given":"Teckert"},{"family":"Gunther","given":"Meeh-Bunse"}],"issued":{"date-parts":[["2020",11,1]]}}}],"schema":"https://github.com/citation-style-language/schema/raw/master/csl-citation.json"} </w:instrText>
      </w:r>
      <w:r w:rsidR="001B3036">
        <w:rPr>
          <w:rFonts w:ascii="Arial" w:hAnsi="Arial" w:cs="Arial"/>
          <w:lang w:val="en-US"/>
        </w:rPr>
        <w:fldChar w:fldCharType="separate"/>
      </w:r>
      <w:r w:rsidR="00826DD8" w:rsidRPr="00826DD8">
        <w:rPr>
          <w:rFonts w:ascii="Arial" w:eastAsiaTheme="minorEastAsia" w:hAnsi="Arial" w:cs="Arial"/>
          <w:kern w:val="0"/>
          <w:szCs w:val="24"/>
          <w:lang w:val="en-US"/>
          <w14:ligatures w14:val="standardContextual"/>
        </w:rPr>
        <w:t xml:space="preserve">(Julia </w:t>
      </w:r>
      <w:r w:rsidR="00826DD8" w:rsidRPr="00826DD8">
        <w:rPr>
          <w:rFonts w:ascii="Arial" w:eastAsiaTheme="minorEastAsia" w:hAnsi="Arial" w:cs="Arial"/>
          <w:i/>
          <w:iCs/>
          <w:kern w:val="0"/>
          <w:szCs w:val="24"/>
          <w:lang w:val="en-US"/>
          <w14:ligatures w14:val="standardContextual"/>
        </w:rPr>
        <w:t>et al.</w:t>
      </w:r>
      <w:r w:rsidR="00826DD8" w:rsidRPr="00826DD8">
        <w:rPr>
          <w:rFonts w:ascii="Arial" w:eastAsiaTheme="minorEastAsia" w:hAnsi="Arial" w:cs="Arial"/>
          <w:kern w:val="0"/>
          <w:szCs w:val="24"/>
          <w:lang w:val="en-US"/>
          <w14:ligatures w14:val="standardContextual"/>
        </w:rPr>
        <w:t>, 2020)</w:t>
      </w:r>
      <w:r w:rsidR="001B3036">
        <w:rPr>
          <w:rFonts w:ascii="Arial" w:hAnsi="Arial" w:cs="Arial"/>
          <w:lang w:val="en-US"/>
        </w:rPr>
        <w:fldChar w:fldCharType="end"/>
      </w:r>
      <w:r w:rsidRPr="007257E4">
        <w:rPr>
          <w:rFonts w:ascii="Arial" w:hAnsi="Arial" w:cs="Arial"/>
          <w:lang w:val="en-US"/>
        </w:rPr>
        <w:t>. This pricing strategy maintains Greggs' low-cost positioning and helps to retain customer loyalty among those consumers who value price but also health.</w:t>
      </w:r>
    </w:p>
    <w:p w14:paraId="6961366D" w14:textId="77777777" w:rsidR="00CC6491" w:rsidRDefault="00CC6491" w:rsidP="00FE14F0">
      <w:pPr>
        <w:spacing w:line="360" w:lineRule="auto"/>
        <w:rPr>
          <w:rFonts w:ascii="Arial" w:hAnsi="Arial" w:cs="Arial"/>
          <w:lang w:val="en-US"/>
        </w:rPr>
      </w:pPr>
    </w:p>
    <w:p w14:paraId="140F5413" w14:textId="6F1DE82F" w:rsidR="00FE14F0" w:rsidRPr="002A1396" w:rsidRDefault="00FE14F0" w:rsidP="00FE14F0">
      <w:pPr>
        <w:spacing w:line="360" w:lineRule="auto"/>
        <w:rPr>
          <w:rFonts w:ascii="Arial" w:hAnsi="Arial" w:cs="Arial"/>
          <w:b/>
          <w:bCs/>
          <w:sz w:val="24"/>
          <w:szCs w:val="24"/>
          <w:lang w:val="en-US"/>
        </w:rPr>
      </w:pPr>
      <w:r w:rsidRPr="002A1396">
        <w:rPr>
          <w:rFonts w:ascii="Arial" w:hAnsi="Arial" w:cs="Arial"/>
          <w:b/>
          <w:bCs/>
          <w:sz w:val="24"/>
          <w:szCs w:val="24"/>
          <w:lang w:val="en-US"/>
        </w:rPr>
        <w:t>5.3 Place</w:t>
      </w:r>
    </w:p>
    <w:p w14:paraId="0DC6F79A" w14:textId="07FE9786" w:rsidR="00CC6491" w:rsidRDefault="007257E4" w:rsidP="00FE14F0">
      <w:pPr>
        <w:spacing w:line="360" w:lineRule="auto"/>
        <w:rPr>
          <w:rFonts w:ascii="Arial" w:hAnsi="Arial" w:cs="Arial" w:hint="eastAsia"/>
          <w:lang w:val="en-US"/>
        </w:rPr>
      </w:pPr>
      <w:r w:rsidRPr="007257E4">
        <w:rPr>
          <w:rFonts w:ascii="Arial" w:hAnsi="Arial" w:cs="Arial"/>
          <w:lang w:val="en-US"/>
        </w:rPr>
        <w:t>The "Healthy Choices" product line of Greggs will be fully launched in over 2,600 Greggs stores across the country. Special health sections will be set up near the store entrances to increase visibility</w:t>
      </w:r>
      <w:r w:rsidR="00826B4B">
        <w:rPr>
          <w:rFonts w:ascii="Arial" w:hAnsi="Arial" w:cs="Arial"/>
          <w:lang w:val="en-US"/>
        </w:rPr>
        <w:fldChar w:fldCharType="begin"/>
      </w:r>
      <w:r w:rsidR="00E55287">
        <w:rPr>
          <w:rFonts w:ascii="Arial" w:hAnsi="Arial" w:cs="Arial"/>
          <w:lang w:val="en-US"/>
        </w:rPr>
        <w:instrText xml:space="preserve"> ADDIN ZOTERO_ITEM CSL_CITATION {"citationID":"xaHocrcO","properties":{"formattedCitation":"(Reisch and Th\\uc0\\u248{}gersen, 2015)","plainCitation":"(Reisch and Thøgersen, 2015)","noteIndex":0},"citationItems":[{"id":528,"uris":["http://zotero.org/users/18628635/items/QPTEWFBU"],"itemData":{"id":528,"type":"book","DOI":"10.4337/9781783471270","ISBN":"978-1-78347-126-3","language":"English","note":"DOI: 10.4337/9781783471270","publisher":"Edward Elgar Publishing","source":"research.cbs.dk","title":"Handbook of Research on Sustainable Consumption","URL":"https://research.cbs.dk/en/publications/handbook-of-research-on-sustainable-consumption/","author":[{"family":"Reisch","given":"Lucia A."},{"family":"Thøgersen","given":"John"}],"accessed":{"date-parts":[["2026",5,10]]},"issued":{"date-parts":[["2015"]]}}}],"schema":"https://github.com/citation-style-language/schema/raw/master/csl-citation.json"} </w:instrText>
      </w:r>
      <w:r w:rsidR="00826B4B">
        <w:rPr>
          <w:rFonts w:ascii="Arial" w:hAnsi="Arial" w:cs="Arial"/>
          <w:lang w:val="en-US"/>
        </w:rPr>
        <w:fldChar w:fldCharType="separate"/>
      </w:r>
      <w:r w:rsidR="00E55287" w:rsidRPr="00E55287">
        <w:rPr>
          <w:rFonts w:ascii="Arial" w:eastAsiaTheme="minorEastAsia" w:hAnsi="Arial" w:cs="Arial"/>
          <w:kern w:val="0"/>
          <w:szCs w:val="24"/>
          <w:lang w:val="en-US"/>
          <w14:ligatures w14:val="standardContextual"/>
        </w:rPr>
        <w:t>(Reisch and Thøgersen, 2015)</w:t>
      </w:r>
      <w:r w:rsidR="00826B4B">
        <w:rPr>
          <w:rFonts w:ascii="Arial" w:hAnsi="Arial" w:cs="Arial"/>
          <w:lang w:val="en-US"/>
        </w:rPr>
        <w:fldChar w:fldCharType="end"/>
      </w:r>
      <w:r w:rsidRPr="007257E4">
        <w:rPr>
          <w:rFonts w:ascii="Arial" w:hAnsi="Arial" w:cs="Arial"/>
          <w:lang w:val="en-US"/>
        </w:rPr>
        <w:t xml:space="preserve">. The Greggs app and website will give priority to displaying healthy meals, allowing for </w:t>
      </w:r>
      <w:proofErr w:type="gramStart"/>
      <w:r w:rsidRPr="007257E4">
        <w:rPr>
          <w:rFonts w:ascii="Arial" w:hAnsi="Arial" w:cs="Arial"/>
          <w:lang w:val="en-US"/>
        </w:rPr>
        <w:t>advance reservations</w:t>
      </w:r>
      <w:proofErr w:type="gramEnd"/>
      <w:r w:rsidRPr="007257E4">
        <w:rPr>
          <w:rFonts w:ascii="Arial" w:hAnsi="Arial" w:cs="Arial"/>
          <w:lang w:val="en-US"/>
        </w:rPr>
        <w:t xml:space="preserve"> and reducing waiting times. The nationwide coverage ensures maximum convenience and strengthens the core advantage of convenience.</w:t>
      </w:r>
    </w:p>
    <w:p w14:paraId="47ABDEB7" w14:textId="77777777" w:rsidR="00CC6491" w:rsidRDefault="00CC6491" w:rsidP="00FE14F0">
      <w:pPr>
        <w:spacing w:line="360" w:lineRule="auto"/>
        <w:rPr>
          <w:rFonts w:ascii="Arial" w:hAnsi="Arial" w:cs="Arial"/>
          <w:lang w:val="en-US"/>
        </w:rPr>
      </w:pPr>
    </w:p>
    <w:p w14:paraId="2B1925F6" w14:textId="251592C2" w:rsidR="00FE14F0" w:rsidRPr="002A1396" w:rsidRDefault="00FE14F0" w:rsidP="00FE14F0">
      <w:pPr>
        <w:spacing w:line="360" w:lineRule="auto"/>
        <w:rPr>
          <w:rFonts w:ascii="Arial" w:hAnsi="Arial" w:cs="Arial"/>
          <w:b/>
          <w:bCs/>
          <w:sz w:val="24"/>
          <w:szCs w:val="24"/>
          <w:lang w:val="en-US"/>
        </w:rPr>
      </w:pPr>
      <w:r w:rsidRPr="002A1396">
        <w:rPr>
          <w:rFonts w:ascii="Arial" w:hAnsi="Arial" w:cs="Arial"/>
          <w:b/>
          <w:bCs/>
          <w:sz w:val="24"/>
          <w:szCs w:val="24"/>
          <w:lang w:val="en-US"/>
        </w:rPr>
        <w:t>5.4 Promotion</w:t>
      </w:r>
    </w:p>
    <w:p w14:paraId="3689FC98" w14:textId="667ED4E8" w:rsidR="00CC6491" w:rsidRDefault="00544796" w:rsidP="00FE14F0">
      <w:pPr>
        <w:spacing w:line="360" w:lineRule="auto"/>
        <w:rPr>
          <w:rFonts w:ascii="Arial" w:hAnsi="Arial" w:cs="Arial" w:hint="eastAsia"/>
          <w:lang w:val="en-US"/>
        </w:rPr>
      </w:pPr>
      <w:r w:rsidRPr="00544796">
        <w:rPr>
          <w:rFonts w:ascii="Arial" w:hAnsi="Arial" w:cs="Arial"/>
          <w:lang w:val="en-US"/>
        </w:rPr>
        <w:t>The marketing activities will be carried out through in-store signage, application notifications, social media, and employee recommendations. The promotional content will emphasize balance, convenience, and affordability, rather than extreme dieting methods. Collaborations with micro-influencers in the family and lifestyle sectors will help enhance brand reputation and are less costly.</w:t>
      </w:r>
    </w:p>
    <w:p w14:paraId="754C7580" w14:textId="77777777" w:rsidR="00CC6491" w:rsidRDefault="00CC6491" w:rsidP="00FE14F0">
      <w:pPr>
        <w:spacing w:line="360" w:lineRule="auto"/>
        <w:rPr>
          <w:rFonts w:ascii="Arial" w:hAnsi="Arial" w:cs="Arial"/>
          <w:lang w:val="en-US"/>
        </w:rPr>
      </w:pPr>
    </w:p>
    <w:p w14:paraId="7ED205A9" w14:textId="66AC2676" w:rsidR="00FE14F0" w:rsidRPr="002A1396" w:rsidRDefault="00FE14F0" w:rsidP="00FE14F0">
      <w:pPr>
        <w:spacing w:line="360" w:lineRule="auto"/>
        <w:rPr>
          <w:rFonts w:ascii="Arial" w:hAnsi="Arial" w:cs="Arial"/>
          <w:b/>
          <w:bCs/>
          <w:sz w:val="24"/>
          <w:szCs w:val="24"/>
          <w:lang w:val="en-US"/>
        </w:rPr>
      </w:pPr>
      <w:r w:rsidRPr="002A1396">
        <w:rPr>
          <w:rFonts w:ascii="Arial" w:hAnsi="Arial" w:cs="Arial"/>
          <w:b/>
          <w:bCs/>
          <w:sz w:val="24"/>
          <w:szCs w:val="24"/>
          <w:lang w:val="en-US"/>
        </w:rPr>
        <w:t>5.5 People</w:t>
      </w:r>
    </w:p>
    <w:p w14:paraId="562A1A04" w14:textId="02C8F55A" w:rsidR="00CC6491" w:rsidRDefault="00544796" w:rsidP="00FE14F0">
      <w:pPr>
        <w:spacing w:line="360" w:lineRule="auto"/>
        <w:rPr>
          <w:rFonts w:ascii="Arial" w:hAnsi="Arial" w:cs="Arial" w:hint="eastAsia"/>
          <w:lang w:val="en-US"/>
        </w:rPr>
      </w:pPr>
      <w:r w:rsidRPr="00544796">
        <w:rPr>
          <w:rFonts w:ascii="Arial" w:hAnsi="Arial" w:cs="Arial"/>
          <w:lang w:val="en-US"/>
        </w:rPr>
        <w:t>The staff at Greggs will receive brief training on the "Healthy Choices" range of products, including their nutritional value and common customer questions. Providing consistent and friendly customer service will enhance customer trust and encourage them to make purchases. This training method is efficient and convenient, allowing for maintaining operational speed and reducing costs.</w:t>
      </w:r>
    </w:p>
    <w:p w14:paraId="5A30268B" w14:textId="2834E153" w:rsidR="00FE14F0" w:rsidRPr="002A1396" w:rsidRDefault="00FE14F0" w:rsidP="00FE14F0">
      <w:pPr>
        <w:spacing w:line="360" w:lineRule="auto"/>
        <w:rPr>
          <w:rFonts w:ascii="Arial" w:hAnsi="Arial" w:cs="Arial"/>
          <w:b/>
          <w:bCs/>
          <w:sz w:val="24"/>
          <w:szCs w:val="24"/>
          <w:lang w:val="en-US"/>
        </w:rPr>
      </w:pPr>
      <w:r w:rsidRPr="002A1396">
        <w:rPr>
          <w:rFonts w:ascii="Arial" w:hAnsi="Arial" w:cs="Arial"/>
          <w:b/>
          <w:bCs/>
          <w:sz w:val="24"/>
          <w:szCs w:val="24"/>
          <w:lang w:val="en-US"/>
        </w:rPr>
        <w:lastRenderedPageBreak/>
        <w:t>5.6 Process</w:t>
      </w:r>
    </w:p>
    <w:p w14:paraId="4867BBAE" w14:textId="3C6CC9CD" w:rsidR="00CC6491" w:rsidRDefault="004E1459" w:rsidP="00FE14F0">
      <w:pPr>
        <w:spacing w:line="360" w:lineRule="auto"/>
        <w:rPr>
          <w:rFonts w:ascii="Arial" w:hAnsi="Arial" w:cs="Arial" w:hint="eastAsia"/>
          <w:lang w:val="en-US"/>
        </w:rPr>
      </w:pPr>
      <w:r w:rsidRPr="004E1459">
        <w:rPr>
          <w:rFonts w:ascii="Arial" w:hAnsi="Arial" w:cs="Arial"/>
          <w:lang w:val="en-US"/>
        </w:rPr>
        <w:t>The "</w:t>
      </w:r>
      <w:r w:rsidR="00286C94" w:rsidRPr="00286C94">
        <w:rPr>
          <w:rFonts w:ascii="Arial" w:hAnsi="Arial" w:cs="Arial" w:hint="eastAsia"/>
          <w:lang w:val="en-US"/>
        </w:rPr>
        <w:t xml:space="preserve"> </w:t>
      </w:r>
      <w:r w:rsidR="00286C94">
        <w:rPr>
          <w:rFonts w:ascii="Arial" w:hAnsi="Arial" w:cs="Arial" w:hint="eastAsia"/>
          <w:lang w:val="en-US"/>
        </w:rPr>
        <w:t>H</w:t>
      </w:r>
      <w:r w:rsidR="00286C94" w:rsidRPr="00B7596F">
        <w:rPr>
          <w:rFonts w:ascii="Arial" w:hAnsi="Arial" w:cs="Arial"/>
          <w:lang w:val="en-US"/>
        </w:rPr>
        <w:t xml:space="preserve">ealthy </w:t>
      </w:r>
      <w:r w:rsidR="00286C94">
        <w:rPr>
          <w:rFonts w:ascii="Arial" w:hAnsi="Arial" w:cs="Arial" w:hint="eastAsia"/>
          <w:lang w:val="en-US"/>
        </w:rPr>
        <w:t>C</w:t>
      </w:r>
      <w:r w:rsidR="00286C94" w:rsidRPr="00B7596F">
        <w:rPr>
          <w:rFonts w:ascii="Arial" w:hAnsi="Arial" w:cs="Arial"/>
          <w:lang w:val="en-US"/>
        </w:rPr>
        <w:t>hoices</w:t>
      </w:r>
      <w:r w:rsidR="00286C94" w:rsidRPr="004E1459">
        <w:rPr>
          <w:rFonts w:ascii="Arial" w:hAnsi="Arial" w:cs="Arial"/>
          <w:lang w:val="en-US"/>
        </w:rPr>
        <w:t xml:space="preserve"> </w:t>
      </w:r>
      <w:r w:rsidRPr="004E1459">
        <w:rPr>
          <w:rFonts w:ascii="Arial" w:hAnsi="Arial" w:cs="Arial"/>
          <w:lang w:val="en-US"/>
        </w:rPr>
        <w:t xml:space="preserve">" </w:t>
      </w:r>
      <w:r w:rsidR="00286C94">
        <w:rPr>
          <w:rFonts w:ascii="Arial" w:hAnsi="Arial" w:cs="Arial" w:hint="eastAsia"/>
          <w:lang w:val="en-US"/>
        </w:rPr>
        <w:t>product</w:t>
      </w:r>
      <w:r w:rsidRPr="004E1459">
        <w:rPr>
          <w:rFonts w:ascii="Arial" w:hAnsi="Arial" w:cs="Arial" w:hint="eastAsia"/>
          <w:lang w:val="en-US"/>
        </w:rPr>
        <w:t>s</w:t>
      </w:r>
      <w:r w:rsidRPr="004E1459">
        <w:rPr>
          <w:rFonts w:ascii="Arial" w:hAnsi="Arial" w:cs="Arial"/>
          <w:lang w:val="en-US"/>
        </w:rPr>
        <w:t xml:space="preserve"> will adopt the same fast service process as regular products. The pre-order packages available on the application will speed up the purchasing process and reduce queuing time, ensuring convenience through an efficient process.</w:t>
      </w:r>
    </w:p>
    <w:p w14:paraId="349F3C5A" w14:textId="77777777" w:rsidR="00CC6491" w:rsidRDefault="00CC6491" w:rsidP="00FE14F0">
      <w:pPr>
        <w:spacing w:line="360" w:lineRule="auto"/>
        <w:rPr>
          <w:rFonts w:ascii="Arial" w:hAnsi="Arial" w:cs="Arial"/>
          <w:lang w:val="en-US"/>
        </w:rPr>
      </w:pPr>
    </w:p>
    <w:p w14:paraId="04438FF8" w14:textId="4E97E7AA" w:rsidR="00FE14F0" w:rsidRPr="002A1396" w:rsidRDefault="00FE14F0" w:rsidP="00FE14F0">
      <w:pPr>
        <w:spacing w:line="360" w:lineRule="auto"/>
        <w:rPr>
          <w:rFonts w:ascii="Arial" w:hAnsi="Arial" w:cs="Arial"/>
          <w:b/>
          <w:bCs/>
          <w:sz w:val="24"/>
          <w:szCs w:val="24"/>
          <w:lang w:val="en-US"/>
        </w:rPr>
      </w:pPr>
      <w:r w:rsidRPr="002A1396">
        <w:rPr>
          <w:rFonts w:ascii="Arial" w:hAnsi="Arial" w:cs="Arial"/>
          <w:b/>
          <w:bCs/>
          <w:sz w:val="24"/>
          <w:szCs w:val="24"/>
          <w:lang w:val="en-US"/>
        </w:rPr>
        <w:t>5.7 Physical Evidence</w:t>
      </w:r>
    </w:p>
    <w:p w14:paraId="594CBB89" w14:textId="3D87F091" w:rsidR="00CC6491" w:rsidRDefault="004E1459" w:rsidP="00FE14F0">
      <w:pPr>
        <w:spacing w:line="360" w:lineRule="auto"/>
        <w:rPr>
          <w:rFonts w:ascii="Arial" w:hAnsi="Arial" w:cs="Arial" w:hint="eastAsia"/>
          <w:lang w:val="en-US"/>
        </w:rPr>
      </w:pPr>
      <w:r w:rsidRPr="004E1459">
        <w:rPr>
          <w:rFonts w:ascii="Arial" w:hAnsi="Arial" w:cs="Arial"/>
          <w:lang w:val="en-US"/>
        </w:rPr>
        <w:t>During the production process, Greggs clearly marked the calorie information of the products on the packaging, used environmentally friendly recyclable packaging, and set up a dedicated healthy section in the store to enhance the brand's healthier image. The intuitive labels can directly meet the compliance requirements and enhance consumers' perception of health.</w:t>
      </w:r>
    </w:p>
    <w:p w14:paraId="374AF08E" w14:textId="77777777" w:rsidR="00CC6491" w:rsidRDefault="00CC6491" w:rsidP="00FE14F0">
      <w:pPr>
        <w:spacing w:line="360" w:lineRule="auto"/>
        <w:rPr>
          <w:rFonts w:ascii="Arial" w:hAnsi="Arial" w:cs="Arial"/>
          <w:lang w:val="en-US"/>
        </w:rPr>
      </w:pPr>
    </w:p>
    <w:p w14:paraId="2EF6DF08" w14:textId="6FC36D74" w:rsidR="00FE14F0" w:rsidRPr="002A1396" w:rsidRDefault="00FE14F0" w:rsidP="00FE14F0">
      <w:pPr>
        <w:spacing w:line="360" w:lineRule="auto"/>
        <w:rPr>
          <w:rFonts w:ascii="Arial" w:hAnsi="Arial" w:cs="Arial"/>
          <w:b/>
          <w:bCs/>
          <w:sz w:val="28"/>
          <w:szCs w:val="28"/>
          <w:lang w:val="en-US"/>
        </w:rPr>
      </w:pPr>
      <w:r w:rsidRPr="002A1396">
        <w:rPr>
          <w:rFonts w:ascii="Arial" w:hAnsi="Arial" w:cs="Arial"/>
          <w:b/>
          <w:bCs/>
          <w:sz w:val="28"/>
          <w:szCs w:val="28"/>
          <w:lang w:val="en-US"/>
        </w:rPr>
        <w:t>6.0 Action Plan</w:t>
      </w:r>
    </w:p>
    <w:p w14:paraId="4FD709C0" w14:textId="77777777" w:rsidR="00FE14F0" w:rsidRPr="002A1396" w:rsidRDefault="00FE14F0" w:rsidP="00FE14F0">
      <w:pPr>
        <w:spacing w:line="360" w:lineRule="auto"/>
        <w:rPr>
          <w:rFonts w:ascii="Arial" w:hAnsi="Arial" w:cs="Arial"/>
          <w:b/>
          <w:bCs/>
          <w:sz w:val="24"/>
          <w:szCs w:val="24"/>
          <w:lang w:val="en-US"/>
        </w:rPr>
      </w:pPr>
      <w:r w:rsidRPr="002A1396">
        <w:rPr>
          <w:rFonts w:ascii="Arial" w:hAnsi="Arial" w:cs="Arial"/>
          <w:b/>
          <w:bCs/>
          <w:sz w:val="24"/>
          <w:szCs w:val="24"/>
          <w:lang w:val="en-US"/>
        </w:rPr>
        <w:t>6.1 Implementation Timeline</w:t>
      </w:r>
    </w:p>
    <w:p w14:paraId="5085DBBA" w14:textId="77777777" w:rsidR="00BC40D5" w:rsidRPr="00BC40D5" w:rsidRDefault="00BC40D5" w:rsidP="00BC40D5">
      <w:pPr>
        <w:spacing w:line="360" w:lineRule="auto"/>
        <w:rPr>
          <w:rFonts w:ascii="Arial" w:hAnsi="Arial" w:cs="Arial"/>
          <w:lang w:val="en-US"/>
        </w:rPr>
      </w:pPr>
      <w:r w:rsidRPr="00BC40D5">
        <w:rPr>
          <w:rFonts w:ascii="Arial" w:hAnsi="Arial" w:cs="Arial"/>
          <w:lang w:val="en-US"/>
        </w:rPr>
        <w:t>Early stage: Product development, supplier testing, and small-scale pilot programs in some stores.</w:t>
      </w:r>
    </w:p>
    <w:p w14:paraId="3A4B52E6" w14:textId="77777777" w:rsidR="00BC40D5" w:rsidRPr="00BC40D5" w:rsidRDefault="00BC40D5" w:rsidP="00BC40D5">
      <w:pPr>
        <w:spacing w:line="360" w:lineRule="auto"/>
        <w:rPr>
          <w:rFonts w:ascii="Arial" w:hAnsi="Arial" w:cs="Arial"/>
          <w:lang w:val="en-US"/>
        </w:rPr>
      </w:pPr>
      <w:r w:rsidRPr="00BC40D5">
        <w:rPr>
          <w:rFonts w:ascii="Arial" w:hAnsi="Arial" w:cs="Arial"/>
          <w:lang w:val="en-US"/>
        </w:rPr>
        <w:t>Mid-stage: Regional promotion, internal training, and local marketing activities.</w:t>
      </w:r>
    </w:p>
    <w:p w14:paraId="0F7F149D" w14:textId="1B30D511" w:rsidR="00CC6491" w:rsidRDefault="00BC40D5" w:rsidP="00FE14F0">
      <w:pPr>
        <w:spacing w:line="360" w:lineRule="auto"/>
        <w:rPr>
          <w:rFonts w:ascii="Arial" w:hAnsi="Arial" w:cs="Arial" w:hint="eastAsia"/>
          <w:lang w:val="en-US"/>
        </w:rPr>
      </w:pPr>
      <w:r w:rsidRPr="00BC40D5">
        <w:rPr>
          <w:rFonts w:ascii="Arial" w:hAnsi="Arial" w:cs="Arial"/>
          <w:lang w:val="en-US"/>
        </w:rPr>
        <w:t>Late stage: Nationwide full-scale promotion, continuous performance evaluation, and product improvement.</w:t>
      </w:r>
    </w:p>
    <w:p w14:paraId="3FCF4081" w14:textId="77777777" w:rsidR="00CC6491" w:rsidRDefault="00CC6491" w:rsidP="00FE14F0">
      <w:pPr>
        <w:spacing w:line="360" w:lineRule="auto"/>
        <w:rPr>
          <w:rFonts w:ascii="Arial" w:hAnsi="Arial" w:cs="Arial"/>
          <w:lang w:val="en-US"/>
        </w:rPr>
      </w:pPr>
    </w:p>
    <w:p w14:paraId="079DEE69" w14:textId="2E2E4EA3" w:rsidR="00FE14F0" w:rsidRPr="002A1396" w:rsidRDefault="00FE14F0" w:rsidP="00FE14F0">
      <w:pPr>
        <w:spacing w:line="360" w:lineRule="auto"/>
        <w:rPr>
          <w:rFonts w:ascii="Arial" w:hAnsi="Arial" w:cs="Arial" w:hint="eastAsia"/>
          <w:b/>
          <w:bCs/>
          <w:sz w:val="24"/>
          <w:szCs w:val="24"/>
          <w:lang w:val="en-US"/>
        </w:rPr>
      </w:pPr>
      <w:r w:rsidRPr="002A1396">
        <w:rPr>
          <w:rFonts w:ascii="Arial" w:hAnsi="Arial" w:cs="Arial"/>
          <w:b/>
          <w:bCs/>
          <w:sz w:val="24"/>
          <w:szCs w:val="24"/>
          <w:lang w:val="en-US"/>
        </w:rPr>
        <w:t>6.2 Resource Requirements</w:t>
      </w:r>
    </w:p>
    <w:p w14:paraId="7232A585" w14:textId="288BF60C" w:rsidR="00CC6491" w:rsidRDefault="00C826DB" w:rsidP="00FE14F0">
      <w:pPr>
        <w:spacing w:line="360" w:lineRule="auto"/>
        <w:rPr>
          <w:rFonts w:ascii="Arial" w:hAnsi="Arial" w:cs="Arial" w:hint="eastAsia"/>
          <w:lang w:val="en-US"/>
        </w:rPr>
      </w:pPr>
      <w:r w:rsidRPr="00C826DB">
        <w:rPr>
          <w:rFonts w:ascii="Arial" w:hAnsi="Arial" w:cs="Arial"/>
          <w:lang w:val="en-US"/>
        </w:rPr>
        <w:t>This plan makes use of the existing supply chain, store network and digital platform. The additional budget required for the "Healthy Choices" series includes costs for packaging design, social media promotion, procurement of in-store promotional materials, and employee training.</w:t>
      </w:r>
    </w:p>
    <w:p w14:paraId="7ED52788" w14:textId="77777777" w:rsidR="00CC6491" w:rsidRDefault="00CC6491" w:rsidP="00FE14F0">
      <w:pPr>
        <w:spacing w:line="360" w:lineRule="auto"/>
        <w:rPr>
          <w:rFonts w:ascii="Arial" w:hAnsi="Arial" w:cs="Arial"/>
          <w:lang w:val="en-US"/>
        </w:rPr>
      </w:pPr>
    </w:p>
    <w:p w14:paraId="50CFD596" w14:textId="1C04CA64" w:rsidR="00FE14F0" w:rsidRPr="002A1396" w:rsidRDefault="00FE14F0" w:rsidP="00FE14F0">
      <w:pPr>
        <w:spacing w:line="360" w:lineRule="auto"/>
        <w:rPr>
          <w:rFonts w:ascii="Arial" w:hAnsi="Arial" w:cs="Arial"/>
          <w:b/>
          <w:bCs/>
          <w:sz w:val="24"/>
          <w:szCs w:val="24"/>
          <w:lang w:val="en-US"/>
        </w:rPr>
      </w:pPr>
      <w:r w:rsidRPr="002A1396">
        <w:rPr>
          <w:rFonts w:ascii="Arial" w:hAnsi="Arial" w:cs="Arial"/>
          <w:b/>
          <w:bCs/>
          <w:sz w:val="24"/>
          <w:szCs w:val="24"/>
          <w:lang w:val="en-US"/>
        </w:rPr>
        <w:t>6.3 Responsibilities &amp; Stakeholders</w:t>
      </w:r>
    </w:p>
    <w:p w14:paraId="1E23072B" w14:textId="77777777" w:rsidR="00C826DB" w:rsidRPr="00C826DB" w:rsidRDefault="00C826DB" w:rsidP="00C826DB">
      <w:pPr>
        <w:spacing w:line="360" w:lineRule="auto"/>
        <w:rPr>
          <w:rFonts w:ascii="Arial" w:hAnsi="Arial" w:cs="Arial"/>
          <w:lang w:val="en-US"/>
        </w:rPr>
      </w:pPr>
      <w:r w:rsidRPr="00C826DB">
        <w:rPr>
          <w:rFonts w:ascii="Arial" w:hAnsi="Arial" w:cs="Arial"/>
          <w:lang w:val="en-US"/>
        </w:rPr>
        <w:t>Marketing team: Activity design, information dissemination, and performance monitoring.</w:t>
      </w:r>
    </w:p>
    <w:p w14:paraId="40D6B4BE" w14:textId="77777777" w:rsidR="00C826DB" w:rsidRPr="00C826DB" w:rsidRDefault="00C826DB" w:rsidP="00C826DB">
      <w:pPr>
        <w:spacing w:line="360" w:lineRule="auto"/>
        <w:rPr>
          <w:rFonts w:ascii="Arial" w:hAnsi="Arial" w:cs="Arial"/>
          <w:lang w:val="en-US"/>
        </w:rPr>
      </w:pPr>
      <w:r w:rsidRPr="00C826DB">
        <w:rPr>
          <w:rFonts w:ascii="Arial" w:hAnsi="Arial" w:cs="Arial"/>
          <w:lang w:val="en-US"/>
        </w:rPr>
        <w:t xml:space="preserve">Supply chain and product development: Formula formulation, quality control, and supplier </w:t>
      </w:r>
      <w:r w:rsidRPr="00C826DB">
        <w:rPr>
          <w:rFonts w:ascii="Arial" w:hAnsi="Arial" w:cs="Arial"/>
          <w:lang w:val="en-US"/>
        </w:rPr>
        <w:lastRenderedPageBreak/>
        <w:t>coordination.</w:t>
      </w:r>
    </w:p>
    <w:p w14:paraId="07E0B8BD" w14:textId="77777777" w:rsidR="00C826DB" w:rsidRPr="00C826DB" w:rsidRDefault="00C826DB" w:rsidP="00C826DB">
      <w:pPr>
        <w:spacing w:line="360" w:lineRule="auto"/>
        <w:rPr>
          <w:rFonts w:ascii="Arial" w:hAnsi="Arial" w:cs="Arial"/>
          <w:lang w:val="en-US"/>
        </w:rPr>
      </w:pPr>
      <w:r w:rsidRPr="00C826DB">
        <w:rPr>
          <w:rFonts w:ascii="Arial" w:hAnsi="Arial" w:cs="Arial"/>
          <w:lang w:val="en-US"/>
        </w:rPr>
        <w:t>Operations team: Store implementation, training, and daily distribution.</w:t>
      </w:r>
    </w:p>
    <w:p w14:paraId="5965B2E3" w14:textId="0B18C6B3" w:rsidR="00CC6491" w:rsidRDefault="00C826DB" w:rsidP="00FE14F0">
      <w:pPr>
        <w:spacing w:line="360" w:lineRule="auto"/>
        <w:rPr>
          <w:rFonts w:ascii="Arial" w:hAnsi="Arial" w:cs="Arial" w:hint="eastAsia"/>
          <w:lang w:val="en-US"/>
        </w:rPr>
      </w:pPr>
      <w:r w:rsidRPr="00C826DB">
        <w:rPr>
          <w:rFonts w:ascii="Arial" w:hAnsi="Arial" w:cs="Arial"/>
          <w:lang w:val="en-US"/>
        </w:rPr>
        <w:t>Senior management: Supervision, budget approval, and strategic coordination.</w:t>
      </w:r>
    </w:p>
    <w:p w14:paraId="02A0D229" w14:textId="77777777" w:rsidR="00CC6491" w:rsidRDefault="00CC6491" w:rsidP="00FE14F0">
      <w:pPr>
        <w:spacing w:line="360" w:lineRule="auto"/>
        <w:rPr>
          <w:rFonts w:ascii="Arial" w:hAnsi="Arial" w:cs="Arial"/>
          <w:lang w:val="en-US"/>
        </w:rPr>
      </w:pPr>
    </w:p>
    <w:p w14:paraId="5041B21C" w14:textId="2D8C8396" w:rsidR="00FE14F0" w:rsidRPr="002A1396" w:rsidRDefault="00FE14F0" w:rsidP="00FE14F0">
      <w:pPr>
        <w:spacing w:line="360" w:lineRule="auto"/>
        <w:rPr>
          <w:rFonts w:ascii="Arial" w:hAnsi="Arial" w:cs="Arial"/>
          <w:b/>
          <w:bCs/>
          <w:sz w:val="24"/>
          <w:szCs w:val="24"/>
          <w:lang w:val="en-US"/>
        </w:rPr>
      </w:pPr>
      <w:r w:rsidRPr="002A1396">
        <w:rPr>
          <w:rFonts w:ascii="Arial" w:hAnsi="Arial" w:cs="Arial"/>
          <w:b/>
          <w:bCs/>
          <w:sz w:val="24"/>
          <w:szCs w:val="24"/>
          <w:lang w:val="en-US"/>
        </w:rPr>
        <w:t>6.4 Risk Assessment &amp; Mitigation</w:t>
      </w:r>
    </w:p>
    <w:p w14:paraId="42B25AC6" w14:textId="77777777" w:rsidR="00B85718" w:rsidRPr="00B85718" w:rsidRDefault="00B85718" w:rsidP="00B85718">
      <w:pPr>
        <w:spacing w:line="360" w:lineRule="auto"/>
        <w:rPr>
          <w:rFonts w:ascii="Arial" w:hAnsi="Arial" w:cs="Arial"/>
          <w:lang w:val="en-US"/>
        </w:rPr>
      </w:pPr>
      <w:r w:rsidRPr="00B85718">
        <w:rPr>
          <w:rFonts w:ascii="Arial" w:hAnsi="Arial" w:cs="Arial"/>
          <w:lang w:val="en-US"/>
        </w:rPr>
        <w:t>The key risks are prioritized using a risk matrix (likelihood × impact degree).</w:t>
      </w:r>
    </w:p>
    <w:p w14:paraId="262753F5" w14:textId="77777777" w:rsidR="004F471F" w:rsidRDefault="00B85718" w:rsidP="00FE14F0">
      <w:pPr>
        <w:spacing w:line="360" w:lineRule="auto"/>
        <w:rPr>
          <w:rFonts w:ascii="Arial" w:hAnsi="Arial" w:cs="Arial"/>
          <w:lang w:val="en-US"/>
        </w:rPr>
      </w:pPr>
      <w:r w:rsidRPr="00B85718">
        <w:rPr>
          <w:rFonts w:ascii="Arial" w:hAnsi="Arial" w:cs="Arial"/>
          <w:lang w:val="en-US"/>
        </w:rPr>
        <w:t>The main risks include rising raw material costs, which can be mitigated by locking in prices with existing suppliers and adjusting formulas</w:t>
      </w:r>
      <w:r w:rsidR="004F471F">
        <w:rPr>
          <w:rFonts w:ascii="Arial" w:hAnsi="Arial" w:cs="Arial"/>
          <w:lang w:val="en-US"/>
        </w:rPr>
        <w:t>.</w:t>
      </w:r>
    </w:p>
    <w:p w14:paraId="43E14A22" w14:textId="77777777" w:rsidR="0092086A" w:rsidRDefault="004F471F" w:rsidP="00FE14F0">
      <w:pPr>
        <w:spacing w:line="360" w:lineRule="auto"/>
        <w:rPr>
          <w:rFonts w:ascii="Arial" w:hAnsi="Arial" w:cs="Arial"/>
          <w:lang w:val="en-US"/>
        </w:rPr>
      </w:pPr>
      <w:r>
        <w:rPr>
          <w:rFonts w:ascii="Arial" w:hAnsi="Arial" w:cs="Arial"/>
          <w:lang w:val="en-US"/>
        </w:rPr>
        <w:t>L</w:t>
      </w:r>
      <w:r w:rsidR="00B85718" w:rsidRPr="00B85718">
        <w:rPr>
          <w:rFonts w:ascii="Arial" w:hAnsi="Arial" w:cs="Arial"/>
          <w:lang w:val="en-US"/>
        </w:rPr>
        <w:t>ow customer acceptance, which can be addressed through pilot tests and rapid iterations</w:t>
      </w:r>
      <w:r>
        <w:rPr>
          <w:rFonts w:ascii="Arial" w:hAnsi="Arial" w:cs="Arial"/>
          <w:lang w:val="en-US"/>
        </w:rPr>
        <w:t>.</w:t>
      </w:r>
      <w:r w:rsidR="00B85718" w:rsidRPr="00B85718">
        <w:rPr>
          <w:rFonts w:ascii="Arial" w:hAnsi="Arial" w:cs="Arial"/>
          <w:lang w:val="en-US"/>
        </w:rPr>
        <w:t xml:space="preserve"> </w:t>
      </w:r>
      <w:r>
        <w:rPr>
          <w:rFonts w:ascii="Arial" w:hAnsi="Arial" w:cs="Arial"/>
          <w:lang w:val="en-US"/>
        </w:rPr>
        <w:t>I</w:t>
      </w:r>
      <w:r w:rsidR="00B85718" w:rsidRPr="00B85718">
        <w:rPr>
          <w:rFonts w:ascii="Arial" w:hAnsi="Arial" w:cs="Arial"/>
          <w:lang w:val="en-US"/>
        </w:rPr>
        <w:t xml:space="preserve">nconsistent store execution, which can be alleviated through standardized training and spot checks. </w:t>
      </w:r>
    </w:p>
    <w:p w14:paraId="61DB6E68" w14:textId="6F18AA11" w:rsidR="00CC6491" w:rsidRDefault="00B85718" w:rsidP="00FE14F0">
      <w:pPr>
        <w:spacing w:line="360" w:lineRule="auto"/>
        <w:rPr>
          <w:rFonts w:ascii="Arial" w:hAnsi="Arial" w:cs="Arial" w:hint="eastAsia"/>
          <w:lang w:val="en-US"/>
        </w:rPr>
      </w:pPr>
      <w:r w:rsidRPr="00B85718">
        <w:rPr>
          <w:rFonts w:ascii="Arial" w:hAnsi="Arial" w:cs="Arial"/>
          <w:lang w:val="en-US"/>
        </w:rPr>
        <w:t>Continuous cost control leverages Greggs' strong bargaining power with suppliers to minimize the impact of inflation.</w:t>
      </w:r>
    </w:p>
    <w:p w14:paraId="15300DE7" w14:textId="77777777" w:rsidR="00CC6491" w:rsidRDefault="00CC6491" w:rsidP="00FE14F0">
      <w:pPr>
        <w:spacing w:line="360" w:lineRule="auto"/>
        <w:rPr>
          <w:rFonts w:ascii="Arial" w:hAnsi="Arial" w:cs="Arial"/>
          <w:lang w:val="en-US"/>
        </w:rPr>
      </w:pPr>
    </w:p>
    <w:p w14:paraId="035AB51E" w14:textId="3A276A91" w:rsidR="00FE14F0" w:rsidRPr="002A1396" w:rsidRDefault="00FE14F0" w:rsidP="00FE14F0">
      <w:pPr>
        <w:spacing w:line="360" w:lineRule="auto"/>
        <w:rPr>
          <w:rFonts w:ascii="Arial" w:hAnsi="Arial" w:cs="Arial" w:hint="eastAsia"/>
          <w:b/>
          <w:bCs/>
          <w:sz w:val="28"/>
          <w:szCs w:val="28"/>
          <w:lang w:val="en-US"/>
        </w:rPr>
      </w:pPr>
      <w:r w:rsidRPr="002A1396">
        <w:rPr>
          <w:rFonts w:ascii="Arial" w:hAnsi="Arial" w:cs="Arial"/>
          <w:b/>
          <w:bCs/>
          <w:sz w:val="28"/>
          <w:szCs w:val="28"/>
          <w:lang w:val="en-US"/>
        </w:rPr>
        <w:t>7.0 Control, Monitoring &amp; Adaptation</w:t>
      </w:r>
    </w:p>
    <w:p w14:paraId="49E2E450" w14:textId="77777777" w:rsidR="00FE14F0" w:rsidRPr="002A1396" w:rsidRDefault="00FE14F0" w:rsidP="00FE14F0">
      <w:pPr>
        <w:spacing w:line="360" w:lineRule="auto"/>
        <w:rPr>
          <w:rFonts w:ascii="Arial" w:hAnsi="Arial" w:cs="Arial"/>
          <w:b/>
          <w:bCs/>
          <w:sz w:val="24"/>
          <w:szCs w:val="24"/>
          <w:lang w:val="en-US"/>
        </w:rPr>
      </w:pPr>
      <w:r w:rsidRPr="002A1396">
        <w:rPr>
          <w:rFonts w:ascii="Arial" w:hAnsi="Arial" w:cs="Arial"/>
          <w:b/>
          <w:bCs/>
          <w:sz w:val="24"/>
          <w:szCs w:val="24"/>
          <w:lang w:val="en-US"/>
        </w:rPr>
        <w:t>7.1 Key Performance Indicators (KPIs)</w:t>
      </w:r>
    </w:p>
    <w:p w14:paraId="42D15378" w14:textId="77777777" w:rsidR="005654ED" w:rsidRPr="005654ED" w:rsidRDefault="005654ED" w:rsidP="005654ED">
      <w:pPr>
        <w:spacing w:line="360" w:lineRule="auto"/>
        <w:rPr>
          <w:rFonts w:ascii="Arial" w:hAnsi="Arial" w:cs="Arial"/>
          <w:lang w:val="en-US"/>
        </w:rPr>
      </w:pPr>
      <w:r w:rsidRPr="005654ED">
        <w:rPr>
          <w:rFonts w:ascii="Arial" w:hAnsi="Arial" w:cs="Arial"/>
          <w:lang w:val="en-US"/>
        </w:rPr>
        <w:t>The monthly sales proportion of the "Healthy Choices" product series.</w:t>
      </w:r>
    </w:p>
    <w:p w14:paraId="737C0186" w14:textId="77777777" w:rsidR="005654ED" w:rsidRPr="005654ED" w:rsidRDefault="005654ED" w:rsidP="005654ED">
      <w:pPr>
        <w:spacing w:line="360" w:lineRule="auto"/>
        <w:rPr>
          <w:rFonts w:ascii="Arial" w:hAnsi="Arial" w:cs="Arial"/>
          <w:lang w:val="en-US"/>
        </w:rPr>
      </w:pPr>
      <w:r w:rsidRPr="005654ED">
        <w:rPr>
          <w:rFonts w:ascii="Arial" w:hAnsi="Arial" w:cs="Arial"/>
          <w:lang w:val="en-US"/>
        </w:rPr>
        <w:t>The quarterly customer churn rate targeting competitors who prioritize health.</w:t>
      </w:r>
    </w:p>
    <w:p w14:paraId="3DE50D08" w14:textId="20AC7B78" w:rsidR="00CC6491" w:rsidRDefault="005654ED" w:rsidP="00FE14F0">
      <w:pPr>
        <w:spacing w:line="360" w:lineRule="auto"/>
        <w:rPr>
          <w:rFonts w:ascii="Arial" w:hAnsi="Arial" w:cs="Arial" w:hint="eastAsia"/>
          <w:lang w:val="en-US"/>
        </w:rPr>
      </w:pPr>
      <w:r w:rsidRPr="005654ED">
        <w:rPr>
          <w:rFonts w:ascii="Arial" w:hAnsi="Arial" w:cs="Arial"/>
          <w:lang w:val="en-US"/>
        </w:rPr>
        <w:t>The quarterly rating in the customer survey regarding brand health awareness.</w:t>
      </w:r>
    </w:p>
    <w:p w14:paraId="6812295F" w14:textId="77777777" w:rsidR="00CC6491" w:rsidRDefault="00CC6491" w:rsidP="00FE14F0">
      <w:pPr>
        <w:spacing w:line="360" w:lineRule="auto"/>
        <w:rPr>
          <w:rFonts w:ascii="Arial" w:hAnsi="Arial" w:cs="Arial"/>
          <w:lang w:val="en-US"/>
        </w:rPr>
      </w:pPr>
    </w:p>
    <w:p w14:paraId="205DB58B" w14:textId="1731AEF8" w:rsidR="00FE14F0" w:rsidRPr="002A1396" w:rsidRDefault="00FE14F0" w:rsidP="00FE14F0">
      <w:pPr>
        <w:spacing w:line="360" w:lineRule="auto"/>
        <w:rPr>
          <w:rFonts w:ascii="Arial" w:hAnsi="Arial" w:cs="Arial"/>
          <w:b/>
          <w:bCs/>
          <w:sz w:val="24"/>
          <w:szCs w:val="24"/>
          <w:lang w:val="en-US"/>
        </w:rPr>
      </w:pPr>
      <w:r w:rsidRPr="002A1396">
        <w:rPr>
          <w:rFonts w:ascii="Arial" w:hAnsi="Arial" w:cs="Arial"/>
          <w:b/>
          <w:bCs/>
          <w:sz w:val="24"/>
          <w:szCs w:val="24"/>
          <w:lang w:val="en-US"/>
        </w:rPr>
        <w:t>7.2 Monitoring Methods &amp; Frequency</w:t>
      </w:r>
    </w:p>
    <w:p w14:paraId="510AD745" w14:textId="39FE573B" w:rsidR="00CC6491" w:rsidRDefault="00D03827" w:rsidP="00FE14F0">
      <w:pPr>
        <w:spacing w:line="360" w:lineRule="auto"/>
        <w:rPr>
          <w:rFonts w:ascii="Arial" w:hAnsi="Arial" w:cs="Arial" w:hint="eastAsia"/>
          <w:lang w:val="en-US"/>
        </w:rPr>
      </w:pPr>
      <w:r w:rsidRPr="00D03827">
        <w:rPr>
          <w:rFonts w:ascii="Arial" w:hAnsi="Arial" w:cs="Arial"/>
          <w:lang w:val="en-US"/>
        </w:rPr>
        <w:t>Sales data will be reviewed by the marketing and operations teams on a weekly basis. Customer surveys and analysis of competitor attrition will be conducted quarterly. Digital interaction metrics (application clicks, social media interactions) will be monitored monthly</w:t>
      </w:r>
      <w:r w:rsidR="009529F4">
        <w:rPr>
          <w:rFonts w:ascii="Arial" w:hAnsi="Arial" w:cs="Arial"/>
          <w:lang w:val="en-US"/>
        </w:rPr>
        <w:fldChar w:fldCharType="begin"/>
      </w:r>
      <w:r w:rsidR="009529F4">
        <w:rPr>
          <w:rFonts w:ascii="Arial" w:hAnsi="Arial" w:cs="Arial"/>
          <w:lang w:val="en-US"/>
        </w:rPr>
        <w:instrText xml:space="preserve"> ADDIN ZOTERO_ITEM CSL_CITATION {"citationID":"e9yHfVWW","properties":{"formattedCitation":"(Song {\\i{}et al.}, 2025)","plainCitation":"(Song et al., 2025)","noteIndex":0},"citationItems":[{"id":536,"uris":["http://zotero.org/users/18628635/items/3Q2XL4MR"],"itemData":{"id":536,"type":"article-journal","abstract":"This study aims to identify how streamer follower count influences consumers’ immediate purchase behavior in live commerce and to clarify the role of streamer conduct by introducing the concept of context collapse.We first conducted grounded theory interviews to develop a conceptual framework linking follower count, predictive expectation and immediate purchase behavior. We then executed two scenario-based online experiments using Taobao Live simulations to test hypotheses regarding (1) nonlinear effects of follower count, (2) mediation by predictive expectation and (3) moderation by perceived context collapse (collusion vs conflict).Results demonstrate an inverted U-shaped relationship between follower count and both immediate purchase behavior and predictive expectation; predictive expectation significantly mediates the former. Moreover, when streamer behavior induces perceived context conflict rather than collusion, these inverted U-shaped curves become markedly steeper. Medium streamers (around one million followers) maximize impulse-buying responses.By integrating social impact theory with context collapse, this research advances understanding of nonlinear effects in live commerce partnerships and illuminates the differential impacts of streamer conduct. The findings inform e-commerce companies’ streamer selection strategies and extend the theoretical application of context collapse to digital shopping contexts.","container-title":"Industrial Management &amp; Data Systems","DOI":"10.1108/IMDS-12-2024-1274","ISSN":"0263-5577","issue":"5","journalAbbreviation":"Industrial Management &amp; Data Systems","page":"1775-1800","source":"Silverchair","title":"How streamer’s follower count affect consumers’ immediate purchase behavior: the moderating effect of context collapse","title-short":"How streamer’s follower count affect consumers’ immediate purchase behavior","volume":"126","author":[{"family":"Song","given":"Mengmeng"},{"family":"Guo","given":"Rui"},{"family":"Wang","given":"Yuchen"},{"family":"Mou","given":"Jian"}],"issued":{"date-parts":[["2025",12,12]]}}}],"schema":"https://github.com/citation-style-language/schema/raw/master/csl-citation.json"} </w:instrText>
      </w:r>
      <w:r w:rsidR="009529F4">
        <w:rPr>
          <w:rFonts w:ascii="Arial" w:hAnsi="Arial" w:cs="Arial"/>
          <w:lang w:val="en-US"/>
        </w:rPr>
        <w:fldChar w:fldCharType="separate"/>
      </w:r>
      <w:r w:rsidR="009529F4" w:rsidRPr="009529F4">
        <w:rPr>
          <w:rFonts w:ascii="Arial" w:eastAsiaTheme="minorEastAsia" w:hAnsi="Arial" w:cs="Arial"/>
          <w:kern w:val="0"/>
          <w:szCs w:val="24"/>
          <w:lang w:val="en-US"/>
          <w14:ligatures w14:val="standardContextual"/>
        </w:rPr>
        <w:t xml:space="preserve">(Song </w:t>
      </w:r>
      <w:r w:rsidR="009529F4" w:rsidRPr="009529F4">
        <w:rPr>
          <w:rFonts w:ascii="Arial" w:eastAsiaTheme="minorEastAsia" w:hAnsi="Arial" w:cs="Arial"/>
          <w:i/>
          <w:iCs/>
          <w:kern w:val="0"/>
          <w:szCs w:val="24"/>
          <w:lang w:val="en-US"/>
          <w14:ligatures w14:val="standardContextual"/>
        </w:rPr>
        <w:t>et al.</w:t>
      </w:r>
      <w:r w:rsidR="009529F4" w:rsidRPr="009529F4">
        <w:rPr>
          <w:rFonts w:ascii="Arial" w:eastAsiaTheme="minorEastAsia" w:hAnsi="Arial" w:cs="Arial"/>
          <w:kern w:val="0"/>
          <w:szCs w:val="24"/>
          <w:lang w:val="en-US"/>
          <w14:ligatures w14:val="standardContextual"/>
        </w:rPr>
        <w:t>, 2025)</w:t>
      </w:r>
      <w:r w:rsidR="009529F4">
        <w:rPr>
          <w:rFonts w:ascii="Arial" w:hAnsi="Arial" w:cs="Arial"/>
          <w:lang w:val="en-US"/>
        </w:rPr>
        <w:fldChar w:fldCharType="end"/>
      </w:r>
      <w:r w:rsidRPr="00D03827">
        <w:rPr>
          <w:rFonts w:ascii="Arial" w:hAnsi="Arial" w:cs="Arial"/>
          <w:lang w:val="en-US"/>
        </w:rPr>
        <w:t>.</w:t>
      </w:r>
    </w:p>
    <w:p w14:paraId="70EDFE73" w14:textId="77777777" w:rsidR="00CC6491" w:rsidRDefault="00CC6491" w:rsidP="00FE14F0">
      <w:pPr>
        <w:spacing w:line="360" w:lineRule="auto"/>
        <w:rPr>
          <w:rFonts w:ascii="Arial" w:hAnsi="Arial" w:cs="Arial" w:hint="eastAsia"/>
          <w:lang w:val="en-US"/>
        </w:rPr>
      </w:pPr>
    </w:p>
    <w:p w14:paraId="460A5F3A" w14:textId="27F158F2" w:rsidR="00FE14F0" w:rsidRPr="002A1396" w:rsidRDefault="00FE14F0" w:rsidP="00FE14F0">
      <w:pPr>
        <w:spacing w:line="360" w:lineRule="auto"/>
        <w:rPr>
          <w:rFonts w:ascii="Arial" w:hAnsi="Arial" w:cs="Arial"/>
          <w:b/>
          <w:bCs/>
          <w:sz w:val="24"/>
          <w:szCs w:val="24"/>
          <w:lang w:val="en-US"/>
        </w:rPr>
      </w:pPr>
      <w:r w:rsidRPr="002A1396">
        <w:rPr>
          <w:rFonts w:ascii="Arial" w:hAnsi="Arial" w:cs="Arial"/>
          <w:b/>
          <w:bCs/>
          <w:sz w:val="24"/>
          <w:szCs w:val="24"/>
          <w:lang w:val="en-US"/>
        </w:rPr>
        <w:t>7.3 Performance Evaluation</w:t>
      </w:r>
    </w:p>
    <w:p w14:paraId="2EF85E45" w14:textId="7E4F2A2D" w:rsidR="00CC6491" w:rsidRDefault="00D03827" w:rsidP="00FE14F0">
      <w:pPr>
        <w:spacing w:line="360" w:lineRule="auto"/>
        <w:rPr>
          <w:rFonts w:ascii="Arial" w:hAnsi="Arial" w:cs="Arial" w:hint="eastAsia"/>
          <w:lang w:val="en-US"/>
        </w:rPr>
      </w:pPr>
      <w:r w:rsidRPr="00D03827">
        <w:rPr>
          <w:rFonts w:ascii="Arial" w:hAnsi="Arial" w:cs="Arial"/>
          <w:lang w:val="en-US"/>
        </w:rPr>
        <w:t>Performance will be assessed based on 12-month SMART goals</w:t>
      </w:r>
      <w:r w:rsidR="00D159A1">
        <w:rPr>
          <w:rFonts w:ascii="Arial" w:hAnsi="Arial" w:cs="Arial"/>
          <w:lang w:val="en-US"/>
        </w:rPr>
        <w:fldChar w:fldCharType="begin"/>
      </w:r>
      <w:r w:rsidR="00D159A1">
        <w:rPr>
          <w:rFonts w:ascii="Arial" w:hAnsi="Arial" w:cs="Arial"/>
          <w:lang w:val="en-US"/>
        </w:rPr>
        <w:instrText xml:space="preserve"> ADDIN ZOTERO_ITEM CSL_CITATION {"citationID":"AzS1RBmh","properties":{"formattedCitation":"({\\i{}There\\uc0\\u8217{}s a S.M.A.R.T. way to write management\\uc0\\u8217{}s goals and objectives}, no date)","plainCitation":"(There’s a S.M.A.R.T. way to write management’s goals and objectives, no date)","noteIndex":0},"citationItems":[{"id":534,"uris":["http://zotero.org/users/18628635/items/3I2RQDBU"],"itemData":{"id":534,"type":"webpage","title":"There’s a S.M.A.R.T. way to write management’s goals and objectives","URL":"https://www.singh.gg/20-literature-notes/doran1981/","accessed":{"date-parts":[["2026",5,10]]}}}],"schema":"https://github.com/citation-style-language/schema/raw/master/csl-citation.json"} </w:instrText>
      </w:r>
      <w:r w:rsidR="00D159A1">
        <w:rPr>
          <w:rFonts w:ascii="Arial" w:hAnsi="Arial" w:cs="Arial"/>
          <w:lang w:val="en-US"/>
        </w:rPr>
        <w:fldChar w:fldCharType="separate"/>
      </w:r>
      <w:r w:rsidR="00D159A1" w:rsidRPr="00D159A1">
        <w:rPr>
          <w:rFonts w:ascii="Arial" w:eastAsiaTheme="minorEastAsia" w:hAnsi="Arial" w:cs="Arial"/>
          <w:kern w:val="0"/>
          <w:szCs w:val="24"/>
          <w:lang w:val="en-US"/>
          <w14:ligatures w14:val="standardContextual"/>
        </w:rPr>
        <w:t>(</w:t>
      </w:r>
      <w:r w:rsidR="00D159A1" w:rsidRPr="00D159A1">
        <w:rPr>
          <w:rFonts w:ascii="Arial" w:eastAsiaTheme="minorEastAsia" w:hAnsi="Arial" w:cs="Arial"/>
          <w:i/>
          <w:iCs/>
          <w:kern w:val="0"/>
          <w:szCs w:val="24"/>
          <w:lang w:val="en-US"/>
          <w14:ligatures w14:val="standardContextual"/>
        </w:rPr>
        <w:t>There’s a S.M.A.R.T. way to write management’s goals and objectives</w:t>
      </w:r>
      <w:r w:rsidR="00D159A1" w:rsidRPr="00D159A1">
        <w:rPr>
          <w:rFonts w:ascii="Arial" w:eastAsiaTheme="minorEastAsia" w:hAnsi="Arial" w:cs="Arial"/>
          <w:kern w:val="0"/>
          <w:szCs w:val="24"/>
          <w:lang w:val="en-US"/>
          <w14:ligatures w14:val="standardContextual"/>
        </w:rPr>
        <w:t>, no date)</w:t>
      </w:r>
      <w:r w:rsidR="00D159A1">
        <w:rPr>
          <w:rFonts w:ascii="Arial" w:hAnsi="Arial" w:cs="Arial"/>
          <w:lang w:val="en-US"/>
        </w:rPr>
        <w:fldChar w:fldCharType="end"/>
      </w:r>
      <w:r w:rsidRPr="00D03827">
        <w:rPr>
          <w:rFonts w:ascii="Arial" w:hAnsi="Arial" w:cs="Arial"/>
          <w:lang w:val="en-US"/>
        </w:rPr>
        <w:t xml:space="preserve">. Difference analysis will identify </w:t>
      </w:r>
      <w:r w:rsidRPr="00D03827">
        <w:rPr>
          <w:rFonts w:ascii="Arial" w:hAnsi="Arial" w:cs="Arial"/>
          <w:lang w:val="en-US"/>
        </w:rPr>
        <w:lastRenderedPageBreak/>
        <w:t>underperforming products, underperforming store areas, or ineffective promotional activities. The evaluation results will be communicated to each department to ensure clear accountability and facilitate the implementation of corrective measures</w:t>
      </w:r>
      <w:r w:rsidR="00EB24B7">
        <w:rPr>
          <w:rFonts w:ascii="Arial" w:hAnsi="Arial" w:cs="Arial"/>
          <w:lang w:val="en-US"/>
        </w:rPr>
        <w:fldChar w:fldCharType="begin"/>
      </w:r>
      <w:r w:rsidR="00EB24B7">
        <w:rPr>
          <w:rFonts w:ascii="Arial" w:hAnsi="Arial" w:cs="Arial"/>
          <w:lang w:val="en-US"/>
        </w:rPr>
        <w:instrText xml:space="preserve"> ADDIN ZOTERO_ITEM CSL_CITATION {"citationID":"m81qnWo0","properties":{"formattedCitation":"(Bandyopadhyay and Nandan, 2025)","plainCitation":"(Bandyopadhyay and Nandan, 2025)","noteIndex":0},"citationItems":[{"id":532,"uris":["http://zotero.org/users/18628635/items/72SAD72R"],"itemData":{"id":532,"type":"article-journal","abstract":"Solid polymer electrolytes (SPEs) are essential for the advancement of high-energy density, safe, solid-state lithium batteries. However, traditional SPEs encounter difficulties such as inadequate ionic conductivity, poor mechanical stability, and high interfacial impedance. Incorporating inorganic fillers or polymer-reinforced structures can improve the electrochemical performance and physical qualities of the SPEs. Inorganic fillers frequently have compatibility issues with the polymer matrix and result in poor ionic conductivity due to their uneven distribution in the matrix. Conversely, continuous fiber-based three-dimensional frameworks, whether inorganic or polymeric, facilitate physical interlocking of the polymer matrix, limit filler aggregation, and improve ion transport, resulting in increased ionic conductivity and mechanical strength. Electrospinning is the most widely adopted approach for fabricating oriented fibrous frameworks with uniform thickness. Cross-linking also improves ionic conductivity by chemically interlocking the polymer matrix, inhibiting crystallization and allowing for steady battery performance across a wide temperature range. This review emphasizes the dual-interlocking strategies employed in SPEs, where electrospun fibrous networks provide physical interlocking and cross-linking offers chemical interlocking of the polymer matrices simultaneously. The synergy between fiber-based networks and cross-linking results in SPEs with balanced electro-chemo-mechanical properties which is crucial for the development of next-generation solid-state lithium batteries.","container-title":"Energy Storage Materials","DOI":"10.1016/j.ensm.2025.104233","ISSN":"2405-8297","journalAbbreviation":"Energy Storage Materials","page":"104233","source":"ScienceDirect","title":"Strategies for improving ionic conductivity and mechanical stability of solid polymer electrolytes for lithium batteries &lt;i&gt;via&lt;/i&gt; physical and chemical interlocking","volume":"78","author":[{"family":"Bandyopadhyay","given":"Sumana"},{"family":"Nandan","given":"Bhanu"}],"issued":{"date-parts":[["2025",5,1]]}}}],"schema":"https://github.com/citation-style-language/schema/raw/master/csl-citation.json"} </w:instrText>
      </w:r>
      <w:r w:rsidR="00EB24B7">
        <w:rPr>
          <w:rFonts w:ascii="Arial" w:hAnsi="Arial" w:cs="Arial"/>
          <w:lang w:val="en-US"/>
        </w:rPr>
        <w:fldChar w:fldCharType="separate"/>
      </w:r>
      <w:r w:rsidR="00EB24B7">
        <w:rPr>
          <w:rFonts w:ascii="Arial" w:hAnsi="Arial" w:cs="Arial"/>
          <w:noProof/>
          <w:lang w:val="en-US"/>
        </w:rPr>
        <w:t>(Bandyopadhyay and Nandan, 2025)</w:t>
      </w:r>
      <w:r w:rsidR="00EB24B7">
        <w:rPr>
          <w:rFonts w:ascii="Arial" w:hAnsi="Arial" w:cs="Arial"/>
          <w:lang w:val="en-US"/>
        </w:rPr>
        <w:fldChar w:fldCharType="end"/>
      </w:r>
      <w:r w:rsidRPr="00D03827">
        <w:rPr>
          <w:rFonts w:ascii="Arial" w:hAnsi="Arial" w:cs="Arial"/>
          <w:lang w:val="en-US"/>
        </w:rPr>
        <w:t>.</w:t>
      </w:r>
    </w:p>
    <w:p w14:paraId="41BCAFA1" w14:textId="77777777" w:rsidR="00CC6491" w:rsidRDefault="00CC6491" w:rsidP="00FE14F0">
      <w:pPr>
        <w:spacing w:line="360" w:lineRule="auto"/>
        <w:rPr>
          <w:rFonts w:ascii="Arial" w:hAnsi="Arial" w:cs="Arial"/>
          <w:lang w:val="en-US"/>
        </w:rPr>
      </w:pPr>
    </w:p>
    <w:p w14:paraId="16F403B9" w14:textId="094546E0" w:rsidR="00FE14F0" w:rsidRPr="002A1396" w:rsidRDefault="00FE14F0" w:rsidP="00FE14F0">
      <w:pPr>
        <w:spacing w:line="360" w:lineRule="auto"/>
        <w:rPr>
          <w:rFonts w:ascii="Arial" w:hAnsi="Arial" w:cs="Arial"/>
          <w:b/>
          <w:bCs/>
          <w:sz w:val="24"/>
          <w:szCs w:val="24"/>
          <w:lang w:val="en-US"/>
        </w:rPr>
      </w:pPr>
      <w:r w:rsidRPr="002A1396">
        <w:rPr>
          <w:rFonts w:ascii="Arial" w:hAnsi="Arial" w:cs="Arial"/>
          <w:b/>
          <w:bCs/>
          <w:sz w:val="24"/>
          <w:szCs w:val="24"/>
          <w:lang w:val="en-US"/>
        </w:rPr>
        <w:t>7.4 Continuous Improvement &amp; Adaptation</w:t>
      </w:r>
    </w:p>
    <w:p w14:paraId="5293DBE2" w14:textId="74FEA8B6" w:rsidR="00CC6491" w:rsidRDefault="00EE6527" w:rsidP="00FE14F0">
      <w:pPr>
        <w:spacing w:line="360" w:lineRule="auto"/>
        <w:rPr>
          <w:rFonts w:ascii="Arial" w:hAnsi="Arial" w:cs="Arial" w:hint="eastAsia"/>
          <w:lang w:val="en-US"/>
        </w:rPr>
      </w:pPr>
      <w:r w:rsidRPr="00EE6527">
        <w:rPr>
          <w:rFonts w:ascii="Arial" w:hAnsi="Arial" w:cs="Arial"/>
          <w:lang w:val="en-US"/>
        </w:rPr>
        <w:t>This plan will be adjusted based on actual performance. Products with poor sales will be removed or re-formulated</w:t>
      </w:r>
      <w:r w:rsidR="00000D64">
        <w:rPr>
          <w:rFonts w:ascii="Arial" w:hAnsi="Arial" w:cs="Arial"/>
          <w:lang w:val="en-US"/>
        </w:rPr>
        <w:fldChar w:fldCharType="begin"/>
      </w:r>
      <w:r w:rsidR="00000D64">
        <w:rPr>
          <w:rFonts w:ascii="Arial" w:hAnsi="Arial" w:cs="Arial"/>
          <w:lang w:val="en-US"/>
        </w:rPr>
        <w:instrText xml:space="preserve"> ADDIN ZOTERO_ITEM CSL_CITATION {"citationID":"bi72iLbA","properties":{"formattedCitation":"(Chaves, 2025)","plainCitation":"(Chaves, 2025)","noteIndex":0},"citationItems":[{"id":530,"uris":["http://zotero.org/users/18628635/items/JI6QWTSL"],"itemData":{"id":530,"type":"article-journal","abstract":"Production, vol.35, e20250045, 2025","container-title":"Risks in food supply chains and strategies to mitigate them: a systematic literature review","ISSN":"0103-6513","language":"en, pt-br","page":"0-0","publisher":"ABEPRO - Brazilian Association of Production Engineering","source":"prod.org.br","title":"Risks in food supply chains and strategies to mitigate them: a systematic literature review","title-short":"Risks in food supply chains and strategies to mitigate them","volume":"35","author":[{"family":"Chaves","given":"Eveliny Dias de Medeiros; Caroline Rodrigues Vaz; Gisele de Lorena Diniz"}],"issued":{"date-parts":[["2025",10,23]]}}}],"schema":"https://github.com/citation-style-language/schema/raw/master/csl-citation.json"} </w:instrText>
      </w:r>
      <w:r w:rsidR="00000D64">
        <w:rPr>
          <w:rFonts w:ascii="Arial" w:hAnsi="Arial" w:cs="Arial"/>
          <w:lang w:val="en-US"/>
        </w:rPr>
        <w:fldChar w:fldCharType="separate"/>
      </w:r>
      <w:r w:rsidR="00000D64">
        <w:rPr>
          <w:rFonts w:ascii="Arial" w:hAnsi="Arial" w:cs="Arial"/>
          <w:noProof/>
          <w:lang w:val="en-US"/>
        </w:rPr>
        <w:t>(Chaves, 2025)</w:t>
      </w:r>
      <w:r w:rsidR="00000D64">
        <w:rPr>
          <w:rFonts w:ascii="Arial" w:hAnsi="Arial" w:cs="Arial"/>
          <w:lang w:val="en-US"/>
        </w:rPr>
        <w:fldChar w:fldCharType="end"/>
      </w:r>
      <w:r w:rsidRPr="00EE6527">
        <w:rPr>
          <w:rFonts w:ascii="Arial" w:hAnsi="Arial" w:cs="Arial"/>
          <w:lang w:val="en-US"/>
        </w:rPr>
        <w:t>. If there is customer resistance, prices will be adjusted. Promotional information will be optimized using participation data. Regular adjustments can ensure responsiveness to market changes and support long-term continuous improvement.</w:t>
      </w:r>
    </w:p>
    <w:p w14:paraId="4D9DC2C8" w14:textId="77777777" w:rsidR="00CC6491" w:rsidRDefault="00CC6491" w:rsidP="00FE14F0">
      <w:pPr>
        <w:spacing w:line="360" w:lineRule="auto"/>
        <w:rPr>
          <w:rFonts w:ascii="Arial" w:hAnsi="Arial" w:cs="Arial"/>
          <w:lang w:val="en-US"/>
        </w:rPr>
      </w:pPr>
    </w:p>
    <w:p w14:paraId="2A3F86E8" w14:textId="0D6743B9" w:rsidR="00FE14F0" w:rsidRPr="002A1396" w:rsidRDefault="00FE14F0" w:rsidP="00FE14F0">
      <w:pPr>
        <w:spacing w:line="360" w:lineRule="auto"/>
        <w:rPr>
          <w:rFonts w:ascii="Arial" w:hAnsi="Arial" w:cs="Arial"/>
          <w:b/>
          <w:bCs/>
          <w:sz w:val="28"/>
          <w:szCs w:val="28"/>
          <w:lang w:val="en-US"/>
        </w:rPr>
      </w:pPr>
      <w:r w:rsidRPr="002A1396">
        <w:rPr>
          <w:rFonts w:ascii="Arial" w:hAnsi="Arial" w:cs="Arial"/>
          <w:b/>
          <w:bCs/>
          <w:sz w:val="28"/>
          <w:szCs w:val="28"/>
          <w:lang w:val="en-US"/>
        </w:rPr>
        <w:t>8.0 Conclusion</w:t>
      </w:r>
    </w:p>
    <w:p w14:paraId="7F6F6D96" w14:textId="64632818" w:rsidR="00CC6491" w:rsidRDefault="007859E5" w:rsidP="00FE14F0">
      <w:pPr>
        <w:spacing w:line="360" w:lineRule="auto"/>
        <w:rPr>
          <w:rFonts w:ascii="Arial" w:hAnsi="Arial" w:cs="Arial"/>
          <w:lang w:val="en-US"/>
        </w:rPr>
      </w:pPr>
      <w:r w:rsidRPr="007859E5">
        <w:rPr>
          <w:rFonts w:ascii="Arial" w:hAnsi="Arial" w:cs="Arial"/>
          <w:lang w:val="en-US"/>
        </w:rPr>
        <w:t>This marketing plan aims to consolidate Greggs' market position by integrating health-oriented innovation into its existing low-cost and highly convenient model. By adopting a product development strategy and targeted differentiation methods, Greggs launched the "Healthy Choices" product line without losing its core customer base that values value. The 7Ps strategy is designed to leverage existing infrastructure, maintain the lowest price premium, and ensure consistent implementation across all stores. This action plan outlines practical stages, resource requirements, and risk mitigation measures, while a monitoring framework with clear key performance indicators enables flexible adaptation. Ultimately, this plan enables Greggs to reduce the risk of being eliminated by health-oriented competitors, enhance its brand reputation, and drive sustainable sales growth, thus achieving long-term stable development in the highly competitive fast-food industry in the UK.</w:t>
      </w:r>
    </w:p>
    <w:p w14:paraId="1A41E115" w14:textId="77777777" w:rsidR="007859E5" w:rsidRDefault="007859E5" w:rsidP="00FE14F0">
      <w:pPr>
        <w:spacing w:line="360" w:lineRule="auto"/>
        <w:rPr>
          <w:rFonts w:ascii="Arial" w:hAnsi="Arial" w:cs="Arial" w:hint="eastAsia"/>
          <w:lang w:val="en-US"/>
        </w:rPr>
      </w:pPr>
    </w:p>
    <w:p w14:paraId="5DB26124" w14:textId="77777777" w:rsidR="00CC6491" w:rsidRDefault="00CC6491" w:rsidP="00FE14F0">
      <w:pPr>
        <w:spacing w:line="360" w:lineRule="auto"/>
        <w:rPr>
          <w:rFonts w:ascii="Arial" w:hAnsi="Arial" w:cs="Arial"/>
          <w:lang w:val="en-US"/>
        </w:rPr>
      </w:pPr>
    </w:p>
    <w:p w14:paraId="482E325A" w14:textId="77777777" w:rsidR="00CC6491" w:rsidRDefault="00CC6491" w:rsidP="00FE14F0">
      <w:pPr>
        <w:spacing w:line="360" w:lineRule="auto"/>
        <w:rPr>
          <w:rFonts w:ascii="Arial" w:hAnsi="Arial" w:cs="Arial"/>
          <w:lang w:val="en-US"/>
        </w:rPr>
      </w:pPr>
    </w:p>
    <w:p w14:paraId="41DD6B83" w14:textId="77777777" w:rsidR="00C01090" w:rsidRDefault="00C01090" w:rsidP="00FE14F0">
      <w:pPr>
        <w:spacing w:line="360" w:lineRule="auto"/>
        <w:rPr>
          <w:rFonts w:ascii="Arial" w:hAnsi="Arial" w:cs="Arial"/>
          <w:b/>
          <w:bCs/>
          <w:sz w:val="28"/>
          <w:szCs w:val="28"/>
          <w:lang w:val="en-US"/>
        </w:rPr>
      </w:pPr>
    </w:p>
    <w:p w14:paraId="62273CAF" w14:textId="3BEB02F6" w:rsidR="00FE14F0" w:rsidRPr="002A1396" w:rsidRDefault="00FE14F0" w:rsidP="00FE14F0">
      <w:pPr>
        <w:spacing w:line="360" w:lineRule="auto"/>
        <w:rPr>
          <w:rFonts w:ascii="Arial" w:hAnsi="Arial" w:cs="Arial"/>
          <w:b/>
          <w:bCs/>
          <w:sz w:val="28"/>
          <w:szCs w:val="28"/>
          <w:lang w:val="en-US"/>
        </w:rPr>
      </w:pPr>
      <w:r w:rsidRPr="002A1396">
        <w:rPr>
          <w:rFonts w:ascii="Arial" w:hAnsi="Arial" w:cs="Arial" w:hint="eastAsia"/>
          <w:b/>
          <w:bCs/>
          <w:sz w:val="28"/>
          <w:szCs w:val="28"/>
          <w:lang w:val="en-US"/>
        </w:rPr>
        <w:lastRenderedPageBreak/>
        <w:t>References</w:t>
      </w:r>
    </w:p>
    <w:p w14:paraId="0311EA94" w14:textId="1C44F0AF" w:rsidR="009529F4" w:rsidRPr="009529F4" w:rsidRDefault="001E3460" w:rsidP="009529F4">
      <w:pPr>
        <w:pStyle w:val="af1"/>
        <w:rPr>
          <w:rFonts w:ascii="Arial" w:hAnsi="Arial" w:cs="Arial"/>
          <w:lang w:val="en-US"/>
        </w:rPr>
      </w:pPr>
      <w:r>
        <w:rPr>
          <w:rFonts w:ascii="Arial" w:hAnsi="Arial" w:cs="Arial"/>
          <w:lang w:val="en-US"/>
        </w:rPr>
        <w:fldChar w:fldCharType="begin"/>
      </w:r>
      <w:r>
        <w:rPr>
          <w:rFonts w:ascii="Arial" w:hAnsi="Arial" w:cs="Arial"/>
          <w:lang w:val="en-US"/>
        </w:rPr>
        <w:instrText xml:space="preserve"> ADDIN ZOTERO_BIBL {"uncited":[],"omitted":[],"custom":[]} CSL_BIBLIOGRAPHY </w:instrText>
      </w:r>
      <w:r>
        <w:rPr>
          <w:rFonts w:ascii="Arial" w:hAnsi="Arial" w:cs="Arial"/>
          <w:lang w:val="en-US"/>
        </w:rPr>
        <w:fldChar w:fldCharType="separate"/>
      </w:r>
      <w:r w:rsidR="009529F4" w:rsidRPr="009529F4">
        <w:rPr>
          <w:rFonts w:ascii="Arial" w:hAnsi="Arial" w:cs="Arial"/>
          <w:lang w:val="en-US"/>
        </w:rPr>
        <w:t xml:space="preserve">admin (2023) ‘Greggs SWOT Analysis’, </w:t>
      </w:r>
      <w:r w:rsidR="009529F4" w:rsidRPr="009529F4">
        <w:rPr>
          <w:rFonts w:ascii="Arial" w:hAnsi="Arial" w:cs="Arial"/>
          <w:i/>
          <w:iCs/>
          <w:lang w:val="en-US"/>
        </w:rPr>
        <w:t>The Strategy Story</w:t>
      </w:r>
      <w:r w:rsidR="009529F4" w:rsidRPr="009529F4">
        <w:rPr>
          <w:rFonts w:ascii="Arial" w:hAnsi="Arial" w:cs="Arial"/>
          <w:lang w:val="en-US"/>
        </w:rPr>
        <w:t>, 6 October. Available at: https://thestrategystory.com/blog/greggs-swot-analysis/ (Accessed: 1 May 2026).</w:t>
      </w:r>
    </w:p>
    <w:p w14:paraId="6160EFE7" w14:textId="77777777" w:rsidR="009529F4" w:rsidRPr="009529F4" w:rsidRDefault="009529F4" w:rsidP="009529F4">
      <w:pPr>
        <w:pStyle w:val="af1"/>
        <w:rPr>
          <w:rFonts w:ascii="Arial" w:hAnsi="Arial" w:cs="Arial"/>
          <w:lang w:val="en-US"/>
        </w:rPr>
      </w:pPr>
      <w:r w:rsidRPr="009529F4">
        <w:rPr>
          <w:rFonts w:ascii="Arial" w:hAnsi="Arial" w:cs="Arial"/>
          <w:lang w:val="en-US"/>
        </w:rPr>
        <w:t xml:space="preserve">Agency, F.S. and Ireland, I.N. (2025) ‘Making Food Better Tracker Survey 2024’, </w:t>
      </w:r>
      <w:r w:rsidRPr="009529F4">
        <w:rPr>
          <w:rFonts w:ascii="Arial" w:hAnsi="Arial" w:cs="Arial"/>
          <w:i/>
          <w:iCs/>
          <w:lang w:val="en-US"/>
        </w:rPr>
        <w:t>FSA Research and Evidence</w:t>
      </w:r>
      <w:r w:rsidRPr="009529F4">
        <w:rPr>
          <w:rFonts w:ascii="Arial" w:hAnsi="Arial" w:cs="Arial"/>
          <w:lang w:val="en-US"/>
        </w:rPr>
        <w:t xml:space="preserve"> [Preprint]. Available at: https://doi.org/10.46756/001c.130815.</w:t>
      </w:r>
    </w:p>
    <w:p w14:paraId="5EE05D57" w14:textId="77777777" w:rsidR="009529F4" w:rsidRPr="009529F4" w:rsidRDefault="009529F4" w:rsidP="009529F4">
      <w:pPr>
        <w:pStyle w:val="af1"/>
        <w:rPr>
          <w:rFonts w:ascii="Arial" w:hAnsi="Arial" w:cs="Arial"/>
          <w:lang w:val="en-US"/>
        </w:rPr>
      </w:pPr>
      <w:proofErr w:type="spellStart"/>
      <w:r w:rsidRPr="009529F4">
        <w:rPr>
          <w:rFonts w:ascii="Arial" w:hAnsi="Arial" w:cs="Arial"/>
          <w:lang w:val="en-US"/>
        </w:rPr>
        <w:t>Aschemann</w:t>
      </w:r>
      <w:proofErr w:type="spellEnd"/>
      <w:r w:rsidRPr="009529F4">
        <w:rPr>
          <w:rFonts w:ascii="Arial" w:hAnsi="Arial" w:cs="Arial"/>
          <w:lang w:val="en-US"/>
        </w:rPr>
        <w:t xml:space="preserve">-Witzel, J. and Zielke, S. (2017) ‘Can’t Buy Me Green? A Review of Consumer Perceptions of and Behavior Toward the Price of Organic Food’, </w:t>
      </w:r>
      <w:r w:rsidRPr="009529F4">
        <w:rPr>
          <w:rFonts w:ascii="Arial" w:hAnsi="Arial" w:cs="Arial"/>
          <w:i/>
          <w:iCs/>
          <w:lang w:val="en-US"/>
        </w:rPr>
        <w:t>The Journal of Consumer Affairs</w:t>
      </w:r>
      <w:r w:rsidRPr="009529F4">
        <w:rPr>
          <w:rFonts w:ascii="Arial" w:hAnsi="Arial" w:cs="Arial"/>
          <w:lang w:val="en-US"/>
        </w:rPr>
        <w:t>, 51(1), pp. 211–251.</w:t>
      </w:r>
    </w:p>
    <w:p w14:paraId="6069BD14" w14:textId="77777777" w:rsidR="009529F4" w:rsidRPr="009529F4" w:rsidRDefault="009529F4" w:rsidP="009529F4">
      <w:pPr>
        <w:pStyle w:val="af1"/>
        <w:rPr>
          <w:rFonts w:ascii="Arial" w:hAnsi="Arial" w:cs="Arial"/>
          <w:lang w:val="en-US"/>
        </w:rPr>
      </w:pPr>
      <w:r w:rsidRPr="009529F4">
        <w:rPr>
          <w:rFonts w:ascii="Arial" w:hAnsi="Arial" w:cs="Arial"/>
          <w:lang w:val="en-US"/>
        </w:rPr>
        <w:t xml:space="preserve">Bandyopadhyay, S. and Nandan, B. (2025) ‘Strategies for improving ionic conductivity and mechanical stability of solid polymer electrolytes for lithium batteries </w:t>
      </w:r>
      <w:r w:rsidRPr="009529F4">
        <w:rPr>
          <w:rFonts w:ascii="Arial" w:hAnsi="Arial" w:cs="Arial"/>
          <w:i/>
          <w:iCs/>
          <w:lang w:val="en-US"/>
        </w:rPr>
        <w:t>via</w:t>
      </w:r>
      <w:r w:rsidRPr="009529F4">
        <w:rPr>
          <w:rFonts w:ascii="Arial" w:hAnsi="Arial" w:cs="Arial"/>
          <w:lang w:val="en-US"/>
        </w:rPr>
        <w:t xml:space="preserve"> physical and chemical interlocking’, </w:t>
      </w:r>
      <w:r w:rsidRPr="009529F4">
        <w:rPr>
          <w:rFonts w:ascii="Arial" w:hAnsi="Arial" w:cs="Arial"/>
          <w:i/>
          <w:iCs/>
          <w:lang w:val="en-US"/>
        </w:rPr>
        <w:t>Energy Storage Materials</w:t>
      </w:r>
      <w:r w:rsidRPr="009529F4">
        <w:rPr>
          <w:rFonts w:ascii="Arial" w:hAnsi="Arial" w:cs="Arial"/>
          <w:lang w:val="en-US"/>
        </w:rPr>
        <w:t>, 78, p. 104233. Available at: https://doi.org/10.1016/j.ensm.2025.104233.</w:t>
      </w:r>
    </w:p>
    <w:p w14:paraId="53878660" w14:textId="77777777" w:rsidR="009529F4" w:rsidRPr="009529F4" w:rsidRDefault="009529F4" w:rsidP="009529F4">
      <w:pPr>
        <w:pStyle w:val="af1"/>
        <w:rPr>
          <w:rFonts w:ascii="Arial" w:hAnsi="Arial" w:cs="Arial"/>
          <w:lang w:val="en-US"/>
        </w:rPr>
      </w:pPr>
      <w:r w:rsidRPr="009529F4">
        <w:rPr>
          <w:rFonts w:ascii="Arial" w:hAnsi="Arial" w:cs="Arial"/>
          <w:lang w:val="en-US"/>
        </w:rPr>
        <w:t xml:space="preserve">Chaves, E.D. de M.C.R.V.G. de L.D. (2025) ‘Risks in food supply chains and strategies to mitigate them: a systematic literature review’, </w:t>
      </w:r>
      <w:r w:rsidRPr="009529F4">
        <w:rPr>
          <w:rFonts w:ascii="Arial" w:hAnsi="Arial" w:cs="Arial"/>
          <w:i/>
          <w:iCs/>
          <w:lang w:val="en-US"/>
        </w:rPr>
        <w:t>Risks in food supply chains and strategies to mitigate them: a systematic literature review</w:t>
      </w:r>
      <w:r w:rsidRPr="009529F4">
        <w:rPr>
          <w:rFonts w:ascii="Arial" w:hAnsi="Arial" w:cs="Arial"/>
          <w:lang w:val="en-US"/>
        </w:rPr>
        <w:t>, 35, pp. 0–0.</w:t>
      </w:r>
    </w:p>
    <w:p w14:paraId="113AF01D" w14:textId="77777777" w:rsidR="009529F4" w:rsidRPr="009529F4" w:rsidRDefault="009529F4" w:rsidP="009529F4">
      <w:pPr>
        <w:pStyle w:val="af1"/>
        <w:rPr>
          <w:rFonts w:ascii="Arial" w:hAnsi="Arial" w:cs="Arial"/>
          <w:lang w:val="en-US"/>
        </w:rPr>
      </w:pPr>
      <w:r w:rsidRPr="009529F4">
        <w:rPr>
          <w:rFonts w:ascii="Arial" w:hAnsi="Arial" w:cs="Arial"/>
          <w:lang w:val="en-US"/>
        </w:rPr>
        <w:t xml:space="preserve">Essman, M. </w:t>
      </w:r>
      <w:r w:rsidRPr="009529F4">
        <w:rPr>
          <w:rFonts w:ascii="Arial" w:hAnsi="Arial" w:cs="Arial"/>
          <w:i/>
          <w:iCs/>
          <w:lang w:val="en-US"/>
        </w:rPr>
        <w:t>et al.</w:t>
      </w:r>
      <w:r w:rsidRPr="009529F4">
        <w:rPr>
          <w:rFonts w:ascii="Arial" w:hAnsi="Arial" w:cs="Arial"/>
          <w:lang w:val="en-US"/>
        </w:rPr>
        <w:t xml:space="preserve"> (2025) ‘Changes in energy content of menu items at out-of-home food outlets in England after calorie labelling policy implementation: a pre–post analysis (2021–2022)’, </w:t>
      </w:r>
      <w:r w:rsidRPr="009529F4">
        <w:rPr>
          <w:rFonts w:ascii="Arial" w:hAnsi="Arial" w:cs="Arial"/>
          <w:i/>
          <w:iCs/>
          <w:lang w:val="en-US"/>
        </w:rPr>
        <w:t>BMJ Public Health</w:t>
      </w:r>
      <w:r w:rsidRPr="009529F4">
        <w:rPr>
          <w:rFonts w:ascii="Arial" w:hAnsi="Arial" w:cs="Arial"/>
          <w:lang w:val="en-US"/>
        </w:rPr>
        <w:t>, 3(2). Available at: https://doi.org/10.1136/bmjph-2024-001905.</w:t>
      </w:r>
    </w:p>
    <w:p w14:paraId="1D1A36D8" w14:textId="3C462639" w:rsidR="009529F4" w:rsidRPr="009529F4" w:rsidRDefault="009529F4" w:rsidP="009529F4">
      <w:pPr>
        <w:pStyle w:val="af1"/>
        <w:rPr>
          <w:rFonts w:ascii="Arial" w:hAnsi="Arial" w:cs="Arial"/>
          <w:lang w:val="en-US"/>
        </w:rPr>
      </w:pPr>
      <w:r w:rsidRPr="009529F4">
        <w:rPr>
          <w:rFonts w:ascii="Arial" w:hAnsi="Arial" w:cs="Arial"/>
          <w:i/>
          <w:iCs/>
          <w:lang w:val="en-US"/>
        </w:rPr>
        <w:t>Government response to the House of Lords Food, Diet and Obesity Committee’s report ‘Recipe for health: a plan to fix our broken food system’</w:t>
      </w:r>
      <w:r w:rsidRPr="009529F4">
        <w:rPr>
          <w:rFonts w:ascii="Arial" w:hAnsi="Arial" w:cs="Arial"/>
          <w:lang w:val="en-US"/>
        </w:rPr>
        <w:t xml:space="preserve"> (no date) </w:t>
      </w:r>
      <w:r w:rsidRPr="009529F4">
        <w:rPr>
          <w:rFonts w:ascii="Arial" w:hAnsi="Arial" w:cs="Arial"/>
          <w:i/>
          <w:iCs/>
          <w:lang w:val="en-US"/>
        </w:rPr>
        <w:t>GOV.UK</w:t>
      </w:r>
      <w:r w:rsidRPr="009529F4">
        <w:rPr>
          <w:rFonts w:ascii="Arial" w:hAnsi="Arial" w:cs="Arial"/>
          <w:lang w:val="en-US"/>
        </w:rPr>
        <w:t xml:space="preserve">. Available at: https://www.gov.uk/government/publications/government-response-to-the-house-of-lords-food-and-health-report/government-response-to-the-house-of-lords-food-diet-and-obesity-committees-report-recipe-for-health-a-plan-to-fix-our-broken-food-system (Accessed: </w:t>
      </w:r>
      <w:r w:rsidR="00441667">
        <w:rPr>
          <w:rFonts w:ascii="Arial" w:hAnsi="Arial" w:cs="Arial" w:hint="eastAsia"/>
          <w:lang w:val="en-US"/>
        </w:rPr>
        <w:t>4</w:t>
      </w:r>
      <w:r w:rsidRPr="009529F4">
        <w:rPr>
          <w:rFonts w:ascii="Arial" w:hAnsi="Arial" w:cs="Arial"/>
          <w:lang w:val="en-US"/>
        </w:rPr>
        <w:t xml:space="preserve"> May 2026).</w:t>
      </w:r>
    </w:p>
    <w:p w14:paraId="11B6B9B0" w14:textId="1BD21E67" w:rsidR="009529F4" w:rsidRPr="009529F4" w:rsidRDefault="009529F4" w:rsidP="009529F4">
      <w:pPr>
        <w:pStyle w:val="af1"/>
        <w:rPr>
          <w:rFonts w:ascii="Arial" w:hAnsi="Arial" w:cs="Arial"/>
          <w:lang w:val="en-US"/>
        </w:rPr>
      </w:pPr>
      <w:r w:rsidRPr="009529F4">
        <w:rPr>
          <w:rFonts w:ascii="Arial" w:hAnsi="Arial" w:cs="Arial"/>
          <w:i/>
          <w:iCs/>
          <w:lang w:val="en-US"/>
        </w:rPr>
        <w:t>Greggs Corporate | Results and regulatory news</w:t>
      </w:r>
      <w:r w:rsidRPr="009529F4">
        <w:rPr>
          <w:rFonts w:ascii="Arial" w:hAnsi="Arial" w:cs="Arial"/>
          <w:lang w:val="en-US"/>
        </w:rPr>
        <w:t xml:space="preserve"> (no date). Available at: https://corporate.greggs.co.uk/investors/results-and-regulatory-news (Accessed: 1 May 2026).</w:t>
      </w:r>
    </w:p>
    <w:p w14:paraId="29FE57C6" w14:textId="66E50B11" w:rsidR="009529F4" w:rsidRPr="009529F4" w:rsidRDefault="009529F4" w:rsidP="009529F4">
      <w:pPr>
        <w:pStyle w:val="af1"/>
        <w:rPr>
          <w:rFonts w:ascii="Arial" w:hAnsi="Arial" w:cs="Arial"/>
          <w:lang w:val="en-US"/>
        </w:rPr>
      </w:pPr>
      <w:r w:rsidRPr="009529F4">
        <w:rPr>
          <w:rFonts w:ascii="Arial" w:hAnsi="Arial" w:cs="Arial"/>
          <w:i/>
          <w:iCs/>
          <w:lang w:val="en-US"/>
        </w:rPr>
        <w:t>GRG DCF Valuation - Greggs PLC</w:t>
      </w:r>
      <w:r w:rsidRPr="009529F4">
        <w:rPr>
          <w:rFonts w:ascii="Arial" w:hAnsi="Arial" w:cs="Arial"/>
          <w:lang w:val="en-US"/>
        </w:rPr>
        <w:t xml:space="preserve"> (no date) </w:t>
      </w:r>
      <w:r w:rsidRPr="009529F4">
        <w:rPr>
          <w:rFonts w:ascii="Arial" w:hAnsi="Arial" w:cs="Arial"/>
          <w:i/>
          <w:iCs/>
          <w:lang w:val="en-US"/>
        </w:rPr>
        <w:t>Alpha Spread</w:t>
      </w:r>
      <w:r w:rsidRPr="009529F4">
        <w:rPr>
          <w:rFonts w:ascii="Arial" w:hAnsi="Arial" w:cs="Arial"/>
          <w:lang w:val="en-US"/>
        </w:rPr>
        <w:t>. Available at: https://www.alphaspread.com/security/lse/grg/dcf-valuation/base-case (Accessed: 1 May 2026).</w:t>
      </w:r>
    </w:p>
    <w:p w14:paraId="1D7A21AC" w14:textId="5E1FCBEB" w:rsidR="009529F4" w:rsidRPr="009529F4" w:rsidRDefault="009529F4" w:rsidP="009529F4">
      <w:pPr>
        <w:pStyle w:val="af1"/>
        <w:rPr>
          <w:rFonts w:ascii="Arial" w:hAnsi="Arial" w:cs="Arial"/>
          <w:lang w:val="en-US"/>
        </w:rPr>
      </w:pPr>
      <w:r w:rsidRPr="009529F4">
        <w:rPr>
          <w:rFonts w:ascii="Arial" w:hAnsi="Arial" w:cs="Arial"/>
          <w:lang w:val="en-US"/>
        </w:rPr>
        <w:t xml:space="preserve">Inc, </w:t>
      </w:r>
      <w:proofErr w:type="spellStart"/>
      <w:r w:rsidRPr="009529F4">
        <w:rPr>
          <w:rFonts w:ascii="Arial" w:hAnsi="Arial" w:cs="Arial"/>
          <w:lang w:val="en-US"/>
        </w:rPr>
        <w:t>Ibisw</w:t>
      </w:r>
      <w:proofErr w:type="spellEnd"/>
      <w:r w:rsidRPr="009529F4">
        <w:rPr>
          <w:rFonts w:ascii="Arial" w:hAnsi="Arial" w:cs="Arial"/>
          <w:lang w:val="en-US"/>
        </w:rPr>
        <w:t xml:space="preserve">. (no date) </w:t>
      </w:r>
      <w:r w:rsidRPr="009529F4">
        <w:rPr>
          <w:rFonts w:ascii="Arial" w:hAnsi="Arial" w:cs="Arial"/>
          <w:i/>
          <w:iCs/>
          <w:lang w:val="en-US"/>
        </w:rPr>
        <w:t>Takeaway &amp; Fast-Food Restaurants in the UK Industry Analysis, 2025</w:t>
      </w:r>
      <w:r w:rsidRPr="009529F4">
        <w:rPr>
          <w:rFonts w:ascii="Arial" w:hAnsi="Arial" w:cs="Arial"/>
          <w:lang w:val="en-US"/>
        </w:rPr>
        <w:t>. Available at: https://www.ibisworld.com/united-kingdom/industry/takeaway-fast-food-restaurants/3423/ (Accessed: 1 May 2026).</w:t>
      </w:r>
    </w:p>
    <w:p w14:paraId="716A75AF" w14:textId="77777777" w:rsidR="009529F4" w:rsidRPr="009529F4" w:rsidRDefault="009529F4" w:rsidP="009529F4">
      <w:pPr>
        <w:pStyle w:val="af1"/>
        <w:rPr>
          <w:rFonts w:ascii="Arial" w:hAnsi="Arial" w:cs="Arial"/>
          <w:lang w:val="en-US"/>
        </w:rPr>
      </w:pPr>
      <w:r w:rsidRPr="009529F4">
        <w:rPr>
          <w:rFonts w:ascii="Arial" w:hAnsi="Arial" w:cs="Arial"/>
          <w:lang w:val="en-US"/>
        </w:rPr>
        <w:t xml:space="preserve">Johnson, G. </w:t>
      </w:r>
      <w:r w:rsidRPr="009529F4">
        <w:rPr>
          <w:rFonts w:ascii="Arial" w:hAnsi="Arial" w:cs="Arial"/>
          <w:i/>
          <w:iCs/>
          <w:lang w:val="en-US"/>
        </w:rPr>
        <w:t>et al.</w:t>
      </w:r>
      <w:r w:rsidRPr="009529F4">
        <w:rPr>
          <w:rFonts w:ascii="Arial" w:hAnsi="Arial" w:cs="Arial"/>
          <w:lang w:val="en-US"/>
        </w:rPr>
        <w:t xml:space="preserve"> (2020) </w:t>
      </w:r>
      <w:r w:rsidRPr="009529F4">
        <w:rPr>
          <w:rFonts w:ascii="Arial" w:hAnsi="Arial" w:cs="Arial"/>
          <w:i/>
          <w:iCs/>
          <w:lang w:val="en-US"/>
        </w:rPr>
        <w:t>Exploring strategy: text and cases</w:t>
      </w:r>
      <w:r w:rsidRPr="009529F4">
        <w:rPr>
          <w:rFonts w:ascii="Arial" w:hAnsi="Arial" w:cs="Arial"/>
          <w:lang w:val="en-US"/>
        </w:rPr>
        <w:t xml:space="preserve">. Twelfth edition. Harlow, England London New York Munich [und 18 </w:t>
      </w:r>
      <w:proofErr w:type="spellStart"/>
      <w:r w:rsidRPr="009529F4">
        <w:rPr>
          <w:rFonts w:ascii="Arial" w:hAnsi="Arial" w:cs="Arial"/>
          <w:lang w:val="en-US"/>
        </w:rPr>
        <w:t>andere</w:t>
      </w:r>
      <w:proofErr w:type="spellEnd"/>
      <w:r w:rsidRPr="009529F4">
        <w:rPr>
          <w:rFonts w:ascii="Arial" w:hAnsi="Arial" w:cs="Arial"/>
          <w:lang w:val="en-US"/>
        </w:rPr>
        <w:t>]: Pearson.</w:t>
      </w:r>
    </w:p>
    <w:p w14:paraId="1C31AF3D" w14:textId="77777777" w:rsidR="009529F4" w:rsidRPr="009529F4" w:rsidRDefault="009529F4" w:rsidP="009529F4">
      <w:pPr>
        <w:pStyle w:val="af1"/>
        <w:rPr>
          <w:rFonts w:ascii="Arial" w:hAnsi="Arial" w:cs="Arial"/>
          <w:lang w:val="en-US"/>
        </w:rPr>
      </w:pPr>
      <w:r w:rsidRPr="009529F4">
        <w:rPr>
          <w:rFonts w:ascii="Arial" w:hAnsi="Arial" w:cs="Arial"/>
          <w:lang w:val="en-US"/>
        </w:rPr>
        <w:lastRenderedPageBreak/>
        <w:t xml:space="preserve">Julia, L. </w:t>
      </w:r>
      <w:r w:rsidRPr="009529F4">
        <w:rPr>
          <w:rFonts w:ascii="Arial" w:hAnsi="Arial" w:cs="Arial"/>
          <w:i/>
          <w:iCs/>
          <w:lang w:val="en-US"/>
        </w:rPr>
        <w:t>et al.</w:t>
      </w:r>
      <w:r w:rsidRPr="009529F4">
        <w:rPr>
          <w:rFonts w:ascii="Arial" w:hAnsi="Arial" w:cs="Arial"/>
          <w:lang w:val="en-US"/>
        </w:rPr>
        <w:t xml:space="preserve"> (2020) ‘Is there a Link between Sustainability, Perception and Buying Decision at the Point of Sale?’, </w:t>
      </w:r>
      <w:r w:rsidRPr="009529F4">
        <w:rPr>
          <w:rFonts w:ascii="Arial" w:hAnsi="Arial" w:cs="Arial"/>
          <w:i/>
          <w:iCs/>
          <w:lang w:val="en-US"/>
        </w:rPr>
        <w:t>Business Systems Research</w:t>
      </w:r>
      <w:r w:rsidRPr="009529F4">
        <w:rPr>
          <w:rFonts w:ascii="Arial" w:hAnsi="Arial" w:cs="Arial"/>
          <w:lang w:val="en-US"/>
        </w:rPr>
        <w:t>, 11(3), pp. 1–13. Available at: https://doi.org/10.2478/bsrj-2020-0023.</w:t>
      </w:r>
    </w:p>
    <w:p w14:paraId="391C89F5" w14:textId="24B2B513" w:rsidR="009529F4" w:rsidRPr="009529F4" w:rsidRDefault="009529F4" w:rsidP="009529F4">
      <w:pPr>
        <w:pStyle w:val="af1"/>
        <w:rPr>
          <w:rFonts w:ascii="Arial" w:hAnsi="Arial" w:cs="Arial"/>
          <w:lang w:val="en-US"/>
        </w:rPr>
      </w:pPr>
      <w:r w:rsidRPr="009529F4">
        <w:rPr>
          <w:rFonts w:ascii="Arial" w:hAnsi="Arial" w:cs="Arial"/>
          <w:i/>
          <w:iCs/>
          <w:lang w:val="en-US"/>
        </w:rPr>
        <w:t>Mintel announces Global Food and Drink Trends for 2025 | Mintel</w:t>
      </w:r>
      <w:r w:rsidRPr="009529F4">
        <w:rPr>
          <w:rFonts w:ascii="Arial" w:hAnsi="Arial" w:cs="Arial"/>
          <w:lang w:val="en-US"/>
        </w:rPr>
        <w:t xml:space="preserve"> (no date). Available at: https://www.mintel.com/press-centre/mintel-announces-global-food-and-drink-trends-for-2025/ (Accessed: </w:t>
      </w:r>
      <w:r w:rsidR="00B17726">
        <w:rPr>
          <w:rFonts w:ascii="Arial" w:hAnsi="Arial" w:cs="Arial" w:hint="eastAsia"/>
          <w:lang w:val="en-US"/>
        </w:rPr>
        <w:t>4</w:t>
      </w:r>
      <w:r w:rsidRPr="009529F4">
        <w:rPr>
          <w:rFonts w:ascii="Arial" w:hAnsi="Arial" w:cs="Arial"/>
          <w:lang w:val="en-US"/>
        </w:rPr>
        <w:t xml:space="preserve"> May 2026).</w:t>
      </w:r>
    </w:p>
    <w:p w14:paraId="16E54AD5" w14:textId="77777777" w:rsidR="009529F4" w:rsidRPr="009529F4" w:rsidRDefault="009529F4" w:rsidP="009529F4">
      <w:pPr>
        <w:pStyle w:val="af1"/>
        <w:rPr>
          <w:rFonts w:ascii="Arial" w:hAnsi="Arial" w:cs="Arial"/>
          <w:lang w:val="en-US"/>
        </w:rPr>
      </w:pPr>
      <w:r w:rsidRPr="009529F4">
        <w:rPr>
          <w:rFonts w:ascii="Arial" w:hAnsi="Arial" w:cs="Arial"/>
          <w:lang w:val="en-US"/>
        </w:rPr>
        <w:t xml:space="preserve">Reisch, L.A. and Thøgersen, J. (2015) </w:t>
      </w:r>
      <w:r w:rsidRPr="009529F4">
        <w:rPr>
          <w:rFonts w:ascii="Arial" w:hAnsi="Arial" w:cs="Arial"/>
          <w:i/>
          <w:iCs/>
          <w:lang w:val="en-US"/>
        </w:rPr>
        <w:t>Handbook of Research on Sustainable Consumption</w:t>
      </w:r>
      <w:r w:rsidRPr="009529F4">
        <w:rPr>
          <w:rFonts w:ascii="Arial" w:hAnsi="Arial" w:cs="Arial"/>
          <w:lang w:val="en-US"/>
        </w:rPr>
        <w:t>. Edward Elgar Publishing. Available at: https://doi.org/10.4337/9781783471270.</w:t>
      </w:r>
    </w:p>
    <w:p w14:paraId="75748426" w14:textId="77777777" w:rsidR="009529F4" w:rsidRPr="009529F4" w:rsidRDefault="009529F4" w:rsidP="009529F4">
      <w:pPr>
        <w:pStyle w:val="af1"/>
        <w:rPr>
          <w:rFonts w:ascii="Arial" w:hAnsi="Arial" w:cs="Arial"/>
          <w:lang w:val="en-US"/>
        </w:rPr>
      </w:pPr>
      <w:r w:rsidRPr="009529F4">
        <w:rPr>
          <w:rFonts w:ascii="Arial" w:hAnsi="Arial" w:cs="Arial"/>
          <w:lang w:val="en-US"/>
        </w:rPr>
        <w:t xml:space="preserve">Song, M. </w:t>
      </w:r>
      <w:r w:rsidRPr="009529F4">
        <w:rPr>
          <w:rFonts w:ascii="Arial" w:hAnsi="Arial" w:cs="Arial"/>
          <w:i/>
          <w:iCs/>
          <w:lang w:val="en-US"/>
        </w:rPr>
        <w:t>et al.</w:t>
      </w:r>
      <w:r w:rsidRPr="009529F4">
        <w:rPr>
          <w:rFonts w:ascii="Arial" w:hAnsi="Arial" w:cs="Arial"/>
          <w:lang w:val="en-US"/>
        </w:rPr>
        <w:t xml:space="preserve"> (2025) ‘How streamer’s follower count affect consumers’ immediate purchase behavior: the moderating effect of context collapse’, </w:t>
      </w:r>
      <w:r w:rsidRPr="009529F4">
        <w:rPr>
          <w:rFonts w:ascii="Arial" w:hAnsi="Arial" w:cs="Arial"/>
          <w:i/>
          <w:iCs/>
          <w:lang w:val="en-US"/>
        </w:rPr>
        <w:t>Industrial Management &amp; Data Systems</w:t>
      </w:r>
      <w:r w:rsidRPr="009529F4">
        <w:rPr>
          <w:rFonts w:ascii="Arial" w:hAnsi="Arial" w:cs="Arial"/>
          <w:lang w:val="en-US"/>
        </w:rPr>
        <w:t>, 126(5), pp. 1775–1800. Available at: https://doi.org/10.1108/IMDS-12-2024-1274.</w:t>
      </w:r>
    </w:p>
    <w:p w14:paraId="11FE9D8B" w14:textId="502AFD51" w:rsidR="009529F4" w:rsidRPr="009529F4" w:rsidRDefault="009529F4" w:rsidP="009529F4">
      <w:pPr>
        <w:pStyle w:val="af1"/>
        <w:rPr>
          <w:rFonts w:ascii="Arial" w:hAnsi="Arial" w:cs="Arial"/>
          <w:lang w:val="en-US"/>
        </w:rPr>
      </w:pPr>
      <w:r w:rsidRPr="009529F4">
        <w:rPr>
          <w:rFonts w:ascii="Arial" w:hAnsi="Arial" w:cs="Arial"/>
          <w:i/>
          <w:iCs/>
          <w:lang w:val="en-US"/>
        </w:rPr>
        <w:t>The Five Competitive Forces That Shape Strategy - Article - Faculty &amp; Research - Harvard Business School</w:t>
      </w:r>
      <w:r w:rsidRPr="009529F4">
        <w:rPr>
          <w:rFonts w:ascii="Arial" w:hAnsi="Arial" w:cs="Arial"/>
          <w:lang w:val="en-US"/>
        </w:rPr>
        <w:t xml:space="preserve"> (no date). Available at: https://www.hbs.edu/faculty/Pages/item.aspx?num=34522 (Accessed: 1 May 2026).</w:t>
      </w:r>
    </w:p>
    <w:p w14:paraId="6FEE9B02" w14:textId="2B433348" w:rsidR="009529F4" w:rsidRPr="009529F4" w:rsidRDefault="009529F4" w:rsidP="009529F4">
      <w:pPr>
        <w:pStyle w:val="af1"/>
        <w:rPr>
          <w:rFonts w:ascii="Arial" w:hAnsi="Arial" w:cs="Arial"/>
          <w:lang w:val="en-US"/>
        </w:rPr>
      </w:pPr>
      <w:r w:rsidRPr="009529F4">
        <w:rPr>
          <w:rFonts w:ascii="Arial" w:hAnsi="Arial" w:cs="Arial"/>
          <w:i/>
          <w:iCs/>
          <w:lang w:val="en-US"/>
        </w:rPr>
        <w:t>There’s a S.M.A.R.T. way to write management’s goals and objectives</w:t>
      </w:r>
      <w:r w:rsidRPr="009529F4">
        <w:rPr>
          <w:rFonts w:ascii="Arial" w:hAnsi="Arial" w:cs="Arial"/>
          <w:lang w:val="en-US"/>
        </w:rPr>
        <w:t xml:space="preserve"> (no date). Available at: https://www.singh.gg/20-literature-notes/doran1981/ (Accessed: </w:t>
      </w:r>
      <w:r w:rsidR="00441667">
        <w:rPr>
          <w:rFonts w:ascii="Arial" w:hAnsi="Arial" w:cs="Arial" w:hint="eastAsia"/>
          <w:lang w:val="en-US"/>
        </w:rPr>
        <w:t>7</w:t>
      </w:r>
      <w:r w:rsidRPr="009529F4">
        <w:rPr>
          <w:rFonts w:ascii="Arial" w:hAnsi="Arial" w:cs="Arial"/>
          <w:lang w:val="en-US"/>
        </w:rPr>
        <w:t xml:space="preserve"> May 2026).</w:t>
      </w:r>
    </w:p>
    <w:p w14:paraId="2FBDA0CD" w14:textId="575194EE" w:rsidR="009529F4" w:rsidRPr="009529F4" w:rsidRDefault="009529F4" w:rsidP="009529F4">
      <w:pPr>
        <w:pStyle w:val="af1"/>
        <w:rPr>
          <w:rFonts w:ascii="Arial" w:hAnsi="Arial" w:cs="Arial"/>
          <w:lang w:val="en-US"/>
        </w:rPr>
      </w:pPr>
      <w:r w:rsidRPr="009529F4">
        <w:rPr>
          <w:rFonts w:ascii="Arial" w:hAnsi="Arial" w:cs="Arial"/>
          <w:i/>
          <w:iCs/>
          <w:lang w:val="en-US"/>
        </w:rPr>
        <w:t>UK Fast Food Industry Size Share Growth &amp; Analysis - 2034</w:t>
      </w:r>
      <w:r w:rsidRPr="009529F4">
        <w:rPr>
          <w:rFonts w:ascii="Arial" w:hAnsi="Arial" w:cs="Arial"/>
          <w:lang w:val="en-US"/>
        </w:rPr>
        <w:t xml:space="preserve"> (no date). Available at: https://www.imarcgroup.com/uk-fast-food-market (Accessed: 1 May 2026).</w:t>
      </w:r>
    </w:p>
    <w:p w14:paraId="18CEA2BB" w14:textId="6FCB4321" w:rsidR="009529F4" w:rsidRPr="009529F4" w:rsidRDefault="009529F4" w:rsidP="009529F4">
      <w:pPr>
        <w:pStyle w:val="af1"/>
        <w:rPr>
          <w:rFonts w:ascii="Arial" w:hAnsi="Arial" w:cs="Arial"/>
          <w:lang w:val="en-US"/>
        </w:rPr>
      </w:pPr>
      <w:r w:rsidRPr="009529F4">
        <w:rPr>
          <w:rFonts w:ascii="Arial" w:hAnsi="Arial" w:cs="Arial"/>
          <w:i/>
          <w:iCs/>
          <w:lang w:val="en-US"/>
        </w:rPr>
        <w:t>UK Food Service Market Insight Report 2025–2028</w:t>
      </w:r>
      <w:r w:rsidRPr="009529F4">
        <w:rPr>
          <w:rFonts w:ascii="Arial" w:hAnsi="Arial" w:cs="Arial"/>
          <w:lang w:val="en-US"/>
        </w:rPr>
        <w:t xml:space="preserve"> (no date) </w:t>
      </w:r>
      <w:r w:rsidRPr="009529F4">
        <w:rPr>
          <w:rFonts w:ascii="Arial" w:hAnsi="Arial" w:cs="Arial"/>
          <w:i/>
          <w:iCs/>
          <w:lang w:val="en-US"/>
        </w:rPr>
        <w:t>UK Food Council</w:t>
      </w:r>
      <w:r w:rsidRPr="009529F4">
        <w:rPr>
          <w:rFonts w:ascii="Arial" w:hAnsi="Arial" w:cs="Arial"/>
          <w:lang w:val="en-US"/>
        </w:rPr>
        <w:t>. Available at: https://foodcouncil.uk/ukfsmir2528 (Accessed: 1 May 2026).</w:t>
      </w:r>
    </w:p>
    <w:p w14:paraId="4A4593A2" w14:textId="7D285C6C" w:rsidR="009529F4" w:rsidRPr="009529F4" w:rsidRDefault="009529F4" w:rsidP="009529F4">
      <w:pPr>
        <w:pStyle w:val="af1"/>
        <w:rPr>
          <w:rFonts w:ascii="Arial" w:hAnsi="Arial" w:cs="Arial"/>
          <w:lang w:val="en-US"/>
        </w:rPr>
      </w:pPr>
      <w:r w:rsidRPr="009529F4">
        <w:rPr>
          <w:rFonts w:ascii="Arial" w:hAnsi="Arial" w:cs="Arial"/>
          <w:i/>
          <w:iCs/>
          <w:lang w:val="en-US"/>
        </w:rPr>
        <w:t xml:space="preserve">Wider Determinants of Health: statistical commentary on the location of </w:t>
      </w:r>
      <w:proofErr w:type="gramStart"/>
      <w:r w:rsidRPr="009529F4">
        <w:rPr>
          <w:rFonts w:ascii="Arial" w:hAnsi="Arial" w:cs="Arial"/>
          <w:i/>
          <w:iCs/>
          <w:lang w:val="en-US"/>
        </w:rPr>
        <w:t>fast food</w:t>
      </w:r>
      <w:proofErr w:type="gramEnd"/>
      <w:r w:rsidRPr="009529F4">
        <w:rPr>
          <w:rFonts w:ascii="Arial" w:hAnsi="Arial" w:cs="Arial"/>
          <w:i/>
          <w:iCs/>
          <w:lang w:val="en-US"/>
        </w:rPr>
        <w:t xml:space="preserve"> outlets, February 2025</w:t>
      </w:r>
      <w:r w:rsidRPr="009529F4">
        <w:rPr>
          <w:rFonts w:ascii="Arial" w:hAnsi="Arial" w:cs="Arial"/>
          <w:lang w:val="en-US"/>
        </w:rPr>
        <w:t xml:space="preserve"> (no date) </w:t>
      </w:r>
      <w:r w:rsidRPr="009529F4">
        <w:rPr>
          <w:rFonts w:ascii="Arial" w:hAnsi="Arial" w:cs="Arial"/>
          <w:i/>
          <w:iCs/>
          <w:lang w:val="en-US"/>
        </w:rPr>
        <w:t>GOV.UK</w:t>
      </w:r>
      <w:r w:rsidRPr="009529F4">
        <w:rPr>
          <w:rFonts w:ascii="Arial" w:hAnsi="Arial" w:cs="Arial"/>
          <w:lang w:val="en-US"/>
        </w:rPr>
        <w:t>. Available at: https://www.gov.uk/government/statistics/wider-determinants-of-health-february-2025-update/wider-determinants-of-health-statistical-commentary-february-2025 (Accessed:</w:t>
      </w:r>
      <w:r w:rsidR="00441667">
        <w:rPr>
          <w:rFonts w:ascii="Arial" w:hAnsi="Arial" w:cs="Arial" w:hint="eastAsia"/>
          <w:lang w:val="en-US"/>
        </w:rPr>
        <w:t>7</w:t>
      </w:r>
      <w:r w:rsidRPr="009529F4">
        <w:rPr>
          <w:rFonts w:ascii="Arial" w:hAnsi="Arial" w:cs="Arial"/>
          <w:lang w:val="en-US"/>
        </w:rPr>
        <w:t xml:space="preserve"> May 2026).</w:t>
      </w:r>
    </w:p>
    <w:p w14:paraId="17C95EDC" w14:textId="6A3D946D" w:rsidR="00374F96" w:rsidRPr="00551D8F" w:rsidRDefault="001E3460" w:rsidP="009529F4">
      <w:pPr>
        <w:pStyle w:val="af1"/>
        <w:rPr>
          <w:rFonts w:ascii="Arial" w:hAnsi="Arial" w:cs="Arial" w:hint="eastAsia"/>
          <w:lang w:val="en-US"/>
        </w:rPr>
      </w:pPr>
      <w:r>
        <w:rPr>
          <w:rFonts w:ascii="Arial" w:hAnsi="Arial" w:cs="Arial"/>
          <w:lang w:val="en-US"/>
        </w:rPr>
        <w:fldChar w:fldCharType="end"/>
      </w:r>
    </w:p>
    <w:sectPr w:rsidR="00374F96" w:rsidRPr="00551D8F" w:rsidSect="00E266E8">
      <w:footerReference w:type="even" r:id="rId9"/>
      <w:footerReference w:type="default" r:id="rId10"/>
      <w:pgSz w:w="11906" w:h="16838"/>
      <w:pgMar w:top="1440" w:right="1800" w:bottom="1440" w:left="1800" w:header="851" w:footer="992" w:gutter="0"/>
      <w:pgNumType w:start="1"/>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F1F9B" w14:textId="77777777" w:rsidR="00F61CAD" w:rsidRDefault="00F61CAD" w:rsidP="00E266E8">
      <w:r>
        <w:separator/>
      </w:r>
    </w:p>
  </w:endnote>
  <w:endnote w:type="continuationSeparator" w:id="0">
    <w:p w14:paraId="6005EAD2" w14:textId="77777777" w:rsidR="00F61CAD" w:rsidRDefault="00F61CAD" w:rsidP="00E26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0"/>
      </w:rPr>
      <w:id w:val="844062580"/>
      <w:docPartObj>
        <w:docPartGallery w:val="Page Numbers (Bottom of Page)"/>
        <w:docPartUnique/>
      </w:docPartObj>
    </w:sdtPr>
    <w:sdtContent>
      <w:p w14:paraId="7623528A" w14:textId="75675B57" w:rsidR="00E266E8" w:rsidRDefault="00E266E8" w:rsidP="001F20A2">
        <w:pPr>
          <w:pStyle w:val="ae"/>
          <w:framePr w:wrap="none" w:vAnchor="text" w:hAnchor="margin" w:xAlign="center" w:y="1"/>
          <w:rPr>
            <w:rStyle w:val="af0"/>
          </w:rPr>
        </w:pPr>
        <w:r>
          <w:rPr>
            <w:rStyle w:val="af0"/>
          </w:rPr>
          <w:fldChar w:fldCharType="begin"/>
        </w:r>
        <w:r>
          <w:rPr>
            <w:rStyle w:val="af0"/>
          </w:rPr>
          <w:instrText xml:space="preserve"> PAGE </w:instrText>
        </w:r>
        <w:r>
          <w:rPr>
            <w:rStyle w:val="af0"/>
          </w:rPr>
          <w:fldChar w:fldCharType="separate"/>
        </w:r>
        <w:r>
          <w:rPr>
            <w:rStyle w:val="af0"/>
          </w:rPr>
          <w:fldChar w:fldCharType="end"/>
        </w:r>
      </w:p>
    </w:sdtContent>
  </w:sdt>
  <w:p w14:paraId="2DF39EE4" w14:textId="77777777" w:rsidR="00E266E8" w:rsidRDefault="00E266E8">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0"/>
      </w:rPr>
      <w:id w:val="1723397659"/>
      <w:docPartObj>
        <w:docPartGallery w:val="Page Numbers (Bottom of Page)"/>
        <w:docPartUnique/>
      </w:docPartObj>
    </w:sdtPr>
    <w:sdtContent>
      <w:p w14:paraId="478B3132" w14:textId="74F750C0" w:rsidR="00E266E8" w:rsidRDefault="00E266E8" w:rsidP="001F20A2">
        <w:pPr>
          <w:pStyle w:val="ae"/>
          <w:framePr w:wrap="none" w:vAnchor="text" w:hAnchor="margin" w:xAlign="center" w:y="1"/>
          <w:rPr>
            <w:rStyle w:val="af0"/>
          </w:rPr>
        </w:pPr>
        <w:r>
          <w:rPr>
            <w:rStyle w:val="af0"/>
          </w:rPr>
          <w:fldChar w:fldCharType="begin"/>
        </w:r>
        <w:r>
          <w:rPr>
            <w:rStyle w:val="af0"/>
          </w:rPr>
          <w:instrText xml:space="preserve"> PAGE </w:instrText>
        </w:r>
        <w:r>
          <w:rPr>
            <w:rStyle w:val="af0"/>
          </w:rPr>
          <w:fldChar w:fldCharType="separate"/>
        </w:r>
        <w:r>
          <w:rPr>
            <w:rStyle w:val="af0"/>
            <w:noProof/>
          </w:rPr>
          <w:t>2</w:t>
        </w:r>
        <w:r>
          <w:rPr>
            <w:rStyle w:val="af0"/>
          </w:rPr>
          <w:fldChar w:fldCharType="end"/>
        </w:r>
      </w:p>
    </w:sdtContent>
  </w:sdt>
  <w:p w14:paraId="5AB0B135" w14:textId="77777777" w:rsidR="00E266E8" w:rsidRDefault="00E266E8">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DBAEAC" w14:textId="77777777" w:rsidR="00F61CAD" w:rsidRDefault="00F61CAD" w:rsidP="00E266E8">
      <w:r>
        <w:separator/>
      </w:r>
    </w:p>
  </w:footnote>
  <w:footnote w:type="continuationSeparator" w:id="0">
    <w:p w14:paraId="69656DB7" w14:textId="77777777" w:rsidR="00F61CAD" w:rsidRDefault="00F61CAD" w:rsidP="00E266E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bordersDoNotSurroundHeader/>
  <w:bordersDoNotSurroundFooter/>
  <w:proofState w:spelling="clean" w:grammar="clean"/>
  <w:defaultTabStop w:val="798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EBC"/>
    <w:rsid w:val="00000D64"/>
    <w:rsid w:val="00023FE7"/>
    <w:rsid w:val="00087258"/>
    <w:rsid w:val="000B59B2"/>
    <w:rsid w:val="000F73FB"/>
    <w:rsid w:val="00110419"/>
    <w:rsid w:val="0016600C"/>
    <w:rsid w:val="001774D4"/>
    <w:rsid w:val="001B3036"/>
    <w:rsid w:val="001E3460"/>
    <w:rsid w:val="001E6F7B"/>
    <w:rsid w:val="00286C94"/>
    <w:rsid w:val="002A1396"/>
    <w:rsid w:val="002C2E77"/>
    <w:rsid w:val="002C568D"/>
    <w:rsid w:val="00300FBC"/>
    <w:rsid w:val="0030622A"/>
    <w:rsid w:val="0032100B"/>
    <w:rsid w:val="003311BA"/>
    <w:rsid w:val="00374F96"/>
    <w:rsid w:val="003D2461"/>
    <w:rsid w:val="00417B62"/>
    <w:rsid w:val="00441667"/>
    <w:rsid w:val="004D2B22"/>
    <w:rsid w:val="004D7F65"/>
    <w:rsid w:val="004E1459"/>
    <w:rsid w:val="004E4D55"/>
    <w:rsid w:val="004F471F"/>
    <w:rsid w:val="00512753"/>
    <w:rsid w:val="00526F1E"/>
    <w:rsid w:val="00540724"/>
    <w:rsid w:val="00544796"/>
    <w:rsid w:val="00551D8F"/>
    <w:rsid w:val="00554038"/>
    <w:rsid w:val="005654ED"/>
    <w:rsid w:val="005A5128"/>
    <w:rsid w:val="005A6EFF"/>
    <w:rsid w:val="005A7F0B"/>
    <w:rsid w:val="005B1DD9"/>
    <w:rsid w:val="0062660D"/>
    <w:rsid w:val="006C1D03"/>
    <w:rsid w:val="006E27A3"/>
    <w:rsid w:val="007257E4"/>
    <w:rsid w:val="0073797C"/>
    <w:rsid w:val="00772322"/>
    <w:rsid w:val="007859E5"/>
    <w:rsid w:val="00791BF3"/>
    <w:rsid w:val="007D2B9C"/>
    <w:rsid w:val="007E3885"/>
    <w:rsid w:val="007F0E7F"/>
    <w:rsid w:val="007F15A3"/>
    <w:rsid w:val="007F3D2B"/>
    <w:rsid w:val="00826B4B"/>
    <w:rsid w:val="00826DD8"/>
    <w:rsid w:val="008476F7"/>
    <w:rsid w:val="00867ABC"/>
    <w:rsid w:val="008801C0"/>
    <w:rsid w:val="00880596"/>
    <w:rsid w:val="008A4EBC"/>
    <w:rsid w:val="008E68C1"/>
    <w:rsid w:val="0092086A"/>
    <w:rsid w:val="0093780E"/>
    <w:rsid w:val="00946505"/>
    <w:rsid w:val="009529F4"/>
    <w:rsid w:val="009B0C13"/>
    <w:rsid w:val="00A263DB"/>
    <w:rsid w:val="00A70F20"/>
    <w:rsid w:val="00A773DB"/>
    <w:rsid w:val="00AD2F90"/>
    <w:rsid w:val="00B17726"/>
    <w:rsid w:val="00B35756"/>
    <w:rsid w:val="00B65CAF"/>
    <w:rsid w:val="00B7596F"/>
    <w:rsid w:val="00B77F7F"/>
    <w:rsid w:val="00B85718"/>
    <w:rsid w:val="00BB0543"/>
    <w:rsid w:val="00BB0692"/>
    <w:rsid w:val="00BB2A2C"/>
    <w:rsid w:val="00BC40D5"/>
    <w:rsid w:val="00C01090"/>
    <w:rsid w:val="00C10870"/>
    <w:rsid w:val="00C42C8F"/>
    <w:rsid w:val="00C55E77"/>
    <w:rsid w:val="00C730D5"/>
    <w:rsid w:val="00C826DB"/>
    <w:rsid w:val="00CB535C"/>
    <w:rsid w:val="00CC6491"/>
    <w:rsid w:val="00D03827"/>
    <w:rsid w:val="00D05F29"/>
    <w:rsid w:val="00D159A1"/>
    <w:rsid w:val="00D40B23"/>
    <w:rsid w:val="00DD5D49"/>
    <w:rsid w:val="00E266E8"/>
    <w:rsid w:val="00E55287"/>
    <w:rsid w:val="00E7079C"/>
    <w:rsid w:val="00E85B0D"/>
    <w:rsid w:val="00EA102D"/>
    <w:rsid w:val="00EB24B7"/>
    <w:rsid w:val="00ED2D35"/>
    <w:rsid w:val="00EE6527"/>
    <w:rsid w:val="00EE7301"/>
    <w:rsid w:val="00F15649"/>
    <w:rsid w:val="00F61CAD"/>
    <w:rsid w:val="00FC42BA"/>
    <w:rsid w:val="00FE0C46"/>
    <w:rsid w:val="00FE14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D3D05"/>
  <w15:chartTrackingRefBased/>
  <w15:docId w15:val="{0D64ED20-BF80-054E-B086-276463D05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4EBC"/>
    <w:pPr>
      <w:widowControl w:val="0"/>
      <w:spacing w:after="0" w:line="240" w:lineRule="auto"/>
      <w:jc w:val="both"/>
    </w:pPr>
    <w:rPr>
      <w:rFonts w:ascii="Calibri" w:eastAsia="宋体" w:hAnsi="Calibri" w:cs="Times New Roman"/>
      <w:sz w:val="21"/>
      <w:szCs w:val="21"/>
      <w:lang w:val="en-GB"/>
      <w14:ligatures w14:val="none"/>
    </w:rPr>
  </w:style>
  <w:style w:type="paragraph" w:styleId="1">
    <w:name w:val="heading 1"/>
    <w:basedOn w:val="a"/>
    <w:next w:val="a"/>
    <w:link w:val="10"/>
    <w:uiPriority w:val="9"/>
    <w:qFormat/>
    <w:rsid w:val="008A4EBC"/>
    <w:pPr>
      <w:keepNext/>
      <w:keepLines/>
      <w:spacing w:before="480" w:after="80" w:line="278" w:lineRule="auto"/>
      <w:jc w:val="left"/>
      <w:outlineLvl w:val="0"/>
    </w:pPr>
    <w:rPr>
      <w:rFonts w:asciiTheme="majorHAnsi" w:eastAsiaTheme="majorEastAsia" w:hAnsiTheme="majorHAnsi" w:cstheme="majorBidi"/>
      <w:color w:val="0F4761" w:themeColor="accent1" w:themeShade="BF"/>
      <w:sz w:val="48"/>
      <w:szCs w:val="48"/>
      <w14:ligatures w14:val="standardContextual"/>
    </w:rPr>
  </w:style>
  <w:style w:type="paragraph" w:styleId="2">
    <w:name w:val="heading 2"/>
    <w:basedOn w:val="a"/>
    <w:next w:val="a"/>
    <w:link w:val="20"/>
    <w:uiPriority w:val="9"/>
    <w:semiHidden/>
    <w:unhideWhenUsed/>
    <w:qFormat/>
    <w:rsid w:val="008A4EBC"/>
    <w:pPr>
      <w:keepNext/>
      <w:keepLines/>
      <w:spacing w:before="160" w:after="80" w:line="278" w:lineRule="auto"/>
      <w:jc w:val="left"/>
      <w:outlineLvl w:val="1"/>
    </w:pPr>
    <w:rPr>
      <w:rFonts w:asciiTheme="majorHAnsi" w:eastAsiaTheme="majorEastAsia" w:hAnsiTheme="majorHAnsi" w:cstheme="majorBidi"/>
      <w:color w:val="0F4761" w:themeColor="accent1" w:themeShade="BF"/>
      <w:sz w:val="40"/>
      <w:szCs w:val="40"/>
      <w14:ligatures w14:val="standardContextual"/>
    </w:rPr>
  </w:style>
  <w:style w:type="paragraph" w:styleId="3">
    <w:name w:val="heading 3"/>
    <w:basedOn w:val="a"/>
    <w:next w:val="a"/>
    <w:link w:val="30"/>
    <w:uiPriority w:val="9"/>
    <w:semiHidden/>
    <w:unhideWhenUsed/>
    <w:qFormat/>
    <w:rsid w:val="008A4EBC"/>
    <w:pPr>
      <w:keepNext/>
      <w:keepLines/>
      <w:spacing w:before="160" w:after="80" w:line="278" w:lineRule="auto"/>
      <w:jc w:val="left"/>
      <w:outlineLvl w:val="2"/>
    </w:pPr>
    <w:rPr>
      <w:rFonts w:asciiTheme="majorHAnsi" w:eastAsiaTheme="majorEastAsia" w:hAnsiTheme="majorHAnsi" w:cstheme="majorBidi"/>
      <w:color w:val="0F4761" w:themeColor="accent1" w:themeShade="BF"/>
      <w:sz w:val="32"/>
      <w:szCs w:val="32"/>
      <w14:ligatures w14:val="standardContextual"/>
    </w:rPr>
  </w:style>
  <w:style w:type="paragraph" w:styleId="4">
    <w:name w:val="heading 4"/>
    <w:basedOn w:val="a"/>
    <w:next w:val="a"/>
    <w:link w:val="40"/>
    <w:uiPriority w:val="9"/>
    <w:semiHidden/>
    <w:unhideWhenUsed/>
    <w:qFormat/>
    <w:rsid w:val="008A4EBC"/>
    <w:pPr>
      <w:keepNext/>
      <w:keepLines/>
      <w:spacing w:before="80" w:after="40" w:line="278" w:lineRule="auto"/>
      <w:jc w:val="left"/>
      <w:outlineLvl w:val="3"/>
    </w:pPr>
    <w:rPr>
      <w:rFonts w:asciiTheme="minorHAnsi" w:eastAsiaTheme="minorEastAsia" w:hAnsiTheme="minorHAnsi" w:cstheme="majorBidi"/>
      <w:color w:val="0F4761" w:themeColor="accent1" w:themeShade="BF"/>
      <w:sz w:val="28"/>
      <w:szCs w:val="28"/>
      <w14:ligatures w14:val="standardContextual"/>
    </w:rPr>
  </w:style>
  <w:style w:type="paragraph" w:styleId="5">
    <w:name w:val="heading 5"/>
    <w:basedOn w:val="a"/>
    <w:next w:val="a"/>
    <w:link w:val="50"/>
    <w:uiPriority w:val="9"/>
    <w:semiHidden/>
    <w:unhideWhenUsed/>
    <w:qFormat/>
    <w:rsid w:val="008A4EBC"/>
    <w:pPr>
      <w:keepNext/>
      <w:keepLines/>
      <w:spacing w:before="80" w:after="40" w:line="278" w:lineRule="auto"/>
      <w:jc w:val="left"/>
      <w:outlineLvl w:val="4"/>
    </w:pPr>
    <w:rPr>
      <w:rFonts w:asciiTheme="minorHAnsi" w:eastAsiaTheme="minorEastAsia" w:hAnsiTheme="minorHAnsi" w:cstheme="majorBidi"/>
      <w:color w:val="0F4761" w:themeColor="accent1" w:themeShade="BF"/>
      <w:sz w:val="24"/>
      <w:szCs w:val="24"/>
      <w14:ligatures w14:val="standardContextual"/>
    </w:rPr>
  </w:style>
  <w:style w:type="paragraph" w:styleId="6">
    <w:name w:val="heading 6"/>
    <w:basedOn w:val="a"/>
    <w:next w:val="a"/>
    <w:link w:val="60"/>
    <w:uiPriority w:val="9"/>
    <w:semiHidden/>
    <w:unhideWhenUsed/>
    <w:qFormat/>
    <w:rsid w:val="008A4EBC"/>
    <w:pPr>
      <w:keepNext/>
      <w:keepLines/>
      <w:spacing w:before="40" w:line="278" w:lineRule="auto"/>
      <w:jc w:val="left"/>
      <w:outlineLvl w:val="5"/>
    </w:pPr>
    <w:rPr>
      <w:rFonts w:asciiTheme="minorHAnsi" w:eastAsiaTheme="minorEastAsia" w:hAnsiTheme="minorHAnsi" w:cstheme="majorBidi"/>
      <w:b/>
      <w:bCs/>
      <w:color w:val="0F4761" w:themeColor="accent1" w:themeShade="BF"/>
      <w:sz w:val="22"/>
      <w:szCs w:val="24"/>
      <w14:ligatures w14:val="standardContextual"/>
    </w:rPr>
  </w:style>
  <w:style w:type="paragraph" w:styleId="7">
    <w:name w:val="heading 7"/>
    <w:basedOn w:val="a"/>
    <w:next w:val="a"/>
    <w:link w:val="70"/>
    <w:uiPriority w:val="9"/>
    <w:semiHidden/>
    <w:unhideWhenUsed/>
    <w:qFormat/>
    <w:rsid w:val="008A4EBC"/>
    <w:pPr>
      <w:keepNext/>
      <w:keepLines/>
      <w:spacing w:before="40" w:line="278" w:lineRule="auto"/>
      <w:jc w:val="left"/>
      <w:outlineLvl w:val="6"/>
    </w:pPr>
    <w:rPr>
      <w:rFonts w:asciiTheme="minorHAnsi" w:eastAsiaTheme="minorEastAsia" w:hAnsiTheme="minorHAnsi" w:cstheme="majorBidi"/>
      <w:b/>
      <w:bCs/>
      <w:color w:val="595959" w:themeColor="text1" w:themeTint="A6"/>
      <w:sz w:val="22"/>
      <w:szCs w:val="24"/>
      <w14:ligatures w14:val="standardContextual"/>
    </w:rPr>
  </w:style>
  <w:style w:type="paragraph" w:styleId="8">
    <w:name w:val="heading 8"/>
    <w:basedOn w:val="a"/>
    <w:next w:val="a"/>
    <w:link w:val="80"/>
    <w:uiPriority w:val="9"/>
    <w:semiHidden/>
    <w:unhideWhenUsed/>
    <w:qFormat/>
    <w:rsid w:val="008A4EBC"/>
    <w:pPr>
      <w:keepNext/>
      <w:keepLines/>
      <w:spacing w:line="278" w:lineRule="auto"/>
      <w:jc w:val="left"/>
      <w:outlineLvl w:val="7"/>
    </w:pPr>
    <w:rPr>
      <w:rFonts w:asciiTheme="minorHAnsi" w:eastAsiaTheme="minorEastAsia" w:hAnsiTheme="minorHAnsi" w:cstheme="majorBidi"/>
      <w:color w:val="595959" w:themeColor="text1" w:themeTint="A6"/>
      <w:sz w:val="22"/>
      <w:szCs w:val="24"/>
      <w14:ligatures w14:val="standardContextual"/>
    </w:rPr>
  </w:style>
  <w:style w:type="paragraph" w:styleId="9">
    <w:name w:val="heading 9"/>
    <w:basedOn w:val="a"/>
    <w:next w:val="a"/>
    <w:link w:val="90"/>
    <w:uiPriority w:val="9"/>
    <w:semiHidden/>
    <w:unhideWhenUsed/>
    <w:qFormat/>
    <w:rsid w:val="008A4EBC"/>
    <w:pPr>
      <w:keepNext/>
      <w:keepLines/>
      <w:spacing w:line="278" w:lineRule="auto"/>
      <w:jc w:val="left"/>
      <w:outlineLvl w:val="8"/>
    </w:pPr>
    <w:rPr>
      <w:rFonts w:asciiTheme="minorHAnsi" w:eastAsiaTheme="majorEastAsia" w:hAnsiTheme="minorHAnsi" w:cstheme="majorBidi"/>
      <w:color w:val="595959" w:themeColor="text1" w:themeTint="A6"/>
      <w:sz w:val="22"/>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A4EBC"/>
    <w:rPr>
      <w:rFonts w:asciiTheme="majorHAnsi" w:eastAsiaTheme="majorEastAsia" w:hAnsiTheme="majorHAnsi" w:cstheme="majorBidi"/>
      <w:color w:val="0F4761" w:themeColor="accent1" w:themeShade="BF"/>
      <w:sz w:val="48"/>
      <w:szCs w:val="48"/>
      <w:lang w:val="en-GB"/>
    </w:rPr>
  </w:style>
  <w:style w:type="character" w:customStyle="1" w:styleId="20">
    <w:name w:val="标题 2 字符"/>
    <w:basedOn w:val="a0"/>
    <w:link w:val="2"/>
    <w:uiPriority w:val="9"/>
    <w:semiHidden/>
    <w:rsid w:val="008A4EBC"/>
    <w:rPr>
      <w:rFonts w:asciiTheme="majorHAnsi" w:eastAsiaTheme="majorEastAsia" w:hAnsiTheme="majorHAnsi" w:cstheme="majorBidi"/>
      <w:color w:val="0F4761" w:themeColor="accent1" w:themeShade="BF"/>
      <w:sz w:val="40"/>
      <w:szCs w:val="40"/>
      <w:lang w:val="en-GB"/>
    </w:rPr>
  </w:style>
  <w:style w:type="character" w:customStyle="1" w:styleId="30">
    <w:name w:val="标题 3 字符"/>
    <w:basedOn w:val="a0"/>
    <w:link w:val="3"/>
    <w:uiPriority w:val="9"/>
    <w:semiHidden/>
    <w:rsid w:val="008A4EBC"/>
    <w:rPr>
      <w:rFonts w:asciiTheme="majorHAnsi" w:eastAsiaTheme="majorEastAsia" w:hAnsiTheme="majorHAnsi" w:cstheme="majorBidi"/>
      <w:color w:val="0F4761" w:themeColor="accent1" w:themeShade="BF"/>
      <w:sz w:val="32"/>
      <w:szCs w:val="32"/>
      <w:lang w:val="en-GB"/>
    </w:rPr>
  </w:style>
  <w:style w:type="character" w:customStyle="1" w:styleId="40">
    <w:name w:val="标题 4 字符"/>
    <w:basedOn w:val="a0"/>
    <w:link w:val="4"/>
    <w:uiPriority w:val="9"/>
    <w:semiHidden/>
    <w:rsid w:val="008A4EBC"/>
    <w:rPr>
      <w:rFonts w:cstheme="majorBidi"/>
      <w:color w:val="0F4761" w:themeColor="accent1" w:themeShade="BF"/>
      <w:sz w:val="28"/>
      <w:szCs w:val="28"/>
      <w:lang w:val="en-GB"/>
    </w:rPr>
  </w:style>
  <w:style w:type="character" w:customStyle="1" w:styleId="50">
    <w:name w:val="标题 5 字符"/>
    <w:basedOn w:val="a0"/>
    <w:link w:val="5"/>
    <w:uiPriority w:val="9"/>
    <w:semiHidden/>
    <w:rsid w:val="008A4EBC"/>
    <w:rPr>
      <w:rFonts w:cstheme="majorBidi"/>
      <w:color w:val="0F4761" w:themeColor="accent1" w:themeShade="BF"/>
      <w:sz w:val="24"/>
      <w:lang w:val="en-GB"/>
    </w:rPr>
  </w:style>
  <w:style w:type="character" w:customStyle="1" w:styleId="60">
    <w:name w:val="标题 6 字符"/>
    <w:basedOn w:val="a0"/>
    <w:link w:val="6"/>
    <w:uiPriority w:val="9"/>
    <w:semiHidden/>
    <w:rsid w:val="008A4EBC"/>
    <w:rPr>
      <w:rFonts w:cstheme="majorBidi"/>
      <w:b/>
      <w:bCs/>
      <w:color w:val="0F4761" w:themeColor="accent1" w:themeShade="BF"/>
      <w:lang w:val="en-GB"/>
    </w:rPr>
  </w:style>
  <w:style w:type="character" w:customStyle="1" w:styleId="70">
    <w:name w:val="标题 7 字符"/>
    <w:basedOn w:val="a0"/>
    <w:link w:val="7"/>
    <w:uiPriority w:val="9"/>
    <w:semiHidden/>
    <w:rsid w:val="008A4EBC"/>
    <w:rPr>
      <w:rFonts w:cstheme="majorBidi"/>
      <w:b/>
      <w:bCs/>
      <w:color w:val="595959" w:themeColor="text1" w:themeTint="A6"/>
      <w:lang w:val="en-GB"/>
    </w:rPr>
  </w:style>
  <w:style w:type="character" w:customStyle="1" w:styleId="80">
    <w:name w:val="标题 8 字符"/>
    <w:basedOn w:val="a0"/>
    <w:link w:val="8"/>
    <w:uiPriority w:val="9"/>
    <w:semiHidden/>
    <w:rsid w:val="008A4EBC"/>
    <w:rPr>
      <w:rFonts w:cstheme="majorBidi"/>
      <w:color w:val="595959" w:themeColor="text1" w:themeTint="A6"/>
      <w:lang w:val="en-GB"/>
    </w:rPr>
  </w:style>
  <w:style w:type="character" w:customStyle="1" w:styleId="90">
    <w:name w:val="标题 9 字符"/>
    <w:basedOn w:val="a0"/>
    <w:link w:val="9"/>
    <w:uiPriority w:val="9"/>
    <w:semiHidden/>
    <w:rsid w:val="008A4EBC"/>
    <w:rPr>
      <w:rFonts w:eastAsiaTheme="majorEastAsia" w:cstheme="majorBidi"/>
      <w:color w:val="595959" w:themeColor="text1" w:themeTint="A6"/>
      <w:lang w:val="en-GB"/>
    </w:rPr>
  </w:style>
  <w:style w:type="paragraph" w:styleId="a3">
    <w:name w:val="Title"/>
    <w:basedOn w:val="a"/>
    <w:next w:val="a"/>
    <w:link w:val="a4"/>
    <w:uiPriority w:val="10"/>
    <w:qFormat/>
    <w:rsid w:val="008A4EBC"/>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标题 字符"/>
    <w:basedOn w:val="a0"/>
    <w:link w:val="a3"/>
    <w:uiPriority w:val="10"/>
    <w:rsid w:val="008A4EBC"/>
    <w:rPr>
      <w:rFonts w:asciiTheme="majorHAnsi" w:eastAsiaTheme="majorEastAsia" w:hAnsiTheme="majorHAnsi" w:cstheme="majorBidi"/>
      <w:spacing w:val="-10"/>
      <w:kern w:val="28"/>
      <w:sz w:val="56"/>
      <w:szCs w:val="56"/>
      <w:lang w:val="en-GB"/>
    </w:rPr>
  </w:style>
  <w:style w:type="paragraph" w:styleId="a5">
    <w:name w:val="Subtitle"/>
    <w:basedOn w:val="a"/>
    <w:next w:val="a"/>
    <w:link w:val="a6"/>
    <w:uiPriority w:val="11"/>
    <w:qFormat/>
    <w:rsid w:val="008A4EBC"/>
    <w:pPr>
      <w:numPr>
        <w:ilvl w:val="1"/>
      </w:numPr>
      <w:spacing w:after="160" w:line="278"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6">
    <w:name w:val="副标题 字符"/>
    <w:basedOn w:val="a0"/>
    <w:link w:val="a5"/>
    <w:uiPriority w:val="11"/>
    <w:rsid w:val="008A4EBC"/>
    <w:rPr>
      <w:rFonts w:asciiTheme="majorHAnsi" w:eastAsiaTheme="majorEastAsia" w:hAnsiTheme="majorHAnsi" w:cstheme="majorBidi"/>
      <w:color w:val="595959" w:themeColor="text1" w:themeTint="A6"/>
      <w:spacing w:val="15"/>
      <w:sz w:val="28"/>
      <w:szCs w:val="28"/>
      <w:lang w:val="en-GB"/>
    </w:rPr>
  </w:style>
  <w:style w:type="paragraph" w:styleId="a7">
    <w:name w:val="Quote"/>
    <w:basedOn w:val="a"/>
    <w:next w:val="a"/>
    <w:link w:val="a8"/>
    <w:uiPriority w:val="29"/>
    <w:qFormat/>
    <w:rsid w:val="008A4EBC"/>
    <w:pPr>
      <w:spacing w:before="160" w:after="160" w:line="278" w:lineRule="auto"/>
      <w:jc w:val="center"/>
    </w:pPr>
    <w:rPr>
      <w:rFonts w:asciiTheme="minorHAnsi" w:eastAsiaTheme="minorEastAsia" w:hAnsiTheme="minorHAnsi" w:cstheme="minorBidi"/>
      <w:i/>
      <w:iCs/>
      <w:color w:val="404040" w:themeColor="text1" w:themeTint="BF"/>
      <w:sz w:val="22"/>
      <w:szCs w:val="24"/>
      <w14:ligatures w14:val="standardContextual"/>
    </w:rPr>
  </w:style>
  <w:style w:type="character" w:customStyle="1" w:styleId="a8">
    <w:name w:val="引用 字符"/>
    <w:basedOn w:val="a0"/>
    <w:link w:val="a7"/>
    <w:uiPriority w:val="29"/>
    <w:rsid w:val="008A4EBC"/>
    <w:rPr>
      <w:i/>
      <w:iCs/>
      <w:color w:val="404040" w:themeColor="text1" w:themeTint="BF"/>
      <w:lang w:val="en-GB"/>
    </w:rPr>
  </w:style>
  <w:style w:type="paragraph" w:styleId="a9">
    <w:name w:val="List Paragraph"/>
    <w:basedOn w:val="a"/>
    <w:uiPriority w:val="34"/>
    <w:qFormat/>
    <w:rsid w:val="008A4EBC"/>
    <w:pPr>
      <w:spacing w:after="160" w:line="278" w:lineRule="auto"/>
      <w:ind w:left="720"/>
      <w:contextualSpacing/>
      <w:jc w:val="left"/>
    </w:pPr>
    <w:rPr>
      <w:rFonts w:asciiTheme="minorHAnsi" w:eastAsiaTheme="minorEastAsia" w:hAnsiTheme="minorHAnsi" w:cstheme="minorBidi"/>
      <w:sz w:val="22"/>
      <w:szCs w:val="24"/>
      <w14:ligatures w14:val="standardContextual"/>
    </w:rPr>
  </w:style>
  <w:style w:type="character" w:styleId="aa">
    <w:name w:val="Intense Emphasis"/>
    <w:basedOn w:val="a0"/>
    <w:uiPriority w:val="21"/>
    <w:qFormat/>
    <w:rsid w:val="008A4EBC"/>
    <w:rPr>
      <w:i/>
      <w:iCs/>
      <w:color w:val="0F4761" w:themeColor="accent1" w:themeShade="BF"/>
    </w:rPr>
  </w:style>
  <w:style w:type="paragraph" w:styleId="ab">
    <w:name w:val="Intense Quote"/>
    <w:basedOn w:val="a"/>
    <w:next w:val="a"/>
    <w:link w:val="ac"/>
    <w:uiPriority w:val="30"/>
    <w:qFormat/>
    <w:rsid w:val="008A4EB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sz w:val="22"/>
      <w:szCs w:val="24"/>
      <w14:ligatures w14:val="standardContextual"/>
    </w:rPr>
  </w:style>
  <w:style w:type="character" w:customStyle="1" w:styleId="ac">
    <w:name w:val="明显引用 字符"/>
    <w:basedOn w:val="a0"/>
    <w:link w:val="ab"/>
    <w:uiPriority w:val="30"/>
    <w:rsid w:val="008A4EBC"/>
    <w:rPr>
      <w:i/>
      <w:iCs/>
      <w:color w:val="0F4761" w:themeColor="accent1" w:themeShade="BF"/>
      <w:lang w:val="en-GB"/>
    </w:rPr>
  </w:style>
  <w:style w:type="character" w:styleId="ad">
    <w:name w:val="Intense Reference"/>
    <w:basedOn w:val="a0"/>
    <w:uiPriority w:val="32"/>
    <w:qFormat/>
    <w:rsid w:val="008A4EBC"/>
    <w:rPr>
      <w:b/>
      <w:bCs/>
      <w:smallCaps/>
      <w:color w:val="0F4761" w:themeColor="accent1" w:themeShade="BF"/>
      <w:spacing w:val="5"/>
    </w:rPr>
  </w:style>
  <w:style w:type="paragraph" w:styleId="ae">
    <w:name w:val="footer"/>
    <w:basedOn w:val="a"/>
    <w:link w:val="af"/>
    <w:uiPriority w:val="99"/>
    <w:unhideWhenUsed/>
    <w:rsid w:val="00E266E8"/>
    <w:pPr>
      <w:tabs>
        <w:tab w:val="center" w:pos="4153"/>
        <w:tab w:val="right" w:pos="8306"/>
      </w:tabs>
      <w:snapToGrid w:val="0"/>
      <w:jc w:val="left"/>
    </w:pPr>
    <w:rPr>
      <w:sz w:val="18"/>
      <w:szCs w:val="18"/>
    </w:rPr>
  </w:style>
  <w:style w:type="character" w:customStyle="1" w:styleId="af">
    <w:name w:val="页脚 字符"/>
    <w:basedOn w:val="a0"/>
    <w:link w:val="ae"/>
    <w:uiPriority w:val="99"/>
    <w:rsid w:val="00E266E8"/>
    <w:rPr>
      <w:rFonts w:ascii="Calibri" w:eastAsia="宋体" w:hAnsi="Calibri" w:cs="Times New Roman"/>
      <w:sz w:val="18"/>
      <w:szCs w:val="18"/>
      <w:lang w:val="en-GB"/>
      <w14:ligatures w14:val="none"/>
    </w:rPr>
  </w:style>
  <w:style w:type="character" w:styleId="af0">
    <w:name w:val="page number"/>
    <w:basedOn w:val="a0"/>
    <w:uiPriority w:val="99"/>
    <w:semiHidden/>
    <w:unhideWhenUsed/>
    <w:rsid w:val="00E266E8"/>
  </w:style>
  <w:style w:type="paragraph" w:styleId="af1">
    <w:name w:val="Bibliography"/>
    <w:basedOn w:val="a"/>
    <w:next w:val="a"/>
    <w:uiPriority w:val="37"/>
    <w:unhideWhenUsed/>
    <w:rsid w:val="001E3460"/>
    <w:pPr>
      <w:spacing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image" Target="file:////Users/shajinqi/Library/Containers/com.kingsoft.wpsoffice.mac/Data/tmp/wps-shajinqi/ksohtml/wps1.png"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7138</Words>
  <Characters>40692</Characters>
  <Application>Microsoft Office Word</Application>
  <DocSecurity>0</DocSecurity>
  <Lines>339</Lines>
  <Paragraphs>95</Paragraphs>
  <ScaleCrop>false</ScaleCrop>
  <Company/>
  <LinksUpToDate>false</LinksUpToDate>
  <CharactersWithSpaces>47735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Jinqi Sha (2502887)</dc:creator>
  <cp:keywords/>
  <dc:description/>
  <cp:lastModifiedBy>Jinqi Sha (2502887)</cp:lastModifiedBy>
  <cp:revision>2</cp:revision>
  <dcterms:created xsi:type="dcterms:W3CDTF">2026-05-10T17:18:00Z</dcterms:created>
  <dcterms:modified xsi:type="dcterms:W3CDTF">2026-05-10T17:18:00Z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id="HzyYDj7t"/&gt;&lt;style id="http://www.zotero.org/styles/harvard-cite-them-right" locale="en-GB" hasBibliography="1" bibliographyStyleHasBeenSet="1"/&gt;&lt;prefs&gt;&lt;pref name="fieldType" value="Field"/&gt;&lt;/pref</vt:lpwstr>
  </property>
  <property fmtid="{D5CDD505-2E9C-101B-9397-08002B2CF9AE}" pid="3" name="ZOTERO_PREF_2">
    <vt:lpwstr>s&gt;&lt;/data&gt;</vt:lpwstr>
  </property>
</Properties>
</file>