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4C26A" w14:textId="77777777" w:rsidR="002D592C" w:rsidRDefault="002D592C">
      <w:pPr>
        <w:jc w:val="center"/>
        <w:rPr>
          <w:rFonts w:ascii="Tahoma" w:eastAsia="Tahoma" w:hAnsi="Tahoma" w:cs="Tahoma"/>
          <w:b/>
          <w:u w:val="single"/>
        </w:rPr>
      </w:pPr>
    </w:p>
    <w:p w14:paraId="0F732A49" w14:textId="77777777" w:rsidR="002D592C" w:rsidRDefault="002D592C">
      <w:pPr>
        <w:jc w:val="both"/>
        <w:rPr>
          <w:rFonts w:ascii="Tahoma" w:eastAsia="Tahoma" w:hAnsi="Tahoma" w:cs="Tahoma"/>
          <w:b/>
          <w:u w:val="single"/>
        </w:rPr>
      </w:pPr>
    </w:p>
    <w:p w14:paraId="5029FAD3" w14:textId="77777777" w:rsidR="002D592C" w:rsidRDefault="002D592C">
      <w:pPr>
        <w:jc w:val="both"/>
        <w:rPr>
          <w:rFonts w:ascii="Tahoma" w:eastAsia="Tahoma" w:hAnsi="Tahoma" w:cs="Tahoma"/>
          <w:b/>
          <w:u w:val="single"/>
        </w:rPr>
      </w:pPr>
    </w:p>
    <w:p w14:paraId="7588555A" w14:textId="77777777" w:rsidR="002D592C" w:rsidRDefault="00EB60E3">
      <w:pPr>
        <w:jc w:val="both"/>
        <w:rPr>
          <w:rFonts w:ascii="Tahoma" w:eastAsia="Tahoma" w:hAnsi="Tahoma" w:cs="Tahoma"/>
          <w:b/>
          <w:u w:val="single"/>
        </w:rPr>
      </w:pPr>
      <w:r>
        <w:rPr>
          <w:rFonts w:ascii="Tahoma" w:eastAsia="Tahoma" w:hAnsi="Tahoma" w:cs="Tahoma"/>
          <w:b/>
          <w:u w:val="single"/>
        </w:rPr>
        <w:t>LEVEL 4 – Student Journal (750 words)</w:t>
      </w:r>
    </w:p>
    <w:p w14:paraId="0A3F62B2" w14:textId="77777777" w:rsidR="002D592C" w:rsidRPr="00E843BB" w:rsidRDefault="002D592C">
      <w:pPr>
        <w:jc w:val="both"/>
        <w:rPr>
          <w:rFonts w:ascii="Tahoma" w:eastAsia="Tahoma" w:hAnsi="Tahoma" w:cs="Tahoma"/>
          <w:b/>
          <w:u w:val="single"/>
        </w:rPr>
      </w:pPr>
    </w:p>
    <w:p w14:paraId="3CBA0A06" w14:textId="77777777" w:rsidR="002D592C" w:rsidRPr="00E843BB" w:rsidRDefault="00EB60E3">
      <w:pPr>
        <w:jc w:val="both"/>
        <w:rPr>
          <w:rFonts w:ascii="Tahoma" w:eastAsia="Tahoma" w:hAnsi="Tahoma" w:cs="Tahoma"/>
        </w:rPr>
      </w:pPr>
      <w:r w:rsidRPr="00E843BB">
        <w:rPr>
          <w:rFonts w:ascii="Tahoma" w:eastAsia="Tahoma" w:hAnsi="Tahoma" w:cs="Tahoma"/>
        </w:rPr>
        <w:t>You are required to complete a journal entry to capture the learning experience and knowledge you have acquiring during a particular lecture.  You may choose from the following topics:</w:t>
      </w:r>
    </w:p>
    <w:p w14:paraId="481F6D55" w14:textId="77777777" w:rsidR="002D592C" w:rsidRPr="00E843BB" w:rsidRDefault="00EB60E3">
      <w:pPr>
        <w:numPr>
          <w:ilvl w:val="0"/>
          <w:numId w:val="1"/>
        </w:numPr>
        <w:pBdr>
          <w:top w:val="nil"/>
          <w:left w:val="nil"/>
          <w:bottom w:val="nil"/>
          <w:right w:val="nil"/>
          <w:between w:val="nil"/>
        </w:pBdr>
        <w:rPr>
          <w:color w:val="000000"/>
        </w:rPr>
      </w:pPr>
      <w:r w:rsidRPr="00E843BB">
        <w:rPr>
          <w:rFonts w:ascii="Calibri" w:eastAsia="Calibri" w:hAnsi="Calibri" w:cs="Calibri"/>
          <w:color w:val="000000"/>
        </w:rPr>
        <w:t xml:space="preserve">Allergies and Intolerances and the importance within the industry </w:t>
      </w:r>
    </w:p>
    <w:p w14:paraId="78B237F5" w14:textId="77777777" w:rsidR="002D592C" w:rsidRPr="00E843BB" w:rsidRDefault="00EB60E3">
      <w:pPr>
        <w:numPr>
          <w:ilvl w:val="0"/>
          <w:numId w:val="1"/>
        </w:numPr>
        <w:pBdr>
          <w:top w:val="nil"/>
          <w:left w:val="nil"/>
          <w:bottom w:val="nil"/>
          <w:right w:val="nil"/>
          <w:between w:val="nil"/>
        </w:pBdr>
        <w:rPr>
          <w:color w:val="000000"/>
          <w:highlight w:val="yellow"/>
        </w:rPr>
      </w:pPr>
      <w:r w:rsidRPr="00E843BB">
        <w:rPr>
          <w:rFonts w:ascii="Calibri" w:eastAsia="Calibri" w:hAnsi="Calibri" w:cs="Calibri"/>
          <w:color w:val="000000"/>
          <w:highlight w:val="yellow"/>
        </w:rPr>
        <w:t xml:space="preserve">Ratings, Inspections and Reporting Procedures </w:t>
      </w:r>
    </w:p>
    <w:p w14:paraId="6819A94A" w14:textId="77777777" w:rsidR="002D592C" w:rsidRPr="00E843BB" w:rsidRDefault="002D592C">
      <w:pPr>
        <w:jc w:val="both"/>
        <w:rPr>
          <w:rFonts w:ascii="Tahoma" w:eastAsia="Tahoma" w:hAnsi="Tahoma" w:cs="Tahoma"/>
        </w:rPr>
      </w:pPr>
    </w:p>
    <w:p w14:paraId="3B805C51" w14:textId="77777777" w:rsidR="002D592C" w:rsidRPr="00E843BB" w:rsidRDefault="00EB60E3">
      <w:pPr>
        <w:jc w:val="both"/>
        <w:rPr>
          <w:rFonts w:ascii="Tahoma" w:eastAsia="Tahoma" w:hAnsi="Tahoma" w:cs="Tahoma"/>
        </w:rPr>
      </w:pPr>
      <w:r w:rsidRPr="00E843BB">
        <w:rPr>
          <w:rFonts w:ascii="Tahoma" w:eastAsia="Tahoma" w:hAnsi="Tahoma" w:cs="Tahoma"/>
        </w:rPr>
        <w:t xml:space="preserve">Consider the appropriate lectures. What was the topic and what have you learnt? Provide a </w:t>
      </w:r>
      <w:r w:rsidRPr="00E843BB">
        <w:rPr>
          <w:rFonts w:ascii="Tahoma" w:eastAsia="Tahoma" w:hAnsi="Tahoma" w:cs="Tahoma"/>
          <w:b/>
        </w:rPr>
        <w:t>brief summary</w:t>
      </w:r>
      <w:r w:rsidRPr="00E843BB">
        <w:rPr>
          <w:rFonts w:ascii="Tahoma" w:eastAsia="Tahoma" w:hAnsi="Tahoma" w:cs="Tahoma"/>
        </w:rPr>
        <w:t xml:space="preserve">. What </w:t>
      </w:r>
      <w:r w:rsidRPr="00E843BB">
        <w:rPr>
          <w:rFonts w:ascii="Tahoma" w:eastAsia="Tahoma" w:hAnsi="Tahoma" w:cs="Tahoma"/>
          <w:b/>
        </w:rPr>
        <w:t>new skills / knowledge have you acquired</w:t>
      </w:r>
      <w:r w:rsidRPr="00E843BB">
        <w:rPr>
          <w:rFonts w:ascii="Tahoma" w:eastAsia="Tahoma" w:hAnsi="Tahoma" w:cs="Tahoma"/>
        </w:rPr>
        <w:t xml:space="preserve">? How will you </w:t>
      </w:r>
      <w:r w:rsidRPr="00E843BB">
        <w:rPr>
          <w:rFonts w:ascii="Tahoma" w:eastAsia="Tahoma" w:hAnsi="Tahoma" w:cs="Tahoma"/>
          <w:b/>
        </w:rPr>
        <w:t>apply your knowledge in the future</w:t>
      </w:r>
      <w:r w:rsidRPr="00E843BB">
        <w:rPr>
          <w:rFonts w:ascii="Tahoma" w:eastAsia="Tahoma" w:hAnsi="Tahoma" w:cs="Tahoma"/>
        </w:rPr>
        <w:t xml:space="preserve">? What are your </w:t>
      </w:r>
      <w:r w:rsidRPr="00E843BB">
        <w:rPr>
          <w:rFonts w:ascii="Tahoma" w:eastAsia="Tahoma" w:hAnsi="Tahoma" w:cs="Tahoma"/>
          <w:b/>
        </w:rPr>
        <w:t>personal reflections</w:t>
      </w:r>
      <w:r w:rsidRPr="00E843BB">
        <w:rPr>
          <w:rFonts w:ascii="Tahoma" w:eastAsia="Tahoma" w:hAnsi="Tahoma" w:cs="Tahoma"/>
        </w:rPr>
        <w:t xml:space="preserve"> on the subject? Why is this </w:t>
      </w:r>
      <w:r w:rsidRPr="00E843BB">
        <w:rPr>
          <w:rFonts w:ascii="Tahoma" w:eastAsia="Tahoma" w:hAnsi="Tahoma" w:cs="Tahoma"/>
          <w:b/>
        </w:rPr>
        <w:t>topic important within the industry</w:t>
      </w:r>
      <w:r w:rsidRPr="00E843BB">
        <w:rPr>
          <w:rFonts w:ascii="Tahoma" w:eastAsia="Tahoma" w:hAnsi="Tahoma" w:cs="Tahoma"/>
        </w:rPr>
        <w:t xml:space="preserve">? Provide </w:t>
      </w:r>
      <w:r w:rsidRPr="00E843BB">
        <w:rPr>
          <w:rFonts w:ascii="Tahoma" w:eastAsia="Tahoma" w:hAnsi="Tahoma" w:cs="Tahoma"/>
          <w:b/>
        </w:rPr>
        <w:t>evidence of further reading</w:t>
      </w:r>
      <w:r w:rsidRPr="00E843BB">
        <w:rPr>
          <w:rFonts w:ascii="Tahoma" w:eastAsia="Tahoma" w:hAnsi="Tahoma" w:cs="Tahoma"/>
        </w:rPr>
        <w:t>. Include a minimum of 5 references.</w:t>
      </w:r>
    </w:p>
    <w:p w14:paraId="46626080" w14:textId="77777777" w:rsidR="002D592C" w:rsidRPr="00E843BB" w:rsidRDefault="002D592C">
      <w:pPr>
        <w:rPr>
          <w:rFonts w:ascii="Tahoma" w:eastAsia="Tahoma" w:hAnsi="Tahoma" w:cs="Tahoma"/>
          <w:sz w:val="20"/>
          <w:szCs w:val="20"/>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2D592C" w:rsidRPr="00C57EC5" w14:paraId="6CEF51D7" w14:textId="77777777">
        <w:tc>
          <w:tcPr>
            <w:tcW w:w="3987" w:type="dxa"/>
            <w:shd w:val="clear" w:color="auto" w:fill="8DB3E2"/>
          </w:tcPr>
          <w:p w14:paraId="471CD682" w14:textId="0F4F174E" w:rsidR="002D592C" w:rsidRPr="00806B58" w:rsidRDefault="00EB60E3">
            <w:pPr>
              <w:rPr>
                <w:rFonts w:ascii="Tahoma" w:eastAsia="Tahoma" w:hAnsi="Tahoma" w:cs="Tahoma"/>
                <w:b/>
                <w:sz w:val="20"/>
                <w:szCs w:val="20"/>
                <w:lang w:val="it-IT"/>
              </w:rPr>
            </w:pPr>
            <w:proofErr w:type="spellStart"/>
            <w:r w:rsidRPr="00806B58">
              <w:rPr>
                <w:rFonts w:ascii="Tahoma" w:eastAsia="Tahoma" w:hAnsi="Tahoma" w:cs="Tahoma"/>
                <w:b/>
                <w:sz w:val="20"/>
                <w:szCs w:val="20"/>
                <w:lang w:val="it-IT"/>
              </w:rPr>
              <w:t>Student</w:t>
            </w:r>
            <w:proofErr w:type="spellEnd"/>
            <w:r w:rsidRPr="00806B58">
              <w:rPr>
                <w:rFonts w:ascii="Tahoma" w:eastAsia="Tahoma" w:hAnsi="Tahoma" w:cs="Tahoma"/>
                <w:b/>
                <w:sz w:val="20"/>
                <w:szCs w:val="20"/>
                <w:lang w:val="it-IT"/>
              </w:rPr>
              <w:t xml:space="preserve"> Name: </w:t>
            </w:r>
            <w:r w:rsidR="00806B58" w:rsidRPr="00806B58">
              <w:rPr>
                <w:rFonts w:ascii="Tahoma" w:eastAsia="Tahoma" w:hAnsi="Tahoma" w:cs="Tahoma"/>
                <w:b/>
                <w:sz w:val="20"/>
                <w:szCs w:val="20"/>
                <w:lang w:val="it-IT"/>
              </w:rPr>
              <w:t>Lavinia Irina Stan</w:t>
            </w:r>
          </w:p>
          <w:p w14:paraId="385E020F" w14:textId="77777777" w:rsidR="002D592C" w:rsidRPr="00806B58" w:rsidRDefault="002D592C">
            <w:pPr>
              <w:rPr>
                <w:rFonts w:ascii="Tahoma" w:eastAsia="Tahoma" w:hAnsi="Tahoma" w:cs="Tahoma"/>
                <w:b/>
                <w:sz w:val="20"/>
                <w:szCs w:val="20"/>
                <w:lang w:val="it-IT"/>
              </w:rPr>
            </w:pPr>
          </w:p>
          <w:p w14:paraId="0981C235" w14:textId="6CF7D24D" w:rsidR="002D592C" w:rsidRPr="00E843BB" w:rsidRDefault="00EB60E3">
            <w:pPr>
              <w:rPr>
                <w:rFonts w:ascii="Tahoma" w:eastAsia="Tahoma" w:hAnsi="Tahoma" w:cs="Tahoma"/>
                <w:b/>
                <w:sz w:val="20"/>
                <w:szCs w:val="20"/>
              </w:rPr>
            </w:pPr>
            <w:r w:rsidRPr="00E843BB">
              <w:rPr>
                <w:rFonts w:ascii="Tahoma" w:eastAsia="Tahoma" w:hAnsi="Tahoma" w:cs="Tahoma"/>
                <w:b/>
                <w:sz w:val="20"/>
                <w:szCs w:val="20"/>
              </w:rPr>
              <w:t xml:space="preserve">Student Number: </w:t>
            </w:r>
            <w:r w:rsidR="00806B58">
              <w:rPr>
                <w:rFonts w:ascii="Tahoma" w:eastAsia="Tahoma" w:hAnsi="Tahoma" w:cs="Tahoma"/>
                <w:b/>
                <w:sz w:val="20"/>
                <w:szCs w:val="20"/>
              </w:rPr>
              <w:t>1912876</w:t>
            </w:r>
          </w:p>
          <w:p w14:paraId="52042D0A" w14:textId="77777777" w:rsidR="002D592C" w:rsidRPr="00E843BB" w:rsidRDefault="002D592C">
            <w:pPr>
              <w:rPr>
                <w:rFonts w:ascii="Tahoma" w:eastAsia="Tahoma" w:hAnsi="Tahoma" w:cs="Tahoma"/>
                <w:b/>
                <w:sz w:val="20"/>
                <w:szCs w:val="20"/>
              </w:rPr>
            </w:pPr>
          </w:p>
        </w:tc>
        <w:tc>
          <w:tcPr>
            <w:tcW w:w="7195" w:type="dxa"/>
            <w:shd w:val="clear" w:color="auto" w:fill="8DB3E2"/>
          </w:tcPr>
          <w:p w14:paraId="0540C4E8" w14:textId="688BA332" w:rsidR="002D592C" w:rsidRPr="00C57EC5" w:rsidRDefault="00EB60E3">
            <w:pPr>
              <w:rPr>
                <w:rFonts w:ascii="Tahoma" w:eastAsia="Tahoma" w:hAnsi="Tahoma" w:cs="Tahoma"/>
                <w:b/>
                <w:sz w:val="20"/>
                <w:szCs w:val="20"/>
              </w:rPr>
            </w:pPr>
            <w:r w:rsidRPr="00C57EC5">
              <w:rPr>
                <w:rFonts w:ascii="Tahoma" w:eastAsia="Tahoma" w:hAnsi="Tahoma" w:cs="Tahoma"/>
                <w:b/>
                <w:sz w:val="20"/>
                <w:szCs w:val="20"/>
              </w:rPr>
              <w:t xml:space="preserve">Module: </w:t>
            </w:r>
            <w:r w:rsidR="00C57EC5" w:rsidRPr="00C57EC5">
              <w:rPr>
                <w:rFonts w:ascii="Tahoma" w:eastAsia="Tahoma" w:hAnsi="Tahoma" w:cs="Tahoma"/>
                <w:b/>
                <w:sz w:val="20"/>
                <w:szCs w:val="20"/>
              </w:rPr>
              <w:t>Food &amp; Beverage Operations (B</w:t>
            </w:r>
            <w:r w:rsidR="00C57EC5">
              <w:rPr>
                <w:rFonts w:ascii="Tahoma" w:eastAsia="Tahoma" w:hAnsi="Tahoma" w:cs="Tahoma"/>
                <w:b/>
                <w:sz w:val="20"/>
                <w:szCs w:val="20"/>
              </w:rPr>
              <w:t>MIH4002)</w:t>
            </w:r>
          </w:p>
          <w:p w14:paraId="20CEBDD1" w14:textId="77777777" w:rsidR="002D592C" w:rsidRPr="00C57EC5" w:rsidRDefault="002D592C">
            <w:pPr>
              <w:rPr>
                <w:rFonts w:ascii="Tahoma" w:eastAsia="Tahoma" w:hAnsi="Tahoma" w:cs="Tahoma"/>
                <w:b/>
                <w:sz w:val="20"/>
                <w:szCs w:val="20"/>
              </w:rPr>
            </w:pPr>
          </w:p>
          <w:p w14:paraId="3654C3FB" w14:textId="756C6CD0" w:rsidR="002D592C" w:rsidRPr="00C57EC5" w:rsidRDefault="00EB60E3">
            <w:pPr>
              <w:rPr>
                <w:rFonts w:ascii="Tahoma" w:eastAsia="Tahoma" w:hAnsi="Tahoma" w:cs="Tahoma"/>
                <w:b/>
                <w:sz w:val="20"/>
                <w:szCs w:val="20"/>
                <w:lang w:val="fr-FR"/>
              </w:rPr>
            </w:pPr>
            <w:proofErr w:type="spellStart"/>
            <w:r w:rsidRPr="00C57EC5">
              <w:rPr>
                <w:rFonts w:ascii="Tahoma" w:eastAsia="Tahoma" w:hAnsi="Tahoma" w:cs="Tahoma"/>
                <w:b/>
                <w:sz w:val="20"/>
                <w:szCs w:val="20"/>
                <w:lang w:val="fr-FR"/>
              </w:rPr>
              <w:t>Lecturer</w:t>
            </w:r>
            <w:proofErr w:type="spellEnd"/>
            <w:r w:rsidRPr="00C57EC5">
              <w:rPr>
                <w:rFonts w:ascii="Tahoma" w:eastAsia="Tahoma" w:hAnsi="Tahoma" w:cs="Tahoma"/>
                <w:b/>
                <w:sz w:val="20"/>
                <w:szCs w:val="20"/>
                <w:lang w:val="fr-FR"/>
              </w:rPr>
              <w:t xml:space="preserve">: </w:t>
            </w:r>
            <w:r w:rsidR="00806B58" w:rsidRPr="00C57EC5">
              <w:rPr>
                <w:rFonts w:ascii="Tahoma" w:eastAsia="Tahoma" w:hAnsi="Tahoma" w:cs="Tahoma"/>
                <w:b/>
                <w:sz w:val="20"/>
                <w:szCs w:val="20"/>
                <w:lang w:val="fr-FR"/>
              </w:rPr>
              <w:t>Laurence Blake</w:t>
            </w:r>
          </w:p>
        </w:tc>
      </w:tr>
    </w:tbl>
    <w:p w14:paraId="3423A742" w14:textId="77777777" w:rsidR="002D592C" w:rsidRPr="00C57EC5" w:rsidRDefault="002D592C">
      <w:pPr>
        <w:rPr>
          <w:rFonts w:ascii="Tahoma" w:eastAsia="Tahoma" w:hAnsi="Tahoma" w:cs="Tahoma"/>
          <w:sz w:val="20"/>
          <w:szCs w:val="20"/>
          <w:lang w:val="fr-FR"/>
        </w:rPr>
      </w:pPr>
    </w:p>
    <w:tbl>
      <w:tblPr>
        <w:tblStyle w:val="a0"/>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199"/>
      </w:tblGrid>
      <w:tr w:rsidR="002D592C" w:rsidRPr="00E843BB" w14:paraId="1B77A63B" w14:textId="77777777">
        <w:tc>
          <w:tcPr>
            <w:tcW w:w="3983" w:type="dxa"/>
            <w:shd w:val="clear" w:color="auto" w:fill="FBD5B5"/>
          </w:tcPr>
          <w:p w14:paraId="56D45615" w14:textId="77777777" w:rsidR="002D592C" w:rsidRPr="00E843BB" w:rsidRDefault="00EB60E3">
            <w:pPr>
              <w:rPr>
                <w:rFonts w:ascii="Tahoma" w:eastAsia="Tahoma" w:hAnsi="Tahoma" w:cs="Tahoma"/>
                <w:b/>
                <w:sz w:val="20"/>
                <w:szCs w:val="20"/>
              </w:rPr>
            </w:pPr>
            <w:r w:rsidRPr="00E843BB">
              <w:rPr>
                <w:rFonts w:ascii="Tahoma" w:eastAsia="Tahoma" w:hAnsi="Tahoma" w:cs="Tahoma"/>
                <w:b/>
                <w:sz w:val="20"/>
                <w:szCs w:val="20"/>
              </w:rPr>
              <w:t xml:space="preserve">Topic of choice: </w:t>
            </w:r>
            <w:r w:rsidRPr="00E843BB">
              <w:rPr>
                <w:rFonts w:ascii="Calibri" w:eastAsia="Calibri" w:hAnsi="Calibri" w:cs="Calibri"/>
              </w:rPr>
              <w:t xml:space="preserve">Ratings, Inspections and Reporting Procedures </w:t>
            </w:r>
          </w:p>
        </w:tc>
        <w:tc>
          <w:tcPr>
            <w:tcW w:w="7199" w:type="dxa"/>
            <w:shd w:val="clear" w:color="auto" w:fill="FBD5B5"/>
          </w:tcPr>
          <w:p w14:paraId="2AF74BEE" w14:textId="77777777" w:rsidR="002D592C" w:rsidRPr="00E843BB" w:rsidRDefault="002D592C">
            <w:pPr>
              <w:rPr>
                <w:rFonts w:ascii="Tahoma" w:eastAsia="Tahoma" w:hAnsi="Tahoma" w:cs="Tahoma"/>
                <w:b/>
                <w:sz w:val="20"/>
                <w:szCs w:val="20"/>
              </w:rPr>
            </w:pPr>
          </w:p>
          <w:p w14:paraId="6C28BD4E" w14:textId="77777777" w:rsidR="002D592C" w:rsidRPr="00E843BB" w:rsidRDefault="002D592C">
            <w:pPr>
              <w:jc w:val="center"/>
              <w:rPr>
                <w:rFonts w:ascii="Tahoma" w:eastAsia="Tahoma" w:hAnsi="Tahoma" w:cs="Tahoma"/>
                <w:b/>
                <w:sz w:val="20"/>
                <w:szCs w:val="20"/>
              </w:rPr>
            </w:pPr>
          </w:p>
          <w:p w14:paraId="71F33CFD" w14:textId="77777777" w:rsidR="002D592C" w:rsidRPr="00E843BB" w:rsidRDefault="002D592C">
            <w:pPr>
              <w:jc w:val="center"/>
              <w:rPr>
                <w:rFonts w:ascii="Tahoma" w:eastAsia="Tahoma" w:hAnsi="Tahoma" w:cs="Tahoma"/>
                <w:b/>
                <w:sz w:val="20"/>
                <w:szCs w:val="20"/>
              </w:rPr>
            </w:pPr>
          </w:p>
        </w:tc>
      </w:tr>
      <w:tr w:rsidR="002D592C" w:rsidRPr="00E843BB" w14:paraId="46852B87" w14:textId="77777777">
        <w:trPr>
          <w:trHeight w:val="2494"/>
        </w:trPr>
        <w:tc>
          <w:tcPr>
            <w:tcW w:w="11182" w:type="dxa"/>
            <w:gridSpan w:val="2"/>
          </w:tcPr>
          <w:p w14:paraId="5830E3B3" w14:textId="77777777" w:rsidR="002D592C" w:rsidRPr="00E843BB" w:rsidRDefault="002D592C">
            <w:pPr>
              <w:rPr>
                <w:rFonts w:ascii="Tahoma" w:eastAsia="Tahoma" w:hAnsi="Tahoma" w:cs="Tahoma"/>
                <w:sz w:val="20"/>
                <w:szCs w:val="20"/>
              </w:rPr>
            </w:pPr>
          </w:p>
          <w:p w14:paraId="669C21B1" w14:textId="77777777" w:rsidR="002D592C" w:rsidRPr="00E843BB" w:rsidRDefault="00EB60E3">
            <w:pPr>
              <w:spacing w:line="360" w:lineRule="auto"/>
              <w:jc w:val="both"/>
              <w:rPr>
                <w:rFonts w:ascii="Arial" w:eastAsia="Arial" w:hAnsi="Arial" w:cs="Arial"/>
              </w:rPr>
            </w:pPr>
            <w:r w:rsidRPr="00E843BB">
              <w:rPr>
                <w:rFonts w:ascii="Arial" w:eastAsia="Arial" w:hAnsi="Arial" w:cs="Arial"/>
              </w:rPr>
              <w:t>Since a hotel's brand or image may be built or destroyed through its room inspections, housekeeping managers must pay close attention to these inspections. Hotel profit margins may be significantly impacted by a bad internet review or piece in an era of tremendous online word-of-mouth promotion. Regular room assessments help prevent poor reviews by ensuring that the rooms are clean before they are given to customers. Ensure that hotel staff stick to a list of assigned tasks for each room and area of the property by conducting daily inspections (</w:t>
            </w:r>
            <w:proofErr w:type="spellStart"/>
            <w:r w:rsidRPr="00E843BB">
              <w:rPr>
                <w:rFonts w:ascii="Arial" w:eastAsia="Arial" w:hAnsi="Arial" w:cs="Arial"/>
                <w:highlight w:val="white"/>
              </w:rPr>
              <w:t>Minazzi</w:t>
            </w:r>
            <w:proofErr w:type="spellEnd"/>
            <w:r w:rsidRPr="00E843BB">
              <w:rPr>
                <w:rFonts w:ascii="Arial" w:eastAsia="Arial" w:hAnsi="Arial" w:cs="Arial"/>
                <w:highlight w:val="white"/>
              </w:rPr>
              <w:t>, 2010)</w:t>
            </w:r>
            <w:r w:rsidRPr="00E843BB">
              <w:rPr>
                <w:rFonts w:ascii="Arial" w:eastAsia="Arial" w:hAnsi="Arial" w:cs="Arial"/>
              </w:rPr>
              <w:t>. Make use of hotel checklists to make certain that all procedures were followed to the letter. One can increase customer loyalty by delivering excellent service with a hotel agenda, which leads to more positive reviews and ratings.</w:t>
            </w:r>
          </w:p>
          <w:p w14:paraId="0EC57113" w14:textId="77777777" w:rsidR="002D592C" w:rsidRPr="00E843BB" w:rsidRDefault="00EB60E3">
            <w:pPr>
              <w:spacing w:line="360" w:lineRule="auto"/>
              <w:jc w:val="both"/>
              <w:rPr>
                <w:rFonts w:ascii="Arial" w:eastAsia="Arial" w:hAnsi="Arial" w:cs="Arial"/>
              </w:rPr>
            </w:pPr>
            <w:r w:rsidRPr="00E843BB">
              <w:rPr>
                <w:rFonts w:ascii="Arial" w:eastAsia="Arial" w:hAnsi="Arial" w:cs="Arial"/>
              </w:rPr>
              <w:t>When it comes to housekeeping, the staff is limited, and they must ensure that room inspections don't take too long because guests expect to be checked in as fast as possible. Hotel suite checks now include a wide range of other amenities in addition to basic housekeeping, which is why housekeeping tasks have evolved.</w:t>
            </w:r>
          </w:p>
          <w:p w14:paraId="478F9D59" w14:textId="77777777" w:rsidR="002D592C" w:rsidRPr="00E843BB" w:rsidRDefault="00EB60E3">
            <w:pPr>
              <w:spacing w:line="360" w:lineRule="auto"/>
              <w:jc w:val="both"/>
              <w:rPr>
                <w:rFonts w:ascii="Arial" w:eastAsia="Arial" w:hAnsi="Arial" w:cs="Arial"/>
              </w:rPr>
            </w:pPr>
            <w:r w:rsidRPr="00E843BB">
              <w:rPr>
                <w:rFonts w:ascii="Arial" w:eastAsia="Arial" w:hAnsi="Arial" w:cs="Arial"/>
              </w:rPr>
              <w:t xml:space="preserve">As per the statement of </w:t>
            </w:r>
            <w:proofErr w:type="spellStart"/>
            <w:r w:rsidRPr="00E843BB">
              <w:rPr>
                <w:rFonts w:ascii="Arial" w:eastAsia="Arial" w:hAnsi="Arial" w:cs="Arial"/>
                <w:highlight w:val="white"/>
              </w:rPr>
              <w:t>Pilbeam</w:t>
            </w:r>
            <w:proofErr w:type="spellEnd"/>
            <w:r w:rsidRPr="00E843BB">
              <w:rPr>
                <w:rFonts w:ascii="Arial" w:eastAsia="Arial" w:hAnsi="Arial" w:cs="Arial"/>
                <w:highlight w:val="white"/>
              </w:rPr>
              <w:t xml:space="preserve"> </w:t>
            </w:r>
            <w:r w:rsidRPr="00E843BB">
              <w:rPr>
                <w:rFonts w:ascii="Arial" w:eastAsia="Arial" w:hAnsi="Arial" w:cs="Arial"/>
                <w:i/>
                <w:highlight w:val="white"/>
              </w:rPr>
              <w:t>et al</w:t>
            </w:r>
            <w:r w:rsidRPr="00E843BB">
              <w:rPr>
                <w:rFonts w:ascii="Arial" w:eastAsia="Arial" w:hAnsi="Arial" w:cs="Arial"/>
                <w:highlight w:val="white"/>
              </w:rPr>
              <w:t>., (2019</w:t>
            </w:r>
            <w:r w:rsidRPr="00E843BB">
              <w:rPr>
                <w:rFonts w:ascii="Arial" w:eastAsia="Arial" w:hAnsi="Arial" w:cs="Arial"/>
              </w:rPr>
              <w:t>), A checklist aids in the clarification of inspections duties, the supervision of inspections operations, and the generation of an inspection. Checklists facilitate the recording of observations and remarks on-the-spot but use caution. Allow the examination crew to get so focused on documenting the specifics on the list that they overlook other potentially dangerous issues.</w:t>
            </w:r>
          </w:p>
          <w:p w14:paraId="6B94490E" w14:textId="77777777" w:rsidR="002D592C" w:rsidRPr="00E843BB" w:rsidRDefault="00EB60E3">
            <w:pPr>
              <w:spacing w:line="360" w:lineRule="auto"/>
              <w:jc w:val="both"/>
              <w:rPr>
                <w:rFonts w:ascii="Arial" w:eastAsia="Arial" w:hAnsi="Arial" w:cs="Arial"/>
              </w:rPr>
            </w:pPr>
            <w:r w:rsidRPr="00E843BB">
              <w:rPr>
                <w:rFonts w:ascii="Arial" w:eastAsia="Arial" w:hAnsi="Arial" w:cs="Arial"/>
              </w:rPr>
              <w:t xml:space="preserve">From these statements from the several articles, I have learned that Hotels, restaurants, cafés, bars, and restaurants that prepare food for on-site consumption or takeout are all examples of food prep enterprises in the hospitality sector. Many procedures are needed to enable the demonstration of the safety of these </w:t>
            </w:r>
            <w:r w:rsidRPr="00E843BB">
              <w:rPr>
                <w:rFonts w:ascii="Arial" w:eastAsia="Arial" w:hAnsi="Arial" w:cs="Arial"/>
              </w:rPr>
              <w:lastRenderedPageBreak/>
              <w:t>businesses' food handling and storage activities (</w:t>
            </w:r>
            <w:r w:rsidRPr="00E843BB">
              <w:rPr>
                <w:rFonts w:ascii="Arial" w:eastAsia="Arial" w:hAnsi="Arial" w:cs="Arial"/>
                <w:highlight w:val="white"/>
              </w:rPr>
              <w:t xml:space="preserve">Wang </w:t>
            </w:r>
            <w:r w:rsidRPr="00E843BB">
              <w:rPr>
                <w:rFonts w:ascii="Arial" w:eastAsia="Arial" w:hAnsi="Arial" w:cs="Arial"/>
                <w:i/>
                <w:highlight w:val="white"/>
              </w:rPr>
              <w:t>et al</w:t>
            </w:r>
            <w:r w:rsidRPr="00E843BB">
              <w:rPr>
                <w:rFonts w:ascii="Arial" w:eastAsia="Arial" w:hAnsi="Arial" w:cs="Arial"/>
                <w:highlight w:val="white"/>
              </w:rPr>
              <w:t>., 2020)</w:t>
            </w:r>
            <w:r w:rsidRPr="00E843BB">
              <w:rPr>
                <w:rFonts w:ascii="Arial" w:eastAsia="Arial" w:hAnsi="Arial" w:cs="Arial"/>
              </w:rPr>
              <w:t>. The security of the food given to customers is ensured by following strict guidelines for food handling. As a result, it prevents food contamination, ensures that businesses adhere to the law, and protects their brand.</w:t>
            </w:r>
          </w:p>
          <w:p w14:paraId="32C3833E" w14:textId="77777777" w:rsidR="002D592C" w:rsidRPr="00E843BB" w:rsidRDefault="00EB60E3">
            <w:pPr>
              <w:spacing w:line="360" w:lineRule="auto"/>
              <w:jc w:val="both"/>
              <w:rPr>
                <w:rFonts w:ascii="Arial" w:eastAsia="Arial" w:hAnsi="Arial" w:cs="Arial"/>
              </w:rPr>
            </w:pPr>
            <w:r w:rsidRPr="00E843BB">
              <w:rPr>
                <w:rFonts w:ascii="Arial" w:eastAsia="Arial" w:hAnsi="Arial" w:cs="Arial"/>
              </w:rPr>
              <w:t xml:space="preserve">According to the review of </w:t>
            </w:r>
            <w:r w:rsidRPr="00E843BB">
              <w:rPr>
                <w:rFonts w:ascii="Arial" w:eastAsia="Arial" w:hAnsi="Arial" w:cs="Arial"/>
                <w:highlight w:val="white"/>
              </w:rPr>
              <w:t>Asri and Mohsin (2020</w:t>
            </w:r>
            <w:r w:rsidRPr="00E843BB">
              <w:rPr>
                <w:rFonts w:ascii="Arial" w:eastAsia="Arial" w:hAnsi="Arial" w:cs="Arial"/>
              </w:rPr>
              <w:t>), The UK Food and Drug Administration conducted an analysis of epidemiologic studies on foodborne illness events and discovered that five key risk variables occurred repeatedly: Inadequate food storage temperatures, Cooking that is insufficient, Equipment that has been contaminated, Food derived from questionable origins, Insufficient personal hygiene. Food hygiene authorities have the authority to inspect commercial establishments to ensure they are complying with regulatory standards. It may include the specimens for scientific study and the examination of records. This can lead to the following: A formal demand to correct any deficiencies, A legal notification specifying the steps that must be followed or the procedures, gear, or places that must be avoided, Punishment for flagrant violations of the law.</w:t>
            </w:r>
          </w:p>
          <w:p w14:paraId="118E9D65" w14:textId="77777777" w:rsidR="002D592C" w:rsidRPr="00E843BB" w:rsidRDefault="00EB60E3">
            <w:pPr>
              <w:spacing w:line="360" w:lineRule="auto"/>
              <w:jc w:val="both"/>
              <w:rPr>
                <w:rFonts w:ascii="Arial" w:eastAsia="Arial" w:hAnsi="Arial" w:cs="Arial"/>
              </w:rPr>
            </w:pPr>
            <w:r w:rsidRPr="00E843BB">
              <w:rPr>
                <w:rFonts w:ascii="Arial" w:eastAsia="Arial" w:hAnsi="Arial" w:cs="Arial"/>
                <w:highlight w:val="white"/>
              </w:rPr>
              <w:t xml:space="preserve">Fleetwood </w:t>
            </w:r>
            <w:r w:rsidRPr="00E843BB">
              <w:rPr>
                <w:rFonts w:ascii="Arial" w:eastAsia="Arial" w:hAnsi="Arial" w:cs="Arial"/>
                <w:i/>
                <w:highlight w:val="white"/>
              </w:rPr>
              <w:t>et al</w:t>
            </w:r>
            <w:r w:rsidRPr="00E843BB">
              <w:rPr>
                <w:rFonts w:ascii="Arial" w:eastAsia="Arial" w:hAnsi="Arial" w:cs="Arial"/>
                <w:highlight w:val="white"/>
              </w:rPr>
              <w:t>., (2019</w:t>
            </w:r>
            <w:r w:rsidRPr="00E843BB">
              <w:rPr>
                <w:rFonts w:ascii="Arial" w:eastAsia="Arial" w:hAnsi="Arial" w:cs="Arial"/>
              </w:rPr>
              <w:t xml:space="preserve">) said that Hygiene rankings are publicly shown or even displayed in front of companies in several nations, such as the United Kingdom. Reputation can be helped or injured by these evaluations, and that is an extra reason to develop better meals. Therefore, from the extensive literary sources it has been seen that, For the retail and hospitality industry sectors, the Food Safety Administration (FSA) recommends that they use the Approach in order to accept responsibility for the increased complexity of preparing food in restaurants as well as the need for smaller companies with a limited staff to sustain the necessary time for minimising risk if there are multiple single foodstuffs. </w:t>
            </w:r>
          </w:p>
          <w:p w14:paraId="2738E430" w14:textId="77777777" w:rsidR="002D592C" w:rsidRPr="00E843BB" w:rsidRDefault="00EB60E3">
            <w:pPr>
              <w:spacing w:line="360" w:lineRule="auto"/>
              <w:jc w:val="both"/>
              <w:rPr>
                <w:rFonts w:ascii="Arial" w:eastAsia="Arial" w:hAnsi="Arial" w:cs="Arial"/>
              </w:rPr>
            </w:pPr>
            <w:r w:rsidRPr="00E843BB">
              <w:rPr>
                <w:rFonts w:ascii="Arial" w:eastAsia="Arial" w:hAnsi="Arial" w:cs="Arial"/>
              </w:rPr>
              <w:t>According to the Process Approach, food flows are classified into categories based on the stages of cooking apparatus, detecting potential hazards, and applying controls for each group. Examples of stages include: gathering ingredients and storage; preparing; heating; chilling; reheating; holding; mixing; and serving.</w:t>
            </w:r>
          </w:p>
          <w:p w14:paraId="4C96DDA1" w14:textId="77777777" w:rsidR="002D592C" w:rsidRPr="00E843BB" w:rsidRDefault="00EB60E3">
            <w:pPr>
              <w:spacing w:line="360" w:lineRule="auto"/>
              <w:jc w:val="both"/>
              <w:rPr>
                <w:rFonts w:ascii="Arial" w:eastAsia="Arial" w:hAnsi="Arial" w:cs="Arial"/>
              </w:rPr>
            </w:pPr>
            <w:r w:rsidRPr="00E843BB">
              <w:rPr>
                <w:rFonts w:ascii="Arial" w:eastAsia="Arial" w:hAnsi="Arial" w:cs="Arial"/>
              </w:rPr>
              <w:t>From this critical assessment, I have also gained that knowledge. It is the goal of legislation to ensure that facilities are immaculately clean; they are designed to allow for appropriate remediation, ample space for continuing work, as well as the advancement of good sanitation. Food preparation procedures are designed to prevent contaminants from mud, illness, life forms, and pest attacks, and food can be safely enclosed while cross-pollution is avoided; this fact is critical for the hospitality business.</w:t>
            </w:r>
          </w:p>
          <w:p w14:paraId="52C13B4F" w14:textId="77777777" w:rsidR="002D592C" w:rsidRPr="00E843BB" w:rsidRDefault="00EB60E3">
            <w:pPr>
              <w:spacing w:line="360" w:lineRule="auto"/>
              <w:jc w:val="both"/>
              <w:rPr>
                <w:rFonts w:ascii="Tahoma" w:eastAsia="Tahoma" w:hAnsi="Tahoma" w:cs="Tahoma"/>
                <w:sz w:val="20"/>
                <w:szCs w:val="20"/>
              </w:rPr>
            </w:pPr>
            <w:r w:rsidRPr="00E843BB">
              <w:rPr>
                <w:rFonts w:ascii="Arial" w:eastAsia="Arial" w:hAnsi="Arial" w:cs="Arial"/>
              </w:rPr>
              <w:t>Regarding this fact, for further research on this topic, I have gained a lot of aspects regarding the topic. And, these extensive sources from the various literature will help me in my future profession on this career for how to maintain these aspects while working in the food industry.</w:t>
            </w:r>
          </w:p>
          <w:p w14:paraId="5A0D2D06" w14:textId="77777777" w:rsidR="002D592C" w:rsidRPr="00E843BB" w:rsidRDefault="002D592C">
            <w:pPr>
              <w:jc w:val="both"/>
              <w:rPr>
                <w:rFonts w:ascii="Tahoma" w:eastAsia="Tahoma" w:hAnsi="Tahoma" w:cs="Tahoma"/>
                <w:sz w:val="20"/>
                <w:szCs w:val="20"/>
              </w:rPr>
            </w:pPr>
          </w:p>
        </w:tc>
      </w:tr>
    </w:tbl>
    <w:p w14:paraId="7DE3A68B" w14:textId="77777777" w:rsidR="002D592C" w:rsidRPr="00E843BB" w:rsidRDefault="002D592C">
      <w:pPr>
        <w:rPr>
          <w:rFonts w:ascii="Tahoma" w:eastAsia="Tahoma" w:hAnsi="Tahoma" w:cs="Tahoma"/>
          <w:b/>
        </w:rPr>
      </w:pPr>
    </w:p>
    <w:tbl>
      <w:tblPr>
        <w:tblStyle w:val="a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2D592C" w:rsidRPr="00E843BB" w14:paraId="06045887" w14:textId="77777777">
        <w:tc>
          <w:tcPr>
            <w:tcW w:w="10910" w:type="dxa"/>
            <w:shd w:val="clear" w:color="auto" w:fill="FBD5B5"/>
          </w:tcPr>
          <w:p w14:paraId="21790DCC" w14:textId="77777777" w:rsidR="002D592C" w:rsidRPr="00E843BB" w:rsidRDefault="00EB60E3">
            <w:pPr>
              <w:rPr>
                <w:rFonts w:ascii="Tahoma" w:eastAsia="Tahoma" w:hAnsi="Tahoma" w:cs="Tahoma"/>
                <w:b/>
                <w:sz w:val="20"/>
                <w:szCs w:val="20"/>
              </w:rPr>
            </w:pPr>
            <w:r w:rsidRPr="00E843BB">
              <w:rPr>
                <w:rFonts w:ascii="Tahoma" w:eastAsia="Tahoma" w:hAnsi="Tahoma" w:cs="Tahoma"/>
                <w:b/>
                <w:sz w:val="20"/>
                <w:szCs w:val="20"/>
              </w:rPr>
              <w:t>REFERENCE LIST (not included in word count)</w:t>
            </w:r>
          </w:p>
        </w:tc>
        <w:tc>
          <w:tcPr>
            <w:tcW w:w="272" w:type="dxa"/>
            <w:shd w:val="clear" w:color="auto" w:fill="FBD5B5"/>
          </w:tcPr>
          <w:p w14:paraId="3C1302C8" w14:textId="77777777" w:rsidR="002D592C" w:rsidRPr="00E843BB" w:rsidRDefault="002D592C">
            <w:pPr>
              <w:jc w:val="center"/>
              <w:rPr>
                <w:rFonts w:ascii="Tahoma" w:eastAsia="Tahoma" w:hAnsi="Tahoma" w:cs="Tahoma"/>
                <w:b/>
                <w:sz w:val="20"/>
                <w:szCs w:val="20"/>
              </w:rPr>
            </w:pPr>
          </w:p>
          <w:p w14:paraId="405E8AEC" w14:textId="77777777" w:rsidR="002D592C" w:rsidRPr="00E843BB" w:rsidRDefault="002D592C">
            <w:pPr>
              <w:jc w:val="center"/>
              <w:rPr>
                <w:rFonts w:ascii="Tahoma" w:eastAsia="Tahoma" w:hAnsi="Tahoma" w:cs="Tahoma"/>
                <w:b/>
                <w:sz w:val="20"/>
                <w:szCs w:val="20"/>
              </w:rPr>
            </w:pPr>
          </w:p>
        </w:tc>
      </w:tr>
      <w:tr w:rsidR="002D592C" w:rsidRPr="00E843BB" w14:paraId="7381961C" w14:textId="77777777">
        <w:trPr>
          <w:trHeight w:val="2494"/>
        </w:trPr>
        <w:tc>
          <w:tcPr>
            <w:tcW w:w="11182" w:type="dxa"/>
            <w:gridSpan w:val="2"/>
          </w:tcPr>
          <w:p w14:paraId="6FC4EFE2" w14:textId="77777777" w:rsidR="002D592C" w:rsidRPr="00E843BB" w:rsidRDefault="002D592C">
            <w:pPr>
              <w:rPr>
                <w:rFonts w:ascii="Tahoma" w:eastAsia="Tahoma" w:hAnsi="Tahoma" w:cs="Tahoma"/>
                <w:sz w:val="20"/>
                <w:szCs w:val="20"/>
              </w:rPr>
            </w:pPr>
          </w:p>
          <w:p w14:paraId="71339DD2" w14:textId="77777777" w:rsidR="002D592C" w:rsidRPr="00E843BB" w:rsidRDefault="00EB60E3">
            <w:pPr>
              <w:spacing w:line="360" w:lineRule="auto"/>
              <w:jc w:val="both"/>
              <w:rPr>
                <w:rFonts w:ascii="Arial" w:eastAsia="Arial" w:hAnsi="Arial" w:cs="Arial"/>
                <w:highlight w:val="white"/>
              </w:rPr>
            </w:pPr>
            <w:proofErr w:type="spellStart"/>
            <w:r w:rsidRPr="00E843BB">
              <w:rPr>
                <w:rFonts w:ascii="Arial" w:eastAsia="Arial" w:hAnsi="Arial" w:cs="Arial"/>
                <w:highlight w:val="white"/>
              </w:rPr>
              <w:t>Minazzi</w:t>
            </w:r>
            <w:proofErr w:type="spellEnd"/>
            <w:r w:rsidRPr="00E843BB">
              <w:rPr>
                <w:rFonts w:ascii="Arial" w:eastAsia="Arial" w:hAnsi="Arial" w:cs="Arial"/>
                <w:highlight w:val="white"/>
              </w:rPr>
              <w:t xml:space="preserve">, R., 2010. Hotel classification systems: a comparison of international case studies. </w:t>
            </w:r>
            <w:r w:rsidRPr="00E843BB">
              <w:rPr>
                <w:rFonts w:ascii="Arial" w:eastAsia="Arial" w:hAnsi="Arial" w:cs="Arial"/>
                <w:i/>
                <w:highlight w:val="white"/>
              </w:rPr>
              <w:t xml:space="preserve">Acta Universitatis </w:t>
            </w:r>
            <w:proofErr w:type="spellStart"/>
            <w:r w:rsidRPr="00E843BB">
              <w:rPr>
                <w:rFonts w:ascii="Arial" w:eastAsia="Arial" w:hAnsi="Arial" w:cs="Arial"/>
                <w:i/>
                <w:highlight w:val="white"/>
              </w:rPr>
              <w:t>Danubius</w:t>
            </w:r>
            <w:proofErr w:type="spellEnd"/>
            <w:r w:rsidRPr="00E843BB">
              <w:rPr>
                <w:rFonts w:ascii="Arial" w:eastAsia="Arial" w:hAnsi="Arial" w:cs="Arial"/>
                <w:i/>
                <w:highlight w:val="white"/>
              </w:rPr>
              <w:t xml:space="preserve">. </w:t>
            </w:r>
            <w:proofErr w:type="spellStart"/>
            <w:r w:rsidRPr="00E843BB">
              <w:rPr>
                <w:rFonts w:ascii="Arial" w:eastAsia="Arial" w:hAnsi="Arial" w:cs="Arial"/>
                <w:i/>
                <w:highlight w:val="white"/>
              </w:rPr>
              <w:t>Œconomica</w:t>
            </w:r>
            <w:proofErr w:type="spellEnd"/>
            <w:r w:rsidRPr="00E843BB">
              <w:rPr>
                <w:rFonts w:ascii="Arial" w:eastAsia="Arial" w:hAnsi="Arial" w:cs="Arial"/>
                <w:highlight w:val="white"/>
              </w:rPr>
              <w:t xml:space="preserve">, </w:t>
            </w:r>
            <w:r w:rsidRPr="00E843BB">
              <w:rPr>
                <w:rFonts w:ascii="Arial" w:eastAsia="Arial" w:hAnsi="Arial" w:cs="Arial"/>
                <w:i/>
                <w:highlight w:val="white"/>
              </w:rPr>
              <w:t>6</w:t>
            </w:r>
            <w:r w:rsidRPr="00E843BB">
              <w:rPr>
                <w:rFonts w:ascii="Arial" w:eastAsia="Arial" w:hAnsi="Arial" w:cs="Arial"/>
                <w:highlight w:val="white"/>
              </w:rPr>
              <w:t>(4), pp.64-86.</w:t>
            </w:r>
          </w:p>
          <w:p w14:paraId="643A70B5" w14:textId="77777777" w:rsidR="002D592C" w:rsidRPr="00E843BB" w:rsidRDefault="00EB60E3">
            <w:pPr>
              <w:spacing w:line="360" w:lineRule="auto"/>
              <w:jc w:val="both"/>
              <w:rPr>
                <w:rFonts w:ascii="Arial" w:eastAsia="Arial" w:hAnsi="Arial" w:cs="Arial"/>
                <w:highlight w:val="white"/>
              </w:rPr>
            </w:pPr>
            <w:proofErr w:type="spellStart"/>
            <w:r w:rsidRPr="00E843BB">
              <w:rPr>
                <w:rFonts w:ascii="Arial" w:eastAsia="Arial" w:hAnsi="Arial" w:cs="Arial"/>
                <w:highlight w:val="white"/>
              </w:rPr>
              <w:t>Pilbeam</w:t>
            </w:r>
            <w:proofErr w:type="spellEnd"/>
            <w:r w:rsidRPr="00E843BB">
              <w:rPr>
                <w:rFonts w:ascii="Arial" w:eastAsia="Arial" w:hAnsi="Arial" w:cs="Arial"/>
                <w:highlight w:val="white"/>
              </w:rPr>
              <w:t xml:space="preserve">, C., </w:t>
            </w:r>
            <w:proofErr w:type="spellStart"/>
            <w:r w:rsidRPr="00E843BB">
              <w:rPr>
                <w:rFonts w:ascii="Arial" w:eastAsia="Arial" w:hAnsi="Arial" w:cs="Arial"/>
                <w:highlight w:val="white"/>
              </w:rPr>
              <w:t>Denyer</w:t>
            </w:r>
            <w:proofErr w:type="spellEnd"/>
            <w:r w:rsidRPr="00E843BB">
              <w:rPr>
                <w:rFonts w:ascii="Arial" w:eastAsia="Arial" w:hAnsi="Arial" w:cs="Arial"/>
                <w:highlight w:val="white"/>
              </w:rPr>
              <w:t xml:space="preserve">, D., Doherty, N. and Davidson, R., 2019. Designing safer working interventions through a literature review using a mechanisms-based approach. </w:t>
            </w:r>
            <w:r w:rsidRPr="00E843BB">
              <w:rPr>
                <w:rFonts w:ascii="Arial" w:eastAsia="Arial" w:hAnsi="Arial" w:cs="Arial"/>
                <w:i/>
                <w:highlight w:val="white"/>
              </w:rPr>
              <w:t>Safety Science</w:t>
            </w:r>
            <w:r w:rsidRPr="00E843BB">
              <w:rPr>
                <w:rFonts w:ascii="Arial" w:eastAsia="Arial" w:hAnsi="Arial" w:cs="Arial"/>
                <w:highlight w:val="white"/>
              </w:rPr>
              <w:t xml:space="preserve">, </w:t>
            </w:r>
            <w:r w:rsidRPr="00E843BB">
              <w:rPr>
                <w:rFonts w:ascii="Arial" w:eastAsia="Arial" w:hAnsi="Arial" w:cs="Arial"/>
                <w:i/>
                <w:highlight w:val="white"/>
              </w:rPr>
              <w:t>120</w:t>
            </w:r>
            <w:r w:rsidRPr="00E843BB">
              <w:rPr>
                <w:rFonts w:ascii="Arial" w:eastAsia="Arial" w:hAnsi="Arial" w:cs="Arial"/>
                <w:highlight w:val="white"/>
              </w:rPr>
              <w:t>, pp.352-361.</w:t>
            </w:r>
          </w:p>
          <w:p w14:paraId="3102AD7E" w14:textId="77777777" w:rsidR="002D592C" w:rsidRPr="00E843BB" w:rsidRDefault="00EB60E3">
            <w:pPr>
              <w:spacing w:line="360" w:lineRule="auto"/>
              <w:jc w:val="both"/>
              <w:rPr>
                <w:rFonts w:ascii="Arial" w:eastAsia="Arial" w:hAnsi="Arial" w:cs="Arial"/>
                <w:highlight w:val="white"/>
              </w:rPr>
            </w:pPr>
            <w:r w:rsidRPr="00E843BB">
              <w:rPr>
                <w:rFonts w:ascii="Arial" w:eastAsia="Arial" w:hAnsi="Arial" w:cs="Arial"/>
                <w:highlight w:val="white"/>
              </w:rPr>
              <w:t xml:space="preserve">Asri, D.A.A.M. and Mohsin, A.M.A., 2020. Competitive Intelligence Practices and Organizational Performance Linkage: A Review. </w:t>
            </w:r>
            <w:proofErr w:type="spellStart"/>
            <w:r w:rsidRPr="00E843BB">
              <w:rPr>
                <w:rFonts w:ascii="Arial" w:eastAsia="Arial" w:hAnsi="Arial" w:cs="Arial"/>
                <w:i/>
                <w:highlight w:val="white"/>
              </w:rPr>
              <w:t>Jurnal</w:t>
            </w:r>
            <w:proofErr w:type="spellEnd"/>
            <w:r w:rsidRPr="00E843BB">
              <w:rPr>
                <w:rFonts w:ascii="Arial" w:eastAsia="Arial" w:hAnsi="Arial" w:cs="Arial"/>
                <w:i/>
                <w:highlight w:val="white"/>
              </w:rPr>
              <w:t xml:space="preserve"> </w:t>
            </w:r>
            <w:proofErr w:type="spellStart"/>
            <w:r w:rsidRPr="00E843BB">
              <w:rPr>
                <w:rFonts w:ascii="Arial" w:eastAsia="Arial" w:hAnsi="Arial" w:cs="Arial"/>
                <w:i/>
                <w:highlight w:val="white"/>
              </w:rPr>
              <w:t>Intelek</w:t>
            </w:r>
            <w:proofErr w:type="spellEnd"/>
            <w:r w:rsidRPr="00E843BB">
              <w:rPr>
                <w:rFonts w:ascii="Arial" w:eastAsia="Arial" w:hAnsi="Arial" w:cs="Arial"/>
                <w:highlight w:val="white"/>
              </w:rPr>
              <w:t xml:space="preserve">, </w:t>
            </w:r>
            <w:r w:rsidRPr="00E843BB">
              <w:rPr>
                <w:rFonts w:ascii="Arial" w:eastAsia="Arial" w:hAnsi="Arial" w:cs="Arial"/>
                <w:i/>
                <w:highlight w:val="white"/>
              </w:rPr>
              <w:t>15</w:t>
            </w:r>
            <w:r w:rsidRPr="00E843BB">
              <w:rPr>
                <w:rFonts w:ascii="Arial" w:eastAsia="Arial" w:hAnsi="Arial" w:cs="Arial"/>
                <w:highlight w:val="white"/>
              </w:rPr>
              <w:t>(2), pp.101-115.</w:t>
            </w:r>
          </w:p>
          <w:p w14:paraId="4EC6772A" w14:textId="77777777" w:rsidR="002D592C" w:rsidRPr="00E843BB" w:rsidRDefault="00EB60E3">
            <w:pPr>
              <w:spacing w:line="360" w:lineRule="auto"/>
              <w:jc w:val="both"/>
              <w:rPr>
                <w:rFonts w:ascii="Arial" w:eastAsia="Arial" w:hAnsi="Arial" w:cs="Arial"/>
                <w:highlight w:val="white"/>
              </w:rPr>
            </w:pPr>
            <w:r w:rsidRPr="00E843BB">
              <w:rPr>
                <w:rFonts w:ascii="Arial" w:eastAsia="Arial" w:hAnsi="Arial" w:cs="Arial"/>
                <w:highlight w:val="white"/>
              </w:rPr>
              <w:t xml:space="preserve">Fleetwood, J., Rahman, S., Holland, D., </w:t>
            </w:r>
            <w:proofErr w:type="spellStart"/>
            <w:r w:rsidRPr="00E843BB">
              <w:rPr>
                <w:rFonts w:ascii="Arial" w:eastAsia="Arial" w:hAnsi="Arial" w:cs="Arial"/>
                <w:highlight w:val="white"/>
              </w:rPr>
              <w:t>Millson</w:t>
            </w:r>
            <w:proofErr w:type="spellEnd"/>
            <w:r w:rsidRPr="00E843BB">
              <w:rPr>
                <w:rFonts w:ascii="Arial" w:eastAsia="Arial" w:hAnsi="Arial" w:cs="Arial"/>
                <w:highlight w:val="white"/>
              </w:rPr>
              <w:t xml:space="preserve">, D., Thomson, L. and Poppy, G., 2019. As clean as they look? Food hygiene inspection scores, microbiological contamination, and foodborne illness. </w:t>
            </w:r>
            <w:r w:rsidRPr="00E843BB">
              <w:rPr>
                <w:rFonts w:ascii="Arial" w:eastAsia="Arial" w:hAnsi="Arial" w:cs="Arial"/>
                <w:i/>
                <w:highlight w:val="white"/>
              </w:rPr>
              <w:t>Food Control</w:t>
            </w:r>
            <w:r w:rsidRPr="00E843BB">
              <w:rPr>
                <w:rFonts w:ascii="Arial" w:eastAsia="Arial" w:hAnsi="Arial" w:cs="Arial"/>
                <w:highlight w:val="white"/>
              </w:rPr>
              <w:t xml:space="preserve">, </w:t>
            </w:r>
            <w:r w:rsidRPr="00E843BB">
              <w:rPr>
                <w:rFonts w:ascii="Arial" w:eastAsia="Arial" w:hAnsi="Arial" w:cs="Arial"/>
                <w:i/>
                <w:highlight w:val="white"/>
              </w:rPr>
              <w:t>96</w:t>
            </w:r>
            <w:r w:rsidRPr="00E843BB">
              <w:rPr>
                <w:rFonts w:ascii="Arial" w:eastAsia="Arial" w:hAnsi="Arial" w:cs="Arial"/>
                <w:highlight w:val="white"/>
              </w:rPr>
              <w:t>, pp.76-86.</w:t>
            </w:r>
          </w:p>
          <w:p w14:paraId="2ED66F89" w14:textId="77777777" w:rsidR="002D592C" w:rsidRPr="00E843BB" w:rsidRDefault="00EB60E3">
            <w:pPr>
              <w:spacing w:line="360" w:lineRule="auto"/>
              <w:jc w:val="both"/>
              <w:rPr>
                <w:rFonts w:ascii="Tahoma" w:eastAsia="Tahoma" w:hAnsi="Tahoma" w:cs="Tahoma"/>
                <w:sz w:val="20"/>
                <w:szCs w:val="20"/>
              </w:rPr>
            </w:pPr>
            <w:r w:rsidRPr="00E843BB">
              <w:rPr>
                <w:rFonts w:ascii="Arial" w:eastAsia="Arial" w:hAnsi="Arial" w:cs="Arial"/>
                <w:highlight w:val="white"/>
              </w:rPr>
              <w:t xml:space="preserve">Wang, L., Zhang, P., Ma, L., Cong, X. and </w:t>
            </w:r>
            <w:proofErr w:type="spellStart"/>
            <w:r w:rsidRPr="00E843BB">
              <w:rPr>
                <w:rFonts w:ascii="Arial" w:eastAsia="Arial" w:hAnsi="Arial" w:cs="Arial"/>
                <w:highlight w:val="white"/>
              </w:rPr>
              <w:t>Skibniewski</w:t>
            </w:r>
            <w:proofErr w:type="spellEnd"/>
            <w:r w:rsidRPr="00E843BB">
              <w:rPr>
                <w:rFonts w:ascii="Arial" w:eastAsia="Arial" w:hAnsi="Arial" w:cs="Arial"/>
                <w:highlight w:val="white"/>
              </w:rPr>
              <w:t xml:space="preserve">, M.J., 2020. Developing a corporate social responsibility framework for sustainable construction using partial least squares structural equation </w:t>
            </w:r>
            <w:proofErr w:type="spellStart"/>
            <w:r w:rsidRPr="00E843BB">
              <w:rPr>
                <w:rFonts w:ascii="Arial" w:eastAsia="Arial" w:hAnsi="Arial" w:cs="Arial"/>
                <w:highlight w:val="white"/>
              </w:rPr>
              <w:t>modeling</w:t>
            </w:r>
            <w:proofErr w:type="spellEnd"/>
            <w:r w:rsidRPr="00E843BB">
              <w:rPr>
                <w:rFonts w:ascii="Arial" w:eastAsia="Arial" w:hAnsi="Arial" w:cs="Arial"/>
                <w:highlight w:val="white"/>
              </w:rPr>
              <w:t xml:space="preserve">. </w:t>
            </w:r>
            <w:r w:rsidRPr="00E843BB">
              <w:rPr>
                <w:rFonts w:ascii="Arial" w:eastAsia="Arial" w:hAnsi="Arial" w:cs="Arial"/>
                <w:i/>
                <w:highlight w:val="white"/>
              </w:rPr>
              <w:t>Technological and Economic Development of Economy</w:t>
            </w:r>
            <w:r w:rsidRPr="00E843BB">
              <w:rPr>
                <w:rFonts w:ascii="Arial" w:eastAsia="Arial" w:hAnsi="Arial" w:cs="Arial"/>
                <w:highlight w:val="white"/>
              </w:rPr>
              <w:t xml:space="preserve">, </w:t>
            </w:r>
            <w:r w:rsidRPr="00E843BB">
              <w:rPr>
                <w:rFonts w:ascii="Arial" w:eastAsia="Arial" w:hAnsi="Arial" w:cs="Arial"/>
                <w:i/>
                <w:highlight w:val="white"/>
              </w:rPr>
              <w:t>26</w:t>
            </w:r>
            <w:r w:rsidRPr="00E843BB">
              <w:rPr>
                <w:rFonts w:ascii="Arial" w:eastAsia="Arial" w:hAnsi="Arial" w:cs="Arial"/>
                <w:highlight w:val="white"/>
              </w:rPr>
              <w:t>(1), pp.186-212.</w:t>
            </w:r>
          </w:p>
        </w:tc>
      </w:tr>
    </w:tbl>
    <w:p w14:paraId="4D68AAFB" w14:textId="77777777" w:rsidR="002D592C" w:rsidRPr="00E843BB" w:rsidRDefault="002D592C">
      <w:pPr>
        <w:rPr>
          <w:rFonts w:ascii="Tahoma" w:eastAsia="Tahoma" w:hAnsi="Tahoma" w:cs="Tahoma"/>
          <w:b/>
        </w:rPr>
      </w:pPr>
    </w:p>
    <w:p w14:paraId="43742DEF" w14:textId="77777777" w:rsidR="002D592C" w:rsidRPr="00E843BB" w:rsidRDefault="002D592C">
      <w:pPr>
        <w:rPr>
          <w:rFonts w:ascii="Tahoma" w:eastAsia="Tahoma" w:hAnsi="Tahoma" w:cs="Tahoma"/>
          <w:b/>
        </w:rPr>
      </w:pPr>
    </w:p>
    <w:p w14:paraId="5B12FFFE" w14:textId="77777777" w:rsidR="002D592C" w:rsidRPr="00E843BB" w:rsidRDefault="002D592C">
      <w:pPr>
        <w:rPr>
          <w:rFonts w:ascii="Tahoma" w:eastAsia="Tahoma" w:hAnsi="Tahoma" w:cs="Tahoma"/>
          <w:b/>
        </w:rPr>
      </w:pPr>
    </w:p>
    <w:p w14:paraId="02F388C5" w14:textId="77777777" w:rsidR="002D592C" w:rsidRPr="00E843BB" w:rsidRDefault="002D592C">
      <w:pPr>
        <w:rPr>
          <w:rFonts w:ascii="Tahoma" w:eastAsia="Tahoma" w:hAnsi="Tahoma" w:cs="Tahoma"/>
          <w:b/>
        </w:rPr>
      </w:pPr>
    </w:p>
    <w:p w14:paraId="53D2AAB5" w14:textId="77777777" w:rsidR="002D592C" w:rsidRPr="00E843BB" w:rsidRDefault="002D592C">
      <w:pPr>
        <w:rPr>
          <w:rFonts w:ascii="Tahoma" w:eastAsia="Tahoma" w:hAnsi="Tahoma" w:cs="Tahoma"/>
          <w:b/>
        </w:rPr>
      </w:pPr>
    </w:p>
    <w:p w14:paraId="53EBC3FD" w14:textId="77777777" w:rsidR="002D592C" w:rsidRPr="00E843BB" w:rsidRDefault="002D592C">
      <w:pPr>
        <w:rPr>
          <w:rFonts w:ascii="Tahoma" w:eastAsia="Tahoma" w:hAnsi="Tahoma" w:cs="Tahoma"/>
          <w:b/>
        </w:rPr>
      </w:pPr>
    </w:p>
    <w:p w14:paraId="16CA9069" w14:textId="77777777" w:rsidR="002D592C" w:rsidRPr="00E843BB" w:rsidRDefault="002D592C">
      <w:pPr>
        <w:rPr>
          <w:rFonts w:ascii="Tahoma" w:eastAsia="Tahoma" w:hAnsi="Tahoma" w:cs="Tahoma"/>
          <w:b/>
        </w:rPr>
      </w:pPr>
    </w:p>
    <w:sectPr w:rsidR="002D592C" w:rsidRPr="00E843BB">
      <w:headerReference w:type="default" r:id="rId7"/>
      <w:footerReference w:type="default" r:id="rId8"/>
      <w:pgSz w:w="11906" w:h="16838"/>
      <w:pgMar w:top="360" w:right="357" w:bottom="0" w:left="357"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31B7B" w14:textId="77777777" w:rsidR="00D209C0" w:rsidRDefault="00D209C0">
      <w:r>
        <w:separator/>
      </w:r>
    </w:p>
  </w:endnote>
  <w:endnote w:type="continuationSeparator" w:id="0">
    <w:p w14:paraId="4C44E835" w14:textId="77777777" w:rsidR="00D209C0" w:rsidRDefault="00D209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CD4E6" w14:textId="77777777" w:rsidR="002D592C" w:rsidRDefault="00EB60E3">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sidR="00E843BB">
      <w:rPr>
        <w:noProof/>
        <w:color w:val="000000"/>
      </w:rPr>
      <w:t>1</w:t>
    </w:r>
    <w:r>
      <w:rPr>
        <w:color w:val="000000"/>
      </w:rPr>
      <w:fldChar w:fldCharType="end"/>
    </w:r>
  </w:p>
  <w:p w14:paraId="1AD04549" w14:textId="77777777" w:rsidR="002D592C" w:rsidRDefault="002D592C">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B5536" w14:textId="77777777" w:rsidR="00D209C0" w:rsidRDefault="00D209C0">
      <w:r>
        <w:separator/>
      </w:r>
    </w:p>
  </w:footnote>
  <w:footnote w:type="continuationSeparator" w:id="0">
    <w:p w14:paraId="2B30A85F" w14:textId="77777777" w:rsidR="00D209C0" w:rsidRDefault="00D209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66B20" w14:textId="77777777" w:rsidR="002D592C" w:rsidRDefault="00EB60E3">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rPr>
      <w:drawing>
        <wp:anchor distT="0" distB="0" distL="114300" distR="114300" simplePos="0" relativeHeight="251658240" behindDoc="0" locked="0" layoutInCell="1" hidden="0" allowOverlap="1" wp14:anchorId="781D72FA" wp14:editId="1CD0C8D3">
          <wp:simplePos x="0" y="0"/>
          <wp:positionH relativeFrom="margin">
            <wp:posOffset>1380</wp:posOffset>
          </wp:positionH>
          <wp:positionV relativeFrom="margin">
            <wp:posOffset>-357614</wp:posOffset>
          </wp:positionV>
          <wp:extent cx="2303780" cy="765175"/>
          <wp:effectExtent l="0" t="0" r="0" b="0"/>
          <wp:wrapSquare wrapText="bothSides" distT="0" distB="0" distL="114300" distR="114300"/>
          <wp:docPr id="1"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1"/>
                  <a:srcRect/>
                  <a:stretch>
                    <a:fillRect/>
                  </a:stretch>
                </pic:blipFill>
                <pic:spPr>
                  <a:xfrm>
                    <a:off x="0" y="0"/>
                    <a:ext cx="2303780" cy="765175"/>
                  </a:xfrm>
                  <a:prstGeom prst="rect">
                    <a:avLst/>
                  </a:prstGeom>
                  <a:ln/>
                </pic:spPr>
              </pic:pic>
            </a:graphicData>
          </a:graphic>
        </wp:anchor>
      </w:drawing>
    </w:r>
    <w:r>
      <w:rPr>
        <w:rFonts w:ascii="Calibri" w:eastAsia="Calibri" w:hAnsi="Calibri" w:cs="Calibri"/>
        <w:color w:val="000000"/>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611E8"/>
    <w:multiLevelType w:val="multilevel"/>
    <w:tmpl w:val="3D74D61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592C"/>
    <w:rsid w:val="002D592C"/>
    <w:rsid w:val="00806B58"/>
    <w:rsid w:val="00C57EC5"/>
    <w:rsid w:val="00D209C0"/>
    <w:rsid w:val="00E843BB"/>
    <w:rsid w:val="00EB60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90DE7"/>
  <w15:docId w15:val="{D31C41EF-55EB-4208-8D7F-0005D9DC1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1020</Words>
  <Characters>5818</Characters>
  <Application>Microsoft Office Word</Application>
  <DocSecurity>0</DocSecurity>
  <Lines>48</Lines>
  <Paragraphs>13</Paragraphs>
  <ScaleCrop>false</ScaleCrop>
  <Company/>
  <LinksUpToDate>false</LinksUpToDate>
  <CharactersWithSpaces>6825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lorena hazaparu</dc:creator>
  <cp:lastModifiedBy>Lavinia Irina Stan (1912876)</cp:lastModifiedBy>
  <cp:revision>4</cp:revision>
  <dcterms:created xsi:type="dcterms:W3CDTF">2022-02-10T14:53:00Z</dcterms:created>
  <dcterms:modified xsi:type="dcterms:W3CDTF">2022-02-11T09:08:00Z</dcterms:modified>
</cp:coreProperties>
</file>