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BF9B4" w14:textId="77777777" w:rsidR="00B22C5F" w:rsidRPr="0027513D" w:rsidRDefault="00B22C5F" w:rsidP="002D0CA2">
      <w:pPr>
        <w:spacing w:after="90" w:line="259" w:lineRule="auto"/>
        <w:contextualSpacing/>
        <w:jc w:val="right"/>
        <w:rPr>
          <w:rFonts w:ascii="Times New Roman" w:eastAsia="Calibri" w:hAnsi="Times New Roman" w:cs="Times New Roman"/>
          <w:color w:val="000000"/>
        </w:rPr>
      </w:pPr>
      <w:r w:rsidRPr="0027513D">
        <w:rPr>
          <w:rFonts w:ascii="Times New Roman" w:eastAsia="Calibri" w:hAnsi="Times New Roman" w:cs="Times New Roman"/>
          <w:noProof/>
          <w:color w:val="000000"/>
          <w:lang w:val="en-US"/>
        </w:rPr>
        <w:drawing>
          <wp:inline distT="0" distB="0" distL="0" distR="0" wp14:anchorId="73FA1736" wp14:editId="5C596854">
            <wp:extent cx="5715000" cy="189547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5715000" cy="1895475"/>
                    </a:xfrm>
                    <a:prstGeom prst="rect">
                      <a:avLst/>
                    </a:prstGeom>
                  </pic:spPr>
                </pic:pic>
              </a:graphicData>
            </a:graphic>
          </wp:inline>
        </w:drawing>
      </w:r>
      <w:r w:rsidRPr="0027513D">
        <w:rPr>
          <w:rFonts w:ascii="Times New Roman" w:eastAsia="Calibri" w:hAnsi="Times New Roman" w:cs="Times New Roman"/>
          <w:color w:val="000000"/>
        </w:rPr>
        <w:tab/>
      </w:r>
    </w:p>
    <w:p w14:paraId="04A761AC" w14:textId="77777777" w:rsidR="00B22C5F" w:rsidRPr="0027513D" w:rsidRDefault="00B22C5F" w:rsidP="002D0CA2">
      <w:pPr>
        <w:spacing w:after="170" w:line="259" w:lineRule="auto"/>
        <w:ind w:left="250"/>
        <w:contextualSpacing/>
        <w:rPr>
          <w:rFonts w:ascii="Times New Roman" w:eastAsia="Calibri" w:hAnsi="Times New Roman" w:cs="Times New Roman"/>
          <w:color w:val="000000"/>
        </w:rPr>
      </w:pPr>
      <w:r w:rsidRPr="0027513D">
        <w:rPr>
          <w:rFonts w:ascii="Times New Roman" w:eastAsia="Calibri" w:hAnsi="Times New Roman" w:cs="Times New Roman"/>
          <w:color w:val="000000"/>
        </w:rPr>
        <w:tab/>
      </w:r>
    </w:p>
    <w:p w14:paraId="245AB53D" w14:textId="70A1FD19" w:rsidR="00B22C5F" w:rsidRPr="0027513D" w:rsidRDefault="00B22C5F" w:rsidP="002D0CA2">
      <w:pPr>
        <w:spacing w:after="0" w:line="280" w:lineRule="auto"/>
        <w:ind w:left="1253" w:right="1026" w:hanging="1003"/>
        <w:contextualSpacing/>
        <w:rPr>
          <w:rFonts w:ascii="Times New Roman" w:eastAsia="Calibri" w:hAnsi="Times New Roman" w:cs="Times New Roman"/>
          <w:color w:val="000000"/>
        </w:rPr>
      </w:pPr>
      <w:r w:rsidRPr="0027513D">
        <w:rPr>
          <w:rFonts w:ascii="Times New Roman" w:eastAsia="Calibri" w:hAnsi="Times New Roman" w:cs="Times New Roman"/>
          <w:color w:val="000000"/>
        </w:rPr>
        <w:tab/>
      </w:r>
      <w:r w:rsidRPr="0027513D">
        <w:rPr>
          <w:rFonts w:ascii="Times New Roman" w:eastAsia="Calibri" w:hAnsi="Times New Roman" w:cs="Times New Roman"/>
          <w:b/>
          <w:color w:val="000000"/>
        </w:rPr>
        <w:t>BA(Hons)</w:t>
      </w:r>
      <w:r w:rsidR="0027513D">
        <w:rPr>
          <w:rFonts w:ascii="Times New Roman" w:eastAsia="Calibri" w:hAnsi="Times New Roman" w:cs="Times New Roman"/>
          <w:b/>
          <w:color w:val="000000"/>
        </w:rPr>
        <w:t xml:space="preserve"> </w:t>
      </w:r>
      <w:r w:rsidRPr="0027513D">
        <w:rPr>
          <w:rFonts w:ascii="Times New Roman" w:eastAsia="Calibri" w:hAnsi="Times New Roman" w:cs="Times New Roman"/>
          <w:b/>
          <w:color w:val="000000"/>
        </w:rPr>
        <w:t>Business</w:t>
      </w:r>
      <w:r w:rsidR="0027513D">
        <w:rPr>
          <w:rFonts w:ascii="Times New Roman" w:eastAsia="Calibri" w:hAnsi="Times New Roman" w:cs="Times New Roman"/>
          <w:b/>
          <w:color w:val="000000"/>
        </w:rPr>
        <w:t xml:space="preserve"> </w:t>
      </w:r>
      <w:r w:rsidRPr="0027513D">
        <w:rPr>
          <w:rFonts w:ascii="Times New Roman" w:eastAsia="Calibri" w:hAnsi="Times New Roman" w:cs="Times New Roman"/>
          <w:b/>
          <w:color w:val="000000"/>
        </w:rPr>
        <w:t>Management</w:t>
      </w:r>
      <w:r w:rsidRPr="0027513D">
        <w:rPr>
          <w:rFonts w:ascii="Times New Roman" w:eastAsia="Arial" w:hAnsi="Times New Roman" w:cs="Times New Roman"/>
          <w:b/>
          <w:color w:val="000000"/>
        </w:rPr>
        <w:t xml:space="preserve"> </w:t>
      </w:r>
    </w:p>
    <w:p w14:paraId="46E7B003" w14:textId="77777777" w:rsidR="00B22C5F" w:rsidRPr="0027513D" w:rsidRDefault="00B22C5F" w:rsidP="002D0CA2">
      <w:pPr>
        <w:spacing w:after="527" w:line="259" w:lineRule="auto"/>
        <w:ind w:left="250"/>
        <w:contextualSpacing/>
        <w:rPr>
          <w:rFonts w:ascii="Times New Roman" w:eastAsia="Calibri" w:hAnsi="Times New Roman" w:cs="Times New Roman"/>
          <w:color w:val="000000"/>
        </w:rPr>
      </w:pPr>
      <w:r w:rsidRPr="0027513D">
        <w:rPr>
          <w:rFonts w:ascii="Times New Roman" w:eastAsia="Arial" w:hAnsi="Times New Roman" w:cs="Times New Roman"/>
          <w:i/>
          <w:color w:val="000000"/>
        </w:rPr>
        <w:t xml:space="preserve"> </w:t>
      </w:r>
    </w:p>
    <w:p w14:paraId="41584E8A" w14:textId="2AAB23AF" w:rsidR="00B22C5F" w:rsidRPr="0027513D" w:rsidRDefault="00B22C5F" w:rsidP="002D0CA2">
      <w:pPr>
        <w:spacing w:after="447" w:line="325" w:lineRule="auto"/>
        <w:ind w:left="245" w:hanging="10"/>
        <w:contextualSpacing/>
        <w:rPr>
          <w:rFonts w:ascii="Times New Roman" w:eastAsia="Calibri" w:hAnsi="Times New Roman" w:cs="Times New Roman"/>
          <w:iCs/>
          <w:color w:val="000000"/>
        </w:rPr>
      </w:pPr>
      <w:r w:rsidRPr="0027513D">
        <w:rPr>
          <w:rFonts w:ascii="Times New Roman" w:eastAsia="Arial" w:hAnsi="Times New Roman" w:cs="Times New Roman"/>
          <w:b/>
          <w:iCs/>
          <w:color w:val="000000"/>
        </w:rPr>
        <w:t xml:space="preserve">Student Name:  </w:t>
      </w:r>
      <w:r w:rsidR="001E5379" w:rsidRPr="0027513D">
        <w:rPr>
          <w:rFonts w:ascii="Times New Roman" w:eastAsia="Arial" w:hAnsi="Times New Roman" w:cs="Times New Roman"/>
          <w:b/>
          <w:iCs/>
          <w:color w:val="000000"/>
        </w:rPr>
        <w:t>George Andreeas Geamanu</w:t>
      </w:r>
    </w:p>
    <w:p w14:paraId="73C9C9BD" w14:textId="326CDDEE" w:rsidR="00B22C5F" w:rsidRPr="0027513D" w:rsidRDefault="00B22C5F" w:rsidP="002D0CA2">
      <w:pPr>
        <w:spacing w:after="447" w:line="325" w:lineRule="auto"/>
        <w:ind w:left="245" w:hanging="10"/>
        <w:contextualSpacing/>
        <w:rPr>
          <w:rFonts w:ascii="Times New Roman" w:eastAsia="Calibri" w:hAnsi="Times New Roman" w:cs="Times New Roman"/>
          <w:iCs/>
          <w:color w:val="000000"/>
        </w:rPr>
      </w:pPr>
      <w:r w:rsidRPr="0027513D">
        <w:rPr>
          <w:rFonts w:ascii="Times New Roman" w:eastAsia="Arial" w:hAnsi="Times New Roman" w:cs="Times New Roman"/>
          <w:b/>
          <w:iCs/>
          <w:color w:val="000000"/>
        </w:rPr>
        <w:t xml:space="preserve">Student Number: </w:t>
      </w:r>
      <w:r w:rsidR="0027513D" w:rsidRPr="0027513D">
        <w:rPr>
          <w:rFonts w:ascii="Times New Roman" w:eastAsia="Arial" w:hAnsi="Times New Roman" w:cs="Times New Roman"/>
          <w:b/>
          <w:iCs/>
          <w:color w:val="000000"/>
        </w:rPr>
        <w:t>2440439</w:t>
      </w:r>
    </w:p>
    <w:p w14:paraId="1F4D4E0D" w14:textId="77777777" w:rsidR="00B22C5F" w:rsidRPr="0027513D" w:rsidRDefault="00B22C5F" w:rsidP="002D0CA2">
      <w:pPr>
        <w:spacing w:after="467" w:line="325" w:lineRule="auto"/>
        <w:ind w:left="245" w:hanging="10"/>
        <w:contextualSpacing/>
        <w:rPr>
          <w:rFonts w:ascii="Times New Roman" w:eastAsia="Calibri" w:hAnsi="Times New Roman" w:cs="Times New Roman"/>
          <w:iCs/>
          <w:color w:val="000000"/>
        </w:rPr>
      </w:pPr>
      <w:r w:rsidRPr="0027513D">
        <w:rPr>
          <w:rFonts w:ascii="Times New Roman" w:eastAsia="Arial" w:hAnsi="Times New Roman" w:cs="Times New Roman"/>
          <w:b/>
          <w:iCs/>
          <w:color w:val="000000"/>
        </w:rPr>
        <w:t>Course Name:</w:t>
      </w:r>
      <w:r w:rsidRPr="0027513D">
        <w:rPr>
          <w:rFonts w:ascii="Times New Roman" w:eastAsia="Arial" w:hAnsi="Times New Roman" w:cs="Times New Roman"/>
          <w:iCs/>
          <w:color w:val="000000"/>
        </w:rPr>
        <w:t xml:space="preserve"> Stakeholder Engagement LCBB4013 </w:t>
      </w:r>
    </w:p>
    <w:p w14:paraId="73B7FBE5" w14:textId="77777777" w:rsidR="00B22C5F" w:rsidRPr="0027513D" w:rsidRDefault="00B22C5F" w:rsidP="002D0CA2">
      <w:pPr>
        <w:spacing w:after="467" w:line="325" w:lineRule="auto"/>
        <w:ind w:left="245" w:hanging="10"/>
        <w:contextualSpacing/>
        <w:rPr>
          <w:rFonts w:ascii="Times New Roman" w:eastAsia="Calibri" w:hAnsi="Times New Roman" w:cs="Times New Roman"/>
          <w:iCs/>
          <w:color w:val="000000"/>
        </w:rPr>
      </w:pPr>
      <w:r w:rsidRPr="0027513D">
        <w:rPr>
          <w:rFonts w:ascii="Times New Roman" w:eastAsia="Arial" w:hAnsi="Times New Roman" w:cs="Times New Roman"/>
          <w:b/>
          <w:iCs/>
          <w:color w:val="000000"/>
        </w:rPr>
        <w:t xml:space="preserve">Lecturer Name: </w:t>
      </w:r>
      <w:r w:rsidRPr="0027513D">
        <w:rPr>
          <w:rFonts w:ascii="Times New Roman" w:eastAsia="Arial" w:hAnsi="Times New Roman" w:cs="Times New Roman"/>
          <w:iCs/>
          <w:color w:val="000000"/>
        </w:rPr>
        <w:t xml:space="preserve">Nishi Ramsurrun </w:t>
      </w:r>
    </w:p>
    <w:p w14:paraId="744782B7" w14:textId="53AF7F05" w:rsidR="00B22C5F" w:rsidRPr="0027513D" w:rsidRDefault="00B22C5F" w:rsidP="002D0CA2">
      <w:pPr>
        <w:spacing w:after="467" w:line="325" w:lineRule="auto"/>
        <w:ind w:left="245" w:hanging="10"/>
        <w:contextualSpacing/>
        <w:rPr>
          <w:rFonts w:ascii="Times New Roman" w:eastAsia="Calibri" w:hAnsi="Times New Roman" w:cs="Times New Roman"/>
          <w:iCs/>
          <w:color w:val="000000"/>
        </w:rPr>
      </w:pPr>
      <w:r w:rsidRPr="0027513D">
        <w:rPr>
          <w:rFonts w:ascii="Times New Roman" w:eastAsia="Arial" w:hAnsi="Times New Roman" w:cs="Times New Roman"/>
          <w:b/>
          <w:iCs/>
          <w:color w:val="000000"/>
        </w:rPr>
        <w:t>Session</w:t>
      </w:r>
      <w:r w:rsidRPr="0027513D">
        <w:rPr>
          <w:rFonts w:ascii="Times New Roman" w:eastAsia="Arial" w:hAnsi="Times New Roman" w:cs="Times New Roman"/>
          <w:iCs/>
          <w:color w:val="000000"/>
        </w:rPr>
        <w:t>: February 2026</w:t>
      </w:r>
      <w:r w:rsidRPr="0027513D">
        <w:rPr>
          <w:rFonts w:ascii="Times New Roman" w:eastAsia="Arial" w:hAnsi="Times New Roman" w:cs="Times New Roman"/>
          <w:b/>
          <w:iCs/>
          <w:color w:val="000000"/>
        </w:rPr>
        <w:t xml:space="preserve"> Term</w:t>
      </w:r>
      <w:r w:rsidR="00576457">
        <w:rPr>
          <w:rFonts w:ascii="Times New Roman" w:eastAsia="Arial" w:hAnsi="Times New Roman" w:cs="Times New Roman"/>
          <w:b/>
          <w:iCs/>
          <w:color w:val="000000"/>
        </w:rPr>
        <w:t xml:space="preserve"> </w:t>
      </w:r>
    </w:p>
    <w:p w14:paraId="766E9080" w14:textId="77777777" w:rsidR="00B22C5F" w:rsidRPr="0027513D" w:rsidRDefault="00B22C5F" w:rsidP="002D0CA2">
      <w:pPr>
        <w:spacing w:after="527" w:line="259" w:lineRule="auto"/>
        <w:ind w:left="250"/>
        <w:contextualSpacing/>
        <w:rPr>
          <w:rFonts w:ascii="Times New Roman" w:eastAsia="Calibri" w:hAnsi="Times New Roman" w:cs="Times New Roman"/>
          <w:color w:val="000000"/>
        </w:rPr>
      </w:pPr>
      <w:r w:rsidRPr="0027513D">
        <w:rPr>
          <w:rFonts w:ascii="Times New Roman" w:eastAsia="Arial" w:hAnsi="Times New Roman" w:cs="Times New Roman"/>
          <w:b/>
          <w:i/>
          <w:color w:val="000000"/>
        </w:rPr>
        <w:t xml:space="preserve"> </w:t>
      </w:r>
    </w:p>
    <w:p w14:paraId="0AAA7F9B" w14:textId="77777777" w:rsidR="00B22C5F" w:rsidRPr="0027513D" w:rsidRDefault="00B22C5F" w:rsidP="002D0CA2">
      <w:pPr>
        <w:spacing w:after="507" w:line="259" w:lineRule="auto"/>
        <w:ind w:left="250"/>
        <w:contextualSpacing/>
        <w:rPr>
          <w:rFonts w:ascii="Times New Roman" w:eastAsia="Calibri" w:hAnsi="Times New Roman" w:cs="Times New Roman"/>
          <w:color w:val="000000"/>
        </w:rPr>
      </w:pPr>
      <w:r w:rsidRPr="0027513D">
        <w:rPr>
          <w:rFonts w:ascii="Times New Roman" w:eastAsia="Arial" w:hAnsi="Times New Roman" w:cs="Times New Roman"/>
          <w:b/>
          <w:i/>
          <w:color w:val="000000"/>
        </w:rPr>
        <w:t xml:space="preserve"> </w:t>
      </w:r>
    </w:p>
    <w:p w14:paraId="49EE0F96" w14:textId="77777777" w:rsidR="00B22C5F" w:rsidRPr="0027513D" w:rsidRDefault="00B22C5F" w:rsidP="002D0CA2">
      <w:pPr>
        <w:spacing w:after="527" w:line="259" w:lineRule="auto"/>
        <w:ind w:left="250"/>
        <w:contextualSpacing/>
        <w:rPr>
          <w:rFonts w:ascii="Times New Roman" w:eastAsia="Calibri" w:hAnsi="Times New Roman" w:cs="Times New Roman"/>
          <w:color w:val="000000"/>
        </w:rPr>
      </w:pPr>
      <w:r w:rsidRPr="0027513D">
        <w:rPr>
          <w:rFonts w:ascii="Times New Roman" w:eastAsia="Arial" w:hAnsi="Times New Roman" w:cs="Times New Roman"/>
          <w:b/>
          <w:i/>
          <w:color w:val="000000"/>
        </w:rPr>
        <w:t xml:space="preserve"> </w:t>
      </w:r>
    </w:p>
    <w:p w14:paraId="21767D01" w14:textId="7FB892EC" w:rsidR="002D0CA2" w:rsidRPr="0027513D" w:rsidRDefault="002D0CA2">
      <w:pPr>
        <w:rPr>
          <w:rFonts w:ascii="Times New Roman" w:eastAsia="Calibri" w:hAnsi="Times New Roman" w:cs="Times New Roman"/>
          <w:color w:val="000000"/>
        </w:rPr>
      </w:pPr>
      <w:r w:rsidRPr="0027513D">
        <w:rPr>
          <w:rFonts w:ascii="Times New Roman" w:eastAsia="Calibri" w:hAnsi="Times New Roman" w:cs="Times New Roman"/>
          <w:color w:val="000000"/>
        </w:rPr>
        <w:br w:type="page"/>
      </w:r>
    </w:p>
    <w:sdt>
      <w:sdtPr>
        <w:rPr>
          <w:rFonts w:ascii="Times New Roman" w:eastAsiaTheme="minorHAnsi" w:hAnsi="Times New Roman" w:cs="Times New Roman"/>
          <w:color w:val="000000" w:themeColor="text1"/>
          <w:kern w:val="2"/>
          <w:sz w:val="24"/>
          <w:szCs w:val="24"/>
          <w14:ligatures w14:val="standardContextual"/>
        </w:rPr>
        <w:id w:val="-2001273080"/>
        <w:docPartObj>
          <w:docPartGallery w:val="Table of Contents"/>
          <w:docPartUnique/>
        </w:docPartObj>
      </w:sdtPr>
      <w:sdtEndPr>
        <w:rPr>
          <w:noProof/>
        </w:rPr>
      </w:sdtEndPr>
      <w:sdtContent>
        <w:p w14:paraId="5C888154" w14:textId="62435F7D" w:rsidR="007B69C2" w:rsidRPr="0027513D" w:rsidRDefault="007B69C2" w:rsidP="002D0CA2">
          <w:pPr>
            <w:pStyle w:val="TOCHeading"/>
            <w:contextualSpacing/>
            <w:rPr>
              <w:rFonts w:ascii="Times New Roman" w:hAnsi="Times New Roman" w:cs="Times New Roman"/>
              <w:color w:val="000000" w:themeColor="text1"/>
              <w:sz w:val="24"/>
              <w:szCs w:val="24"/>
            </w:rPr>
          </w:pPr>
          <w:r w:rsidRPr="0027513D">
            <w:rPr>
              <w:rFonts w:ascii="Times New Roman" w:hAnsi="Times New Roman" w:cs="Times New Roman"/>
              <w:color w:val="000000" w:themeColor="text1"/>
              <w:sz w:val="24"/>
              <w:szCs w:val="24"/>
            </w:rPr>
            <w:t>Table of Contents</w:t>
          </w:r>
        </w:p>
        <w:p w14:paraId="436605FA" w14:textId="79F78757" w:rsidR="002D0CA2" w:rsidRPr="0027513D" w:rsidRDefault="007B69C2">
          <w:pPr>
            <w:pStyle w:val="TOC1"/>
            <w:tabs>
              <w:tab w:val="right" w:leader="dot" w:pos="9350"/>
            </w:tabs>
            <w:rPr>
              <w:rFonts w:ascii="Times New Roman" w:eastAsiaTheme="minorEastAsia" w:hAnsi="Times New Roman" w:cs="Times New Roman"/>
              <w:noProof/>
              <w:lang w:val="en-US"/>
            </w:rPr>
          </w:pPr>
          <w:r w:rsidRPr="0027513D">
            <w:rPr>
              <w:rFonts w:ascii="Times New Roman" w:hAnsi="Times New Roman" w:cs="Times New Roman"/>
              <w:color w:val="000000" w:themeColor="text1"/>
            </w:rPr>
            <w:fldChar w:fldCharType="begin"/>
          </w:r>
          <w:r w:rsidRPr="0027513D">
            <w:rPr>
              <w:rFonts w:ascii="Times New Roman" w:hAnsi="Times New Roman" w:cs="Times New Roman"/>
              <w:color w:val="000000" w:themeColor="text1"/>
            </w:rPr>
            <w:instrText xml:space="preserve"> TOC \o "1-3" \h \z \u </w:instrText>
          </w:r>
          <w:r w:rsidRPr="0027513D">
            <w:rPr>
              <w:rFonts w:ascii="Times New Roman" w:hAnsi="Times New Roman" w:cs="Times New Roman"/>
              <w:color w:val="000000" w:themeColor="text1"/>
            </w:rPr>
            <w:fldChar w:fldCharType="separate"/>
          </w:r>
          <w:hyperlink w:anchor="_Toc223740760" w:history="1">
            <w:r w:rsidR="002D0CA2" w:rsidRPr="0027513D">
              <w:rPr>
                <w:rStyle w:val="Hyperlink"/>
                <w:rFonts w:ascii="Times New Roman" w:hAnsi="Times New Roman" w:cs="Times New Roman"/>
                <w:noProof/>
              </w:rPr>
              <w:t>Element 1: Introduction</w:t>
            </w:r>
            <w:r w:rsidR="002D0CA2" w:rsidRPr="0027513D">
              <w:rPr>
                <w:rFonts w:ascii="Times New Roman" w:hAnsi="Times New Roman" w:cs="Times New Roman"/>
                <w:noProof/>
                <w:webHidden/>
              </w:rPr>
              <w:tab/>
            </w:r>
            <w:r w:rsidR="002D0CA2" w:rsidRPr="0027513D">
              <w:rPr>
                <w:rFonts w:ascii="Times New Roman" w:hAnsi="Times New Roman" w:cs="Times New Roman"/>
                <w:noProof/>
                <w:webHidden/>
              </w:rPr>
              <w:fldChar w:fldCharType="begin"/>
            </w:r>
            <w:r w:rsidR="002D0CA2" w:rsidRPr="0027513D">
              <w:rPr>
                <w:rFonts w:ascii="Times New Roman" w:hAnsi="Times New Roman" w:cs="Times New Roman"/>
                <w:noProof/>
                <w:webHidden/>
              </w:rPr>
              <w:instrText xml:space="preserve"> PAGEREF _Toc223740760 \h </w:instrText>
            </w:r>
            <w:r w:rsidR="002D0CA2" w:rsidRPr="0027513D">
              <w:rPr>
                <w:rFonts w:ascii="Times New Roman" w:hAnsi="Times New Roman" w:cs="Times New Roman"/>
                <w:noProof/>
                <w:webHidden/>
              </w:rPr>
            </w:r>
            <w:r w:rsidR="002D0CA2" w:rsidRPr="0027513D">
              <w:rPr>
                <w:rFonts w:ascii="Times New Roman" w:hAnsi="Times New Roman" w:cs="Times New Roman"/>
                <w:noProof/>
                <w:webHidden/>
              </w:rPr>
              <w:fldChar w:fldCharType="separate"/>
            </w:r>
            <w:r w:rsidR="0020218E">
              <w:rPr>
                <w:rFonts w:ascii="Times New Roman" w:hAnsi="Times New Roman" w:cs="Times New Roman"/>
                <w:noProof/>
                <w:webHidden/>
              </w:rPr>
              <w:t>3</w:t>
            </w:r>
            <w:r w:rsidR="002D0CA2" w:rsidRPr="0027513D">
              <w:rPr>
                <w:rFonts w:ascii="Times New Roman" w:hAnsi="Times New Roman" w:cs="Times New Roman"/>
                <w:noProof/>
                <w:webHidden/>
              </w:rPr>
              <w:fldChar w:fldCharType="end"/>
            </w:r>
          </w:hyperlink>
        </w:p>
        <w:p w14:paraId="3C00282E" w14:textId="0DB8BDE8" w:rsidR="002D0CA2" w:rsidRPr="0027513D" w:rsidRDefault="002D0CA2">
          <w:pPr>
            <w:pStyle w:val="TOC1"/>
            <w:tabs>
              <w:tab w:val="right" w:leader="dot" w:pos="9350"/>
            </w:tabs>
            <w:rPr>
              <w:rFonts w:ascii="Times New Roman" w:eastAsiaTheme="minorEastAsia" w:hAnsi="Times New Roman" w:cs="Times New Roman"/>
              <w:noProof/>
              <w:lang w:val="en-US"/>
            </w:rPr>
          </w:pPr>
          <w:hyperlink w:anchor="_Toc223740761" w:history="1">
            <w:r w:rsidRPr="0027513D">
              <w:rPr>
                <w:rStyle w:val="Hyperlink"/>
                <w:rFonts w:ascii="Times New Roman" w:hAnsi="Times New Roman" w:cs="Times New Roman"/>
                <w:noProof/>
              </w:rPr>
              <w:t>Element 2: In-Depth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_Toc223740761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4</w:t>
            </w:r>
            <w:r w:rsidRPr="0027513D">
              <w:rPr>
                <w:rFonts w:ascii="Times New Roman" w:hAnsi="Times New Roman" w:cs="Times New Roman"/>
                <w:noProof/>
                <w:webHidden/>
              </w:rPr>
              <w:fldChar w:fldCharType="end"/>
            </w:r>
          </w:hyperlink>
        </w:p>
        <w:p w14:paraId="6D1236D0" w14:textId="35485166"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62" w:history="1">
            <w:r w:rsidRPr="0027513D">
              <w:rPr>
                <w:rStyle w:val="Hyperlink"/>
                <w:rFonts w:ascii="Times New Roman" w:hAnsi="Times New Roman" w:cs="Times New Roman"/>
                <w:noProof/>
              </w:rPr>
              <w:t>2.1 Strategic Context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_Toc223740762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4</w:t>
            </w:r>
            <w:r w:rsidRPr="0027513D">
              <w:rPr>
                <w:rFonts w:ascii="Times New Roman" w:hAnsi="Times New Roman" w:cs="Times New Roman"/>
                <w:noProof/>
                <w:webHidden/>
              </w:rPr>
              <w:fldChar w:fldCharType="end"/>
            </w:r>
          </w:hyperlink>
        </w:p>
        <w:p w14:paraId="6ECDBC0D" w14:textId="46A6DCCA" w:rsidR="002D0CA2" w:rsidRPr="0027513D" w:rsidRDefault="002D0CA2">
          <w:pPr>
            <w:pStyle w:val="TOC3"/>
            <w:tabs>
              <w:tab w:val="right" w:leader="dot" w:pos="9350"/>
            </w:tabs>
            <w:rPr>
              <w:rFonts w:ascii="Times New Roman" w:eastAsiaTheme="minorEastAsia" w:hAnsi="Times New Roman" w:cs="Times New Roman"/>
              <w:noProof/>
              <w:lang w:val="en-US"/>
            </w:rPr>
          </w:pPr>
          <w:hyperlink w:anchor="_Toc223740763" w:history="1">
            <w:r w:rsidRPr="0027513D">
              <w:rPr>
                <w:rStyle w:val="Hyperlink"/>
                <w:rFonts w:ascii="Times New Roman" w:hAnsi="Times New Roman" w:cs="Times New Roman"/>
                <w:noProof/>
              </w:rPr>
              <w:t>2.1.1 SWOT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_Toc223740763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4</w:t>
            </w:r>
            <w:r w:rsidRPr="0027513D">
              <w:rPr>
                <w:rFonts w:ascii="Times New Roman" w:hAnsi="Times New Roman" w:cs="Times New Roman"/>
                <w:noProof/>
                <w:webHidden/>
              </w:rPr>
              <w:fldChar w:fldCharType="end"/>
            </w:r>
          </w:hyperlink>
        </w:p>
        <w:p w14:paraId="65B42D8A" w14:textId="2FA2A60B" w:rsidR="002D0CA2" w:rsidRPr="0027513D" w:rsidRDefault="002D0CA2">
          <w:pPr>
            <w:pStyle w:val="TOC3"/>
            <w:tabs>
              <w:tab w:val="right" w:leader="dot" w:pos="9350"/>
            </w:tabs>
            <w:rPr>
              <w:rFonts w:ascii="Times New Roman" w:eastAsiaTheme="minorEastAsia" w:hAnsi="Times New Roman" w:cs="Times New Roman"/>
              <w:noProof/>
              <w:lang w:val="en-US"/>
            </w:rPr>
          </w:pPr>
          <w:hyperlink w:anchor="_Toc223740764" w:history="1">
            <w:r w:rsidRPr="0027513D">
              <w:rPr>
                <w:rStyle w:val="Hyperlink"/>
                <w:rFonts w:ascii="Times New Roman" w:hAnsi="Times New Roman" w:cs="Times New Roman"/>
                <w:noProof/>
              </w:rPr>
              <w:t>2.1.2 PESTLE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_Toc223740764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5</w:t>
            </w:r>
            <w:r w:rsidRPr="0027513D">
              <w:rPr>
                <w:rFonts w:ascii="Times New Roman" w:hAnsi="Times New Roman" w:cs="Times New Roman"/>
                <w:noProof/>
                <w:webHidden/>
              </w:rPr>
              <w:fldChar w:fldCharType="end"/>
            </w:r>
          </w:hyperlink>
        </w:p>
        <w:p w14:paraId="4C43F9D9" w14:textId="6751AD2B" w:rsidR="002D0CA2" w:rsidRPr="0027513D" w:rsidRDefault="002D0CA2">
          <w:pPr>
            <w:pStyle w:val="TOC3"/>
            <w:tabs>
              <w:tab w:val="right" w:leader="dot" w:pos="9350"/>
            </w:tabs>
            <w:rPr>
              <w:rFonts w:ascii="Times New Roman" w:eastAsiaTheme="minorEastAsia" w:hAnsi="Times New Roman" w:cs="Times New Roman"/>
              <w:noProof/>
              <w:lang w:val="en-US"/>
            </w:rPr>
          </w:pPr>
          <w:hyperlink w:anchor="_Toc223740765" w:history="1">
            <w:r w:rsidRPr="0027513D">
              <w:rPr>
                <w:rStyle w:val="Hyperlink"/>
                <w:rFonts w:ascii="Times New Roman" w:hAnsi="Times New Roman" w:cs="Times New Roman"/>
                <w:noProof/>
              </w:rPr>
              <w:t>2.1.3 VRIO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_Toc223740765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6</w:t>
            </w:r>
            <w:r w:rsidRPr="0027513D">
              <w:rPr>
                <w:rFonts w:ascii="Times New Roman" w:hAnsi="Times New Roman" w:cs="Times New Roman"/>
                <w:noProof/>
                <w:webHidden/>
              </w:rPr>
              <w:fldChar w:fldCharType="end"/>
            </w:r>
          </w:hyperlink>
        </w:p>
        <w:p w14:paraId="66D4D731" w14:textId="4FE85456"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66" w:history="1">
            <w:r w:rsidRPr="0027513D">
              <w:rPr>
                <w:rStyle w:val="Hyperlink"/>
                <w:rFonts w:ascii="Times New Roman" w:hAnsi="Times New Roman" w:cs="Times New Roman"/>
                <w:noProof/>
              </w:rPr>
              <w:t>2.2 Power–Influence–Interest Analysis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_Toc223740766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6</w:t>
            </w:r>
            <w:r w:rsidRPr="0027513D">
              <w:rPr>
                <w:rFonts w:ascii="Times New Roman" w:hAnsi="Times New Roman" w:cs="Times New Roman"/>
                <w:noProof/>
                <w:webHidden/>
              </w:rPr>
              <w:fldChar w:fldCharType="end"/>
            </w:r>
          </w:hyperlink>
        </w:p>
        <w:p w14:paraId="0E505915" w14:textId="36472465" w:rsidR="002D0CA2" w:rsidRPr="0027513D" w:rsidRDefault="002D0CA2">
          <w:pPr>
            <w:pStyle w:val="TOC3"/>
            <w:tabs>
              <w:tab w:val="right" w:leader="dot" w:pos="9350"/>
            </w:tabs>
            <w:rPr>
              <w:rFonts w:ascii="Times New Roman" w:eastAsiaTheme="minorEastAsia" w:hAnsi="Times New Roman" w:cs="Times New Roman"/>
              <w:noProof/>
              <w:lang w:val="en-US"/>
            </w:rPr>
          </w:pPr>
          <w:hyperlink w:anchor="_Toc223740767" w:history="1">
            <w:r w:rsidRPr="0027513D">
              <w:rPr>
                <w:rStyle w:val="Hyperlink"/>
                <w:rFonts w:ascii="Times New Roman" w:hAnsi="Times New Roman" w:cs="Times New Roman"/>
                <w:noProof/>
              </w:rPr>
              <w:t>2.2.1 Power–Influence–Interest</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_Toc223740767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6</w:t>
            </w:r>
            <w:r w:rsidRPr="0027513D">
              <w:rPr>
                <w:rFonts w:ascii="Times New Roman" w:hAnsi="Times New Roman" w:cs="Times New Roman"/>
                <w:noProof/>
                <w:webHidden/>
              </w:rPr>
              <w:fldChar w:fldCharType="end"/>
            </w:r>
          </w:hyperlink>
        </w:p>
        <w:p w14:paraId="3B762BC8" w14:textId="19D871F4" w:rsidR="002D0CA2" w:rsidRPr="0027513D" w:rsidRDefault="002D0CA2">
          <w:pPr>
            <w:pStyle w:val="TOC3"/>
            <w:tabs>
              <w:tab w:val="right" w:leader="dot" w:pos="9350"/>
            </w:tabs>
            <w:rPr>
              <w:rFonts w:ascii="Times New Roman" w:eastAsiaTheme="minorEastAsia" w:hAnsi="Times New Roman" w:cs="Times New Roman"/>
              <w:noProof/>
              <w:lang w:val="en-US"/>
            </w:rPr>
          </w:pPr>
          <w:hyperlink w:anchor="_Toc223740768" w:history="1">
            <w:r w:rsidRPr="0027513D">
              <w:rPr>
                <w:rStyle w:val="Hyperlink"/>
                <w:rFonts w:ascii="Times New Roman" w:hAnsi="Times New Roman" w:cs="Times New Roman"/>
                <w:noProof/>
              </w:rPr>
              <w:t>2.2.2 Stakeholder Mapping</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_Toc223740768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7</w:t>
            </w:r>
            <w:r w:rsidRPr="0027513D">
              <w:rPr>
                <w:rFonts w:ascii="Times New Roman" w:hAnsi="Times New Roman" w:cs="Times New Roman"/>
                <w:noProof/>
                <w:webHidden/>
              </w:rPr>
              <w:fldChar w:fldCharType="end"/>
            </w:r>
          </w:hyperlink>
        </w:p>
        <w:p w14:paraId="3F7A777D" w14:textId="3363C6F0"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69" w:history="1">
            <w:r w:rsidRPr="0027513D">
              <w:rPr>
                <w:rStyle w:val="Hyperlink"/>
                <w:rFonts w:ascii="Times New Roman" w:hAnsi="Times New Roman" w:cs="Times New Roman"/>
                <w:noProof/>
              </w:rPr>
              <w:t>2.3 Stakeholder Engagement and Communication Strategy</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_Toc223740769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8</w:t>
            </w:r>
            <w:r w:rsidRPr="0027513D">
              <w:rPr>
                <w:rFonts w:ascii="Times New Roman" w:hAnsi="Times New Roman" w:cs="Times New Roman"/>
                <w:noProof/>
                <w:webHidden/>
              </w:rPr>
              <w:fldChar w:fldCharType="end"/>
            </w:r>
          </w:hyperlink>
        </w:p>
        <w:p w14:paraId="5846DC76" w14:textId="786B14AB" w:rsidR="002D0CA2" w:rsidRPr="0027513D" w:rsidRDefault="002D0CA2">
          <w:pPr>
            <w:pStyle w:val="TOC1"/>
            <w:tabs>
              <w:tab w:val="right" w:leader="dot" w:pos="9350"/>
            </w:tabs>
            <w:rPr>
              <w:rFonts w:ascii="Times New Roman" w:eastAsiaTheme="minorEastAsia" w:hAnsi="Times New Roman" w:cs="Times New Roman"/>
              <w:noProof/>
              <w:lang w:val="en-US"/>
            </w:rPr>
          </w:pPr>
          <w:hyperlink w:anchor="_Toc223740770" w:history="1">
            <w:r w:rsidRPr="0027513D">
              <w:rPr>
                <w:rStyle w:val="Hyperlink"/>
                <w:rFonts w:ascii="Times New Roman" w:hAnsi="Times New Roman" w:cs="Times New Roman"/>
                <w:noProof/>
              </w:rPr>
              <w:t>Element 3: Ethical Considerations in Stakeholder Consultation, Participation and Feedback</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_Toc223740770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9</w:t>
            </w:r>
            <w:r w:rsidRPr="0027513D">
              <w:rPr>
                <w:rFonts w:ascii="Times New Roman" w:hAnsi="Times New Roman" w:cs="Times New Roman"/>
                <w:noProof/>
                <w:webHidden/>
              </w:rPr>
              <w:fldChar w:fldCharType="end"/>
            </w:r>
          </w:hyperlink>
        </w:p>
        <w:p w14:paraId="318483D8" w14:textId="373CD28E"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1" w:history="1">
            <w:r w:rsidRPr="0027513D">
              <w:rPr>
                <w:rStyle w:val="Hyperlink"/>
                <w:rFonts w:ascii="Times New Roman" w:hAnsi="Times New Roman" w:cs="Times New Roman"/>
                <w:noProof/>
              </w:rPr>
              <w:t>3.1 Method of Consultation</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_Toc223740771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9</w:t>
            </w:r>
            <w:r w:rsidRPr="0027513D">
              <w:rPr>
                <w:rFonts w:ascii="Times New Roman" w:hAnsi="Times New Roman" w:cs="Times New Roman"/>
                <w:noProof/>
                <w:webHidden/>
              </w:rPr>
              <w:fldChar w:fldCharType="end"/>
            </w:r>
          </w:hyperlink>
        </w:p>
        <w:p w14:paraId="43C2BB4D" w14:textId="7BBB2030"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2" w:history="1">
            <w:r w:rsidRPr="0027513D">
              <w:rPr>
                <w:rStyle w:val="Hyperlink"/>
                <w:rFonts w:ascii="Times New Roman" w:hAnsi="Times New Roman" w:cs="Times New Roman"/>
                <w:noProof/>
              </w:rPr>
              <w:t>3.2 Ethical Considerations</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_Toc223740772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10</w:t>
            </w:r>
            <w:r w:rsidRPr="0027513D">
              <w:rPr>
                <w:rFonts w:ascii="Times New Roman" w:hAnsi="Times New Roman" w:cs="Times New Roman"/>
                <w:noProof/>
                <w:webHidden/>
              </w:rPr>
              <w:fldChar w:fldCharType="end"/>
            </w:r>
          </w:hyperlink>
        </w:p>
        <w:p w14:paraId="20985DE7" w14:textId="1CF43643"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3" w:history="1">
            <w:r w:rsidRPr="0027513D">
              <w:rPr>
                <w:rStyle w:val="Hyperlink"/>
                <w:rFonts w:ascii="Times New Roman" w:hAnsi="Times New Roman" w:cs="Times New Roman"/>
                <w:noProof/>
              </w:rPr>
              <w:t>3.3 Bias Control</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_Toc223740773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10</w:t>
            </w:r>
            <w:r w:rsidRPr="0027513D">
              <w:rPr>
                <w:rFonts w:ascii="Times New Roman" w:hAnsi="Times New Roman" w:cs="Times New Roman"/>
                <w:noProof/>
                <w:webHidden/>
              </w:rPr>
              <w:fldChar w:fldCharType="end"/>
            </w:r>
          </w:hyperlink>
        </w:p>
        <w:p w14:paraId="10573419" w14:textId="25EDBD85"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4" w:history="1">
            <w:r w:rsidRPr="0027513D">
              <w:rPr>
                <w:rStyle w:val="Hyperlink"/>
                <w:rFonts w:ascii="Times New Roman" w:hAnsi="Times New Roman" w:cs="Times New Roman"/>
                <w:noProof/>
              </w:rPr>
              <w:t>3.4 Diversity, Equity and Inclusion (DEI)</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_Toc223740774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11</w:t>
            </w:r>
            <w:r w:rsidRPr="0027513D">
              <w:rPr>
                <w:rFonts w:ascii="Times New Roman" w:hAnsi="Times New Roman" w:cs="Times New Roman"/>
                <w:noProof/>
                <w:webHidden/>
              </w:rPr>
              <w:fldChar w:fldCharType="end"/>
            </w:r>
          </w:hyperlink>
        </w:p>
        <w:p w14:paraId="7C765A00" w14:textId="1FDE5FBC"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5" w:history="1">
            <w:r w:rsidRPr="0027513D">
              <w:rPr>
                <w:rStyle w:val="Hyperlink"/>
                <w:rFonts w:ascii="Times New Roman" w:hAnsi="Times New Roman" w:cs="Times New Roman"/>
                <w:noProof/>
              </w:rPr>
              <w:t>3.5 Feedback Collection and Review</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_Toc223740775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11</w:t>
            </w:r>
            <w:r w:rsidRPr="0027513D">
              <w:rPr>
                <w:rFonts w:ascii="Times New Roman" w:hAnsi="Times New Roman" w:cs="Times New Roman"/>
                <w:noProof/>
                <w:webHidden/>
              </w:rPr>
              <w:fldChar w:fldCharType="end"/>
            </w:r>
          </w:hyperlink>
        </w:p>
        <w:p w14:paraId="6367B7AC" w14:textId="20B30B3F" w:rsidR="002D0CA2" w:rsidRPr="0027513D" w:rsidRDefault="002D0CA2">
          <w:pPr>
            <w:pStyle w:val="TOC1"/>
            <w:tabs>
              <w:tab w:val="right" w:leader="dot" w:pos="9350"/>
            </w:tabs>
            <w:rPr>
              <w:rFonts w:ascii="Times New Roman" w:eastAsiaTheme="minorEastAsia" w:hAnsi="Times New Roman" w:cs="Times New Roman"/>
              <w:noProof/>
              <w:lang w:val="en-US"/>
            </w:rPr>
          </w:pPr>
          <w:hyperlink w:anchor="_Toc223740776" w:history="1">
            <w:r w:rsidRPr="0027513D">
              <w:rPr>
                <w:rStyle w:val="Hyperlink"/>
                <w:rFonts w:ascii="Times New Roman" w:hAnsi="Times New Roman" w:cs="Times New Roman"/>
                <w:noProof/>
              </w:rPr>
              <w:t>Element 4 Conclusion and Reflection</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_Toc223740776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12</w:t>
            </w:r>
            <w:r w:rsidRPr="0027513D">
              <w:rPr>
                <w:rFonts w:ascii="Times New Roman" w:hAnsi="Times New Roman" w:cs="Times New Roman"/>
                <w:noProof/>
                <w:webHidden/>
              </w:rPr>
              <w:fldChar w:fldCharType="end"/>
            </w:r>
          </w:hyperlink>
        </w:p>
        <w:p w14:paraId="1CFE1D20" w14:textId="4D024F04"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7" w:history="1">
            <w:r w:rsidRPr="0027513D">
              <w:rPr>
                <w:rStyle w:val="Hyperlink"/>
                <w:rFonts w:ascii="Times New Roman" w:hAnsi="Times New Roman" w:cs="Times New Roman"/>
                <w:noProof/>
              </w:rPr>
              <w:t>4.1 Conclusion</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_Toc223740777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12</w:t>
            </w:r>
            <w:r w:rsidRPr="0027513D">
              <w:rPr>
                <w:rFonts w:ascii="Times New Roman" w:hAnsi="Times New Roman" w:cs="Times New Roman"/>
                <w:noProof/>
                <w:webHidden/>
              </w:rPr>
              <w:fldChar w:fldCharType="end"/>
            </w:r>
          </w:hyperlink>
        </w:p>
        <w:p w14:paraId="5BB00DB8" w14:textId="0B077339" w:rsidR="002D0CA2" w:rsidRPr="0027513D" w:rsidRDefault="002D0CA2">
          <w:pPr>
            <w:pStyle w:val="TOC2"/>
            <w:tabs>
              <w:tab w:val="right" w:leader="dot" w:pos="9350"/>
            </w:tabs>
            <w:rPr>
              <w:rFonts w:ascii="Times New Roman" w:eastAsiaTheme="minorEastAsia" w:hAnsi="Times New Roman" w:cs="Times New Roman"/>
              <w:noProof/>
              <w:lang w:val="en-US"/>
            </w:rPr>
          </w:pPr>
          <w:hyperlink w:anchor="_Toc223740778" w:history="1">
            <w:r w:rsidRPr="0027513D">
              <w:rPr>
                <w:rStyle w:val="Hyperlink"/>
                <w:rFonts w:ascii="Times New Roman" w:hAnsi="Times New Roman" w:cs="Times New Roman"/>
                <w:noProof/>
              </w:rPr>
              <w:t>4.2 Reflection (Gibbs’ Reflective Cycle)</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_Toc223740778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12</w:t>
            </w:r>
            <w:r w:rsidRPr="0027513D">
              <w:rPr>
                <w:rFonts w:ascii="Times New Roman" w:hAnsi="Times New Roman" w:cs="Times New Roman"/>
                <w:noProof/>
                <w:webHidden/>
              </w:rPr>
              <w:fldChar w:fldCharType="end"/>
            </w:r>
          </w:hyperlink>
        </w:p>
        <w:p w14:paraId="0C0B356C" w14:textId="0E5DF226" w:rsidR="002D0CA2" w:rsidRPr="0027513D" w:rsidRDefault="002D0CA2">
          <w:pPr>
            <w:pStyle w:val="TOC1"/>
            <w:tabs>
              <w:tab w:val="right" w:leader="dot" w:pos="9350"/>
            </w:tabs>
            <w:rPr>
              <w:rFonts w:ascii="Times New Roman" w:eastAsiaTheme="minorEastAsia" w:hAnsi="Times New Roman" w:cs="Times New Roman"/>
              <w:noProof/>
              <w:lang w:val="en-US"/>
            </w:rPr>
          </w:pPr>
          <w:hyperlink w:anchor="_Toc223740779" w:history="1">
            <w:r w:rsidRPr="0027513D">
              <w:rPr>
                <w:rStyle w:val="Hyperlink"/>
                <w:rFonts w:ascii="Times New Roman" w:eastAsia="Times New Roman" w:hAnsi="Times New Roman" w:cs="Times New Roman"/>
                <w:noProof/>
                <w:kern w:val="36"/>
                <w14:ligatures w14:val="none"/>
              </w:rPr>
              <w:t>Reference List</w:t>
            </w:r>
            <w:r w:rsidRPr="0027513D">
              <w:rPr>
                <w:rFonts w:ascii="Times New Roman" w:hAnsi="Times New Roman" w:cs="Times New Roman"/>
                <w:noProof/>
                <w:webHidden/>
              </w:rPr>
              <w:tab/>
            </w:r>
            <w:r w:rsidRPr="0027513D">
              <w:rPr>
                <w:rFonts w:ascii="Times New Roman" w:hAnsi="Times New Roman" w:cs="Times New Roman"/>
                <w:noProof/>
                <w:webHidden/>
              </w:rPr>
              <w:fldChar w:fldCharType="begin"/>
            </w:r>
            <w:r w:rsidRPr="0027513D">
              <w:rPr>
                <w:rFonts w:ascii="Times New Roman" w:hAnsi="Times New Roman" w:cs="Times New Roman"/>
                <w:noProof/>
                <w:webHidden/>
              </w:rPr>
              <w:instrText xml:space="preserve"> PAGEREF _Toc223740779 \h </w:instrText>
            </w:r>
            <w:r w:rsidRPr="0027513D">
              <w:rPr>
                <w:rFonts w:ascii="Times New Roman" w:hAnsi="Times New Roman" w:cs="Times New Roman"/>
                <w:noProof/>
                <w:webHidden/>
              </w:rPr>
            </w:r>
            <w:r w:rsidRPr="0027513D">
              <w:rPr>
                <w:rFonts w:ascii="Times New Roman" w:hAnsi="Times New Roman" w:cs="Times New Roman"/>
                <w:noProof/>
                <w:webHidden/>
              </w:rPr>
              <w:fldChar w:fldCharType="separate"/>
            </w:r>
            <w:r w:rsidR="0020218E">
              <w:rPr>
                <w:rFonts w:ascii="Times New Roman" w:hAnsi="Times New Roman" w:cs="Times New Roman"/>
                <w:noProof/>
                <w:webHidden/>
              </w:rPr>
              <w:t>15</w:t>
            </w:r>
            <w:r w:rsidRPr="0027513D">
              <w:rPr>
                <w:rFonts w:ascii="Times New Roman" w:hAnsi="Times New Roman" w:cs="Times New Roman"/>
                <w:noProof/>
                <w:webHidden/>
              </w:rPr>
              <w:fldChar w:fldCharType="end"/>
            </w:r>
          </w:hyperlink>
        </w:p>
        <w:p w14:paraId="7BD6591D" w14:textId="250D2117" w:rsidR="007B69C2" w:rsidRPr="0027513D" w:rsidRDefault="007B69C2" w:rsidP="002D0CA2">
          <w:pPr>
            <w:contextualSpacing/>
            <w:rPr>
              <w:rFonts w:ascii="Times New Roman" w:hAnsi="Times New Roman" w:cs="Times New Roman"/>
              <w:color w:val="000000" w:themeColor="text1"/>
            </w:rPr>
          </w:pPr>
          <w:r w:rsidRPr="0027513D">
            <w:rPr>
              <w:rFonts w:ascii="Times New Roman" w:hAnsi="Times New Roman" w:cs="Times New Roman"/>
              <w:noProof/>
              <w:color w:val="000000" w:themeColor="text1"/>
            </w:rPr>
            <w:fldChar w:fldCharType="end"/>
          </w:r>
        </w:p>
      </w:sdtContent>
    </w:sdt>
    <w:p w14:paraId="0805ED23"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19B22DA6"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58653372"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134CD91D"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43E53280"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4FF4F920" w14:textId="77777777" w:rsidR="007B69C2" w:rsidRPr="0027513D" w:rsidRDefault="007B69C2" w:rsidP="002D0CA2">
      <w:pPr>
        <w:spacing w:line="360" w:lineRule="auto"/>
        <w:contextualSpacing/>
        <w:jc w:val="center"/>
        <w:rPr>
          <w:rFonts w:ascii="Times New Roman" w:hAnsi="Times New Roman" w:cs="Times New Roman"/>
          <w:b/>
          <w:bCs/>
          <w:color w:val="000000" w:themeColor="text1"/>
        </w:rPr>
      </w:pPr>
    </w:p>
    <w:p w14:paraId="0159D023" w14:textId="1B61E6A6" w:rsidR="00DD34DF" w:rsidRPr="0027513D" w:rsidRDefault="00DD34DF" w:rsidP="002D0CA2">
      <w:pPr>
        <w:pStyle w:val="Heading1"/>
        <w:spacing w:line="360" w:lineRule="auto"/>
        <w:contextualSpacing/>
        <w:jc w:val="center"/>
        <w:rPr>
          <w:rFonts w:ascii="Times New Roman" w:hAnsi="Times New Roman" w:cs="Times New Roman"/>
          <w:b/>
          <w:bCs/>
          <w:color w:val="000000" w:themeColor="text1"/>
          <w:sz w:val="24"/>
          <w:szCs w:val="24"/>
        </w:rPr>
      </w:pPr>
      <w:bookmarkStart w:id="0" w:name="_Toc223740760"/>
      <w:r w:rsidRPr="0027513D">
        <w:rPr>
          <w:rFonts w:ascii="Times New Roman" w:hAnsi="Times New Roman" w:cs="Times New Roman"/>
          <w:b/>
          <w:bCs/>
          <w:color w:val="000000" w:themeColor="text1"/>
          <w:sz w:val="24"/>
          <w:szCs w:val="24"/>
        </w:rPr>
        <w:lastRenderedPageBreak/>
        <w:t>Element 1: Introduction</w:t>
      </w:r>
      <w:bookmarkEnd w:id="0"/>
    </w:p>
    <w:p w14:paraId="71F919D5" w14:textId="75F8A8FE" w:rsidR="00DD34DF" w:rsidRPr="0027513D" w:rsidRDefault="00DD34DF"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Re</w:t>
      </w:r>
      <w:r w:rsidR="00304A0E" w:rsidRPr="0027513D">
        <w:rPr>
          <w:rFonts w:ascii="Times New Roman" w:hAnsi="Times New Roman" w:cs="Times New Roman"/>
          <w:color w:val="000000" w:themeColor="text1"/>
        </w:rPr>
        <w:t xml:space="preserve">development </w:t>
      </w:r>
      <w:r w:rsidRPr="0027513D">
        <w:rPr>
          <w:rFonts w:ascii="Times New Roman" w:hAnsi="Times New Roman" w:cs="Times New Roman"/>
          <w:color w:val="000000" w:themeColor="text1"/>
        </w:rPr>
        <w:t xml:space="preserve">of urban housing </w:t>
      </w:r>
      <w:r w:rsidR="00304A0E" w:rsidRPr="0027513D">
        <w:rPr>
          <w:rFonts w:ascii="Times New Roman" w:hAnsi="Times New Roman" w:cs="Times New Roman"/>
          <w:color w:val="000000" w:themeColor="text1"/>
        </w:rPr>
        <w:t>remodels,</w:t>
      </w:r>
      <w:r w:rsidRPr="0027513D">
        <w:rPr>
          <w:rFonts w:ascii="Times New Roman" w:hAnsi="Times New Roman" w:cs="Times New Roman"/>
          <w:color w:val="000000" w:themeColor="text1"/>
        </w:rPr>
        <w:t xml:space="preserve"> the physical place and affects social and economic relations in a neighbourhood. The suggested scheme aims at regenerating ageing residential blocks in a local authority area, by demolishing unsafe buildings, and building 250 units of housing block in energy-saving mixed tenure activities. It contains low-cost and market rate homes, shared green space and adherence to sustainable design. </w:t>
      </w:r>
      <w:r w:rsidR="00304A0E" w:rsidRPr="0027513D">
        <w:rPr>
          <w:rFonts w:ascii="Times New Roman" w:hAnsi="Times New Roman" w:cs="Times New Roman"/>
          <w:color w:val="000000" w:themeColor="text1"/>
        </w:rPr>
        <w:t xml:space="preserve">The project </w:t>
      </w:r>
      <w:r w:rsidRPr="0027513D">
        <w:rPr>
          <w:rFonts w:ascii="Times New Roman" w:hAnsi="Times New Roman" w:cs="Times New Roman"/>
          <w:color w:val="000000" w:themeColor="text1"/>
        </w:rPr>
        <w:t>focuses on the long-term social value, environmentally responsible and inclusive participation, since redevelopment necessitates organisational regulation and involvement of stakeholders (Foroughi et al., 2023; Oliveira, Fernandes and Pardini, 2023).</w:t>
      </w:r>
    </w:p>
    <w:p w14:paraId="309C8316" w14:textId="4866A7DA" w:rsidR="00DD34DF" w:rsidRPr="0027513D" w:rsidRDefault="00DD34DF"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There are six stakeholders that shape delivery. The local authority is a project sponsor that manages funds, approvals and plan. The project manager facilitates implementation, schedules and risk management. Engineers and design consultants within the organi</w:t>
      </w:r>
      <w:r w:rsidR="001E16EA"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ation take</w:t>
      </w:r>
      <w:r w:rsidR="00420F4D"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 xml:space="preserve"> technical feasibility and regulatory compliances. </w:t>
      </w:r>
      <w:r w:rsidR="00304A0E" w:rsidRPr="0027513D">
        <w:rPr>
          <w:rFonts w:ascii="Times New Roman" w:hAnsi="Times New Roman" w:cs="Times New Roman"/>
          <w:color w:val="000000" w:themeColor="text1"/>
        </w:rPr>
        <w:t>Externally</w:t>
      </w:r>
      <w:r w:rsidRPr="0027513D">
        <w:rPr>
          <w:rFonts w:ascii="Times New Roman" w:hAnsi="Times New Roman" w:cs="Times New Roman"/>
          <w:color w:val="000000" w:themeColor="text1"/>
        </w:rPr>
        <w:t>, local people are directly impacted by the aspects of relocation, housing distribution and neighbourhood transformation. Businesses in the local area depend on the economic continuity in construction periods. Environmental and building standards are enforced by regulatory and planning agencies. The stakeholder groups have different interests and diverse measures of influence on legitimacy and processes concerning governance (Dolan, James and Smith, 2025; Kirsi et al., 2024).</w:t>
      </w:r>
    </w:p>
    <w:p w14:paraId="16743743" w14:textId="4E86EB92" w:rsidR="0077152B" w:rsidRPr="0027513D" w:rsidRDefault="0077152B"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 based my project on a housing redevelopment consultation which I engaged at the Birmingham City Council whereby ageing council flats were to be regenerated into mixed-tenure and energy-conserving housing. I observed residents raising the issues of relocation and affordability and comprehensibility of the information. The experience influenced my strategy towards engaging in stakeholder analysis, consultation planning and ethical involvement in this redevelopment scenario.</w:t>
      </w:r>
    </w:p>
    <w:p w14:paraId="08660A00" w14:textId="0C20A2F8" w:rsidR="00DD34DF" w:rsidRPr="0027513D" w:rsidRDefault="00DD34DF"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SMART goals drive the </w:t>
      </w:r>
      <w:r w:rsidR="00525CFE" w:rsidRPr="0027513D">
        <w:rPr>
          <w:rFonts w:ascii="Times New Roman" w:hAnsi="Times New Roman" w:cs="Times New Roman"/>
          <w:color w:val="000000" w:themeColor="text1"/>
        </w:rPr>
        <w:t>performance</w:t>
      </w:r>
      <w:r w:rsidR="00525CFE">
        <w:rPr>
          <w:rFonts w:ascii="Geist Fallback" w:hAnsi="Geist Fallback"/>
          <w:sz w:val="23"/>
          <w:szCs w:val="23"/>
        </w:rPr>
        <w:t>.</w:t>
      </w:r>
      <w:r w:rsidR="00525CFE" w:rsidRPr="00525CFE">
        <w:rPr>
          <w:rFonts w:ascii="Times New Roman" w:hAnsi="Times New Roman" w:cs="Times New Roman"/>
          <w:color w:val="000000" w:themeColor="text1"/>
        </w:rPr>
        <w:t xml:space="preserve"> The redevelopment will begin in </w:t>
      </w:r>
      <w:r w:rsidR="00525CFE">
        <w:rPr>
          <w:rFonts w:ascii="Times New Roman" w:hAnsi="Times New Roman" w:cs="Times New Roman"/>
          <w:color w:val="000000" w:themeColor="text1"/>
        </w:rPr>
        <w:t>April</w:t>
      </w:r>
      <w:r w:rsidR="00977A34">
        <w:rPr>
          <w:rFonts w:ascii="Times New Roman" w:hAnsi="Times New Roman" w:cs="Times New Roman"/>
          <w:color w:val="000000" w:themeColor="text1"/>
        </w:rPr>
        <w:t xml:space="preserve"> 20,</w:t>
      </w:r>
      <w:r w:rsidR="00525CFE" w:rsidRPr="00525CFE">
        <w:rPr>
          <w:rFonts w:ascii="Times New Roman" w:hAnsi="Times New Roman" w:cs="Times New Roman"/>
          <w:color w:val="000000" w:themeColor="text1"/>
        </w:rPr>
        <w:t xml:space="preserve"> 2026 and </w:t>
      </w:r>
      <w:r w:rsidR="00525CFE">
        <w:rPr>
          <w:rFonts w:ascii="Times New Roman" w:hAnsi="Times New Roman" w:cs="Times New Roman"/>
          <w:color w:val="000000" w:themeColor="text1"/>
        </w:rPr>
        <w:t>end</w:t>
      </w:r>
      <w:r w:rsidR="00525CFE" w:rsidRPr="00525CFE">
        <w:rPr>
          <w:rFonts w:ascii="Times New Roman" w:hAnsi="Times New Roman" w:cs="Times New Roman"/>
          <w:color w:val="000000" w:themeColor="text1"/>
        </w:rPr>
        <w:t xml:space="preserve"> in March </w:t>
      </w:r>
      <w:r w:rsidR="00977A34">
        <w:rPr>
          <w:rFonts w:ascii="Times New Roman" w:hAnsi="Times New Roman" w:cs="Times New Roman"/>
          <w:color w:val="000000" w:themeColor="text1"/>
        </w:rPr>
        <w:t xml:space="preserve">20, </w:t>
      </w:r>
      <w:r w:rsidR="00525CFE" w:rsidRPr="00525CFE">
        <w:rPr>
          <w:rFonts w:ascii="Times New Roman" w:hAnsi="Times New Roman" w:cs="Times New Roman"/>
          <w:color w:val="000000" w:themeColor="text1"/>
        </w:rPr>
        <w:t>2028, which amounts to a total of 24 months.</w:t>
      </w:r>
      <w:r w:rsidR="00525CFE" w:rsidRPr="0027513D">
        <w:rPr>
          <w:rFonts w:ascii="Times New Roman" w:hAnsi="Times New Roman" w:cs="Times New Roman"/>
          <w:color w:val="000000" w:themeColor="text1"/>
        </w:rPr>
        <w:t xml:space="preserve"> Within</w:t>
      </w:r>
      <w:r w:rsidRPr="0027513D">
        <w:rPr>
          <w:rFonts w:ascii="Times New Roman" w:hAnsi="Times New Roman" w:cs="Times New Roman"/>
          <w:color w:val="000000" w:themeColor="text1"/>
        </w:rPr>
        <w:t xml:space="preserve"> the budget of a 45 million; to build a total of 250 housing units that meet the required standards; to provide at least 40 percent of affordable housing units; and to achieve 75 percent satisfaction rating of its residents after six months of occupancy. </w:t>
      </w:r>
      <w:r w:rsidR="00420F4D" w:rsidRPr="0027513D">
        <w:rPr>
          <w:rFonts w:ascii="Times New Roman" w:hAnsi="Times New Roman" w:cs="Times New Roman"/>
          <w:color w:val="000000" w:themeColor="text1"/>
        </w:rPr>
        <w:t>Such is</w:t>
      </w:r>
      <w:r w:rsidRPr="0027513D">
        <w:rPr>
          <w:rFonts w:ascii="Times New Roman" w:hAnsi="Times New Roman" w:cs="Times New Roman"/>
          <w:color w:val="000000" w:themeColor="text1"/>
        </w:rPr>
        <w:t xml:space="preserve"> evaluated in terms of milestones and cost variance review, sustainability certification, compliance audits and formalised stakeholder feedback systems, which form</w:t>
      </w:r>
      <w:r w:rsidR="00420F4D"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 xml:space="preserve"> the basis of further stakeholder mapping and ethical analysis.</w:t>
      </w:r>
    </w:p>
    <w:p w14:paraId="45BC44E5" w14:textId="799B2CDA" w:rsidR="00304A0E" w:rsidRPr="0027513D" w:rsidRDefault="00304A0E"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lastRenderedPageBreak/>
        <w:t>Element 2 creates an element mapping stakeholder, a power communication strategy and interest. Element 3 looks into ethics, process of participation and inclusion of diversity. Element 4 concludes with the critical reflection on project sustainability and stakeholders’ engagement.</w:t>
      </w:r>
    </w:p>
    <w:p w14:paraId="673F234D" w14:textId="77777777" w:rsidR="009171E6" w:rsidRPr="0027513D" w:rsidRDefault="009171E6" w:rsidP="002D0CA2">
      <w:pPr>
        <w:pStyle w:val="Heading1"/>
        <w:contextualSpacing/>
        <w:jc w:val="center"/>
        <w:rPr>
          <w:rFonts w:ascii="Times New Roman" w:hAnsi="Times New Roman" w:cs="Times New Roman"/>
          <w:b/>
          <w:bCs/>
          <w:color w:val="000000" w:themeColor="text1"/>
          <w:sz w:val="24"/>
          <w:szCs w:val="24"/>
        </w:rPr>
      </w:pPr>
      <w:bookmarkStart w:id="1" w:name="_Toc223740761"/>
      <w:r w:rsidRPr="0027513D">
        <w:rPr>
          <w:rFonts w:ascii="Times New Roman" w:hAnsi="Times New Roman" w:cs="Times New Roman"/>
          <w:b/>
          <w:bCs/>
          <w:color w:val="000000" w:themeColor="text1"/>
          <w:sz w:val="24"/>
          <w:szCs w:val="24"/>
        </w:rPr>
        <w:t>Element 2: In-Depth Analysis</w:t>
      </w:r>
      <w:bookmarkEnd w:id="1"/>
    </w:p>
    <w:p w14:paraId="7C3A30B0" w14:textId="77777777" w:rsidR="009171E6" w:rsidRPr="0027513D" w:rsidRDefault="009171E6" w:rsidP="002D0CA2">
      <w:pPr>
        <w:pStyle w:val="Heading2"/>
        <w:contextualSpacing/>
        <w:rPr>
          <w:rFonts w:ascii="Times New Roman" w:hAnsi="Times New Roman" w:cs="Times New Roman"/>
          <w:b/>
          <w:bCs/>
          <w:color w:val="000000" w:themeColor="text1"/>
          <w:sz w:val="24"/>
          <w:szCs w:val="24"/>
        </w:rPr>
      </w:pPr>
      <w:bookmarkStart w:id="2" w:name="_Toc223740762"/>
      <w:r w:rsidRPr="0027513D">
        <w:rPr>
          <w:rFonts w:ascii="Times New Roman" w:hAnsi="Times New Roman" w:cs="Times New Roman"/>
          <w:b/>
          <w:bCs/>
          <w:color w:val="000000" w:themeColor="text1"/>
          <w:sz w:val="24"/>
          <w:szCs w:val="24"/>
        </w:rPr>
        <w:t>2.1 Strategic Context Analysis</w:t>
      </w:r>
      <w:bookmarkEnd w:id="2"/>
    </w:p>
    <w:p w14:paraId="5F6AC978" w14:textId="77777777" w:rsidR="009171E6" w:rsidRPr="0027513D" w:rsidRDefault="009171E6" w:rsidP="002D0CA2">
      <w:pPr>
        <w:pStyle w:val="Heading3"/>
        <w:contextualSpacing/>
        <w:rPr>
          <w:rFonts w:ascii="Times New Roman" w:hAnsi="Times New Roman" w:cs="Times New Roman"/>
          <w:b/>
          <w:bCs/>
          <w:color w:val="000000" w:themeColor="text1"/>
          <w:sz w:val="24"/>
          <w:szCs w:val="24"/>
        </w:rPr>
      </w:pPr>
      <w:bookmarkStart w:id="3" w:name="_Toc223740763"/>
      <w:r w:rsidRPr="0027513D">
        <w:rPr>
          <w:rFonts w:ascii="Times New Roman" w:hAnsi="Times New Roman" w:cs="Times New Roman"/>
          <w:b/>
          <w:bCs/>
          <w:color w:val="000000" w:themeColor="text1"/>
          <w:sz w:val="24"/>
          <w:szCs w:val="24"/>
        </w:rPr>
        <w:t>2.1.1 SWOT Analysis</w:t>
      </w:r>
      <w:bookmarkEnd w:id="3"/>
    </w:p>
    <w:p w14:paraId="1EBFF26A" w14:textId="388F29C9"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Urban housing redevelopment operates in formal structures of governmental governance in which stakeholder coordination is direct to the consequences of projects (Oliveira, Fernandes and Pardini, 2023). Local council sponsorship enhances institutional legitimacy in terms of regulatory approval, funds authority and policy alignment. The issues of financial magnitude and the displacement of the community, however, open the operational and reputable vulnerabilities. The high capitals requirement is a risk that exposes the company to market volatility and the relocation process increases the sensitivity of the society. Opposition by people and bureaucratic hurdles often arise as the main external risks in an environment of urban redevelopment (Foroughi et al., 2023). The opportunities increase through alignment with the systems of sustainability and ESG, even in situations where engagement processes are transparent </w:t>
      </w:r>
      <w:r w:rsidR="003F1C4D" w:rsidRPr="0027513D">
        <w:rPr>
          <w:rFonts w:ascii="Times New Roman" w:hAnsi="Times New Roman" w:cs="Times New Roman"/>
          <w:color w:val="000000" w:themeColor="text1"/>
        </w:rPr>
        <w:t>and participatory</w:t>
      </w:r>
      <w:r w:rsidRPr="0027513D">
        <w:rPr>
          <w:rFonts w:ascii="Times New Roman" w:hAnsi="Times New Roman" w:cs="Times New Roman"/>
          <w:color w:val="000000" w:themeColor="text1"/>
        </w:rPr>
        <w:t xml:space="preserve"> (Lopez-Concepca, Gil-Lacruz and Saz-Gil, 2021). Credibility of governance and inclusion of stakeholders through structured inclusion then bring strength and weakness the financial risk and resistance in the society respectively. Strategic positioning relies on sustaining financial discipline and incorporating inclusive representation to make the communication legitimate and long-term trust on the community.</w:t>
      </w:r>
    </w:p>
    <w:p w14:paraId="44C37C9D" w14:textId="77777777" w:rsidR="009171E6" w:rsidRPr="0027513D" w:rsidRDefault="009171E6" w:rsidP="002D0CA2">
      <w:pPr>
        <w:spacing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 xml:space="preserve">Table 1: Swot </w:t>
      </w:r>
    </w:p>
    <w:tbl>
      <w:tblPr>
        <w:tblW w:w="100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CellMar>
          <w:left w:w="0" w:type="dxa"/>
          <w:right w:w="0" w:type="dxa"/>
        </w:tblCellMar>
        <w:tblLook w:val="0420" w:firstRow="1" w:lastRow="0" w:firstColumn="0" w:lastColumn="0" w:noHBand="0" w:noVBand="1"/>
      </w:tblPr>
      <w:tblGrid>
        <w:gridCol w:w="5010"/>
        <w:gridCol w:w="5010"/>
      </w:tblGrid>
      <w:tr w:rsidR="007B69C2" w:rsidRPr="0027513D" w14:paraId="290E8F47" w14:textId="77777777" w:rsidTr="009F633B">
        <w:trPr>
          <w:trHeight w:val="1365"/>
        </w:trPr>
        <w:tc>
          <w:tcPr>
            <w:tcW w:w="5000" w:type="dxa"/>
            <w:shd w:val="clear" w:color="auto" w:fill="FFFFFF" w:themeFill="background1"/>
            <w:tcMar>
              <w:top w:w="72" w:type="dxa"/>
              <w:left w:w="144" w:type="dxa"/>
              <w:bottom w:w="72" w:type="dxa"/>
              <w:right w:w="144" w:type="dxa"/>
            </w:tcMar>
            <w:hideMark/>
          </w:tcPr>
          <w:p w14:paraId="1A905E0A" w14:textId="77777777" w:rsidR="009171E6" w:rsidRPr="0027513D" w:rsidRDefault="009171E6" w:rsidP="00E5655A">
            <w:pPr>
              <w:spacing w:after="0" w:line="276" w:lineRule="auto"/>
              <w:contextualSpacing/>
              <w:jc w:val="center"/>
              <w:rPr>
                <w:rFonts w:ascii="Times New Roman" w:eastAsia="Times New Roman" w:hAnsi="Times New Roman" w:cs="Times New Roman"/>
                <w:b/>
                <w:bCs/>
                <w:color w:val="000000" w:themeColor="text1"/>
                <w:kern w:val="0"/>
                <w14:ligatures w14:val="none"/>
              </w:rPr>
            </w:pPr>
            <w:r w:rsidRPr="0027513D">
              <w:rPr>
                <w:rFonts w:ascii="Times New Roman" w:eastAsia="Times New Roman" w:hAnsi="Times New Roman" w:cs="Times New Roman"/>
                <w:b/>
                <w:bCs/>
                <w:color w:val="000000" w:themeColor="text1"/>
                <w:kern w:val="24"/>
                <w14:ligatures w14:val="none"/>
              </w:rPr>
              <w:t>Strengths</w:t>
            </w:r>
          </w:p>
          <w:p w14:paraId="2F7478A8" w14:textId="77777777" w:rsidR="0056794C" w:rsidRPr="0027513D" w:rsidRDefault="00857F5B" w:rsidP="00E5655A">
            <w:pPr>
              <w:numPr>
                <w:ilvl w:val="0"/>
                <w:numId w:val="1"/>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Strong local council backing and regulatory authority</w:t>
            </w:r>
          </w:p>
          <w:p w14:paraId="22458266" w14:textId="77777777" w:rsidR="0056794C" w:rsidRPr="0027513D" w:rsidRDefault="00857F5B" w:rsidP="00E5655A">
            <w:pPr>
              <w:numPr>
                <w:ilvl w:val="0"/>
                <w:numId w:val="1"/>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Clear sustainability mandate and energy standards</w:t>
            </w:r>
          </w:p>
          <w:p w14:paraId="5FA853D3" w14:textId="77777777" w:rsidR="0056794C" w:rsidRPr="0027513D" w:rsidRDefault="00857F5B" w:rsidP="00E5655A">
            <w:pPr>
              <w:numPr>
                <w:ilvl w:val="0"/>
                <w:numId w:val="1"/>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Established project governance structure</w:t>
            </w:r>
          </w:p>
          <w:p w14:paraId="57A4BE83" w14:textId="77777777" w:rsidR="0056794C" w:rsidRPr="0027513D" w:rsidRDefault="00857F5B" w:rsidP="00E5655A">
            <w:pPr>
              <w:numPr>
                <w:ilvl w:val="0"/>
                <w:numId w:val="1"/>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Mixed-tenure model promoting social inclusion</w:t>
            </w:r>
          </w:p>
        </w:tc>
        <w:tc>
          <w:tcPr>
            <w:tcW w:w="5000" w:type="dxa"/>
            <w:shd w:val="clear" w:color="auto" w:fill="FFFFFF" w:themeFill="background1"/>
            <w:tcMar>
              <w:top w:w="72" w:type="dxa"/>
              <w:left w:w="144" w:type="dxa"/>
              <w:bottom w:w="72" w:type="dxa"/>
              <w:right w:w="144" w:type="dxa"/>
            </w:tcMar>
            <w:hideMark/>
          </w:tcPr>
          <w:p w14:paraId="662D80E7" w14:textId="77777777" w:rsidR="009171E6" w:rsidRPr="0027513D" w:rsidRDefault="009171E6" w:rsidP="00E5655A">
            <w:pPr>
              <w:spacing w:after="0" w:line="276" w:lineRule="auto"/>
              <w:contextualSpacing/>
              <w:jc w:val="center"/>
              <w:rPr>
                <w:rFonts w:ascii="Times New Roman" w:eastAsia="Times New Roman" w:hAnsi="Times New Roman" w:cs="Times New Roman"/>
                <w:b/>
                <w:bCs/>
                <w:color w:val="000000" w:themeColor="text1"/>
                <w:kern w:val="0"/>
                <w14:ligatures w14:val="none"/>
              </w:rPr>
            </w:pPr>
            <w:r w:rsidRPr="0027513D">
              <w:rPr>
                <w:rFonts w:ascii="Times New Roman" w:eastAsia="Times New Roman" w:hAnsi="Times New Roman" w:cs="Times New Roman"/>
                <w:b/>
                <w:bCs/>
                <w:color w:val="000000" w:themeColor="text1"/>
                <w:kern w:val="24"/>
                <w14:ligatures w14:val="none"/>
              </w:rPr>
              <w:t>Weaknesses</w:t>
            </w:r>
          </w:p>
          <w:p w14:paraId="7AB70B89" w14:textId="77777777" w:rsidR="0056794C" w:rsidRPr="0027513D" w:rsidRDefault="00857F5B" w:rsidP="00E5655A">
            <w:pPr>
              <w:numPr>
                <w:ilvl w:val="0"/>
                <w:numId w:val="2"/>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High capital investment requirement</w:t>
            </w:r>
          </w:p>
          <w:p w14:paraId="5B427D01" w14:textId="77777777" w:rsidR="0056794C" w:rsidRPr="0027513D" w:rsidRDefault="00857F5B" w:rsidP="00E5655A">
            <w:pPr>
              <w:numPr>
                <w:ilvl w:val="0"/>
                <w:numId w:val="2"/>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Potential resident resistance to relocation</w:t>
            </w:r>
          </w:p>
          <w:p w14:paraId="20C2817B" w14:textId="77777777" w:rsidR="0056794C" w:rsidRPr="0027513D" w:rsidRDefault="00857F5B" w:rsidP="00E5655A">
            <w:pPr>
              <w:numPr>
                <w:ilvl w:val="0"/>
                <w:numId w:val="2"/>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Dependence on public funding cycles</w:t>
            </w:r>
          </w:p>
          <w:p w14:paraId="60EE17A9" w14:textId="77777777" w:rsidR="0056794C" w:rsidRPr="0027513D" w:rsidRDefault="00857F5B" w:rsidP="00E5655A">
            <w:pPr>
              <w:numPr>
                <w:ilvl w:val="0"/>
                <w:numId w:val="2"/>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Complex stakeholder coordination</w:t>
            </w:r>
          </w:p>
        </w:tc>
      </w:tr>
      <w:tr w:rsidR="007B69C2" w:rsidRPr="0027513D" w14:paraId="161C5307" w14:textId="77777777" w:rsidTr="009F633B">
        <w:trPr>
          <w:trHeight w:val="1136"/>
        </w:trPr>
        <w:tc>
          <w:tcPr>
            <w:tcW w:w="5000" w:type="dxa"/>
            <w:shd w:val="clear" w:color="auto" w:fill="FFFFFF" w:themeFill="background1"/>
            <w:tcMar>
              <w:top w:w="72" w:type="dxa"/>
              <w:left w:w="144" w:type="dxa"/>
              <w:bottom w:w="72" w:type="dxa"/>
              <w:right w:w="144" w:type="dxa"/>
            </w:tcMar>
            <w:hideMark/>
          </w:tcPr>
          <w:p w14:paraId="2E9B6B50" w14:textId="77777777" w:rsidR="009171E6" w:rsidRPr="0027513D" w:rsidRDefault="009171E6" w:rsidP="00E5655A">
            <w:pPr>
              <w:spacing w:after="0" w:line="276" w:lineRule="auto"/>
              <w:contextualSpacing/>
              <w:jc w:val="center"/>
              <w:rPr>
                <w:rFonts w:ascii="Times New Roman" w:eastAsia="Times New Roman" w:hAnsi="Times New Roman" w:cs="Times New Roman"/>
                <w:b/>
                <w:bCs/>
                <w:color w:val="000000" w:themeColor="text1"/>
                <w:kern w:val="0"/>
                <w14:ligatures w14:val="none"/>
              </w:rPr>
            </w:pPr>
            <w:r w:rsidRPr="0027513D">
              <w:rPr>
                <w:rFonts w:ascii="Times New Roman" w:eastAsia="Times New Roman" w:hAnsi="Times New Roman" w:cs="Times New Roman"/>
                <w:b/>
                <w:bCs/>
                <w:color w:val="000000" w:themeColor="text1"/>
                <w:kern w:val="24"/>
                <w14:ligatures w14:val="none"/>
              </w:rPr>
              <w:lastRenderedPageBreak/>
              <w:t>opportunities</w:t>
            </w:r>
          </w:p>
          <w:p w14:paraId="1B70B1B5" w14:textId="77777777" w:rsidR="0056794C" w:rsidRPr="0027513D" w:rsidRDefault="00857F5B" w:rsidP="00E5655A">
            <w:pPr>
              <w:numPr>
                <w:ilvl w:val="0"/>
                <w:numId w:val="3"/>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Urban regeneration and improved social cohesion</w:t>
            </w:r>
          </w:p>
          <w:p w14:paraId="4D5E37D5" w14:textId="77777777" w:rsidR="0056794C" w:rsidRPr="0027513D" w:rsidRDefault="00857F5B" w:rsidP="00E5655A">
            <w:pPr>
              <w:numPr>
                <w:ilvl w:val="0"/>
                <w:numId w:val="3"/>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Alignment with ESG and sustainability priorities</w:t>
            </w:r>
          </w:p>
          <w:p w14:paraId="3290C05E" w14:textId="77777777" w:rsidR="0056794C" w:rsidRPr="0027513D" w:rsidRDefault="00857F5B" w:rsidP="00E5655A">
            <w:pPr>
              <w:numPr>
                <w:ilvl w:val="0"/>
                <w:numId w:val="3"/>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Community co-creation enhancing legitimacy</w:t>
            </w:r>
          </w:p>
        </w:tc>
        <w:tc>
          <w:tcPr>
            <w:tcW w:w="5000" w:type="dxa"/>
            <w:shd w:val="clear" w:color="auto" w:fill="FFFFFF" w:themeFill="background1"/>
            <w:tcMar>
              <w:top w:w="72" w:type="dxa"/>
              <w:left w:w="144" w:type="dxa"/>
              <w:bottom w:w="72" w:type="dxa"/>
              <w:right w:w="144" w:type="dxa"/>
            </w:tcMar>
            <w:hideMark/>
          </w:tcPr>
          <w:p w14:paraId="7630B5C1" w14:textId="77777777" w:rsidR="009171E6" w:rsidRPr="0027513D" w:rsidRDefault="009171E6" w:rsidP="00E5655A">
            <w:pPr>
              <w:spacing w:after="0" w:line="276" w:lineRule="auto"/>
              <w:contextualSpacing/>
              <w:jc w:val="center"/>
              <w:rPr>
                <w:rFonts w:ascii="Times New Roman" w:eastAsia="Times New Roman" w:hAnsi="Times New Roman" w:cs="Times New Roman"/>
                <w:b/>
                <w:bCs/>
                <w:color w:val="000000" w:themeColor="text1"/>
                <w:kern w:val="0"/>
                <w14:ligatures w14:val="none"/>
              </w:rPr>
            </w:pPr>
            <w:r w:rsidRPr="0027513D">
              <w:rPr>
                <w:rFonts w:ascii="Times New Roman" w:eastAsia="Times New Roman" w:hAnsi="Times New Roman" w:cs="Times New Roman"/>
                <w:b/>
                <w:bCs/>
                <w:color w:val="000000" w:themeColor="text1"/>
                <w:kern w:val="24"/>
                <w14:ligatures w14:val="none"/>
              </w:rPr>
              <w:t>threats</w:t>
            </w:r>
          </w:p>
          <w:p w14:paraId="45B9A4A0" w14:textId="77777777" w:rsidR="0056794C" w:rsidRPr="0027513D" w:rsidRDefault="00857F5B" w:rsidP="00E5655A">
            <w:pPr>
              <w:numPr>
                <w:ilvl w:val="0"/>
                <w:numId w:val="4"/>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Economic inflation affecting construction costs</w:t>
            </w:r>
          </w:p>
          <w:p w14:paraId="7DED5D2C" w14:textId="77777777" w:rsidR="0056794C" w:rsidRPr="0027513D" w:rsidRDefault="00857F5B" w:rsidP="00E5655A">
            <w:pPr>
              <w:numPr>
                <w:ilvl w:val="0"/>
                <w:numId w:val="4"/>
              </w:numPr>
              <w:spacing w:after="0" w:line="276" w:lineRule="auto"/>
              <w:contextualSpacing/>
              <w:rPr>
                <w:rFonts w:ascii="Times New Roman" w:eastAsia="Times New Roman" w:hAnsi="Times New Roman" w:cs="Times New Roman"/>
                <w:color w:val="000000" w:themeColor="text1"/>
                <w:kern w:val="0"/>
                <w14:ligatures w14:val="none"/>
              </w:rPr>
            </w:pPr>
            <w:r w:rsidRPr="0027513D">
              <w:rPr>
                <w:rFonts w:ascii="Times New Roman" w:eastAsia="Times New Roman" w:hAnsi="Times New Roman" w:cs="Times New Roman"/>
                <w:color w:val="000000" w:themeColor="text1"/>
                <w:kern w:val="24"/>
                <w14:ligatures w14:val="none"/>
              </w:rPr>
              <w:t>Planning delays or legal objections</w:t>
            </w:r>
          </w:p>
        </w:tc>
      </w:tr>
    </w:tbl>
    <w:p w14:paraId="57A9F8B3" w14:textId="77777777" w:rsidR="009171E6" w:rsidRPr="0027513D" w:rsidRDefault="009171E6" w:rsidP="002D0CA2">
      <w:pPr>
        <w:pStyle w:val="Heading3"/>
        <w:contextualSpacing/>
        <w:rPr>
          <w:rFonts w:ascii="Times New Roman" w:hAnsi="Times New Roman" w:cs="Times New Roman"/>
          <w:b/>
          <w:bCs/>
          <w:color w:val="000000" w:themeColor="text1"/>
          <w:sz w:val="24"/>
          <w:szCs w:val="24"/>
        </w:rPr>
      </w:pPr>
      <w:bookmarkStart w:id="4" w:name="_Toc223740764"/>
      <w:r w:rsidRPr="0027513D">
        <w:rPr>
          <w:rFonts w:ascii="Times New Roman" w:hAnsi="Times New Roman" w:cs="Times New Roman"/>
          <w:b/>
          <w:bCs/>
          <w:color w:val="000000" w:themeColor="text1"/>
          <w:sz w:val="24"/>
          <w:szCs w:val="24"/>
        </w:rPr>
        <w:t>2.1.2 PESTLE Analysis</w:t>
      </w:r>
      <w:bookmarkEnd w:id="4"/>
    </w:p>
    <w:p w14:paraId="2EB6DDF8" w14:textId="77777777"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legitimacy of redevelopment is governed by the political power based on the planning approval, funding and continuous public accountability cheques (Dolan, James and Smith, 2025). Economic conditions impact on financial viability, procurement stability and exposure to inflation pressures on construction delivery. The community acceptance is influenced by social dynamics as an engagement of residents and consultation process activities enhances their cohesion and minimises the resistance to change (Arthur, Saha and Kapilashrami, 2023). Technological capacity facilitates energy-efficient building technologies and digital communication means that can help to increase the stakeholder engagement and transparency (Lehtinen and Aaltonen, 2024). Procedural integrity is ensured by legal compliance that involves the observation of the regulations of the planning, safety, and housing. Environmental norms also make redevelopment consistent with the goal of sustainability and long-term stability aims (Motalebi et al., 2025). The need to have structured stakeholder interaction is entrenched by these macro-environmental factors.</w:t>
      </w:r>
    </w:p>
    <w:p w14:paraId="386E3EFF" w14:textId="77777777" w:rsidR="009171E6" w:rsidRPr="0027513D" w:rsidRDefault="009171E6" w:rsidP="002D0CA2">
      <w:pPr>
        <w:spacing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Table 2: Pestle</w:t>
      </w:r>
    </w:p>
    <w:tbl>
      <w:tblPr>
        <w:tblStyle w:val="TableGrid"/>
        <w:tblW w:w="0" w:type="auto"/>
        <w:tblLook w:val="04A0" w:firstRow="1" w:lastRow="0" w:firstColumn="1" w:lastColumn="0" w:noHBand="0" w:noVBand="1"/>
      </w:tblPr>
      <w:tblGrid>
        <w:gridCol w:w="1643"/>
        <w:gridCol w:w="6271"/>
      </w:tblGrid>
      <w:tr w:rsidR="007B69C2" w:rsidRPr="0027513D" w14:paraId="53FA2EA1" w14:textId="77777777" w:rsidTr="009F633B">
        <w:tc>
          <w:tcPr>
            <w:tcW w:w="0" w:type="auto"/>
            <w:hideMark/>
          </w:tcPr>
          <w:p w14:paraId="7873968C"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Factor</w:t>
            </w:r>
          </w:p>
        </w:tc>
        <w:tc>
          <w:tcPr>
            <w:tcW w:w="0" w:type="auto"/>
            <w:hideMark/>
          </w:tcPr>
          <w:p w14:paraId="056377DE"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Key Issues</w:t>
            </w:r>
          </w:p>
        </w:tc>
      </w:tr>
      <w:tr w:rsidR="007B69C2" w:rsidRPr="0027513D" w14:paraId="4F7E6F0F" w14:textId="77777777" w:rsidTr="009F633B">
        <w:tc>
          <w:tcPr>
            <w:tcW w:w="0" w:type="auto"/>
            <w:hideMark/>
          </w:tcPr>
          <w:p w14:paraId="3FDBAC0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Political</w:t>
            </w:r>
          </w:p>
        </w:tc>
        <w:tc>
          <w:tcPr>
            <w:tcW w:w="0" w:type="auto"/>
            <w:hideMark/>
          </w:tcPr>
          <w:p w14:paraId="69647F8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Council approval processes; public accountability</w:t>
            </w:r>
          </w:p>
        </w:tc>
      </w:tr>
      <w:tr w:rsidR="007B69C2" w:rsidRPr="0027513D" w14:paraId="5F8EFD1A" w14:textId="77777777" w:rsidTr="009F633B">
        <w:tc>
          <w:tcPr>
            <w:tcW w:w="0" w:type="auto"/>
            <w:hideMark/>
          </w:tcPr>
          <w:p w14:paraId="407771A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Economic</w:t>
            </w:r>
          </w:p>
        </w:tc>
        <w:tc>
          <w:tcPr>
            <w:tcW w:w="0" w:type="auto"/>
            <w:hideMark/>
          </w:tcPr>
          <w:p w14:paraId="41511B3E"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Budget constraints; inflation; housing market demand</w:t>
            </w:r>
          </w:p>
        </w:tc>
      </w:tr>
      <w:tr w:rsidR="007B69C2" w:rsidRPr="0027513D" w14:paraId="00805EC8" w14:textId="77777777" w:rsidTr="009F633B">
        <w:tc>
          <w:tcPr>
            <w:tcW w:w="0" w:type="auto"/>
            <w:hideMark/>
          </w:tcPr>
          <w:p w14:paraId="0B90B7A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Social</w:t>
            </w:r>
          </w:p>
        </w:tc>
        <w:tc>
          <w:tcPr>
            <w:tcW w:w="0" w:type="auto"/>
            <w:hideMark/>
          </w:tcPr>
          <w:p w14:paraId="49E20FAE"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Community displacement concerns; inclusion and affordability</w:t>
            </w:r>
          </w:p>
        </w:tc>
      </w:tr>
      <w:tr w:rsidR="007B69C2" w:rsidRPr="0027513D" w14:paraId="325EFBDF" w14:textId="77777777" w:rsidTr="009F633B">
        <w:tc>
          <w:tcPr>
            <w:tcW w:w="0" w:type="auto"/>
            <w:hideMark/>
          </w:tcPr>
          <w:p w14:paraId="57C0C69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Technological</w:t>
            </w:r>
          </w:p>
        </w:tc>
        <w:tc>
          <w:tcPr>
            <w:tcW w:w="0" w:type="auto"/>
            <w:hideMark/>
          </w:tcPr>
          <w:p w14:paraId="198F87F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Energy-efficient design; digital engagement platforms</w:t>
            </w:r>
          </w:p>
        </w:tc>
      </w:tr>
      <w:tr w:rsidR="007B69C2" w:rsidRPr="0027513D" w14:paraId="156325EB" w14:textId="77777777" w:rsidTr="009F633B">
        <w:tc>
          <w:tcPr>
            <w:tcW w:w="0" w:type="auto"/>
            <w:hideMark/>
          </w:tcPr>
          <w:p w14:paraId="00F1734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Legal</w:t>
            </w:r>
          </w:p>
        </w:tc>
        <w:tc>
          <w:tcPr>
            <w:tcW w:w="0" w:type="auto"/>
            <w:hideMark/>
          </w:tcPr>
          <w:p w14:paraId="49DF44E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Planning regulations; building safety compliance</w:t>
            </w:r>
          </w:p>
        </w:tc>
      </w:tr>
      <w:tr w:rsidR="007B69C2" w:rsidRPr="0027513D" w14:paraId="4B077FD8" w14:textId="77777777" w:rsidTr="009F633B">
        <w:tc>
          <w:tcPr>
            <w:tcW w:w="0" w:type="auto"/>
            <w:hideMark/>
          </w:tcPr>
          <w:p w14:paraId="17B258B4"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Environmental</w:t>
            </w:r>
          </w:p>
        </w:tc>
        <w:tc>
          <w:tcPr>
            <w:tcW w:w="0" w:type="auto"/>
            <w:hideMark/>
          </w:tcPr>
          <w:p w14:paraId="3001AAF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Sustainability standards; carbon reduction targets</w:t>
            </w:r>
          </w:p>
        </w:tc>
      </w:tr>
    </w:tbl>
    <w:p w14:paraId="79C06652" w14:textId="77777777" w:rsidR="009171E6" w:rsidRPr="0027513D" w:rsidRDefault="009171E6" w:rsidP="002D0CA2">
      <w:pPr>
        <w:pStyle w:val="Heading3"/>
        <w:contextualSpacing/>
        <w:rPr>
          <w:rFonts w:ascii="Times New Roman" w:hAnsi="Times New Roman" w:cs="Times New Roman"/>
          <w:b/>
          <w:bCs/>
          <w:color w:val="000000" w:themeColor="text1"/>
          <w:sz w:val="24"/>
          <w:szCs w:val="24"/>
        </w:rPr>
      </w:pPr>
      <w:bookmarkStart w:id="5" w:name="_Toc223740765"/>
      <w:r w:rsidRPr="0027513D">
        <w:rPr>
          <w:rFonts w:ascii="Times New Roman" w:hAnsi="Times New Roman" w:cs="Times New Roman"/>
          <w:b/>
          <w:bCs/>
          <w:color w:val="000000" w:themeColor="text1"/>
          <w:sz w:val="24"/>
          <w:szCs w:val="24"/>
        </w:rPr>
        <w:t>2.1.3 VRIO Analysis</w:t>
      </w:r>
      <w:bookmarkEnd w:id="5"/>
    </w:p>
    <w:p w14:paraId="6522445C" w14:textId="58420978"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Good stakeholder governance is a strategic capability where it is integrated into official structures of decision making and policing. Organised governance systems reinstate alignment, </w:t>
      </w:r>
      <w:r w:rsidRPr="0027513D">
        <w:rPr>
          <w:rFonts w:ascii="Times New Roman" w:hAnsi="Times New Roman" w:cs="Times New Roman"/>
          <w:color w:val="000000" w:themeColor="text1"/>
        </w:rPr>
        <w:lastRenderedPageBreak/>
        <w:t xml:space="preserve">accountability and coordination between the government and the working actors, thus improving the stability of the projects (Kirsi et al., 2024). The sustainability expertise is a useful and scarce asset since compliance with energy regulations, environmental goals and priorities on ESG have an impact on regulatory approval and the sustainability of assets over time (Yoo, 2025). Engagement frameworks should be organised as well, which leads to the further legitimacy aspect of ensuring participation processes are oriented to a routine practise instead of ad hoc consultation (Knox, Marin-Cadavid and Oziri, 2024). The combination of governance, sustainability, and engagement capacities define whether redevelopment </w:t>
      </w:r>
      <w:r w:rsidR="00BA18E4" w:rsidRPr="0027513D">
        <w:rPr>
          <w:rFonts w:ascii="Times New Roman" w:hAnsi="Times New Roman" w:cs="Times New Roman"/>
          <w:color w:val="000000" w:themeColor="text1"/>
        </w:rPr>
        <w:t>creates</w:t>
      </w:r>
      <w:r w:rsidRPr="0027513D">
        <w:rPr>
          <w:rFonts w:ascii="Times New Roman" w:hAnsi="Times New Roman" w:cs="Times New Roman"/>
          <w:color w:val="000000" w:themeColor="text1"/>
        </w:rPr>
        <w:t xml:space="preserve"> sustainable social value and institutional trust and procedural compliance outcomes that are short-lived.</w:t>
      </w:r>
    </w:p>
    <w:p w14:paraId="6EA55EE7" w14:textId="77777777" w:rsidR="009171E6" w:rsidRPr="0027513D" w:rsidRDefault="009171E6" w:rsidP="002D0CA2">
      <w:pPr>
        <w:spacing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Table 3: VRIO</w:t>
      </w:r>
    </w:p>
    <w:tbl>
      <w:tblPr>
        <w:tblStyle w:val="TableGrid"/>
        <w:tblW w:w="0" w:type="auto"/>
        <w:tblLook w:val="04A0" w:firstRow="1" w:lastRow="0" w:firstColumn="1" w:lastColumn="0" w:noHBand="0" w:noVBand="1"/>
      </w:tblPr>
      <w:tblGrid>
        <w:gridCol w:w="2748"/>
        <w:gridCol w:w="1115"/>
        <w:gridCol w:w="1136"/>
        <w:gridCol w:w="1283"/>
        <w:gridCol w:w="1283"/>
        <w:gridCol w:w="1785"/>
      </w:tblGrid>
      <w:tr w:rsidR="007B69C2" w:rsidRPr="0027513D" w14:paraId="382CE90F" w14:textId="77777777" w:rsidTr="009F633B">
        <w:tc>
          <w:tcPr>
            <w:tcW w:w="0" w:type="auto"/>
            <w:hideMark/>
          </w:tcPr>
          <w:p w14:paraId="5936A9D2"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Resource/Capability</w:t>
            </w:r>
          </w:p>
        </w:tc>
        <w:tc>
          <w:tcPr>
            <w:tcW w:w="0" w:type="auto"/>
            <w:hideMark/>
          </w:tcPr>
          <w:p w14:paraId="211DB854"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Valuable</w:t>
            </w:r>
          </w:p>
        </w:tc>
        <w:tc>
          <w:tcPr>
            <w:tcW w:w="0" w:type="auto"/>
            <w:hideMark/>
          </w:tcPr>
          <w:p w14:paraId="0C353C98"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Rare</w:t>
            </w:r>
          </w:p>
        </w:tc>
        <w:tc>
          <w:tcPr>
            <w:tcW w:w="0" w:type="auto"/>
            <w:hideMark/>
          </w:tcPr>
          <w:p w14:paraId="71625108"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Inimitable</w:t>
            </w:r>
          </w:p>
        </w:tc>
        <w:tc>
          <w:tcPr>
            <w:tcW w:w="0" w:type="auto"/>
            <w:hideMark/>
          </w:tcPr>
          <w:p w14:paraId="63CB9A7D"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Organised</w:t>
            </w:r>
          </w:p>
        </w:tc>
        <w:tc>
          <w:tcPr>
            <w:tcW w:w="0" w:type="auto"/>
            <w:hideMark/>
          </w:tcPr>
          <w:p w14:paraId="14F28D8C"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Competitive Outcome</w:t>
            </w:r>
          </w:p>
        </w:tc>
      </w:tr>
      <w:tr w:rsidR="007B69C2" w:rsidRPr="0027513D" w14:paraId="006B3AB2" w14:textId="77777777" w:rsidTr="009F633B">
        <w:tc>
          <w:tcPr>
            <w:tcW w:w="0" w:type="auto"/>
            <w:hideMark/>
          </w:tcPr>
          <w:p w14:paraId="2DF5BCF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Strong council governance</w:t>
            </w:r>
          </w:p>
        </w:tc>
        <w:tc>
          <w:tcPr>
            <w:tcW w:w="0" w:type="auto"/>
            <w:hideMark/>
          </w:tcPr>
          <w:p w14:paraId="475E30E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038624F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4C441F6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Moderate</w:t>
            </w:r>
          </w:p>
        </w:tc>
        <w:tc>
          <w:tcPr>
            <w:tcW w:w="0" w:type="auto"/>
            <w:hideMark/>
          </w:tcPr>
          <w:p w14:paraId="6C754A7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6AB6C33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Sustained advantage</w:t>
            </w:r>
          </w:p>
        </w:tc>
      </w:tr>
      <w:tr w:rsidR="007B69C2" w:rsidRPr="0027513D" w14:paraId="0DDE0F95" w14:textId="77777777" w:rsidTr="009F633B">
        <w:tc>
          <w:tcPr>
            <w:tcW w:w="0" w:type="auto"/>
            <w:hideMark/>
          </w:tcPr>
          <w:p w14:paraId="2CB776DD"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Community engagement framework</w:t>
            </w:r>
          </w:p>
        </w:tc>
        <w:tc>
          <w:tcPr>
            <w:tcW w:w="0" w:type="auto"/>
            <w:hideMark/>
          </w:tcPr>
          <w:p w14:paraId="1557B89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6151D9C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Moderate</w:t>
            </w:r>
          </w:p>
        </w:tc>
        <w:tc>
          <w:tcPr>
            <w:tcW w:w="0" w:type="auto"/>
            <w:hideMark/>
          </w:tcPr>
          <w:p w14:paraId="1C1B8F3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Moderate</w:t>
            </w:r>
          </w:p>
        </w:tc>
        <w:tc>
          <w:tcPr>
            <w:tcW w:w="0" w:type="auto"/>
            <w:hideMark/>
          </w:tcPr>
          <w:p w14:paraId="6852789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3EE90E8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Temporary advantage</w:t>
            </w:r>
          </w:p>
        </w:tc>
      </w:tr>
      <w:tr w:rsidR="007B69C2" w:rsidRPr="0027513D" w14:paraId="5FF571B1" w14:textId="77777777" w:rsidTr="009F633B">
        <w:tc>
          <w:tcPr>
            <w:tcW w:w="0" w:type="auto"/>
            <w:hideMark/>
          </w:tcPr>
          <w:p w14:paraId="1B087AC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Sustainability expertise</w:t>
            </w:r>
          </w:p>
        </w:tc>
        <w:tc>
          <w:tcPr>
            <w:tcW w:w="0" w:type="auto"/>
            <w:hideMark/>
          </w:tcPr>
          <w:p w14:paraId="2F5A1DB9"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2F33135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557A590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51B672FA"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5F65D05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Sustained advantage</w:t>
            </w:r>
          </w:p>
        </w:tc>
      </w:tr>
      <w:tr w:rsidR="007B69C2" w:rsidRPr="0027513D" w14:paraId="0D6A962D" w14:textId="77777777" w:rsidTr="009F633B">
        <w:tc>
          <w:tcPr>
            <w:tcW w:w="0" w:type="auto"/>
            <w:hideMark/>
          </w:tcPr>
          <w:p w14:paraId="66176AF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Regulatory compliance systems</w:t>
            </w:r>
          </w:p>
        </w:tc>
        <w:tc>
          <w:tcPr>
            <w:tcW w:w="0" w:type="auto"/>
            <w:hideMark/>
          </w:tcPr>
          <w:p w14:paraId="2B6F738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6DAED34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No</w:t>
            </w:r>
          </w:p>
        </w:tc>
        <w:tc>
          <w:tcPr>
            <w:tcW w:w="0" w:type="auto"/>
            <w:hideMark/>
          </w:tcPr>
          <w:p w14:paraId="66ED676C"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Low</w:t>
            </w:r>
          </w:p>
        </w:tc>
        <w:tc>
          <w:tcPr>
            <w:tcW w:w="0" w:type="auto"/>
            <w:hideMark/>
          </w:tcPr>
          <w:p w14:paraId="3CA57F7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Yes</w:t>
            </w:r>
          </w:p>
        </w:tc>
        <w:tc>
          <w:tcPr>
            <w:tcW w:w="0" w:type="auto"/>
            <w:hideMark/>
          </w:tcPr>
          <w:p w14:paraId="3417BAE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Competitive parity</w:t>
            </w:r>
          </w:p>
        </w:tc>
      </w:tr>
    </w:tbl>
    <w:p w14:paraId="4D0FF6CB" w14:textId="77777777" w:rsidR="009171E6" w:rsidRPr="0027513D" w:rsidRDefault="009171E6" w:rsidP="002D0CA2">
      <w:pPr>
        <w:pStyle w:val="Heading2"/>
        <w:contextualSpacing/>
        <w:rPr>
          <w:rFonts w:ascii="Times New Roman" w:hAnsi="Times New Roman" w:cs="Times New Roman"/>
          <w:b/>
          <w:bCs/>
          <w:color w:val="000000" w:themeColor="text1"/>
          <w:sz w:val="24"/>
          <w:szCs w:val="24"/>
        </w:rPr>
      </w:pPr>
      <w:bookmarkStart w:id="6" w:name="_Toc223740766"/>
      <w:r w:rsidRPr="0027513D">
        <w:rPr>
          <w:rFonts w:ascii="Times New Roman" w:hAnsi="Times New Roman" w:cs="Times New Roman"/>
          <w:b/>
          <w:bCs/>
          <w:color w:val="000000" w:themeColor="text1"/>
          <w:sz w:val="24"/>
          <w:szCs w:val="24"/>
        </w:rPr>
        <w:t>2.2 Power–Influence–Interest Analysis</w:t>
      </w:r>
      <w:bookmarkEnd w:id="6"/>
    </w:p>
    <w:p w14:paraId="787B974B" w14:textId="77777777" w:rsidR="009171E6" w:rsidRPr="0027513D" w:rsidRDefault="009171E6" w:rsidP="002D0CA2">
      <w:pPr>
        <w:pStyle w:val="Heading3"/>
        <w:contextualSpacing/>
        <w:rPr>
          <w:rFonts w:ascii="Times New Roman" w:hAnsi="Times New Roman" w:cs="Times New Roman"/>
          <w:color w:val="000000" w:themeColor="text1"/>
          <w:sz w:val="24"/>
          <w:szCs w:val="24"/>
        </w:rPr>
      </w:pPr>
      <w:bookmarkStart w:id="7" w:name="_Toc223740767"/>
      <w:r w:rsidRPr="0027513D">
        <w:rPr>
          <w:rFonts w:ascii="Times New Roman" w:hAnsi="Times New Roman" w:cs="Times New Roman"/>
          <w:color w:val="000000" w:themeColor="text1"/>
          <w:sz w:val="24"/>
          <w:szCs w:val="24"/>
        </w:rPr>
        <w:t>2.2.1 Power–Influence–Interest</w:t>
      </w:r>
      <w:bookmarkEnd w:id="7"/>
      <w:r w:rsidRPr="0027513D">
        <w:rPr>
          <w:rFonts w:ascii="Times New Roman" w:hAnsi="Times New Roman" w:cs="Times New Roman"/>
          <w:color w:val="000000" w:themeColor="text1"/>
          <w:sz w:val="24"/>
          <w:szCs w:val="24"/>
        </w:rPr>
        <w:t xml:space="preserve"> </w:t>
      </w:r>
    </w:p>
    <w:p w14:paraId="38681860" w14:textId="77777777" w:rsidR="009171E6" w:rsidRPr="0027513D" w:rsidRDefault="009171E6" w:rsidP="002D0CA2">
      <w:pPr>
        <w:spacing w:line="360" w:lineRule="auto"/>
        <w:ind w:firstLine="720"/>
        <w:contextualSpacing/>
        <w:rPr>
          <w:rFonts w:ascii="Times New Roman" w:hAnsi="Times New Roman" w:cs="Times New Roman"/>
          <w:color w:val="000000" w:themeColor="text1"/>
        </w:rPr>
      </w:pPr>
      <w:r w:rsidRPr="0027513D">
        <w:rPr>
          <w:rFonts w:ascii="Times New Roman" w:hAnsi="Times New Roman" w:cs="Times New Roman"/>
          <w:color w:val="000000" w:themeColor="text1"/>
        </w:rPr>
        <w:t>The governance authority centralises power among the public sponsors, with accountable pressures on the operational actors resulting in high interest (Oliveira, Fernandes and Pardini, 2023). The residents have little formal power but can influence the processes of collective mobilisation and consultation (Foroughi et al., 2023). Regulatory entities can have the power of approval, which makes them a high-power actor with a moderate level of engagement (Dolan, James and Smith, 2025).</w:t>
      </w:r>
    </w:p>
    <w:p w14:paraId="0C7BE5BB" w14:textId="77777777" w:rsidR="009171E6" w:rsidRPr="0027513D" w:rsidRDefault="009171E6" w:rsidP="002D0CA2">
      <w:pPr>
        <w:spacing w:line="360" w:lineRule="auto"/>
        <w:contextualSpacing/>
        <w:rPr>
          <w:rFonts w:ascii="Times New Roman" w:hAnsi="Times New Roman" w:cs="Times New Roman"/>
          <w:color w:val="000000" w:themeColor="text1"/>
        </w:rPr>
      </w:pPr>
      <w:r w:rsidRPr="0027513D">
        <w:rPr>
          <w:rFonts w:ascii="Times New Roman" w:hAnsi="Times New Roman" w:cs="Times New Roman"/>
          <w:b/>
          <w:bCs/>
          <w:color w:val="000000" w:themeColor="text1"/>
        </w:rPr>
        <w:t>Table 4</w:t>
      </w:r>
      <w:r w:rsidRPr="0027513D">
        <w:rPr>
          <w:rFonts w:ascii="Times New Roman" w:hAnsi="Times New Roman" w:cs="Times New Roman"/>
          <w:color w:val="000000" w:themeColor="text1"/>
        </w:rPr>
        <w:t xml:space="preserve">: </w:t>
      </w:r>
      <w:r w:rsidRPr="0027513D">
        <w:rPr>
          <w:rFonts w:ascii="Times New Roman" w:hAnsi="Times New Roman" w:cs="Times New Roman"/>
          <w:b/>
          <w:bCs/>
          <w:color w:val="000000" w:themeColor="text1"/>
        </w:rPr>
        <w:t>Power–Influence–Interest</w:t>
      </w:r>
    </w:p>
    <w:tbl>
      <w:tblPr>
        <w:tblStyle w:val="TableGrid"/>
        <w:tblW w:w="0" w:type="auto"/>
        <w:tblLook w:val="04A0" w:firstRow="1" w:lastRow="0" w:firstColumn="1" w:lastColumn="0" w:noHBand="0" w:noVBand="1"/>
      </w:tblPr>
      <w:tblGrid>
        <w:gridCol w:w="2808"/>
        <w:gridCol w:w="1030"/>
        <w:gridCol w:w="1176"/>
        <w:gridCol w:w="1030"/>
        <w:gridCol w:w="3306"/>
      </w:tblGrid>
      <w:tr w:rsidR="007B69C2" w:rsidRPr="0027513D" w14:paraId="699F7F39" w14:textId="77777777" w:rsidTr="009F633B">
        <w:tc>
          <w:tcPr>
            <w:tcW w:w="0" w:type="auto"/>
            <w:hideMark/>
          </w:tcPr>
          <w:p w14:paraId="0828FC05"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Stakeholder</w:t>
            </w:r>
          </w:p>
        </w:tc>
        <w:tc>
          <w:tcPr>
            <w:tcW w:w="0" w:type="auto"/>
            <w:hideMark/>
          </w:tcPr>
          <w:p w14:paraId="2759116D"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Power</w:t>
            </w:r>
          </w:p>
        </w:tc>
        <w:tc>
          <w:tcPr>
            <w:tcW w:w="0" w:type="auto"/>
            <w:hideMark/>
          </w:tcPr>
          <w:p w14:paraId="1EFE52A0"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Influence</w:t>
            </w:r>
          </w:p>
        </w:tc>
        <w:tc>
          <w:tcPr>
            <w:tcW w:w="0" w:type="auto"/>
            <w:hideMark/>
          </w:tcPr>
          <w:p w14:paraId="1DB4774E"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Interest</w:t>
            </w:r>
          </w:p>
        </w:tc>
        <w:tc>
          <w:tcPr>
            <w:tcW w:w="0" w:type="auto"/>
            <w:hideMark/>
          </w:tcPr>
          <w:p w14:paraId="2F51A123"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Justification</w:t>
            </w:r>
          </w:p>
        </w:tc>
      </w:tr>
      <w:tr w:rsidR="007B69C2" w:rsidRPr="0027513D" w14:paraId="3A8A5516" w14:textId="77777777" w:rsidTr="009F633B">
        <w:tc>
          <w:tcPr>
            <w:tcW w:w="0" w:type="auto"/>
            <w:hideMark/>
          </w:tcPr>
          <w:p w14:paraId="26E0A0CC"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lastRenderedPageBreak/>
              <w:t>Local Council</w:t>
            </w:r>
          </w:p>
        </w:tc>
        <w:tc>
          <w:tcPr>
            <w:tcW w:w="0" w:type="auto"/>
            <w:hideMark/>
          </w:tcPr>
          <w:p w14:paraId="12858BF4"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2856BAF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224ED5A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4567CF59"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Funding authority and regulatory approval</w:t>
            </w:r>
          </w:p>
        </w:tc>
      </w:tr>
      <w:tr w:rsidR="007B69C2" w:rsidRPr="0027513D" w14:paraId="068C3A61" w14:textId="77777777" w:rsidTr="009F633B">
        <w:tc>
          <w:tcPr>
            <w:tcW w:w="0" w:type="auto"/>
            <w:hideMark/>
          </w:tcPr>
          <w:p w14:paraId="67EEF8F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Project Manager</w:t>
            </w:r>
          </w:p>
        </w:tc>
        <w:tc>
          <w:tcPr>
            <w:tcW w:w="0" w:type="auto"/>
            <w:hideMark/>
          </w:tcPr>
          <w:p w14:paraId="55D222FA"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7994A55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5697D03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191CF26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Operational control and coordination</w:t>
            </w:r>
          </w:p>
        </w:tc>
      </w:tr>
      <w:tr w:rsidR="007B69C2" w:rsidRPr="0027513D" w14:paraId="0D6D6242" w14:textId="77777777" w:rsidTr="009F633B">
        <w:tc>
          <w:tcPr>
            <w:tcW w:w="0" w:type="auto"/>
            <w:hideMark/>
          </w:tcPr>
          <w:p w14:paraId="4CA8505D"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Internal Engineers</w:t>
            </w:r>
          </w:p>
        </w:tc>
        <w:tc>
          <w:tcPr>
            <w:tcW w:w="0" w:type="auto"/>
            <w:hideMark/>
          </w:tcPr>
          <w:p w14:paraId="701FD14E"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0FAD8F2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1059A1B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599D951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Technical compliance responsibility</w:t>
            </w:r>
          </w:p>
        </w:tc>
      </w:tr>
      <w:tr w:rsidR="007B69C2" w:rsidRPr="0027513D" w14:paraId="455FBB94" w14:textId="77777777" w:rsidTr="009F633B">
        <w:tc>
          <w:tcPr>
            <w:tcW w:w="0" w:type="auto"/>
            <w:hideMark/>
          </w:tcPr>
          <w:p w14:paraId="385F3BB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Planning/Regulatory Agencies</w:t>
            </w:r>
          </w:p>
        </w:tc>
        <w:tc>
          <w:tcPr>
            <w:tcW w:w="0" w:type="auto"/>
            <w:hideMark/>
          </w:tcPr>
          <w:p w14:paraId="3882CF1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0D4FAFFA"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451EBEA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47849BF4"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Can approve or halt development</w:t>
            </w:r>
          </w:p>
        </w:tc>
      </w:tr>
      <w:tr w:rsidR="007B69C2" w:rsidRPr="0027513D" w14:paraId="100EF988" w14:textId="77777777" w:rsidTr="009F633B">
        <w:tc>
          <w:tcPr>
            <w:tcW w:w="0" w:type="auto"/>
            <w:hideMark/>
          </w:tcPr>
          <w:p w14:paraId="04ABF1BD"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Local Residents</w:t>
            </w:r>
          </w:p>
        </w:tc>
        <w:tc>
          <w:tcPr>
            <w:tcW w:w="0" w:type="auto"/>
            <w:hideMark/>
          </w:tcPr>
          <w:p w14:paraId="5365926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Low</w:t>
            </w:r>
          </w:p>
        </w:tc>
        <w:tc>
          <w:tcPr>
            <w:tcW w:w="0" w:type="auto"/>
            <w:hideMark/>
          </w:tcPr>
          <w:p w14:paraId="7AADB8AD"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7592C77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High</w:t>
            </w:r>
          </w:p>
        </w:tc>
        <w:tc>
          <w:tcPr>
            <w:tcW w:w="0" w:type="auto"/>
            <w:hideMark/>
          </w:tcPr>
          <w:p w14:paraId="1AFA515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Directly affected; shape public opinion</w:t>
            </w:r>
          </w:p>
        </w:tc>
      </w:tr>
      <w:tr w:rsidR="007B69C2" w:rsidRPr="0027513D" w14:paraId="1BE1D036" w14:textId="77777777" w:rsidTr="009F633B">
        <w:tc>
          <w:tcPr>
            <w:tcW w:w="0" w:type="auto"/>
            <w:hideMark/>
          </w:tcPr>
          <w:p w14:paraId="29878D1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Local Businesses</w:t>
            </w:r>
          </w:p>
        </w:tc>
        <w:tc>
          <w:tcPr>
            <w:tcW w:w="0" w:type="auto"/>
            <w:hideMark/>
          </w:tcPr>
          <w:p w14:paraId="503D0F3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Low</w:t>
            </w:r>
          </w:p>
        </w:tc>
        <w:tc>
          <w:tcPr>
            <w:tcW w:w="0" w:type="auto"/>
            <w:hideMark/>
          </w:tcPr>
          <w:p w14:paraId="517D729E"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Low</w:t>
            </w:r>
          </w:p>
        </w:tc>
        <w:tc>
          <w:tcPr>
            <w:tcW w:w="0" w:type="auto"/>
            <w:hideMark/>
          </w:tcPr>
          <w:p w14:paraId="54A2F5B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Medium</w:t>
            </w:r>
          </w:p>
        </w:tc>
        <w:tc>
          <w:tcPr>
            <w:tcW w:w="0" w:type="auto"/>
            <w:hideMark/>
          </w:tcPr>
          <w:p w14:paraId="0AB9FB1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Indirect economic impact</w:t>
            </w:r>
          </w:p>
        </w:tc>
      </w:tr>
    </w:tbl>
    <w:p w14:paraId="40FD65F5" w14:textId="77777777" w:rsidR="009171E6" w:rsidRPr="0027513D" w:rsidRDefault="009171E6" w:rsidP="002D0CA2">
      <w:pPr>
        <w:pStyle w:val="Heading3"/>
        <w:contextualSpacing/>
        <w:rPr>
          <w:rFonts w:ascii="Times New Roman" w:hAnsi="Times New Roman" w:cs="Times New Roman"/>
          <w:color w:val="000000" w:themeColor="text1"/>
          <w:sz w:val="24"/>
          <w:szCs w:val="24"/>
        </w:rPr>
      </w:pPr>
      <w:bookmarkStart w:id="8" w:name="_Toc223740768"/>
      <w:r w:rsidRPr="0027513D">
        <w:rPr>
          <w:rFonts w:ascii="Times New Roman" w:hAnsi="Times New Roman" w:cs="Times New Roman"/>
          <w:color w:val="000000" w:themeColor="text1"/>
          <w:sz w:val="24"/>
          <w:szCs w:val="24"/>
        </w:rPr>
        <w:t>2.2.2 Stakeholder Mapping</w:t>
      </w:r>
      <w:bookmarkEnd w:id="8"/>
    </w:p>
    <w:p w14:paraId="543D46A3" w14:textId="77777777"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High-interest and high-power stakeholders must engage regularly in strategic processes in which the powers of funding and approvals directly influence the project viability and stability on its governance. Control agencies require organised reporting and compliance reporting to rationalise the risk of procedure to a minimum and avoid interruptions in the redevelopment approval processes. The local inhabitants are interested because it has a direct social and economic effect and, as a result, ongoing consultation and open-access information are necessary to sustain legitimacy and minimise resistance (Abernethy et al., 2025). Limited-power stakeholders, like local businesses, need the continuous monitoring process to determine any dissatisfaction or economic disturbance that could often develop into collective resistance (Murphy et al., 2021). </w:t>
      </w:r>
      <w:r w:rsidRPr="0027513D">
        <w:rPr>
          <w:rFonts w:ascii="Times New Roman" w:hAnsi="Times New Roman" w:cs="Times New Roman"/>
          <w:color w:val="000000" w:themeColor="text1"/>
        </w:rPr>
        <w:lastRenderedPageBreak/>
        <w:t>The matrix hence explains the level of engagement based on power and exposure to stakeholders.</w:t>
      </w:r>
      <w:r w:rsidRPr="0027513D">
        <w:rPr>
          <w:rFonts w:ascii="Times New Roman" w:hAnsi="Times New Roman" w:cs="Times New Roman"/>
          <w:noProof/>
          <w:color w:val="000000" w:themeColor="text1"/>
          <w:lang w:val="en-US"/>
        </w:rPr>
        <w:drawing>
          <wp:inline distT="0" distB="0" distL="0" distR="0" wp14:anchorId="2309F2B2" wp14:editId="4FB05EE5">
            <wp:extent cx="5588000" cy="3633304"/>
            <wp:effectExtent l="0" t="0" r="0" b="5715"/>
            <wp:docPr id="59048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0335" t="10481" r="16012" b="17686"/>
                    <a:stretch>
                      <a:fillRect/>
                    </a:stretch>
                  </pic:blipFill>
                  <pic:spPr bwMode="auto">
                    <a:xfrm>
                      <a:off x="0" y="0"/>
                      <a:ext cx="5597252" cy="3639320"/>
                    </a:xfrm>
                    <a:prstGeom prst="rect">
                      <a:avLst/>
                    </a:prstGeom>
                    <a:noFill/>
                    <a:ln>
                      <a:noFill/>
                    </a:ln>
                    <a:extLst>
                      <a:ext uri="{53640926-AAD7-44D8-BBD7-CCE9431645EC}">
                        <a14:shadowObscured xmlns:a14="http://schemas.microsoft.com/office/drawing/2010/main"/>
                      </a:ext>
                    </a:extLst>
                  </pic:spPr>
                </pic:pic>
              </a:graphicData>
            </a:graphic>
          </wp:inline>
        </w:drawing>
      </w:r>
    </w:p>
    <w:p w14:paraId="4DCBC4DD" w14:textId="77777777" w:rsidR="009171E6" w:rsidRPr="0027513D" w:rsidRDefault="009171E6" w:rsidP="002D0CA2">
      <w:pPr>
        <w:spacing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Fig 1: Stakeholder mapping</w:t>
      </w:r>
    </w:p>
    <w:p w14:paraId="1D4C3079" w14:textId="77777777" w:rsidR="009171E6" w:rsidRPr="0027513D" w:rsidRDefault="009171E6" w:rsidP="002D0CA2">
      <w:pPr>
        <w:pStyle w:val="Heading2"/>
        <w:contextualSpacing/>
        <w:rPr>
          <w:rFonts w:ascii="Times New Roman" w:hAnsi="Times New Roman" w:cs="Times New Roman"/>
          <w:b/>
          <w:bCs/>
          <w:color w:val="000000" w:themeColor="text1"/>
          <w:sz w:val="24"/>
          <w:szCs w:val="24"/>
        </w:rPr>
      </w:pPr>
      <w:bookmarkStart w:id="9" w:name="_Toc223740769"/>
      <w:r w:rsidRPr="0027513D">
        <w:rPr>
          <w:rFonts w:ascii="Times New Roman" w:hAnsi="Times New Roman" w:cs="Times New Roman"/>
          <w:b/>
          <w:bCs/>
          <w:color w:val="000000" w:themeColor="text1"/>
          <w:sz w:val="24"/>
          <w:szCs w:val="24"/>
        </w:rPr>
        <w:t>2.3 Stakeholder Engagement and Communication Strategy</w:t>
      </w:r>
      <w:bookmarkEnd w:id="9"/>
    </w:p>
    <w:p w14:paraId="0EEC51CD" w14:textId="77777777"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Formal communication enhances transparency in governance and minimises conflicting situations in infrastructural environments (Prebanić and Vukomanović, 2023). Digital platforms of engagement increase access to information and formal reporting has maintained accountability (Lehtinen and Aaltonen, 2024). Involvement systems increase social acceptance in cases of inclusiveness and responsiveness (Redvers et al., 2024).</w:t>
      </w:r>
    </w:p>
    <w:p w14:paraId="1B0ACFA9" w14:textId="77777777" w:rsidR="009171E6" w:rsidRPr="0027513D" w:rsidRDefault="009171E6"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Communication Plan</w:t>
      </w:r>
    </w:p>
    <w:p w14:paraId="08CD43FD" w14:textId="6AE26F77" w:rsidR="009171E6" w:rsidRPr="0027513D" w:rsidRDefault="009171E6"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Greater frequency of engagement goes along with increased </w:t>
      </w:r>
      <w:r w:rsidR="00BA18E4" w:rsidRPr="0027513D">
        <w:rPr>
          <w:rFonts w:ascii="Times New Roman" w:hAnsi="Times New Roman" w:cs="Times New Roman"/>
          <w:color w:val="000000" w:themeColor="text1"/>
        </w:rPr>
        <w:t>decision-making</w:t>
      </w:r>
      <w:r w:rsidRPr="0027513D">
        <w:rPr>
          <w:rFonts w:ascii="Times New Roman" w:hAnsi="Times New Roman" w:cs="Times New Roman"/>
          <w:color w:val="000000" w:themeColor="text1"/>
        </w:rPr>
        <w:t xml:space="preserve"> authority and exposure to accountability in the governance system. The local council as one of the senior stakeholders need to have structured monthly reporting to ensure they control the expenditure, compliance and strategic alignment. More controlled coordination meetings offer operational stakeholders a chance to have control over the delivery and minimise the risk of the implementation. Procedural legitimacy in redevelopment environments can be ensured through inclusive production by the use of public forums, surveys and newsletters (Arthur, Saha and Kapilashrami, 2023). The ESG standards of transparency and organisational responsibility are also </w:t>
      </w:r>
      <w:r w:rsidRPr="0027513D">
        <w:rPr>
          <w:rFonts w:ascii="Times New Roman" w:hAnsi="Times New Roman" w:cs="Times New Roman"/>
          <w:color w:val="000000" w:themeColor="text1"/>
        </w:rPr>
        <w:lastRenderedPageBreak/>
        <w:t>facilitated by formal reporting mechanisms (Yoo, 2025). Distinctive communication strength consequently capitalises stakeholder power, interest and responsibility and relevant engagement apparatus.</w:t>
      </w:r>
    </w:p>
    <w:tbl>
      <w:tblPr>
        <w:tblStyle w:val="TableGrid"/>
        <w:tblW w:w="0" w:type="auto"/>
        <w:tblLook w:val="04A0" w:firstRow="1" w:lastRow="0" w:firstColumn="1" w:lastColumn="0" w:noHBand="0" w:noVBand="1"/>
      </w:tblPr>
      <w:tblGrid>
        <w:gridCol w:w="1788"/>
        <w:gridCol w:w="1305"/>
        <w:gridCol w:w="3258"/>
        <w:gridCol w:w="2999"/>
      </w:tblGrid>
      <w:tr w:rsidR="007B69C2" w:rsidRPr="0027513D" w14:paraId="5C5C74B1" w14:textId="77777777" w:rsidTr="009F633B">
        <w:tc>
          <w:tcPr>
            <w:tcW w:w="0" w:type="auto"/>
            <w:shd w:val="clear" w:color="auto" w:fill="ED7D31" w:themeFill="accent2"/>
            <w:hideMark/>
          </w:tcPr>
          <w:p w14:paraId="45B60039"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Stakeholder</w:t>
            </w:r>
          </w:p>
        </w:tc>
        <w:tc>
          <w:tcPr>
            <w:tcW w:w="0" w:type="auto"/>
            <w:shd w:val="clear" w:color="auto" w:fill="ED7D31" w:themeFill="accent2"/>
            <w:hideMark/>
          </w:tcPr>
          <w:p w14:paraId="72337733"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Frequency</w:t>
            </w:r>
          </w:p>
        </w:tc>
        <w:tc>
          <w:tcPr>
            <w:tcW w:w="0" w:type="auto"/>
            <w:shd w:val="clear" w:color="auto" w:fill="ED7D31" w:themeFill="accent2"/>
            <w:hideMark/>
          </w:tcPr>
          <w:p w14:paraId="3B70E054"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Method</w:t>
            </w:r>
          </w:p>
        </w:tc>
        <w:tc>
          <w:tcPr>
            <w:tcW w:w="0" w:type="auto"/>
            <w:shd w:val="clear" w:color="auto" w:fill="ED7D31" w:themeFill="accent2"/>
            <w:hideMark/>
          </w:tcPr>
          <w:p w14:paraId="745AD9A5" w14:textId="77777777" w:rsidR="009171E6" w:rsidRPr="0027513D" w:rsidRDefault="009171E6" w:rsidP="002D0CA2">
            <w:pPr>
              <w:spacing w:after="160" w:line="360" w:lineRule="auto"/>
              <w:contextualSpacing/>
              <w:rPr>
                <w:rFonts w:ascii="Times New Roman" w:hAnsi="Times New Roman" w:cs="Times New Roman"/>
                <w:b/>
                <w:bCs/>
                <w:color w:val="000000" w:themeColor="text1"/>
              </w:rPr>
            </w:pPr>
            <w:r w:rsidRPr="0027513D">
              <w:rPr>
                <w:rFonts w:ascii="Times New Roman" w:hAnsi="Times New Roman" w:cs="Times New Roman"/>
                <w:b/>
                <w:bCs/>
                <w:color w:val="000000" w:themeColor="text1"/>
              </w:rPr>
              <w:t>Purpose</w:t>
            </w:r>
          </w:p>
        </w:tc>
      </w:tr>
      <w:tr w:rsidR="007B69C2" w:rsidRPr="0027513D" w14:paraId="40911306" w14:textId="77777777" w:rsidTr="009F633B">
        <w:tc>
          <w:tcPr>
            <w:tcW w:w="0" w:type="auto"/>
            <w:hideMark/>
          </w:tcPr>
          <w:p w14:paraId="61F59DEA"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Local Council</w:t>
            </w:r>
          </w:p>
        </w:tc>
        <w:tc>
          <w:tcPr>
            <w:tcW w:w="0" w:type="auto"/>
            <w:hideMark/>
          </w:tcPr>
          <w:p w14:paraId="26B7FE44"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Monthly</w:t>
            </w:r>
          </w:p>
        </w:tc>
        <w:tc>
          <w:tcPr>
            <w:tcW w:w="0" w:type="auto"/>
            <w:hideMark/>
          </w:tcPr>
          <w:p w14:paraId="7BA22B8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Formal written report, online meeting</w:t>
            </w:r>
          </w:p>
        </w:tc>
        <w:tc>
          <w:tcPr>
            <w:tcW w:w="0" w:type="auto"/>
            <w:hideMark/>
          </w:tcPr>
          <w:p w14:paraId="176CB60F"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Strategic oversight and financial review</w:t>
            </w:r>
          </w:p>
        </w:tc>
      </w:tr>
      <w:tr w:rsidR="007B69C2" w:rsidRPr="0027513D" w14:paraId="455BFDCC" w14:textId="77777777" w:rsidTr="009F633B">
        <w:tc>
          <w:tcPr>
            <w:tcW w:w="0" w:type="auto"/>
            <w:hideMark/>
          </w:tcPr>
          <w:p w14:paraId="1893A22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Project Manager</w:t>
            </w:r>
          </w:p>
        </w:tc>
        <w:tc>
          <w:tcPr>
            <w:tcW w:w="0" w:type="auto"/>
            <w:hideMark/>
          </w:tcPr>
          <w:p w14:paraId="72C064E4"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Weekly</w:t>
            </w:r>
          </w:p>
        </w:tc>
        <w:tc>
          <w:tcPr>
            <w:tcW w:w="0" w:type="auto"/>
            <w:hideMark/>
          </w:tcPr>
          <w:p w14:paraId="59EB7DE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Site meetings, progress dashboards</w:t>
            </w:r>
          </w:p>
        </w:tc>
        <w:tc>
          <w:tcPr>
            <w:tcW w:w="0" w:type="auto"/>
            <w:hideMark/>
          </w:tcPr>
          <w:p w14:paraId="3A4A098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Operational coordination</w:t>
            </w:r>
          </w:p>
        </w:tc>
      </w:tr>
      <w:tr w:rsidR="007B69C2" w:rsidRPr="0027513D" w14:paraId="4C89EF37" w14:textId="77777777" w:rsidTr="009F633B">
        <w:tc>
          <w:tcPr>
            <w:tcW w:w="0" w:type="auto"/>
            <w:hideMark/>
          </w:tcPr>
          <w:p w14:paraId="752443B6"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Internal Engineers</w:t>
            </w:r>
          </w:p>
        </w:tc>
        <w:tc>
          <w:tcPr>
            <w:tcW w:w="0" w:type="auto"/>
            <w:hideMark/>
          </w:tcPr>
          <w:p w14:paraId="0B469DB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Fortnightly</w:t>
            </w:r>
          </w:p>
        </w:tc>
        <w:tc>
          <w:tcPr>
            <w:tcW w:w="0" w:type="auto"/>
            <w:hideMark/>
          </w:tcPr>
          <w:p w14:paraId="2F1C83D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Technical review meetings</w:t>
            </w:r>
          </w:p>
        </w:tc>
        <w:tc>
          <w:tcPr>
            <w:tcW w:w="0" w:type="auto"/>
            <w:hideMark/>
          </w:tcPr>
          <w:p w14:paraId="73F9ADB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Compliance and design validation</w:t>
            </w:r>
          </w:p>
        </w:tc>
      </w:tr>
      <w:tr w:rsidR="007B69C2" w:rsidRPr="0027513D" w14:paraId="3A24395A" w14:textId="77777777" w:rsidTr="009F633B">
        <w:tc>
          <w:tcPr>
            <w:tcW w:w="0" w:type="auto"/>
            <w:hideMark/>
          </w:tcPr>
          <w:p w14:paraId="62AAF19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Planning Agencies</w:t>
            </w:r>
          </w:p>
        </w:tc>
        <w:tc>
          <w:tcPr>
            <w:tcW w:w="0" w:type="auto"/>
            <w:hideMark/>
          </w:tcPr>
          <w:p w14:paraId="53020052"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Monthly</w:t>
            </w:r>
          </w:p>
        </w:tc>
        <w:tc>
          <w:tcPr>
            <w:tcW w:w="0" w:type="auto"/>
            <w:hideMark/>
          </w:tcPr>
          <w:p w14:paraId="0ED32FEB"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Regulatory submissions, compliance reports</w:t>
            </w:r>
          </w:p>
        </w:tc>
        <w:tc>
          <w:tcPr>
            <w:tcW w:w="0" w:type="auto"/>
            <w:hideMark/>
          </w:tcPr>
          <w:p w14:paraId="56E213F3"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Approval monitoring</w:t>
            </w:r>
          </w:p>
        </w:tc>
      </w:tr>
      <w:tr w:rsidR="007B69C2" w:rsidRPr="0027513D" w14:paraId="68CB9000" w14:textId="77777777" w:rsidTr="009F633B">
        <w:tc>
          <w:tcPr>
            <w:tcW w:w="0" w:type="auto"/>
            <w:hideMark/>
          </w:tcPr>
          <w:p w14:paraId="1AB91700"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Local Residents</w:t>
            </w:r>
          </w:p>
        </w:tc>
        <w:tc>
          <w:tcPr>
            <w:tcW w:w="0" w:type="auto"/>
            <w:hideMark/>
          </w:tcPr>
          <w:p w14:paraId="49B424A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Quarterly</w:t>
            </w:r>
          </w:p>
        </w:tc>
        <w:tc>
          <w:tcPr>
            <w:tcW w:w="0" w:type="auto"/>
            <w:hideMark/>
          </w:tcPr>
          <w:p w14:paraId="1EEF09B7"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Public forums, surveys, newsletters</w:t>
            </w:r>
          </w:p>
        </w:tc>
        <w:tc>
          <w:tcPr>
            <w:tcW w:w="0" w:type="auto"/>
            <w:hideMark/>
          </w:tcPr>
          <w:p w14:paraId="53546C4C"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Consultation and feedback</w:t>
            </w:r>
          </w:p>
        </w:tc>
      </w:tr>
      <w:tr w:rsidR="007B69C2" w:rsidRPr="0027513D" w14:paraId="2E52834F" w14:textId="77777777" w:rsidTr="009F633B">
        <w:tc>
          <w:tcPr>
            <w:tcW w:w="0" w:type="auto"/>
            <w:hideMark/>
          </w:tcPr>
          <w:p w14:paraId="64603B85"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Local Businesses</w:t>
            </w:r>
          </w:p>
        </w:tc>
        <w:tc>
          <w:tcPr>
            <w:tcW w:w="0" w:type="auto"/>
            <w:hideMark/>
          </w:tcPr>
          <w:p w14:paraId="5AD8504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Quarterly</w:t>
            </w:r>
          </w:p>
        </w:tc>
        <w:tc>
          <w:tcPr>
            <w:tcW w:w="0" w:type="auto"/>
            <w:hideMark/>
          </w:tcPr>
          <w:p w14:paraId="378BBFE1"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Briefings, email updates</w:t>
            </w:r>
          </w:p>
        </w:tc>
        <w:tc>
          <w:tcPr>
            <w:tcW w:w="0" w:type="auto"/>
            <w:hideMark/>
          </w:tcPr>
          <w:p w14:paraId="074CF4A8" w14:textId="77777777" w:rsidR="009171E6" w:rsidRPr="0027513D" w:rsidRDefault="009171E6" w:rsidP="002D0CA2">
            <w:pPr>
              <w:spacing w:after="160" w:line="360" w:lineRule="auto"/>
              <w:contextualSpacing/>
              <w:rPr>
                <w:rFonts w:ascii="Times New Roman" w:hAnsi="Times New Roman" w:cs="Times New Roman"/>
                <w:color w:val="000000" w:themeColor="text1"/>
              </w:rPr>
            </w:pPr>
            <w:r w:rsidRPr="0027513D">
              <w:rPr>
                <w:rFonts w:ascii="Times New Roman" w:hAnsi="Times New Roman" w:cs="Times New Roman"/>
                <w:color w:val="000000" w:themeColor="text1"/>
              </w:rPr>
              <w:t>Economic continuity assurance</w:t>
            </w:r>
          </w:p>
        </w:tc>
      </w:tr>
    </w:tbl>
    <w:p w14:paraId="2E8442F8" w14:textId="77777777" w:rsidR="009171E6" w:rsidRPr="0027513D" w:rsidRDefault="009171E6" w:rsidP="002D0CA2">
      <w:pPr>
        <w:spacing w:line="360" w:lineRule="auto"/>
        <w:contextualSpacing/>
        <w:rPr>
          <w:rFonts w:ascii="Times New Roman" w:hAnsi="Times New Roman" w:cs="Times New Roman"/>
          <w:color w:val="000000" w:themeColor="text1"/>
        </w:rPr>
      </w:pPr>
    </w:p>
    <w:p w14:paraId="2878ADF7" w14:textId="77777777" w:rsidR="00560512" w:rsidRPr="0027513D" w:rsidRDefault="00560512" w:rsidP="002D0CA2">
      <w:pPr>
        <w:pStyle w:val="Heading1"/>
        <w:contextualSpacing/>
        <w:jc w:val="center"/>
        <w:rPr>
          <w:rFonts w:ascii="Times New Roman" w:hAnsi="Times New Roman" w:cs="Times New Roman"/>
          <w:b/>
          <w:bCs/>
          <w:color w:val="000000" w:themeColor="text1"/>
          <w:sz w:val="24"/>
          <w:szCs w:val="24"/>
        </w:rPr>
      </w:pPr>
      <w:bookmarkStart w:id="10" w:name="_Toc223740770"/>
      <w:r w:rsidRPr="0027513D">
        <w:rPr>
          <w:rFonts w:ascii="Times New Roman" w:hAnsi="Times New Roman" w:cs="Times New Roman"/>
          <w:b/>
          <w:bCs/>
          <w:color w:val="000000" w:themeColor="text1"/>
          <w:sz w:val="24"/>
          <w:szCs w:val="24"/>
        </w:rPr>
        <w:t>Element 3: Ethical Considerations in Stakeholder Consultation, Participation and Feedback</w:t>
      </w:r>
      <w:bookmarkEnd w:id="10"/>
    </w:p>
    <w:p w14:paraId="38B6A6AF"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Implementation of ethical stakeholder engagement in housing redevelopment should have defined consultation procedures that safeguard autonomy, fairness and transparency. The positive impact of urban regeneration is that housing stability and social identity have direct influence on residents, and making them participate in regeneration processes is the ethical duty of the public authorities (Foroughi et al., 2023). Procedural legitimacy is the quality of protecting the rights of the stakeholders in terms of consultation and feedback (Oliveira, Fernandes and Pardini, 2023).</w:t>
      </w:r>
    </w:p>
    <w:p w14:paraId="52256C21" w14:textId="5E87948D" w:rsidR="00560512"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1" w:name="_Toc223740771"/>
      <w:r w:rsidRPr="0027513D">
        <w:rPr>
          <w:rFonts w:ascii="Times New Roman" w:hAnsi="Times New Roman" w:cs="Times New Roman"/>
          <w:b/>
          <w:bCs/>
          <w:color w:val="000000" w:themeColor="text1"/>
          <w:sz w:val="24"/>
          <w:szCs w:val="24"/>
        </w:rPr>
        <w:t xml:space="preserve">3.1 </w:t>
      </w:r>
      <w:r w:rsidR="00560512" w:rsidRPr="0027513D">
        <w:rPr>
          <w:rFonts w:ascii="Times New Roman" w:hAnsi="Times New Roman" w:cs="Times New Roman"/>
          <w:b/>
          <w:bCs/>
          <w:color w:val="000000" w:themeColor="text1"/>
          <w:sz w:val="24"/>
          <w:szCs w:val="24"/>
        </w:rPr>
        <w:t>Method of Consultation</w:t>
      </w:r>
      <w:bookmarkEnd w:id="11"/>
    </w:p>
    <w:p w14:paraId="00B1FEB1" w14:textId="30F9BD44"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A main consultation mechanism in redevelopment projects is represented by having public meetings. Open forums</w:t>
      </w:r>
      <w:r w:rsidR="00420F4D" w:rsidRPr="0027513D">
        <w:rPr>
          <w:rFonts w:ascii="Times New Roman" w:hAnsi="Times New Roman" w:cs="Times New Roman"/>
          <w:color w:val="000000" w:themeColor="text1"/>
        </w:rPr>
        <w:t xml:space="preserve"> </w:t>
      </w:r>
      <w:r w:rsidRPr="0027513D">
        <w:rPr>
          <w:rFonts w:ascii="Times New Roman" w:hAnsi="Times New Roman" w:cs="Times New Roman"/>
          <w:color w:val="000000" w:themeColor="text1"/>
        </w:rPr>
        <w:t xml:space="preserve">provide opportunities to residents, business owners and the community representatives to get formal updates on the project and to raise the issue about the relocation, affordability and environmental impact. Ordered discussion in social meetings enhances openness </w:t>
      </w:r>
      <w:r w:rsidRPr="0027513D">
        <w:rPr>
          <w:rFonts w:ascii="Times New Roman" w:hAnsi="Times New Roman" w:cs="Times New Roman"/>
          <w:color w:val="000000" w:themeColor="text1"/>
        </w:rPr>
        <w:lastRenderedPageBreak/>
        <w:t>and shared knowledge especially, in cases where there are social implications in re-development decisions (Arthur, Saha and Kapilashrami, 2023).</w:t>
      </w:r>
    </w:p>
    <w:p w14:paraId="47847177"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focus groups are an addition to the larger meetings held in public, and serve a purpose of having smaller groups of affected people like tenants, elderly or local traders. Focus group environments help in in-depth discussion of sensitive issues which might not come up in bigger public environments. Small participatory environments increase trust and lessen confrontation especially where power asymmetries exist (Redvers et al., 2024). The mixture of the public meetings and focus groups equates to both the wide transparency and the deep consultation.</w:t>
      </w:r>
    </w:p>
    <w:p w14:paraId="3F01BFAB" w14:textId="472BD011" w:rsidR="00560512"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2" w:name="_Toc223740772"/>
      <w:r w:rsidRPr="0027513D">
        <w:rPr>
          <w:rFonts w:ascii="Times New Roman" w:hAnsi="Times New Roman" w:cs="Times New Roman"/>
          <w:b/>
          <w:bCs/>
          <w:color w:val="000000" w:themeColor="text1"/>
          <w:sz w:val="24"/>
          <w:szCs w:val="24"/>
        </w:rPr>
        <w:t xml:space="preserve">3.2 </w:t>
      </w:r>
      <w:r w:rsidR="00560512" w:rsidRPr="0027513D">
        <w:rPr>
          <w:rFonts w:ascii="Times New Roman" w:hAnsi="Times New Roman" w:cs="Times New Roman"/>
          <w:b/>
          <w:bCs/>
          <w:color w:val="000000" w:themeColor="text1"/>
          <w:sz w:val="24"/>
          <w:szCs w:val="24"/>
        </w:rPr>
        <w:t>Ethical Considerations</w:t>
      </w:r>
      <w:bookmarkEnd w:id="12"/>
    </w:p>
    <w:p w14:paraId="4122D578"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Informed consent is used so that participants are aware of the intent of engagement, area of redevelopment and use of information gathered. Effective communication on the timelines of decision-making, the rate-criteria of housing allocation and possible disruption protection autonomy of groups in charge. Openness in disclosure contributes to strengthening the system of governance (Abernethy et al., 2025).</w:t>
      </w:r>
    </w:p>
    <w:p w14:paraId="706427F8"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protection and data confidentiality also protect the ethical standards. Consultation related with housing redevelopment is usually personal information with regards to relocation preference, income and tenancy status. The protection of residents against the possible misuse of information is provided by safe storage of data, limited access and adherence to the data protection laws. Data ethical governance enhances the accountability and the credibility of the institutions (Yoo, 2025).</w:t>
      </w:r>
    </w:p>
    <w:p w14:paraId="4D5E4AF5" w14:textId="50D14D1C" w:rsidR="00560512"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3" w:name="_Toc223740773"/>
      <w:r w:rsidRPr="0027513D">
        <w:rPr>
          <w:rFonts w:ascii="Times New Roman" w:hAnsi="Times New Roman" w:cs="Times New Roman"/>
          <w:b/>
          <w:bCs/>
          <w:color w:val="000000" w:themeColor="text1"/>
          <w:sz w:val="24"/>
          <w:szCs w:val="24"/>
        </w:rPr>
        <w:t xml:space="preserve">3.3 </w:t>
      </w:r>
      <w:r w:rsidR="00560512" w:rsidRPr="0027513D">
        <w:rPr>
          <w:rFonts w:ascii="Times New Roman" w:hAnsi="Times New Roman" w:cs="Times New Roman"/>
          <w:b/>
          <w:bCs/>
          <w:color w:val="000000" w:themeColor="text1"/>
          <w:sz w:val="24"/>
          <w:szCs w:val="24"/>
        </w:rPr>
        <w:t>Bias Control</w:t>
      </w:r>
      <w:bookmarkEnd w:id="13"/>
    </w:p>
    <w:p w14:paraId="356E6834" w14:textId="2C885310"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Representative sampling should be applied to avoid the </w:t>
      </w:r>
      <w:r w:rsidR="002D0CA2" w:rsidRPr="0027513D">
        <w:rPr>
          <w:rFonts w:ascii="Times New Roman" w:hAnsi="Times New Roman" w:cs="Times New Roman"/>
          <w:color w:val="000000" w:themeColor="text1"/>
        </w:rPr>
        <w:t>pre-emption</w:t>
      </w:r>
      <w:r w:rsidRPr="0027513D">
        <w:rPr>
          <w:rFonts w:ascii="Times New Roman" w:hAnsi="Times New Roman" w:cs="Times New Roman"/>
          <w:color w:val="000000" w:themeColor="text1"/>
        </w:rPr>
        <w:t xml:space="preserve"> of vocal interest groups. Housing redevelopment has impacts on various populations including socioeconomic and demographic classes. Outreach to tenants, homeowners, minority communities and local business </w:t>
      </w:r>
      <w:r w:rsidR="00420F4D" w:rsidRPr="0027513D">
        <w:rPr>
          <w:rFonts w:ascii="Times New Roman" w:hAnsi="Times New Roman" w:cs="Times New Roman"/>
          <w:color w:val="000000" w:themeColor="text1"/>
        </w:rPr>
        <w:t xml:space="preserve">is </w:t>
      </w:r>
      <w:r w:rsidRPr="0027513D">
        <w:rPr>
          <w:rFonts w:ascii="Times New Roman" w:hAnsi="Times New Roman" w:cs="Times New Roman"/>
          <w:color w:val="000000" w:themeColor="text1"/>
        </w:rPr>
        <w:t>structured in such a way that it will be proportionately included in consultations. Inclusive representation helps in minimi</w:t>
      </w:r>
      <w:r w:rsidR="001E16EA"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ing structural bias as well as enhancing the decision-making process based on fairness (Murphy et al., 2021).</w:t>
      </w:r>
    </w:p>
    <w:p w14:paraId="67A06C81" w14:textId="1DEC88A0"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Transparency in reporting also helps to suppress bias. The results of consultation should offer the supportive and critical viewpoints without such biassed omission. Summaries of meetings, survey findings and rationale of the decisions should be published and hold</w:t>
      </w:r>
      <w:r w:rsidR="00420F4D"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 xml:space="preserve"> </w:t>
      </w:r>
      <w:r w:rsidRPr="0027513D">
        <w:rPr>
          <w:rFonts w:ascii="Times New Roman" w:hAnsi="Times New Roman" w:cs="Times New Roman"/>
          <w:color w:val="000000" w:themeColor="text1"/>
        </w:rPr>
        <w:lastRenderedPageBreak/>
        <w:t>accountability and strengthen procedural fairness (Oliveira, Fernandes and Pardini, 2023). Balanced disclosure makes perceptions of manipulation lower and long-term legitimacy.</w:t>
      </w:r>
    </w:p>
    <w:p w14:paraId="106F73FF" w14:textId="446B8A1C" w:rsidR="00560512"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4" w:name="_Toc223740774"/>
      <w:r w:rsidRPr="0027513D">
        <w:rPr>
          <w:rFonts w:ascii="Times New Roman" w:hAnsi="Times New Roman" w:cs="Times New Roman"/>
          <w:b/>
          <w:bCs/>
          <w:color w:val="000000" w:themeColor="text1"/>
          <w:sz w:val="24"/>
          <w:szCs w:val="24"/>
        </w:rPr>
        <w:t xml:space="preserve">3.4 </w:t>
      </w:r>
      <w:r w:rsidR="00560512" w:rsidRPr="0027513D">
        <w:rPr>
          <w:rFonts w:ascii="Times New Roman" w:hAnsi="Times New Roman" w:cs="Times New Roman"/>
          <w:b/>
          <w:bCs/>
          <w:color w:val="000000" w:themeColor="text1"/>
          <w:sz w:val="24"/>
          <w:szCs w:val="24"/>
        </w:rPr>
        <w:t>Diversity, Equity and Inclusion (DEI)</w:t>
      </w:r>
      <w:bookmarkEnd w:id="14"/>
    </w:p>
    <w:p w14:paraId="1EC1BD07"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Accessible venues enhance the participation in an equitable manner by eliminating physical obstacles. The consultation events in the local community centres or accessible public areas can make more people of elderly age and people with mobility issues turn up. Physical access indicates the institutional responsibility of inclusivity (Foroughi et al., 2023).</w:t>
      </w:r>
    </w:p>
    <w:p w14:paraId="097D82A6"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Translated materials increase linguistic inclusiveness in areas where there are diverse populations. Multilingual questionnaires, informational leaflets, and presentations of meetings, enable the active involvement of those residents whose native language is not English. Access to the language facilitates the minimisation of marginalisation and the presence of equitable representation (Li et al., 2024).</w:t>
      </w:r>
    </w:p>
    <w:p w14:paraId="2F09CA43" w14:textId="46C0C5B4" w:rsidR="00560512"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5" w:name="_Toc223740775"/>
      <w:r w:rsidRPr="0027513D">
        <w:rPr>
          <w:rFonts w:ascii="Times New Roman" w:hAnsi="Times New Roman" w:cs="Times New Roman"/>
          <w:b/>
          <w:bCs/>
          <w:color w:val="000000" w:themeColor="text1"/>
          <w:sz w:val="24"/>
          <w:szCs w:val="24"/>
        </w:rPr>
        <w:t xml:space="preserve">3.5 </w:t>
      </w:r>
      <w:r w:rsidR="00560512" w:rsidRPr="0027513D">
        <w:rPr>
          <w:rFonts w:ascii="Times New Roman" w:hAnsi="Times New Roman" w:cs="Times New Roman"/>
          <w:b/>
          <w:bCs/>
          <w:color w:val="000000" w:themeColor="text1"/>
          <w:sz w:val="24"/>
          <w:szCs w:val="24"/>
        </w:rPr>
        <w:t>Feedback Collection and Review</w:t>
      </w:r>
      <w:bookmarkEnd w:id="15"/>
    </w:p>
    <w:p w14:paraId="25A12969"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quantitative and qualitative data analysis enhances the accountability within the redevelopment consultation. The survey findings could be evaluated using descriptive statistical techniques in order to determine the level of satisfaction, issues related to relocation and design considerations. The transcripts of the focus groups have to be analysed thematically in order to determine the repetition of concerns or suggestions. Existing structure increases the reliability and assists in evidenced-based decision-making (TOR and GAMBO, 2024).</w:t>
      </w:r>
    </w:p>
    <w:p w14:paraId="32BE560C" w14:textId="77777777" w:rsidR="00560512"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Finding must be published in the open by drafting briefs and community notices and publishing online. By showing how the feedback of the consultation led to design modifications, relocation plans or environmental mitigation actions strengthen participatory governance. Obvious stakeholder input involvement enhances credibility and minimises opposition in redevelopment procedures (Knox, Marin-Cadavid and Oziri, 2024).</w:t>
      </w:r>
    </w:p>
    <w:p w14:paraId="2412A874" w14:textId="2F349C6C" w:rsidR="00AD0DEF" w:rsidRPr="0027513D" w:rsidRDefault="00560512"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ethical consultation, participative engagement and open scrutiny thus serve as governance protection mechanisms that harmonise the goal of redevelopment with the validity of community and ultimate social worth.</w:t>
      </w:r>
    </w:p>
    <w:p w14:paraId="713B5729" w14:textId="72A765B5" w:rsidR="00AD0DEF" w:rsidRPr="0027513D" w:rsidRDefault="00AD0DEF" w:rsidP="002D0CA2">
      <w:pPr>
        <w:pStyle w:val="Heading1"/>
        <w:contextualSpacing/>
        <w:jc w:val="center"/>
        <w:rPr>
          <w:rFonts w:ascii="Times New Roman" w:hAnsi="Times New Roman" w:cs="Times New Roman"/>
          <w:b/>
          <w:bCs/>
          <w:color w:val="000000" w:themeColor="text1"/>
          <w:sz w:val="24"/>
          <w:szCs w:val="24"/>
        </w:rPr>
      </w:pPr>
      <w:bookmarkStart w:id="16" w:name="_Toc223740776"/>
      <w:r w:rsidRPr="0027513D">
        <w:rPr>
          <w:rFonts w:ascii="Times New Roman" w:hAnsi="Times New Roman" w:cs="Times New Roman"/>
          <w:b/>
          <w:bCs/>
          <w:color w:val="000000" w:themeColor="text1"/>
          <w:sz w:val="24"/>
          <w:szCs w:val="24"/>
        </w:rPr>
        <w:lastRenderedPageBreak/>
        <w:t>Element 4 Conclusion and Reflection</w:t>
      </w:r>
      <w:bookmarkEnd w:id="16"/>
    </w:p>
    <w:p w14:paraId="4ECC9701" w14:textId="0BC07653" w:rsidR="00C913E1"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7" w:name="_Toc223740777"/>
      <w:r w:rsidRPr="0027513D">
        <w:rPr>
          <w:rFonts w:ascii="Times New Roman" w:hAnsi="Times New Roman" w:cs="Times New Roman"/>
          <w:b/>
          <w:bCs/>
          <w:color w:val="000000" w:themeColor="text1"/>
          <w:sz w:val="24"/>
          <w:szCs w:val="24"/>
        </w:rPr>
        <w:t xml:space="preserve">4.1 </w:t>
      </w:r>
      <w:r w:rsidR="00C913E1" w:rsidRPr="0027513D">
        <w:rPr>
          <w:rFonts w:ascii="Times New Roman" w:hAnsi="Times New Roman" w:cs="Times New Roman"/>
          <w:b/>
          <w:bCs/>
          <w:color w:val="000000" w:themeColor="text1"/>
          <w:sz w:val="24"/>
          <w:szCs w:val="24"/>
        </w:rPr>
        <w:t>Conclusion</w:t>
      </w:r>
      <w:bookmarkEnd w:id="17"/>
      <w:r w:rsidR="00C913E1" w:rsidRPr="0027513D">
        <w:rPr>
          <w:rFonts w:ascii="Times New Roman" w:hAnsi="Times New Roman" w:cs="Times New Roman"/>
          <w:b/>
          <w:bCs/>
          <w:color w:val="000000" w:themeColor="text1"/>
          <w:sz w:val="24"/>
          <w:szCs w:val="24"/>
        </w:rPr>
        <w:t xml:space="preserve"> </w:t>
      </w:r>
    </w:p>
    <w:p w14:paraId="19C9DAC1" w14:textId="54DA6FEE"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Sustainable Housing redevelopment relies on cohesive governance, logical relationship with stakeholders and proper moral responsibility to realise sustainable results. SWOT, PESTLE and VRIO strategic analysis revealed political power and financial risk, sustainability potential and involvement system, as determinants of viability. High-power stakeholders define regulatory acceptance and stability of funding whereas social legitimacy is found through the </w:t>
      </w:r>
      <w:r w:rsidR="002D0CA2" w:rsidRPr="0027513D">
        <w:rPr>
          <w:rFonts w:ascii="Times New Roman" w:hAnsi="Times New Roman" w:cs="Times New Roman"/>
          <w:color w:val="000000" w:themeColor="text1"/>
        </w:rPr>
        <w:t>endeavours</w:t>
      </w:r>
      <w:r w:rsidRPr="0027513D">
        <w:rPr>
          <w:rFonts w:ascii="Times New Roman" w:hAnsi="Times New Roman" w:cs="Times New Roman"/>
          <w:color w:val="000000" w:themeColor="text1"/>
        </w:rPr>
        <w:t xml:space="preserve"> of community groups. Power-interest mapping facilitated discriminating communication in line with stakeholder accountability.</w:t>
      </w:r>
    </w:p>
    <w:p w14:paraId="6FD9EC56" w14:textId="534F2462"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Ethical consultation strengthened the governance integrity on the basis of informed consent, data security and equal involvement. The bias was minimi</w:t>
      </w:r>
      <w:r w:rsidR="001E16EA" w:rsidRPr="0027513D">
        <w:rPr>
          <w:rFonts w:ascii="Times New Roman" w:hAnsi="Times New Roman" w:cs="Times New Roman"/>
          <w:color w:val="000000" w:themeColor="text1"/>
        </w:rPr>
        <w:t>s</w:t>
      </w:r>
      <w:r w:rsidRPr="0027513D">
        <w:rPr>
          <w:rFonts w:ascii="Times New Roman" w:hAnsi="Times New Roman" w:cs="Times New Roman"/>
          <w:color w:val="000000" w:themeColor="text1"/>
        </w:rPr>
        <w:t>ed by representative sampling and reporting and maintained equitable involvement because of easy access to various venues and translated materials. There was quantitative and qualitative feedback which assured stakeholder input to make project decisions.</w:t>
      </w:r>
    </w:p>
    <w:p w14:paraId="164C915C"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Correspondence to sustainability and ESG priorities placed redevelopment as a social investment over the long term, which needed transparency and institutional credibility to remain constant across the project lifecycle.</w:t>
      </w:r>
    </w:p>
    <w:p w14:paraId="1271427A" w14:textId="0F55A9F9" w:rsidR="00C913E1" w:rsidRPr="0027513D" w:rsidRDefault="00AD0DEF" w:rsidP="0027513D">
      <w:pPr>
        <w:pStyle w:val="Heading2"/>
        <w:contextualSpacing/>
        <w:jc w:val="both"/>
        <w:rPr>
          <w:rFonts w:ascii="Times New Roman" w:hAnsi="Times New Roman" w:cs="Times New Roman"/>
          <w:b/>
          <w:bCs/>
          <w:color w:val="000000" w:themeColor="text1"/>
          <w:sz w:val="24"/>
          <w:szCs w:val="24"/>
        </w:rPr>
      </w:pPr>
      <w:bookmarkStart w:id="18" w:name="_Toc223740778"/>
      <w:r w:rsidRPr="0027513D">
        <w:rPr>
          <w:rFonts w:ascii="Times New Roman" w:hAnsi="Times New Roman" w:cs="Times New Roman"/>
          <w:b/>
          <w:bCs/>
          <w:color w:val="000000" w:themeColor="text1"/>
          <w:sz w:val="24"/>
          <w:szCs w:val="24"/>
        </w:rPr>
        <w:t xml:space="preserve">4.2 </w:t>
      </w:r>
      <w:r w:rsidR="00C913E1" w:rsidRPr="0027513D">
        <w:rPr>
          <w:rFonts w:ascii="Times New Roman" w:hAnsi="Times New Roman" w:cs="Times New Roman"/>
          <w:b/>
          <w:bCs/>
          <w:color w:val="000000" w:themeColor="text1"/>
          <w:sz w:val="24"/>
          <w:szCs w:val="24"/>
        </w:rPr>
        <w:t>Reflection</w:t>
      </w:r>
      <w:r w:rsidRPr="0027513D">
        <w:rPr>
          <w:rFonts w:ascii="Times New Roman" w:hAnsi="Times New Roman" w:cs="Times New Roman"/>
          <w:b/>
          <w:bCs/>
          <w:color w:val="000000" w:themeColor="text1"/>
          <w:sz w:val="24"/>
          <w:szCs w:val="24"/>
        </w:rPr>
        <w:t xml:space="preserve"> (</w:t>
      </w:r>
      <w:r w:rsidR="00C913E1" w:rsidRPr="0027513D">
        <w:rPr>
          <w:rFonts w:ascii="Times New Roman" w:hAnsi="Times New Roman" w:cs="Times New Roman"/>
          <w:b/>
          <w:bCs/>
          <w:color w:val="000000" w:themeColor="text1"/>
          <w:sz w:val="24"/>
          <w:szCs w:val="24"/>
        </w:rPr>
        <w:t>Gibbs’ Reflective Cycle)</w:t>
      </w:r>
      <w:bookmarkEnd w:id="18"/>
    </w:p>
    <w:p w14:paraId="1E1003CF"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Description</w:t>
      </w:r>
    </w:p>
    <w:p w14:paraId="676EEC98"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In this module, I considered a housing redevelopment consultation project carried out by the Birmingham City Council on the redevelopment of ageing council flats into mixed-tenure, energy efficient residential properties. The plan was to expose the already decaying social housing blocks with new apartments with better insulation, communal green space and better safety measures. I followed the public consultation meetings held by the council in which citizens were concerned about where they will be relocated to, affordability of the rent and displacement of the community. Council representatives were preoccupied with planning approval, compliance requirements and budget limitation.</w:t>
      </w:r>
    </w:p>
    <w:p w14:paraId="25777F9A"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In this assignment, I have analysed the experience of structuring stakeholder frameworks, such as the mapping of power and interest and ethical consultation planning. The context of redevelopment offered a realistic frame of reference on the application of the stakeholder engagement theory to an actual local authority environment.</w:t>
      </w:r>
    </w:p>
    <w:p w14:paraId="7466FE80"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lastRenderedPageBreak/>
        <w:t>Feelings</w:t>
      </w:r>
    </w:p>
    <w:p w14:paraId="2E3E6040"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When embarking on this exercise, I was confused on how complex stakeholder relationships were supposed to be dealt with. In the past, I had considered redevelopment conflicts to be inevitable. Nevertheless, with each systematic approach toward engaging in conversations, I started realising that conflict was very often due to the lack of communication as opposed to resistance to change as a matter of fact. I also became surer because I realised that with a systematic planning misunderstanding could be minimised and a trust could be built. I also realised that I had a duty of taking into consideration fairness and inclusion when coming up with engagement processes.</w:t>
      </w:r>
    </w:p>
    <w:p w14:paraId="29FF3285"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Evaluation</w:t>
      </w:r>
    </w:p>
    <w:p w14:paraId="3E41E5CB"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The stakeholder mapping helped me better comprehend the nature of engagement namely, why high-power actors must have a formal reporting relationship and residents must have regular consultation. I noticed that the feedback that was picked during local meetings was not necessarily communicated well, which undermined the appearance of trust and credibility. Legitimacy would be enhanced through transparency of reporting (Knox, Marin-Cadavid and Oziri, 2024). I also acknowledged the fact that such hegemonic voices frequently dominated the discourses, and representative sampling was necessary to make one-sided and inclusive participation (Murphy et al., 2021).</w:t>
      </w:r>
    </w:p>
    <w:p w14:paraId="01196F8C"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Analysis</w:t>
      </w:r>
    </w:p>
    <w:p w14:paraId="696E84ED" w14:textId="474D3710"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 xml:space="preserve">This assignment enabled me to acquire three major professional skills namely; project management discipline, communication competence and conflict management </w:t>
      </w:r>
      <w:r w:rsidR="002D0CA2" w:rsidRPr="0027513D">
        <w:rPr>
          <w:rFonts w:ascii="Times New Roman" w:hAnsi="Times New Roman" w:cs="Times New Roman"/>
          <w:color w:val="000000" w:themeColor="text1"/>
        </w:rPr>
        <w:t>capability. To</w:t>
      </w:r>
      <w:r w:rsidRPr="0027513D">
        <w:rPr>
          <w:rFonts w:ascii="Times New Roman" w:hAnsi="Times New Roman" w:cs="Times New Roman"/>
          <w:color w:val="000000" w:themeColor="text1"/>
        </w:rPr>
        <w:t xml:space="preserve"> enhance my project management professional competencies, I used the organised models, which include SWOT, PESTLE and VRIO. I also learned to reason logically concerning risks, governance structures and stakeholder expectations. Organised planning eliminates uncertainty and fosters accountability (Oliveira, Fernandes and Pardini, 2023).</w:t>
      </w:r>
    </w:p>
    <w:p w14:paraId="4FEE54EF"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 also became more proficient in communication because I developed differentiated engagement plans. I also understood that I need to change the style and frequency of communication based on stakeholder power and interest. Messaging can be easily understood so that resistance minimises and misinformation is avoided (Foroughi et al., 2023).</w:t>
      </w:r>
    </w:p>
    <w:p w14:paraId="053D30B1"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lastRenderedPageBreak/>
        <w:t>I learned to manage conflicts as well. I have also realised that escalation can be stopped by engaging at an early stage and being open with consultations. Formal mediation and open communication minimise the hostility between parties and promote trust.</w:t>
      </w:r>
    </w:p>
    <w:p w14:paraId="17819DF1"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Conclusion</w:t>
      </w:r>
    </w:p>
    <w:p w14:paraId="6294DD66"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I am now aware that the stakeholder engagement is not an optional activity but a core governance practise. I have realised that the keys to sustainable redevelopment are based on ethical consultation, and organisation of communication and involvement.</w:t>
      </w:r>
    </w:p>
    <w:p w14:paraId="03FE6A66" w14:textId="77777777" w:rsidR="00C913E1" w:rsidRPr="0027513D" w:rsidRDefault="00C913E1" w:rsidP="0027513D">
      <w:pPr>
        <w:spacing w:line="360" w:lineRule="auto"/>
        <w:contextualSpacing/>
        <w:jc w:val="both"/>
        <w:rPr>
          <w:rFonts w:ascii="Times New Roman" w:hAnsi="Times New Roman" w:cs="Times New Roman"/>
          <w:b/>
          <w:bCs/>
          <w:color w:val="000000" w:themeColor="text1"/>
        </w:rPr>
      </w:pPr>
      <w:r w:rsidRPr="0027513D">
        <w:rPr>
          <w:rFonts w:ascii="Times New Roman" w:hAnsi="Times New Roman" w:cs="Times New Roman"/>
          <w:b/>
          <w:bCs/>
          <w:color w:val="000000" w:themeColor="text1"/>
        </w:rPr>
        <w:t>Action Plan</w:t>
      </w:r>
    </w:p>
    <w:p w14:paraId="52448473" w14:textId="77777777" w:rsidR="00C913E1" w:rsidRPr="0027513D" w:rsidRDefault="00C913E1" w:rsidP="0027513D">
      <w:pPr>
        <w:spacing w:line="360" w:lineRule="auto"/>
        <w:ind w:firstLine="720"/>
        <w:contextualSpacing/>
        <w:jc w:val="both"/>
        <w:rPr>
          <w:rFonts w:ascii="Times New Roman" w:hAnsi="Times New Roman" w:cs="Times New Roman"/>
          <w:color w:val="000000" w:themeColor="text1"/>
        </w:rPr>
      </w:pPr>
      <w:r w:rsidRPr="0027513D">
        <w:rPr>
          <w:rFonts w:ascii="Times New Roman" w:hAnsi="Times New Roman" w:cs="Times New Roman"/>
          <w:color w:val="000000" w:themeColor="text1"/>
        </w:rPr>
        <w:t>When performing my responsibilities in the future as a professional, I will place a value on identifying stakeholders early and consulting transparently. I will make sure that the feedback is well analysed and reported back to the participants. I will also be vigilant in trying to have a balanced representation when dealing in engagement. I will make ethical precautions like informed consent and data security a core mandate. I will participate in redevelopment initiatives that safeguard community confidence and enhance sustainable results through ongoing implementation of well-organised engagement frameworks.</w:t>
      </w:r>
    </w:p>
    <w:p w14:paraId="2CA55C35"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4E45081B"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56C97ACF"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69941930"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4EA6EAFD"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19059549"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64E83619"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5FC05650"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7BC82496"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072D3374"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7A0C4E4D"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30DBC590"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2AEA2CB6"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550ADF6F"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04E122F7"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45BEB4D7"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051D11EF" w14:textId="77777777" w:rsidR="00DA6D91" w:rsidRPr="0027513D" w:rsidRDefault="00DA6D91" w:rsidP="002D0CA2">
      <w:pPr>
        <w:spacing w:line="360" w:lineRule="auto"/>
        <w:ind w:firstLine="720"/>
        <w:contextualSpacing/>
        <w:rPr>
          <w:rFonts w:ascii="Times New Roman" w:hAnsi="Times New Roman" w:cs="Times New Roman"/>
          <w:color w:val="000000" w:themeColor="text1"/>
        </w:rPr>
      </w:pPr>
    </w:p>
    <w:p w14:paraId="7A3B1D84" w14:textId="17C15608" w:rsidR="00DA6D91" w:rsidRPr="0027513D" w:rsidRDefault="00DA6D91" w:rsidP="002D0CA2">
      <w:pPr>
        <w:spacing w:after="240" w:line="360" w:lineRule="auto"/>
        <w:contextualSpacing/>
        <w:jc w:val="center"/>
        <w:outlineLvl w:val="0"/>
        <w:rPr>
          <w:rFonts w:ascii="Times New Roman" w:eastAsia="Times New Roman" w:hAnsi="Times New Roman" w:cs="Times New Roman"/>
          <w:b/>
          <w:bCs/>
          <w:kern w:val="36"/>
          <w14:ligatures w14:val="none"/>
        </w:rPr>
      </w:pPr>
      <w:bookmarkStart w:id="19" w:name="_Toc223740779"/>
      <w:r w:rsidRPr="0027513D">
        <w:rPr>
          <w:rFonts w:ascii="Times New Roman" w:eastAsia="Times New Roman" w:hAnsi="Times New Roman" w:cs="Times New Roman"/>
          <w:b/>
          <w:bCs/>
          <w:kern w:val="36"/>
          <w14:ligatures w14:val="none"/>
        </w:rPr>
        <w:t xml:space="preserve">Reference </w:t>
      </w:r>
      <w:r w:rsidR="002D0CA2" w:rsidRPr="0027513D">
        <w:rPr>
          <w:rFonts w:ascii="Times New Roman" w:eastAsia="Times New Roman" w:hAnsi="Times New Roman" w:cs="Times New Roman"/>
          <w:b/>
          <w:bCs/>
          <w:kern w:val="36"/>
          <w14:ligatures w14:val="none"/>
        </w:rPr>
        <w:t>L</w:t>
      </w:r>
      <w:r w:rsidRPr="0027513D">
        <w:rPr>
          <w:rFonts w:ascii="Times New Roman" w:eastAsia="Times New Roman" w:hAnsi="Times New Roman" w:cs="Times New Roman"/>
          <w:b/>
          <w:bCs/>
          <w:kern w:val="36"/>
          <w14:ligatures w14:val="none"/>
        </w:rPr>
        <w:t>ist</w:t>
      </w:r>
      <w:bookmarkEnd w:id="19"/>
    </w:p>
    <w:p w14:paraId="6268FAE7"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Abernethy, P., Soini, K., </w:t>
      </w:r>
      <w:proofErr w:type="spellStart"/>
      <w:r w:rsidRPr="0027513D">
        <w:rPr>
          <w:rFonts w:ascii="Times New Roman" w:eastAsia="Times New Roman" w:hAnsi="Times New Roman" w:cs="Times New Roman"/>
          <w:kern w:val="0"/>
          <w:lang w:val="en-US"/>
          <w14:ligatures w14:val="none"/>
        </w:rPr>
        <w:t>Ommer</w:t>
      </w:r>
      <w:proofErr w:type="spellEnd"/>
      <w:r w:rsidRPr="0027513D">
        <w:rPr>
          <w:rFonts w:ascii="Times New Roman" w:eastAsia="Times New Roman" w:hAnsi="Times New Roman" w:cs="Times New Roman"/>
          <w:kern w:val="0"/>
          <w:lang w:val="en-US"/>
          <w14:ligatures w14:val="none"/>
        </w:rPr>
        <w:t xml:space="preserve">, J., Artell, J., </w:t>
      </w:r>
      <w:proofErr w:type="spellStart"/>
      <w:r w:rsidRPr="0027513D">
        <w:rPr>
          <w:rFonts w:ascii="Times New Roman" w:eastAsia="Times New Roman" w:hAnsi="Times New Roman" w:cs="Times New Roman"/>
          <w:kern w:val="0"/>
          <w:lang w:val="en-US"/>
          <w14:ligatures w14:val="none"/>
        </w:rPr>
        <w:t>Tapiola</w:t>
      </w:r>
      <w:proofErr w:type="spellEnd"/>
      <w:r w:rsidRPr="0027513D">
        <w:rPr>
          <w:rFonts w:ascii="Times New Roman" w:eastAsia="Times New Roman" w:hAnsi="Times New Roman" w:cs="Times New Roman"/>
          <w:kern w:val="0"/>
          <w:lang w:val="en-US"/>
          <w14:ligatures w14:val="none"/>
        </w:rPr>
        <w:t xml:space="preserve">, T. and Parodi, A. (2025) ‘Reframing citizen participation: Turning barriers into guiding enablers’, </w:t>
      </w:r>
      <w:r w:rsidRPr="0027513D">
        <w:rPr>
          <w:rFonts w:ascii="Times New Roman" w:eastAsia="Times New Roman" w:hAnsi="Times New Roman" w:cs="Times New Roman"/>
          <w:i/>
          <w:iCs/>
          <w:kern w:val="0"/>
          <w:lang w:val="en-US"/>
          <w14:ligatures w14:val="none"/>
        </w:rPr>
        <w:t>Sustainability</w:t>
      </w:r>
      <w:r w:rsidRPr="0027513D">
        <w:rPr>
          <w:rFonts w:ascii="Times New Roman" w:eastAsia="Times New Roman" w:hAnsi="Times New Roman" w:cs="Times New Roman"/>
          <w:kern w:val="0"/>
          <w:lang w:val="en-US"/>
          <w14:ligatures w14:val="none"/>
        </w:rPr>
        <w:t xml:space="preserve">, 17(19), p. 8720. Available at: </w:t>
      </w:r>
      <w:hyperlink r:id="rId10" w:tgtFrame="_new" w:history="1">
        <w:r w:rsidRPr="0027513D">
          <w:rPr>
            <w:rStyle w:val="Hyperlink"/>
            <w:rFonts w:ascii="Times New Roman" w:eastAsia="Times New Roman" w:hAnsi="Times New Roman" w:cs="Times New Roman"/>
            <w:kern w:val="0"/>
            <w:lang w:val="en-US"/>
            <w14:ligatures w14:val="none"/>
          </w:rPr>
          <w:t>https://doi.org/10.3390/su17198720</w:t>
        </w:r>
      </w:hyperlink>
      <w:r w:rsidRPr="0027513D">
        <w:rPr>
          <w:rFonts w:ascii="Times New Roman" w:eastAsia="Times New Roman" w:hAnsi="Times New Roman" w:cs="Times New Roman"/>
          <w:kern w:val="0"/>
          <w:lang w:val="en-US"/>
          <w14:ligatures w14:val="none"/>
        </w:rPr>
        <w:t>.</w:t>
      </w:r>
    </w:p>
    <w:p w14:paraId="706E621B"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Arthur, M., Saha, R. and </w:t>
      </w:r>
      <w:proofErr w:type="spellStart"/>
      <w:r w:rsidRPr="0027513D">
        <w:rPr>
          <w:rFonts w:ascii="Times New Roman" w:eastAsia="Times New Roman" w:hAnsi="Times New Roman" w:cs="Times New Roman"/>
          <w:kern w:val="0"/>
          <w:lang w:val="en-US"/>
          <w14:ligatures w14:val="none"/>
        </w:rPr>
        <w:t>Kapilashrami</w:t>
      </w:r>
      <w:proofErr w:type="spellEnd"/>
      <w:r w:rsidRPr="0027513D">
        <w:rPr>
          <w:rFonts w:ascii="Times New Roman" w:eastAsia="Times New Roman" w:hAnsi="Times New Roman" w:cs="Times New Roman"/>
          <w:kern w:val="0"/>
          <w:lang w:val="en-US"/>
          <w14:ligatures w14:val="none"/>
        </w:rPr>
        <w:t xml:space="preserve">, A. (2023) ‘Community participation and stakeholder engagement in determining health service coverage: A systematic review and framework synthesis to assess effectiveness’, </w:t>
      </w:r>
      <w:r w:rsidRPr="0027513D">
        <w:rPr>
          <w:rFonts w:ascii="Times New Roman" w:eastAsia="Times New Roman" w:hAnsi="Times New Roman" w:cs="Times New Roman"/>
          <w:i/>
          <w:iCs/>
          <w:kern w:val="0"/>
          <w:lang w:val="en-US"/>
          <w14:ligatures w14:val="none"/>
        </w:rPr>
        <w:t>Journal of Global Health</w:t>
      </w:r>
      <w:r w:rsidRPr="0027513D">
        <w:rPr>
          <w:rFonts w:ascii="Times New Roman" w:eastAsia="Times New Roman" w:hAnsi="Times New Roman" w:cs="Times New Roman"/>
          <w:kern w:val="0"/>
          <w:lang w:val="en-US"/>
          <w14:ligatures w14:val="none"/>
        </w:rPr>
        <w:t xml:space="preserve">, 13. Available at: </w:t>
      </w:r>
      <w:hyperlink r:id="rId11" w:tgtFrame="_new" w:history="1">
        <w:r w:rsidRPr="0027513D">
          <w:rPr>
            <w:rStyle w:val="Hyperlink"/>
            <w:rFonts w:ascii="Times New Roman" w:eastAsia="Times New Roman" w:hAnsi="Times New Roman" w:cs="Times New Roman"/>
            <w:kern w:val="0"/>
            <w:lang w:val="en-US"/>
            <w14:ligatures w14:val="none"/>
          </w:rPr>
          <w:t>https://pmc.ncbi.nlm.nih.gov/articles/PMC10173679/</w:t>
        </w:r>
      </w:hyperlink>
      <w:r w:rsidRPr="0027513D">
        <w:rPr>
          <w:rFonts w:ascii="Times New Roman" w:eastAsia="Times New Roman" w:hAnsi="Times New Roman" w:cs="Times New Roman"/>
          <w:kern w:val="0"/>
          <w:lang w:val="en-US"/>
          <w14:ligatures w14:val="none"/>
        </w:rPr>
        <w:t xml:space="preserve"> (Accessed: 7 March 2026).</w:t>
      </w:r>
    </w:p>
    <w:p w14:paraId="55B69F1E"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Dolan, K.J., James, A. and Smith, A. (2025) ‘Stakeholder engagement in large infrastructure projects’, </w:t>
      </w:r>
      <w:r w:rsidRPr="0027513D">
        <w:rPr>
          <w:rFonts w:ascii="Times New Roman" w:eastAsia="Times New Roman" w:hAnsi="Times New Roman" w:cs="Times New Roman"/>
          <w:i/>
          <w:iCs/>
          <w:kern w:val="0"/>
          <w:lang w:val="en-US"/>
          <w14:ligatures w14:val="none"/>
        </w:rPr>
        <w:t>Australian Journal of Multi-Disciplinary Engineering</w:t>
      </w:r>
      <w:r w:rsidRPr="0027513D">
        <w:rPr>
          <w:rFonts w:ascii="Times New Roman" w:eastAsia="Times New Roman" w:hAnsi="Times New Roman" w:cs="Times New Roman"/>
          <w:kern w:val="0"/>
          <w:lang w:val="en-US"/>
          <w14:ligatures w14:val="none"/>
        </w:rPr>
        <w:t xml:space="preserve">, pp. 1–12. Available at: </w:t>
      </w:r>
      <w:hyperlink r:id="rId12" w:tgtFrame="_new" w:history="1">
        <w:r w:rsidRPr="0027513D">
          <w:rPr>
            <w:rStyle w:val="Hyperlink"/>
            <w:rFonts w:ascii="Times New Roman" w:eastAsia="Times New Roman" w:hAnsi="Times New Roman" w:cs="Times New Roman"/>
            <w:kern w:val="0"/>
            <w:lang w:val="en-US"/>
            <w14:ligatures w14:val="none"/>
          </w:rPr>
          <w:t>https://doi.org/10.1080/14488388.2025.2538901</w:t>
        </w:r>
      </w:hyperlink>
      <w:r w:rsidRPr="0027513D">
        <w:rPr>
          <w:rFonts w:ascii="Times New Roman" w:eastAsia="Times New Roman" w:hAnsi="Times New Roman" w:cs="Times New Roman"/>
          <w:kern w:val="0"/>
          <w:lang w:val="en-US"/>
          <w14:ligatures w14:val="none"/>
        </w:rPr>
        <w:t>.</w:t>
      </w:r>
    </w:p>
    <w:p w14:paraId="5A031EBC"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Foroughi, M., de Andrade, B., Roders, A.P. and Wang, T. (2023) ‘Public participation and consensus-building in urban planning from the lens of heritage planning: A systematic literature review’, </w:t>
      </w:r>
      <w:r w:rsidRPr="0027513D">
        <w:rPr>
          <w:rFonts w:ascii="Times New Roman" w:eastAsia="Times New Roman" w:hAnsi="Times New Roman" w:cs="Times New Roman"/>
          <w:i/>
          <w:iCs/>
          <w:kern w:val="0"/>
          <w:lang w:val="en-US"/>
          <w14:ligatures w14:val="none"/>
        </w:rPr>
        <w:t>Cities</w:t>
      </w:r>
      <w:r w:rsidRPr="0027513D">
        <w:rPr>
          <w:rFonts w:ascii="Times New Roman" w:eastAsia="Times New Roman" w:hAnsi="Times New Roman" w:cs="Times New Roman"/>
          <w:kern w:val="0"/>
          <w:lang w:val="en-US"/>
          <w14:ligatures w14:val="none"/>
        </w:rPr>
        <w:t xml:space="preserve">, 135, p. 104235. Available at: </w:t>
      </w:r>
      <w:hyperlink r:id="rId13" w:tgtFrame="_new" w:history="1">
        <w:r w:rsidRPr="0027513D">
          <w:rPr>
            <w:rStyle w:val="Hyperlink"/>
            <w:rFonts w:ascii="Times New Roman" w:eastAsia="Times New Roman" w:hAnsi="Times New Roman" w:cs="Times New Roman"/>
            <w:kern w:val="0"/>
            <w:lang w:val="en-US"/>
            <w14:ligatures w14:val="none"/>
          </w:rPr>
          <w:t>https://doi.org/10.1016/j.cities.2023.104235</w:t>
        </w:r>
      </w:hyperlink>
      <w:r w:rsidRPr="0027513D">
        <w:rPr>
          <w:rFonts w:ascii="Times New Roman" w:eastAsia="Times New Roman" w:hAnsi="Times New Roman" w:cs="Times New Roman"/>
          <w:kern w:val="0"/>
          <w:lang w:val="en-US"/>
          <w14:ligatures w14:val="none"/>
        </w:rPr>
        <w:t>.</w:t>
      </w:r>
    </w:p>
    <w:p w14:paraId="44BEEE29"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Kirsi, A., Derakhshan, R., Di Maddaloni, F. and Turner, R. (2024) ‘Stakeholder engagement: Theoretical and methodological directions for project scholarship’, </w:t>
      </w:r>
      <w:r w:rsidRPr="0027513D">
        <w:rPr>
          <w:rFonts w:ascii="Times New Roman" w:eastAsia="Times New Roman" w:hAnsi="Times New Roman" w:cs="Times New Roman"/>
          <w:i/>
          <w:iCs/>
          <w:kern w:val="0"/>
          <w:lang w:val="en-US"/>
          <w14:ligatures w14:val="none"/>
        </w:rPr>
        <w:t>International Journal of Project Management</w:t>
      </w:r>
      <w:r w:rsidRPr="0027513D">
        <w:rPr>
          <w:rFonts w:ascii="Times New Roman" w:eastAsia="Times New Roman" w:hAnsi="Times New Roman" w:cs="Times New Roman"/>
          <w:kern w:val="0"/>
          <w:lang w:val="en-US"/>
          <w14:ligatures w14:val="none"/>
        </w:rPr>
        <w:t xml:space="preserve">, 42(7), p. 102649. Available at: </w:t>
      </w:r>
      <w:hyperlink r:id="rId14" w:tgtFrame="_new" w:history="1">
        <w:r w:rsidRPr="0027513D">
          <w:rPr>
            <w:rStyle w:val="Hyperlink"/>
            <w:rFonts w:ascii="Times New Roman" w:eastAsia="Times New Roman" w:hAnsi="Times New Roman" w:cs="Times New Roman"/>
            <w:kern w:val="0"/>
            <w:lang w:val="en-US"/>
            <w14:ligatures w14:val="none"/>
          </w:rPr>
          <w:t>https://doi.org/10.1016/j.ijproman.2024.102649</w:t>
        </w:r>
      </w:hyperlink>
      <w:r w:rsidRPr="0027513D">
        <w:rPr>
          <w:rFonts w:ascii="Times New Roman" w:eastAsia="Times New Roman" w:hAnsi="Times New Roman" w:cs="Times New Roman"/>
          <w:kern w:val="0"/>
          <w:lang w:val="en-US"/>
          <w14:ligatures w14:val="none"/>
        </w:rPr>
        <w:t>.</w:t>
      </w:r>
    </w:p>
    <w:p w14:paraId="6BC368E4"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Knox, S., Marin-Cadavid, C. and </w:t>
      </w:r>
      <w:proofErr w:type="spellStart"/>
      <w:r w:rsidRPr="0027513D">
        <w:rPr>
          <w:rFonts w:ascii="Times New Roman" w:eastAsia="Times New Roman" w:hAnsi="Times New Roman" w:cs="Times New Roman"/>
          <w:kern w:val="0"/>
          <w:lang w:val="en-US"/>
          <w14:ligatures w14:val="none"/>
        </w:rPr>
        <w:t>Oziri</w:t>
      </w:r>
      <w:proofErr w:type="spellEnd"/>
      <w:r w:rsidRPr="0027513D">
        <w:rPr>
          <w:rFonts w:ascii="Times New Roman" w:eastAsia="Times New Roman" w:hAnsi="Times New Roman" w:cs="Times New Roman"/>
          <w:kern w:val="0"/>
          <w:lang w:val="en-US"/>
          <w14:ligatures w14:val="none"/>
        </w:rPr>
        <w:t xml:space="preserve">, V. (2024) ‘Stakeholder engagement-as-practice in public sector innovation’, </w:t>
      </w:r>
      <w:r w:rsidRPr="0027513D">
        <w:rPr>
          <w:rFonts w:ascii="Times New Roman" w:eastAsia="Times New Roman" w:hAnsi="Times New Roman" w:cs="Times New Roman"/>
          <w:i/>
          <w:iCs/>
          <w:kern w:val="0"/>
          <w:lang w:val="en-US"/>
          <w14:ligatures w14:val="none"/>
        </w:rPr>
        <w:t>International Public Management Journal</w:t>
      </w:r>
      <w:r w:rsidRPr="0027513D">
        <w:rPr>
          <w:rFonts w:ascii="Times New Roman" w:eastAsia="Times New Roman" w:hAnsi="Times New Roman" w:cs="Times New Roman"/>
          <w:kern w:val="0"/>
          <w:lang w:val="en-US"/>
          <w14:ligatures w14:val="none"/>
        </w:rPr>
        <w:t xml:space="preserve">, 28(1), pp. 1–16. Available at: </w:t>
      </w:r>
      <w:hyperlink r:id="rId15" w:tgtFrame="_new" w:history="1">
        <w:r w:rsidRPr="0027513D">
          <w:rPr>
            <w:rStyle w:val="Hyperlink"/>
            <w:rFonts w:ascii="Times New Roman" w:eastAsia="Times New Roman" w:hAnsi="Times New Roman" w:cs="Times New Roman"/>
            <w:kern w:val="0"/>
            <w:lang w:val="en-US"/>
            <w14:ligatures w14:val="none"/>
          </w:rPr>
          <w:t>https://doi.org/10.1080/10967494.2024.2423952</w:t>
        </w:r>
      </w:hyperlink>
      <w:r w:rsidRPr="0027513D">
        <w:rPr>
          <w:rFonts w:ascii="Times New Roman" w:eastAsia="Times New Roman" w:hAnsi="Times New Roman" w:cs="Times New Roman"/>
          <w:kern w:val="0"/>
          <w:lang w:val="en-US"/>
          <w14:ligatures w14:val="none"/>
        </w:rPr>
        <w:t>.</w:t>
      </w:r>
    </w:p>
    <w:p w14:paraId="429BF667"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Lehtinen, J. and Aaltonen, K. (2024) ‘Community stakeholders’ online engagement in infrastructure projects: A theory-testing single-case study’, </w:t>
      </w:r>
      <w:r w:rsidRPr="0027513D">
        <w:rPr>
          <w:rFonts w:ascii="Times New Roman" w:eastAsia="Times New Roman" w:hAnsi="Times New Roman" w:cs="Times New Roman"/>
          <w:i/>
          <w:iCs/>
          <w:kern w:val="0"/>
          <w:lang w:val="en-US"/>
          <w14:ligatures w14:val="none"/>
        </w:rPr>
        <w:t>Construction Management and Economics</w:t>
      </w:r>
      <w:r w:rsidRPr="0027513D">
        <w:rPr>
          <w:rFonts w:ascii="Times New Roman" w:eastAsia="Times New Roman" w:hAnsi="Times New Roman" w:cs="Times New Roman"/>
          <w:kern w:val="0"/>
          <w:lang w:val="en-US"/>
          <w14:ligatures w14:val="none"/>
        </w:rPr>
        <w:t xml:space="preserve">, pp. 1–29. Available at: </w:t>
      </w:r>
      <w:hyperlink r:id="rId16" w:tgtFrame="_new" w:history="1">
        <w:r w:rsidRPr="0027513D">
          <w:rPr>
            <w:rStyle w:val="Hyperlink"/>
            <w:rFonts w:ascii="Times New Roman" w:eastAsia="Times New Roman" w:hAnsi="Times New Roman" w:cs="Times New Roman"/>
            <w:kern w:val="0"/>
            <w:lang w:val="en-US"/>
            <w14:ligatures w14:val="none"/>
          </w:rPr>
          <w:t>https://doi.org/10.1080/01446193.2024.2326558</w:t>
        </w:r>
      </w:hyperlink>
      <w:r w:rsidRPr="0027513D">
        <w:rPr>
          <w:rFonts w:ascii="Times New Roman" w:eastAsia="Times New Roman" w:hAnsi="Times New Roman" w:cs="Times New Roman"/>
          <w:kern w:val="0"/>
          <w:lang w:val="en-US"/>
          <w14:ligatures w14:val="none"/>
        </w:rPr>
        <w:t>.</w:t>
      </w:r>
    </w:p>
    <w:p w14:paraId="7448A5C1"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Li, Y., Nor Atiah Ismail, N. and </w:t>
      </w:r>
      <w:proofErr w:type="spellStart"/>
      <w:r w:rsidRPr="0027513D">
        <w:rPr>
          <w:rFonts w:ascii="Times New Roman" w:eastAsia="Times New Roman" w:hAnsi="Times New Roman" w:cs="Times New Roman"/>
          <w:kern w:val="0"/>
          <w:lang w:val="en-US"/>
          <w14:ligatures w14:val="none"/>
        </w:rPr>
        <w:t>Mundher</w:t>
      </w:r>
      <w:proofErr w:type="spellEnd"/>
      <w:r w:rsidRPr="0027513D">
        <w:rPr>
          <w:rFonts w:ascii="Times New Roman" w:eastAsia="Times New Roman" w:hAnsi="Times New Roman" w:cs="Times New Roman"/>
          <w:kern w:val="0"/>
          <w:lang w:val="en-US"/>
          <w14:ligatures w14:val="none"/>
        </w:rPr>
        <w:t xml:space="preserve">, R. (2024) ‘Stakeholder involvement and preferences in landscape protection decision-making: A systematic literature review’, </w:t>
      </w:r>
      <w:r w:rsidRPr="0027513D">
        <w:rPr>
          <w:rFonts w:ascii="Times New Roman" w:eastAsia="Times New Roman" w:hAnsi="Times New Roman" w:cs="Times New Roman"/>
          <w:i/>
          <w:iCs/>
          <w:kern w:val="0"/>
          <w:lang w:val="en-US"/>
          <w14:ligatures w14:val="none"/>
        </w:rPr>
        <w:t>Frontiers in Communication</w:t>
      </w:r>
      <w:r w:rsidRPr="0027513D">
        <w:rPr>
          <w:rFonts w:ascii="Times New Roman" w:eastAsia="Times New Roman" w:hAnsi="Times New Roman" w:cs="Times New Roman"/>
          <w:kern w:val="0"/>
          <w:lang w:val="en-US"/>
          <w14:ligatures w14:val="none"/>
        </w:rPr>
        <w:t xml:space="preserve">, 9. Available at: </w:t>
      </w:r>
      <w:hyperlink r:id="rId17" w:tgtFrame="_new" w:history="1">
        <w:r w:rsidRPr="0027513D">
          <w:rPr>
            <w:rStyle w:val="Hyperlink"/>
            <w:rFonts w:ascii="Times New Roman" w:eastAsia="Times New Roman" w:hAnsi="Times New Roman" w:cs="Times New Roman"/>
            <w:kern w:val="0"/>
            <w:lang w:val="en-US"/>
            <w14:ligatures w14:val="none"/>
          </w:rPr>
          <w:t>https://doi.org/10.3389/fcomm.2024.1340026</w:t>
        </w:r>
      </w:hyperlink>
      <w:r w:rsidRPr="0027513D">
        <w:rPr>
          <w:rFonts w:ascii="Times New Roman" w:eastAsia="Times New Roman" w:hAnsi="Times New Roman" w:cs="Times New Roman"/>
          <w:kern w:val="0"/>
          <w:lang w:val="en-US"/>
          <w14:ligatures w14:val="none"/>
        </w:rPr>
        <w:t>.</w:t>
      </w:r>
    </w:p>
    <w:p w14:paraId="220BE33D"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López-Concepción, A., Gil-Lacruz, A.I. and </w:t>
      </w:r>
      <w:proofErr w:type="spellStart"/>
      <w:r w:rsidRPr="0027513D">
        <w:rPr>
          <w:rFonts w:ascii="Times New Roman" w:eastAsia="Times New Roman" w:hAnsi="Times New Roman" w:cs="Times New Roman"/>
          <w:kern w:val="0"/>
          <w:lang w:val="en-US"/>
          <w14:ligatures w14:val="none"/>
        </w:rPr>
        <w:t>Saz</w:t>
      </w:r>
      <w:proofErr w:type="spellEnd"/>
      <w:r w:rsidRPr="0027513D">
        <w:rPr>
          <w:rFonts w:ascii="Times New Roman" w:eastAsia="Times New Roman" w:hAnsi="Times New Roman" w:cs="Times New Roman"/>
          <w:kern w:val="0"/>
          <w:lang w:val="en-US"/>
          <w14:ligatures w14:val="none"/>
        </w:rPr>
        <w:t xml:space="preserve">-Gil, I. (2021) ‘Stakeholder engagement, CSR development and SDGs compliance: A systematic review from 2015 to 2021’, </w:t>
      </w:r>
      <w:r w:rsidRPr="0027513D">
        <w:rPr>
          <w:rFonts w:ascii="Times New Roman" w:eastAsia="Times New Roman" w:hAnsi="Times New Roman" w:cs="Times New Roman"/>
          <w:i/>
          <w:iCs/>
          <w:kern w:val="0"/>
          <w:lang w:val="en-US"/>
          <w14:ligatures w14:val="none"/>
        </w:rPr>
        <w:t xml:space="preserve">Corporate </w:t>
      </w:r>
      <w:r w:rsidRPr="0027513D">
        <w:rPr>
          <w:rFonts w:ascii="Times New Roman" w:eastAsia="Times New Roman" w:hAnsi="Times New Roman" w:cs="Times New Roman"/>
          <w:i/>
          <w:iCs/>
          <w:kern w:val="0"/>
          <w:lang w:val="en-US"/>
          <w14:ligatures w14:val="none"/>
        </w:rPr>
        <w:lastRenderedPageBreak/>
        <w:t>Social Responsibility and Environmental Management</w:t>
      </w:r>
      <w:r w:rsidRPr="0027513D">
        <w:rPr>
          <w:rFonts w:ascii="Times New Roman" w:eastAsia="Times New Roman" w:hAnsi="Times New Roman" w:cs="Times New Roman"/>
          <w:kern w:val="0"/>
          <w:lang w:val="en-US"/>
          <w14:ligatures w14:val="none"/>
        </w:rPr>
        <w:t xml:space="preserve">, 29(1). Available at: </w:t>
      </w:r>
      <w:hyperlink r:id="rId18" w:tgtFrame="_new" w:history="1">
        <w:r w:rsidRPr="0027513D">
          <w:rPr>
            <w:rStyle w:val="Hyperlink"/>
            <w:rFonts w:ascii="Times New Roman" w:eastAsia="Times New Roman" w:hAnsi="Times New Roman" w:cs="Times New Roman"/>
            <w:kern w:val="0"/>
            <w:lang w:val="en-US"/>
            <w14:ligatures w14:val="none"/>
          </w:rPr>
          <w:t>https://doi.org/10.1002/csr.2170</w:t>
        </w:r>
      </w:hyperlink>
      <w:r w:rsidRPr="0027513D">
        <w:rPr>
          <w:rFonts w:ascii="Times New Roman" w:eastAsia="Times New Roman" w:hAnsi="Times New Roman" w:cs="Times New Roman"/>
          <w:kern w:val="0"/>
          <w:lang w:val="en-US"/>
          <w14:ligatures w14:val="none"/>
        </w:rPr>
        <w:t>.</w:t>
      </w:r>
    </w:p>
    <w:p w14:paraId="3D195408"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Motalebi, M., Heffernan, E., McCarthy, T., Marzban, S. and Rashidi, A. (2025) ‘Sustainability and stakeholder engagement in building information modelling-enabled construction: A review of critical success factors in design and planning phases’, </w:t>
      </w:r>
      <w:r w:rsidRPr="0027513D">
        <w:rPr>
          <w:rFonts w:ascii="Times New Roman" w:eastAsia="Times New Roman" w:hAnsi="Times New Roman" w:cs="Times New Roman"/>
          <w:i/>
          <w:iCs/>
          <w:kern w:val="0"/>
          <w:lang w:val="en-US"/>
          <w14:ligatures w14:val="none"/>
        </w:rPr>
        <w:t>Sustainability</w:t>
      </w:r>
      <w:r w:rsidRPr="0027513D">
        <w:rPr>
          <w:rFonts w:ascii="Times New Roman" w:eastAsia="Times New Roman" w:hAnsi="Times New Roman" w:cs="Times New Roman"/>
          <w:kern w:val="0"/>
          <w:lang w:val="en-US"/>
          <w14:ligatures w14:val="none"/>
        </w:rPr>
        <w:t xml:space="preserve">, 17(3), p. 1086. Available at: </w:t>
      </w:r>
      <w:hyperlink r:id="rId19" w:tgtFrame="_new" w:history="1">
        <w:r w:rsidRPr="0027513D">
          <w:rPr>
            <w:rStyle w:val="Hyperlink"/>
            <w:rFonts w:ascii="Times New Roman" w:eastAsia="Times New Roman" w:hAnsi="Times New Roman" w:cs="Times New Roman"/>
            <w:kern w:val="0"/>
            <w:lang w:val="en-US"/>
            <w14:ligatures w14:val="none"/>
          </w:rPr>
          <w:t>https://doi.org/10.3390/su17031086</w:t>
        </w:r>
      </w:hyperlink>
      <w:r w:rsidRPr="0027513D">
        <w:rPr>
          <w:rFonts w:ascii="Times New Roman" w:eastAsia="Times New Roman" w:hAnsi="Times New Roman" w:cs="Times New Roman"/>
          <w:kern w:val="0"/>
          <w:lang w:val="en-US"/>
          <w14:ligatures w14:val="none"/>
        </w:rPr>
        <w:t>.</w:t>
      </w:r>
    </w:p>
    <w:p w14:paraId="0FB98B94"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Murphy, J., Qureshi, O., Endale, T., Esponda, G.M., Pathare, S., Eaton, J., De Silva, M. and Ryan, G. (2021) ‘Barriers and drivers to stakeholder engagement in global mental health projects’, </w:t>
      </w:r>
      <w:r w:rsidRPr="0027513D">
        <w:rPr>
          <w:rFonts w:ascii="Times New Roman" w:eastAsia="Times New Roman" w:hAnsi="Times New Roman" w:cs="Times New Roman"/>
          <w:i/>
          <w:iCs/>
          <w:kern w:val="0"/>
          <w:lang w:val="en-US"/>
          <w14:ligatures w14:val="none"/>
        </w:rPr>
        <w:t>International Journal of Mental Health Systems</w:t>
      </w:r>
      <w:r w:rsidRPr="0027513D">
        <w:rPr>
          <w:rFonts w:ascii="Times New Roman" w:eastAsia="Times New Roman" w:hAnsi="Times New Roman" w:cs="Times New Roman"/>
          <w:kern w:val="0"/>
          <w:lang w:val="en-US"/>
          <w14:ligatures w14:val="none"/>
        </w:rPr>
        <w:t xml:space="preserve">, 15(1). Available at: </w:t>
      </w:r>
      <w:hyperlink r:id="rId20" w:tgtFrame="_new" w:history="1">
        <w:r w:rsidRPr="0027513D">
          <w:rPr>
            <w:rStyle w:val="Hyperlink"/>
            <w:rFonts w:ascii="Times New Roman" w:eastAsia="Times New Roman" w:hAnsi="Times New Roman" w:cs="Times New Roman"/>
            <w:kern w:val="0"/>
            <w:lang w:val="en-US"/>
            <w14:ligatures w14:val="none"/>
          </w:rPr>
          <w:t>https://doi.org/10.1186/s13033-021-00458-y</w:t>
        </w:r>
      </w:hyperlink>
      <w:r w:rsidRPr="0027513D">
        <w:rPr>
          <w:rFonts w:ascii="Times New Roman" w:eastAsia="Times New Roman" w:hAnsi="Times New Roman" w:cs="Times New Roman"/>
          <w:kern w:val="0"/>
          <w:lang w:val="en-US"/>
          <w14:ligatures w14:val="none"/>
        </w:rPr>
        <w:t>.</w:t>
      </w:r>
    </w:p>
    <w:p w14:paraId="5C2C69FB"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Oliveira, R.R., Fernandes, G. and Pardini, D.J. (2023) ‘Stakeholder engagement as a determinant of governance in projects’, </w:t>
      </w:r>
      <w:r w:rsidRPr="0027513D">
        <w:rPr>
          <w:rFonts w:ascii="Times New Roman" w:eastAsia="Times New Roman" w:hAnsi="Times New Roman" w:cs="Times New Roman"/>
          <w:i/>
          <w:iCs/>
          <w:kern w:val="0"/>
          <w:lang w:val="en-US"/>
          <w14:ligatures w14:val="none"/>
        </w:rPr>
        <w:t>Procedia Computer Science</w:t>
      </w:r>
      <w:r w:rsidRPr="0027513D">
        <w:rPr>
          <w:rFonts w:ascii="Times New Roman" w:eastAsia="Times New Roman" w:hAnsi="Times New Roman" w:cs="Times New Roman"/>
          <w:kern w:val="0"/>
          <w:lang w:val="en-US"/>
          <w14:ligatures w14:val="none"/>
        </w:rPr>
        <w:t xml:space="preserve">, 219, pp. 1564–1573. Available at: </w:t>
      </w:r>
      <w:hyperlink r:id="rId21" w:tgtFrame="_new" w:history="1">
        <w:r w:rsidRPr="0027513D">
          <w:rPr>
            <w:rStyle w:val="Hyperlink"/>
            <w:rFonts w:ascii="Times New Roman" w:eastAsia="Times New Roman" w:hAnsi="Times New Roman" w:cs="Times New Roman"/>
            <w:kern w:val="0"/>
            <w:lang w:val="en-US"/>
            <w14:ligatures w14:val="none"/>
          </w:rPr>
          <w:t>https://doi.org/10.1016/j.procs.2023.01.448</w:t>
        </w:r>
      </w:hyperlink>
      <w:r w:rsidRPr="0027513D">
        <w:rPr>
          <w:rFonts w:ascii="Times New Roman" w:eastAsia="Times New Roman" w:hAnsi="Times New Roman" w:cs="Times New Roman"/>
          <w:kern w:val="0"/>
          <w:lang w:val="en-US"/>
          <w14:ligatures w14:val="none"/>
        </w:rPr>
        <w:t>.</w:t>
      </w:r>
    </w:p>
    <w:p w14:paraId="2EEAAB62"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Prebanić, K.R. and </w:t>
      </w:r>
      <w:proofErr w:type="spellStart"/>
      <w:r w:rsidRPr="0027513D">
        <w:rPr>
          <w:rFonts w:ascii="Times New Roman" w:eastAsia="Times New Roman" w:hAnsi="Times New Roman" w:cs="Times New Roman"/>
          <w:kern w:val="0"/>
          <w:lang w:val="en-US"/>
          <w14:ligatures w14:val="none"/>
        </w:rPr>
        <w:t>Vukomanović</w:t>
      </w:r>
      <w:proofErr w:type="spellEnd"/>
      <w:r w:rsidRPr="0027513D">
        <w:rPr>
          <w:rFonts w:ascii="Times New Roman" w:eastAsia="Times New Roman" w:hAnsi="Times New Roman" w:cs="Times New Roman"/>
          <w:kern w:val="0"/>
          <w:lang w:val="en-US"/>
          <w14:ligatures w14:val="none"/>
        </w:rPr>
        <w:t xml:space="preserve">, M. (2023) ‘Exploring stakeholder engagement process as the success factor for infrastructure projects’, </w:t>
      </w:r>
      <w:r w:rsidRPr="0027513D">
        <w:rPr>
          <w:rFonts w:ascii="Times New Roman" w:eastAsia="Times New Roman" w:hAnsi="Times New Roman" w:cs="Times New Roman"/>
          <w:i/>
          <w:iCs/>
          <w:kern w:val="0"/>
          <w:lang w:val="en-US"/>
          <w14:ligatures w14:val="none"/>
        </w:rPr>
        <w:t>Buildings</w:t>
      </w:r>
      <w:r w:rsidRPr="0027513D">
        <w:rPr>
          <w:rFonts w:ascii="Times New Roman" w:eastAsia="Times New Roman" w:hAnsi="Times New Roman" w:cs="Times New Roman"/>
          <w:kern w:val="0"/>
          <w:lang w:val="en-US"/>
          <w14:ligatures w14:val="none"/>
        </w:rPr>
        <w:t xml:space="preserve">, 13(7), p. 1785. Available at: </w:t>
      </w:r>
      <w:hyperlink r:id="rId22" w:tgtFrame="_new" w:history="1">
        <w:r w:rsidRPr="0027513D">
          <w:rPr>
            <w:rStyle w:val="Hyperlink"/>
            <w:rFonts w:ascii="Times New Roman" w:eastAsia="Times New Roman" w:hAnsi="Times New Roman" w:cs="Times New Roman"/>
            <w:kern w:val="0"/>
            <w:lang w:val="en-US"/>
            <w14:ligatures w14:val="none"/>
          </w:rPr>
          <w:t>https://doi.org/10.3390/buildings13071785</w:t>
        </w:r>
      </w:hyperlink>
      <w:r w:rsidRPr="0027513D">
        <w:rPr>
          <w:rFonts w:ascii="Times New Roman" w:eastAsia="Times New Roman" w:hAnsi="Times New Roman" w:cs="Times New Roman"/>
          <w:kern w:val="0"/>
          <w:lang w:val="en-US"/>
          <w14:ligatures w14:val="none"/>
        </w:rPr>
        <w:t>.</w:t>
      </w:r>
    </w:p>
    <w:p w14:paraId="7BBDA956"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Redvers, N., </w:t>
      </w:r>
      <w:proofErr w:type="spellStart"/>
      <w:r w:rsidRPr="0027513D">
        <w:rPr>
          <w:rFonts w:ascii="Times New Roman" w:eastAsia="Times New Roman" w:hAnsi="Times New Roman" w:cs="Times New Roman"/>
          <w:kern w:val="0"/>
          <w:lang w:val="en-US"/>
          <w14:ligatures w14:val="none"/>
        </w:rPr>
        <w:t>Odugleh</w:t>
      </w:r>
      <w:proofErr w:type="spellEnd"/>
      <w:r w:rsidRPr="0027513D">
        <w:rPr>
          <w:rFonts w:ascii="Times New Roman" w:eastAsia="Times New Roman" w:hAnsi="Times New Roman" w:cs="Times New Roman"/>
          <w:kern w:val="0"/>
          <w:lang w:val="en-US"/>
          <w14:ligatures w14:val="none"/>
        </w:rPr>
        <w:t xml:space="preserve">-Kolev, A., Cordero, J.P., Zerwas, F., Zitoun, N.M., </w:t>
      </w:r>
      <w:proofErr w:type="spellStart"/>
      <w:r w:rsidRPr="0027513D">
        <w:rPr>
          <w:rFonts w:ascii="Times New Roman" w:eastAsia="Times New Roman" w:hAnsi="Times New Roman" w:cs="Times New Roman"/>
          <w:kern w:val="0"/>
          <w:lang w:val="en-US"/>
          <w14:ligatures w14:val="none"/>
        </w:rPr>
        <w:t>Kamalabadi</w:t>
      </w:r>
      <w:proofErr w:type="spellEnd"/>
      <w:r w:rsidRPr="0027513D">
        <w:rPr>
          <w:rFonts w:ascii="Times New Roman" w:eastAsia="Times New Roman" w:hAnsi="Times New Roman" w:cs="Times New Roman"/>
          <w:kern w:val="0"/>
          <w:lang w:val="en-US"/>
          <w14:ligatures w14:val="none"/>
        </w:rPr>
        <w:t xml:space="preserve">, Y.M., Stevens, A., </w:t>
      </w:r>
      <w:proofErr w:type="spellStart"/>
      <w:r w:rsidRPr="0027513D">
        <w:rPr>
          <w:rFonts w:ascii="Times New Roman" w:eastAsia="Times New Roman" w:hAnsi="Times New Roman" w:cs="Times New Roman"/>
          <w:kern w:val="0"/>
          <w:lang w:val="en-US"/>
          <w14:ligatures w14:val="none"/>
        </w:rPr>
        <w:t>Nagasivam</w:t>
      </w:r>
      <w:proofErr w:type="spellEnd"/>
      <w:r w:rsidRPr="0027513D">
        <w:rPr>
          <w:rFonts w:ascii="Times New Roman" w:eastAsia="Times New Roman" w:hAnsi="Times New Roman" w:cs="Times New Roman"/>
          <w:kern w:val="0"/>
          <w:lang w:val="en-US"/>
          <w14:ligatures w14:val="none"/>
        </w:rPr>
        <w:t xml:space="preserve">, A., Cheh, P., Callon, E., Aparicio-Reyes, K. and Kubota, S. (2024) ‘Relational community engagement within health interventions at varied outcome scales’, </w:t>
      </w:r>
      <w:r w:rsidRPr="0027513D">
        <w:rPr>
          <w:rFonts w:ascii="Times New Roman" w:eastAsia="Times New Roman" w:hAnsi="Times New Roman" w:cs="Times New Roman"/>
          <w:i/>
          <w:iCs/>
          <w:kern w:val="0"/>
          <w:lang w:val="en-US"/>
          <w14:ligatures w14:val="none"/>
        </w:rPr>
        <w:t>PLOS Global Public Health</w:t>
      </w:r>
      <w:r w:rsidRPr="0027513D">
        <w:rPr>
          <w:rFonts w:ascii="Times New Roman" w:eastAsia="Times New Roman" w:hAnsi="Times New Roman" w:cs="Times New Roman"/>
          <w:kern w:val="0"/>
          <w:lang w:val="en-US"/>
          <w14:ligatures w14:val="none"/>
        </w:rPr>
        <w:t xml:space="preserve">, 4(6), p. e0003193. Available at: </w:t>
      </w:r>
      <w:hyperlink r:id="rId23" w:tgtFrame="_new" w:history="1">
        <w:r w:rsidRPr="0027513D">
          <w:rPr>
            <w:rStyle w:val="Hyperlink"/>
            <w:rFonts w:ascii="Times New Roman" w:eastAsia="Times New Roman" w:hAnsi="Times New Roman" w:cs="Times New Roman"/>
            <w:kern w:val="0"/>
            <w:lang w:val="en-US"/>
            <w14:ligatures w14:val="none"/>
          </w:rPr>
          <w:t>https://doi.org/10.1371/journal.pgph.0003193</w:t>
        </w:r>
      </w:hyperlink>
      <w:r w:rsidRPr="0027513D">
        <w:rPr>
          <w:rFonts w:ascii="Times New Roman" w:eastAsia="Times New Roman" w:hAnsi="Times New Roman" w:cs="Times New Roman"/>
          <w:kern w:val="0"/>
          <w:lang w:val="en-US"/>
          <w14:ligatures w14:val="none"/>
        </w:rPr>
        <w:t>.</w:t>
      </w:r>
    </w:p>
    <w:p w14:paraId="3616472C"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Tor, M.A. and Gambo, N. (2024) ‘A systematic review of stakeholders’ engagement as a critical tool for effective project performance’, </w:t>
      </w:r>
      <w:r w:rsidRPr="0027513D">
        <w:rPr>
          <w:rFonts w:ascii="Times New Roman" w:eastAsia="Times New Roman" w:hAnsi="Times New Roman" w:cs="Times New Roman"/>
          <w:i/>
          <w:iCs/>
          <w:kern w:val="0"/>
          <w:lang w:val="en-US"/>
          <w14:ligatures w14:val="none"/>
        </w:rPr>
        <w:t>East African Scholars Journal of Economics, Business and Management</w:t>
      </w:r>
      <w:r w:rsidRPr="0027513D">
        <w:rPr>
          <w:rFonts w:ascii="Times New Roman" w:eastAsia="Times New Roman" w:hAnsi="Times New Roman" w:cs="Times New Roman"/>
          <w:kern w:val="0"/>
          <w:lang w:val="en-US"/>
          <w14:ligatures w14:val="none"/>
        </w:rPr>
        <w:t xml:space="preserve">, 7(08), pp. 324–330. Available at: </w:t>
      </w:r>
      <w:hyperlink r:id="rId24" w:tgtFrame="_new" w:history="1">
        <w:r w:rsidRPr="0027513D">
          <w:rPr>
            <w:rStyle w:val="Hyperlink"/>
            <w:rFonts w:ascii="Times New Roman" w:eastAsia="Times New Roman" w:hAnsi="Times New Roman" w:cs="Times New Roman"/>
            <w:kern w:val="0"/>
            <w:lang w:val="en-US"/>
            <w14:ligatures w14:val="none"/>
          </w:rPr>
          <w:t>https://doi.org/10.36349/easjebm.2024.v07i08.003</w:t>
        </w:r>
      </w:hyperlink>
      <w:r w:rsidRPr="0027513D">
        <w:rPr>
          <w:rFonts w:ascii="Times New Roman" w:eastAsia="Times New Roman" w:hAnsi="Times New Roman" w:cs="Times New Roman"/>
          <w:kern w:val="0"/>
          <w:lang w:val="en-US"/>
          <w14:ligatures w14:val="none"/>
        </w:rPr>
        <w:t>.</w:t>
      </w:r>
    </w:p>
    <w:p w14:paraId="0FB53170" w14:textId="77777777" w:rsidR="002D0CA2" w:rsidRPr="0027513D" w:rsidRDefault="002D0CA2" w:rsidP="0027513D">
      <w:pPr>
        <w:spacing w:after="240" w:line="360" w:lineRule="auto"/>
        <w:ind w:left="720" w:hanging="720"/>
        <w:contextualSpacing/>
        <w:jc w:val="both"/>
        <w:rPr>
          <w:rFonts w:ascii="Times New Roman" w:eastAsia="Times New Roman" w:hAnsi="Times New Roman" w:cs="Times New Roman"/>
          <w:kern w:val="0"/>
          <w:lang w:val="en-US"/>
          <w14:ligatures w14:val="none"/>
        </w:rPr>
      </w:pPr>
      <w:r w:rsidRPr="0027513D">
        <w:rPr>
          <w:rFonts w:ascii="Times New Roman" w:eastAsia="Times New Roman" w:hAnsi="Times New Roman" w:cs="Times New Roman"/>
          <w:kern w:val="0"/>
          <w:lang w:val="en-US"/>
          <w14:ligatures w14:val="none"/>
        </w:rPr>
        <w:t xml:space="preserve">Yoo, B.-C. (2025) ‘Exploring stakeholder and organisational influences on ESG management in the logistics sector’, </w:t>
      </w:r>
      <w:r w:rsidRPr="0027513D">
        <w:rPr>
          <w:rFonts w:ascii="Times New Roman" w:eastAsia="Times New Roman" w:hAnsi="Times New Roman" w:cs="Times New Roman"/>
          <w:i/>
          <w:iCs/>
          <w:kern w:val="0"/>
          <w:lang w:val="en-US"/>
          <w14:ligatures w14:val="none"/>
        </w:rPr>
        <w:t>Sustainability</w:t>
      </w:r>
      <w:r w:rsidRPr="0027513D">
        <w:rPr>
          <w:rFonts w:ascii="Times New Roman" w:eastAsia="Times New Roman" w:hAnsi="Times New Roman" w:cs="Times New Roman"/>
          <w:kern w:val="0"/>
          <w:lang w:val="en-US"/>
          <w14:ligatures w14:val="none"/>
        </w:rPr>
        <w:t xml:space="preserve">, 17(9), p. 4243. Available at: </w:t>
      </w:r>
      <w:hyperlink r:id="rId25" w:tgtFrame="_new" w:history="1">
        <w:r w:rsidRPr="0027513D">
          <w:rPr>
            <w:rStyle w:val="Hyperlink"/>
            <w:rFonts w:ascii="Times New Roman" w:eastAsia="Times New Roman" w:hAnsi="Times New Roman" w:cs="Times New Roman"/>
            <w:kern w:val="0"/>
            <w:lang w:val="en-US"/>
            <w14:ligatures w14:val="none"/>
          </w:rPr>
          <w:t>https://doi.org/10.3390/su17094243</w:t>
        </w:r>
      </w:hyperlink>
      <w:r w:rsidRPr="0027513D">
        <w:rPr>
          <w:rFonts w:ascii="Times New Roman" w:eastAsia="Times New Roman" w:hAnsi="Times New Roman" w:cs="Times New Roman"/>
          <w:kern w:val="0"/>
          <w:lang w:val="en-US"/>
          <w14:ligatures w14:val="none"/>
        </w:rPr>
        <w:t>.</w:t>
      </w:r>
    </w:p>
    <w:p w14:paraId="23C99CD8" w14:textId="2FE0E975" w:rsidR="00304A0E" w:rsidRPr="0027513D" w:rsidRDefault="00304A0E" w:rsidP="0027513D">
      <w:pPr>
        <w:spacing w:after="240" w:line="360" w:lineRule="auto"/>
        <w:ind w:left="720" w:hanging="720"/>
        <w:contextualSpacing/>
        <w:jc w:val="both"/>
        <w:rPr>
          <w:rFonts w:ascii="Times New Roman" w:eastAsia="Times New Roman" w:hAnsi="Times New Roman" w:cs="Times New Roman"/>
          <w:kern w:val="0"/>
          <w14:ligatures w14:val="none"/>
        </w:rPr>
      </w:pPr>
    </w:p>
    <w:sectPr w:rsidR="00304A0E" w:rsidRPr="0027513D">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5962D" w14:textId="77777777" w:rsidR="00C02876" w:rsidRDefault="00C02876" w:rsidP="00CE1B3E">
      <w:pPr>
        <w:spacing w:after="0" w:line="240" w:lineRule="auto"/>
      </w:pPr>
      <w:r>
        <w:separator/>
      </w:r>
    </w:p>
  </w:endnote>
  <w:endnote w:type="continuationSeparator" w:id="0">
    <w:p w14:paraId="4F3C4275" w14:textId="77777777" w:rsidR="00C02876" w:rsidRDefault="00C02876" w:rsidP="00CE1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ist Fallback">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00444" w14:textId="77777777" w:rsidR="00C02876" w:rsidRDefault="00C02876" w:rsidP="00CE1B3E">
      <w:pPr>
        <w:spacing w:after="0" w:line="240" w:lineRule="auto"/>
      </w:pPr>
      <w:r>
        <w:separator/>
      </w:r>
    </w:p>
  </w:footnote>
  <w:footnote w:type="continuationSeparator" w:id="0">
    <w:p w14:paraId="40B2FE72" w14:textId="77777777" w:rsidR="00C02876" w:rsidRDefault="00C02876" w:rsidP="00CE1B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6985617"/>
      <w:docPartObj>
        <w:docPartGallery w:val="Page Numbers (Top of Page)"/>
        <w:docPartUnique/>
      </w:docPartObj>
    </w:sdtPr>
    <w:sdtEndPr>
      <w:rPr>
        <w:noProof/>
      </w:rPr>
    </w:sdtEndPr>
    <w:sdtContent>
      <w:p w14:paraId="4492F825" w14:textId="0959AFAA" w:rsidR="00CE1B3E" w:rsidRDefault="00CE1B3E">
        <w:pPr>
          <w:pStyle w:val="Header"/>
          <w:jc w:val="right"/>
        </w:pPr>
        <w:r>
          <w:fldChar w:fldCharType="begin"/>
        </w:r>
        <w:r>
          <w:instrText xml:space="preserve"> PAGE   \* MERGEFORMAT </w:instrText>
        </w:r>
        <w:r>
          <w:fldChar w:fldCharType="separate"/>
        </w:r>
        <w:r w:rsidR="0020218E">
          <w:rPr>
            <w:noProof/>
          </w:rPr>
          <w:t>16</w:t>
        </w:r>
        <w:r>
          <w:rPr>
            <w:noProof/>
          </w:rPr>
          <w:fldChar w:fldCharType="end"/>
        </w:r>
      </w:p>
    </w:sdtContent>
  </w:sdt>
  <w:p w14:paraId="28118D3F" w14:textId="77777777" w:rsidR="00CE1B3E" w:rsidRDefault="00CE1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E531F"/>
    <w:multiLevelType w:val="hybridMultilevel"/>
    <w:tmpl w:val="0C22E466"/>
    <w:lvl w:ilvl="0" w:tplc="E3B2E23E">
      <w:start w:val="1"/>
      <w:numFmt w:val="decimal"/>
      <w:lvlText w:val="%1."/>
      <w:lvlJc w:val="left"/>
      <w:pPr>
        <w:tabs>
          <w:tab w:val="num" w:pos="720"/>
        </w:tabs>
        <w:ind w:left="720" w:hanging="360"/>
      </w:pPr>
    </w:lvl>
    <w:lvl w:ilvl="1" w:tplc="F3209260" w:tentative="1">
      <w:start w:val="1"/>
      <w:numFmt w:val="decimal"/>
      <w:lvlText w:val="%2."/>
      <w:lvlJc w:val="left"/>
      <w:pPr>
        <w:tabs>
          <w:tab w:val="num" w:pos="1440"/>
        </w:tabs>
        <w:ind w:left="1440" w:hanging="360"/>
      </w:pPr>
    </w:lvl>
    <w:lvl w:ilvl="2" w:tplc="F9C479C2" w:tentative="1">
      <w:start w:val="1"/>
      <w:numFmt w:val="decimal"/>
      <w:lvlText w:val="%3."/>
      <w:lvlJc w:val="left"/>
      <w:pPr>
        <w:tabs>
          <w:tab w:val="num" w:pos="2160"/>
        </w:tabs>
        <w:ind w:left="2160" w:hanging="360"/>
      </w:pPr>
    </w:lvl>
    <w:lvl w:ilvl="3" w:tplc="9F482272" w:tentative="1">
      <w:start w:val="1"/>
      <w:numFmt w:val="decimal"/>
      <w:lvlText w:val="%4."/>
      <w:lvlJc w:val="left"/>
      <w:pPr>
        <w:tabs>
          <w:tab w:val="num" w:pos="2880"/>
        </w:tabs>
        <w:ind w:left="2880" w:hanging="360"/>
      </w:pPr>
    </w:lvl>
    <w:lvl w:ilvl="4" w:tplc="B2DE90F4" w:tentative="1">
      <w:start w:val="1"/>
      <w:numFmt w:val="decimal"/>
      <w:lvlText w:val="%5."/>
      <w:lvlJc w:val="left"/>
      <w:pPr>
        <w:tabs>
          <w:tab w:val="num" w:pos="3600"/>
        </w:tabs>
        <w:ind w:left="3600" w:hanging="360"/>
      </w:pPr>
    </w:lvl>
    <w:lvl w:ilvl="5" w:tplc="73028D1E" w:tentative="1">
      <w:start w:val="1"/>
      <w:numFmt w:val="decimal"/>
      <w:lvlText w:val="%6."/>
      <w:lvlJc w:val="left"/>
      <w:pPr>
        <w:tabs>
          <w:tab w:val="num" w:pos="4320"/>
        </w:tabs>
        <w:ind w:left="4320" w:hanging="360"/>
      </w:pPr>
    </w:lvl>
    <w:lvl w:ilvl="6" w:tplc="1B9A4FD8" w:tentative="1">
      <w:start w:val="1"/>
      <w:numFmt w:val="decimal"/>
      <w:lvlText w:val="%7."/>
      <w:lvlJc w:val="left"/>
      <w:pPr>
        <w:tabs>
          <w:tab w:val="num" w:pos="5040"/>
        </w:tabs>
        <w:ind w:left="5040" w:hanging="360"/>
      </w:pPr>
    </w:lvl>
    <w:lvl w:ilvl="7" w:tplc="93F0C54A" w:tentative="1">
      <w:start w:val="1"/>
      <w:numFmt w:val="decimal"/>
      <w:lvlText w:val="%8."/>
      <w:lvlJc w:val="left"/>
      <w:pPr>
        <w:tabs>
          <w:tab w:val="num" w:pos="5760"/>
        </w:tabs>
        <w:ind w:left="5760" w:hanging="360"/>
      </w:pPr>
    </w:lvl>
    <w:lvl w:ilvl="8" w:tplc="2384C6C6" w:tentative="1">
      <w:start w:val="1"/>
      <w:numFmt w:val="decimal"/>
      <w:lvlText w:val="%9."/>
      <w:lvlJc w:val="left"/>
      <w:pPr>
        <w:tabs>
          <w:tab w:val="num" w:pos="6480"/>
        </w:tabs>
        <w:ind w:left="6480" w:hanging="360"/>
      </w:pPr>
    </w:lvl>
  </w:abstractNum>
  <w:abstractNum w:abstractNumId="1" w15:restartNumberingAfterBreak="0">
    <w:nsid w:val="2B6155CF"/>
    <w:multiLevelType w:val="hybridMultilevel"/>
    <w:tmpl w:val="58EA9D16"/>
    <w:lvl w:ilvl="0" w:tplc="F5B0079A">
      <w:start w:val="1"/>
      <w:numFmt w:val="decimal"/>
      <w:lvlText w:val="%1."/>
      <w:lvlJc w:val="left"/>
      <w:pPr>
        <w:tabs>
          <w:tab w:val="num" w:pos="720"/>
        </w:tabs>
        <w:ind w:left="720" w:hanging="360"/>
      </w:pPr>
    </w:lvl>
    <w:lvl w:ilvl="1" w:tplc="F9863E84" w:tentative="1">
      <w:start w:val="1"/>
      <w:numFmt w:val="decimal"/>
      <w:lvlText w:val="%2."/>
      <w:lvlJc w:val="left"/>
      <w:pPr>
        <w:tabs>
          <w:tab w:val="num" w:pos="1440"/>
        </w:tabs>
        <w:ind w:left="1440" w:hanging="360"/>
      </w:pPr>
    </w:lvl>
    <w:lvl w:ilvl="2" w:tplc="B14A16A2" w:tentative="1">
      <w:start w:val="1"/>
      <w:numFmt w:val="decimal"/>
      <w:lvlText w:val="%3."/>
      <w:lvlJc w:val="left"/>
      <w:pPr>
        <w:tabs>
          <w:tab w:val="num" w:pos="2160"/>
        </w:tabs>
        <w:ind w:left="2160" w:hanging="360"/>
      </w:pPr>
    </w:lvl>
    <w:lvl w:ilvl="3" w:tplc="91A63454" w:tentative="1">
      <w:start w:val="1"/>
      <w:numFmt w:val="decimal"/>
      <w:lvlText w:val="%4."/>
      <w:lvlJc w:val="left"/>
      <w:pPr>
        <w:tabs>
          <w:tab w:val="num" w:pos="2880"/>
        </w:tabs>
        <w:ind w:left="2880" w:hanging="360"/>
      </w:pPr>
    </w:lvl>
    <w:lvl w:ilvl="4" w:tplc="EE76AC4E" w:tentative="1">
      <w:start w:val="1"/>
      <w:numFmt w:val="decimal"/>
      <w:lvlText w:val="%5."/>
      <w:lvlJc w:val="left"/>
      <w:pPr>
        <w:tabs>
          <w:tab w:val="num" w:pos="3600"/>
        </w:tabs>
        <w:ind w:left="3600" w:hanging="360"/>
      </w:pPr>
    </w:lvl>
    <w:lvl w:ilvl="5" w:tplc="C67C116A" w:tentative="1">
      <w:start w:val="1"/>
      <w:numFmt w:val="decimal"/>
      <w:lvlText w:val="%6."/>
      <w:lvlJc w:val="left"/>
      <w:pPr>
        <w:tabs>
          <w:tab w:val="num" w:pos="4320"/>
        </w:tabs>
        <w:ind w:left="4320" w:hanging="360"/>
      </w:pPr>
    </w:lvl>
    <w:lvl w:ilvl="6" w:tplc="6E5C443C" w:tentative="1">
      <w:start w:val="1"/>
      <w:numFmt w:val="decimal"/>
      <w:lvlText w:val="%7."/>
      <w:lvlJc w:val="left"/>
      <w:pPr>
        <w:tabs>
          <w:tab w:val="num" w:pos="5040"/>
        </w:tabs>
        <w:ind w:left="5040" w:hanging="360"/>
      </w:pPr>
    </w:lvl>
    <w:lvl w:ilvl="7" w:tplc="2552007C" w:tentative="1">
      <w:start w:val="1"/>
      <w:numFmt w:val="decimal"/>
      <w:lvlText w:val="%8."/>
      <w:lvlJc w:val="left"/>
      <w:pPr>
        <w:tabs>
          <w:tab w:val="num" w:pos="5760"/>
        </w:tabs>
        <w:ind w:left="5760" w:hanging="360"/>
      </w:pPr>
    </w:lvl>
    <w:lvl w:ilvl="8" w:tplc="16DA280A" w:tentative="1">
      <w:start w:val="1"/>
      <w:numFmt w:val="decimal"/>
      <w:lvlText w:val="%9."/>
      <w:lvlJc w:val="left"/>
      <w:pPr>
        <w:tabs>
          <w:tab w:val="num" w:pos="6480"/>
        </w:tabs>
        <w:ind w:left="6480" w:hanging="360"/>
      </w:pPr>
    </w:lvl>
  </w:abstractNum>
  <w:abstractNum w:abstractNumId="2" w15:restartNumberingAfterBreak="0">
    <w:nsid w:val="30CA0314"/>
    <w:multiLevelType w:val="hybridMultilevel"/>
    <w:tmpl w:val="A7EEE3C0"/>
    <w:lvl w:ilvl="0" w:tplc="FCF880AE">
      <w:start w:val="1"/>
      <w:numFmt w:val="decimal"/>
      <w:lvlText w:val="%1."/>
      <w:lvlJc w:val="left"/>
      <w:pPr>
        <w:tabs>
          <w:tab w:val="num" w:pos="720"/>
        </w:tabs>
        <w:ind w:left="720" w:hanging="360"/>
      </w:pPr>
    </w:lvl>
    <w:lvl w:ilvl="1" w:tplc="F1BC5D9E" w:tentative="1">
      <w:start w:val="1"/>
      <w:numFmt w:val="decimal"/>
      <w:lvlText w:val="%2."/>
      <w:lvlJc w:val="left"/>
      <w:pPr>
        <w:tabs>
          <w:tab w:val="num" w:pos="1440"/>
        </w:tabs>
        <w:ind w:left="1440" w:hanging="360"/>
      </w:pPr>
    </w:lvl>
    <w:lvl w:ilvl="2" w:tplc="12D0F2F0" w:tentative="1">
      <w:start w:val="1"/>
      <w:numFmt w:val="decimal"/>
      <w:lvlText w:val="%3."/>
      <w:lvlJc w:val="left"/>
      <w:pPr>
        <w:tabs>
          <w:tab w:val="num" w:pos="2160"/>
        </w:tabs>
        <w:ind w:left="2160" w:hanging="360"/>
      </w:pPr>
    </w:lvl>
    <w:lvl w:ilvl="3" w:tplc="A27C0196" w:tentative="1">
      <w:start w:val="1"/>
      <w:numFmt w:val="decimal"/>
      <w:lvlText w:val="%4."/>
      <w:lvlJc w:val="left"/>
      <w:pPr>
        <w:tabs>
          <w:tab w:val="num" w:pos="2880"/>
        </w:tabs>
        <w:ind w:left="2880" w:hanging="360"/>
      </w:pPr>
    </w:lvl>
    <w:lvl w:ilvl="4" w:tplc="1EDE86EC" w:tentative="1">
      <w:start w:val="1"/>
      <w:numFmt w:val="decimal"/>
      <w:lvlText w:val="%5."/>
      <w:lvlJc w:val="left"/>
      <w:pPr>
        <w:tabs>
          <w:tab w:val="num" w:pos="3600"/>
        </w:tabs>
        <w:ind w:left="3600" w:hanging="360"/>
      </w:pPr>
    </w:lvl>
    <w:lvl w:ilvl="5" w:tplc="B156AE2C" w:tentative="1">
      <w:start w:val="1"/>
      <w:numFmt w:val="decimal"/>
      <w:lvlText w:val="%6."/>
      <w:lvlJc w:val="left"/>
      <w:pPr>
        <w:tabs>
          <w:tab w:val="num" w:pos="4320"/>
        </w:tabs>
        <w:ind w:left="4320" w:hanging="360"/>
      </w:pPr>
    </w:lvl>
    <w:lvl w:ilvl="6" w:tplc="79669E30" w:tentative="1">
      <w:start w:val="1"/>
      <w:numFmt w:val="decimal"/>
      <w:lvlText w:val="%7."/>
      <w:lvlJc w:val="left"/>
      <w:pPr>
        <w:tabs>
          <w:tab w:val="num" w:pos="5040"/>
        </w:tabs>
        <w:ind w:left="5040" w:hanging="360"/>
      </w:pPr>
    </w:lvl>
    <w:lvl w:ilvl="7" w:tplc="FD380E54" w:tentative="1">
      <w:start w:val="1"/>
      <w:numFmt w:val="decimal"/>
      <w:lvlText w:val="%8."/>
      <w:lvlJc w:val="left"/>
      <w:pPr>
        <w:tabs>
          <w:tab w:val="num" w:pos="5760"/>
        </w:tabs>
        <w:ind w:left="5760" w:hanging="360"/>
      </w:pPr>
    </w:lvl>
    <w:lvl w:ilvl="8" w:tplc="2E805510" w:tentative="1">
      <w:start w:val="1"/>
      <w:numFmt w:val="decimal"/>
      <w:lvlText w:val="%9."/>
      <w:lvlJc w:val="left"/>
      <w:pPr>
        <w:tabs>
          <w:tab w:val="num" w:pos="6480"/>
        </w:tabs>
        <w:ind w:left="6480" w:hanging="360"/>
      </w:pPr>
    </w:lvl>
  </w:abstractNum>
  <w:abstractNum w:abstractNumId="3" w15:restartNumberingAfterBreak="0">
    <w:nsid w:val="3F3A5AC8"/>
    <w:multiLevelType w:val="hybridMultilevel"/>
    <w:tmpl w:val="0BB8F9F2"/>
    <w:lvl w:ilvl="0" w:tplc="85E8960E">
      <w:start w:val="1"/>
      <w:numFmt w:val="decimal"/>
      <w:lvlText w:val="%1."/>
      <w:lvlJc w:val="left"/>
      <w:pPr>
        <w:tabs>
          <w:tab w:val="num" w:pos="720"/>
        </w:tabs>
        <w:ind w:left="720" w:hanging="360"/>
      </w:pPr>
    </w:lvl>
    <w:lvl w:ilvl="1" w:tplc="31AACC96" w:tentative="1">
      <w:start w:val="1"/>
      <w:numFmt w:val="decimal"/>
      <w:lvlText w:val="%2."/>
      <w:lvlJc w:val="left"/>
      <w:pPr>
        <w:tabs>
          <w:tab w:val="num" w:pos="1440"/>
        </w:tabs>
        <w:ind w:left="1440" w:hanging="360"/>
      </w:pPr>
    </w:lvl>
    <w:lvl w:ilvl="2" w:tplc="263E66B4" w:tentative="1">
      <w:start w:val="1"/>
      <w:numFmt w:val="decimal"/>
      <w:lvlText w:val="%3."/>
      <w:lvlJc w:val="left"/>
      <w:pPr>
        <w:tabs>
          <w:tab w:val="num" w:pos="2160"/>
        </w:tabs>
        <w:ind w:left="2160" w:hanging="360"/>
      </w:pPr>
    </w:lvl>
    <w:lvl w:ilvl="3" w:tplc="A8E26380" w:tentative="1">
      <w:start w:val="1"/>
      <w:numFmt w:val="decimal"/>
      <w:lvlText w:val="%4."/>
      <w:lvlJc w:val="left"/>
      <w:pPr>
        <w:tabs>
          <w:tab w:val="num" w:pos="2880"/>
        </w:tabs>
        <w:ind w:left="2880" w:hanging="360"/>
      </w:pPr>
    </w:lvl>
    <w:lvl w:ilvl="4" w:tplc="C3587DF4" w:tentative="1">
      <w:start w:val="1"/>
      <w:numFmt w:val="decimal"/>
      <w:lvlText w:val="%5."/>
      <w:lvlJc w:val="left"/>
      <w:pPr>
        <w:tabs>
          <w:tab w:val="num" w:pos="3600"/>
        </w:tabs>
        <w:ind w:left="3600" w:hanging="360"/>
      </w:pPr>
    </w:lvl>
    <w:lvl w:ilvl="5" w:tplc="926EF5B8" w:tentative="1">
      <w:start w:val="1"/>
      <w:numFmt w:val="decimal"/>
      <w:lvlText w:val="%6."/>
      <w:lvlJc w:val="left"/>
      <w:pPr>
        <w:tabs>
          <w:tab w:val="num" w:pos="4320"/>
        </w:tabs>
        <w:ind w:left="4320" w:hanging="360"/>
      </w:pPr>
    </w:lvl>
    <w:lvl w:ilvl="6" w:tplc="5D1447D4" w:tentative="1">
      <w:start w:val="1"/>
      <w:numFmt w:val="decimal"/>
      <w:lvlText w:val="%7."/>
      <w:lvlJc w:val="left"/>
      <w:pPr>
        <w:tabs>
          <w:tab w:val="num" w:pos="5040"/>
        </w:tabs>
        <w:ind w:left="5040" w:hanging="360"/>
      </w:pPr>
    </w:lvl>
    <w:lvl w:ilvl="7" w:tplc="E6085F68" w:tentative="1">
      <w:start w:val="1"/>
      <w:numFmt w:val="decimal"/>
      <w:lvlText w:val="%8."/>
      <w:lvlJc w:val="left"/>
      <w:pPr>
        <w:tabs>
          <w:tab w:val="num" w:pos="5760"/>
        </w:tabs>
        <w:ind w:left="5760" w:hanging="360"/>
      </w:pPr>
    </w:lvl>
    <w:lvl w:ilvl="8" w:tplc="AAD2AF42" w:tentative="1">
      <w:start w:val="1"/>
      <w:numFmt w:val="decimal"/>
      <w:lvlText w:val="%9."/>
      <w:lvlJc w:val="left"/>
      <w:pPr>
        <w:tabs>
          <w:tab w:val="num" w:pos="6480"/>
        </w:tabs>
        <w:ind w:left="6480" w:hanging="360"/>
      </w:pPr>
    </w:lvl>
  </w:abstractNum>
  <w:num w:numId="1" w16cid:durableId="237979428">
    <w:abstractNumId w:val="2"/>
  </w:num>
  <w:num w:numId="2" w16cid:durableId="1935671832">
    <w:abstractNumId w:val="0"/>
  </w:num>
  <w:num w:numId="3" w16cid:durableId="669596882">
    <w:abstractNumId w:val="3"/>
  </w:num>
  <w:num w:numId="4" w16cid:durableId="1627154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34DF"/>
    <w:rsid w:val="000A1386"/>
    <w:rsid w:val="000A786A"/>
    <w:rsid w:val="000F0E74"/>
    <w:rsid w:val="001569B6"/>
    <w:rsid w:val="001E16EA"/>
    <w:rsid w:val="001E5379"/>
    <w:rsid w:val="0020218E"/>
    <w:rsid w:val="0027513D"/>
    <w:rsid w:val="002D0CA2"/>
    <w:rsid w:val="00304A0E"/>
    <w:rsid w:val="0030544C"/>
    <w:rsid w:val="003F1C4D"/>
    <w:rsid w:val="00420F4D"/>
    <w:rsid w:val="00431F8A"/>
    <w:rsid w:val="00485B97"/>
    <w:rsid w:val="00520BD4"/>
    <w:rsid w:val="00525CFE"/>
    <w:rsid w:val="00560512"/>
    <w:rsid w:val="0056794C"/>
    <w:rsid w:val="00576457"/>
    <w:rsid w:val="005B7C18"/>
    <w:rsid w:val="005F35D6"/>
    <w:rsid w:val="006A674A"/>
    <w:rsid w:val="0077152B"/>
    <w:rsid w:val="007B69C2"/>
    <w:rsid w:val="008450D1"/>
    <w:rsid w:val="00857F5B"/>
    <w:rsid w:val="00910A40"/>
    <w:rsid w:val="009171E6"/>
    <w:rsid w:val="00977A34"/>
    <w:rsid w:val="00AD0DEF"/>
    <w:rsid w:val="00AD455D"/>
    <w:rsid w:val="00B22C5F"/>
    <w:rsid w:val="00B93624"/>
    <w:rsid w:val="00BA18E4"/>
    <w:rsid w:val="00C02876"/>
    <w:rsid w:val="00C028E4"/>
    <w:rsid w:val="00C874DB"/>
    <w:rsid w:val="00C913E1"/>
    <w:rsid w:val="00CE1B3E"/>
    <w:rsid w:val="00D57061"/>
    <w:rsid w:val="00DA6D91"/>
    <w:rsid w:val="00DC5734"/>
    <w:rsid w:val="00DD34DF"/>
    <w:rsid w:val="00E5655A"/>
    <w:rsid w:val="00EF7A25"/>
    <w:rsid w:val="00FB73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DBBD9"/>
  <w15:chartTrackingRefBased/>
  <w15:docId w15:val="{8D29533B-8DD9-4AC5-94D5-A9D87F1D6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34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D34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34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34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34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3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4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D34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D34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34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34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3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4DF"/>
    <w:rPr>
      <w:rFonts w:eastAsiaTheme="majorEastAsia" w:cstheme="majorBidi"/>
      <w:color w:val="272727" w:themeColor="text1" w:themeTint="D8"/>
    </w:rPr>
  </w:style>
  <w:style w:type="paragraph" w:styleId="Title">
    <w:name w:val="Title"/>
    <w:basedOn w:val="Normal"/>
    <w:next w:val="Normal"/>
    <w:link w:val="TitleChar"/>
    <w:uiPriority w:val="10"/>
    <w:qFormat/>
    <w:rsid w:val="00DD3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4DF"/>
    <w:pPr>
      <w:spacing w:before="160"/>
      <w:jc w:val="center"/>
    </w:pPr>
    <w:rPr>
      <w:i/>
      <w:iCs/>
      <w:color w:val="404040" w:themeColor="text1" w:themeTint="BF"/>
    </w:rPr>
  </w:style>
  <w:style w:type="character" w:customStyle="1" w:styleId="QuoteChar">
    <w:name w:val="Quote Char"/>
    <w:basedOn w:val="DefaultParagraphFont"/>
    <w:link w:val="Quote"/>
    <w:uiPriority w:val="29"/>
    <w:rsid w:val="00DD34DF"/>
    <w:rPr>
      <w:i/>
      <w:iCs/>
      <w:color w:val="404040" w:themeColor="text1" w:themeTint="BF"/>
    </w:rPr>
  </w:style>
  <w:style w:type="paragraph" w:styleId="ListParagraph">
    <w:name w:val="List Paragraph"/>
    <w:basedOn w:val="Normal"/>
    <w:uiPriority w:val="34"/>
    <w:qFormat/>
    <w:rsid w:val="00DD34DF"/>
    <w:pPr>
      <w:ind w:left="720"/>
      <w:contextualSpacing/>
    </w:pPr>
  </w:style>
  <w:style w:type="character" w:styleId="IntenseEmphasis">
    <w:name w:val="Intense Emphasis"/>
    <w:basedOn w:val="DefaultParagraphFont"/>
    <w:uiPriority w:val="21"/>
    <w:qFormat/>
    <w:rsid w:val="00DD34DF"/>
    <w:rPr>
      <w:i/>
      <w:iCs/>
      <w:color w:val="2F5496" w:themeColor="accent1" w:themeShade="BF"/>
    </w:rPr>
  </w:style>
  <w:style w:type="paragraph" w:styleId="IntenseQuote">
    <w:name w:val="Intense Quote"/>
    <w:basedOn w:val="Normal"/>
    <w:next w:val="Normal"/>
    <w:link w:val="IntenseQuoteChar"/>
    <w:uiPriority w:val="30"/>
    <w:qFormat/>
    <w:rsid w:val="00DD34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34DF"/>
    <w:rPr>
      <w:i/>
      <w:iCs/>
      <w:color w:val="2F5496" w:themeColor="accent1" w:themeShade="BF"/>
    </w:rPr>
  </w:style>
  <w:style w:type="character" w:styleId="IntenseReference">
    <w:name w:val="Intense Reference"/>
    <w:basedOn w:val="DefaultParagraphFont"/>
    <w:uiPriority w:val="32"/>
    <w:qFormat/>
    <w:rsid w:val="00DD34DF"/>
    <w:rPr>
      <w:b/>
      <w:bCs/>
      <w:smallCaps/>
      <w:color w:val="2F5496" w:themeColor="accent1" w:themeShade="BF"/>
      <w:spacing w:val="5"/>
    </w:rPr>
  </w:style>
  <w:style w:type="table" w:styleId="TableGrid">
    <w:name w:val="Table Grid"/>
    <w:basedOn w:val="TableNormal"/>
    <w:uiPriority w:val="39"/>
    <w:rsid w:val="00917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B69C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B69C2"/>
    <w:pPr>
      <w:spacing w:after="100"/>
    </w:pPr>
  </w:style>
  <w:style w:type="paragraph" w:styleId="TOC2">
    <w:name w:val="toc 2"/>
    <w:basedOn w:val="Normal"/>
    <w:next w:val="Normal"/>
    <w:autoRedefine/>
    <w:uiPriority w:val="39"/>
    <w:unhideWhenUsed/>
    <w:rsid w:val="007B69C2"/>
    <w:pPr>
      <w:spacing w:after="100"/>
      <w:ind w:left="240"/>
    </w:pPr>
  </w:style>
  <w:style w:type="paragraph" w:styleId="TOC3">
    <w:name w:val="toc 3"/>
    <w:basedOn w:val="Normal"/>
    <w:next w:val="Normal"/>
    <w:autoRedefine/>
    <w:uiPriority w:val="39"/>
    <w:unhideWhenUsed/>
    <w:rsid w:val="007B69C2"/>
    <w:pPr>
      <w:spacing w:after="100"/>
      <w:ind w:left="480"/>
    </w:pPr>
  </w:style>
  <w:style w:type="character" w:styleId="Hyperlink">
    <w:name w:val="Hyperlink"/>
    <w:basedOn w:val="DefaultParagraphFont"/>
    <w:uiPriority w:val="99"/>
    <w:unhideWhenUsed/>
    <w:rsid w:val="007B69C2"/>
    <w:rPr>
      <w:color w:val="0563C1" w:themeColor="hyperlink"/>
      <w:u w:val="single"/>
    </w:rPr>
  </w:style>
  <w:style w:type="character" w:customStyle="1" w:styleId="UnresolvedMention1">
    <w:name w:val="Unresolved Mention1"/>
    <w:basedOn w:val="DefaultParagraphFont"/>
    <w:uiPriority w:val="99"/>
    <w:semiHidden/>
    <w:unhideWhenUsed/>
    <w:rsid w:val="00485B97"/>
    <w:rPr>
      <w:color w:val="605E5C"/>
      <w:shd w:val="clear" w:color="auto" w:fill="E1DFDD"/>
    </w:rPr>
  </w:style>
  <w:style w:type="paragraph" w:styleId="Header">
    <w:name w:val="header"/>
    <w:basedOn w:val="Normal"/>
    <w:link w:val="HeaderChar"/>
    <w:uiPriority w:val="99"/>
    <w:unhideWhenUsed/>
    <w:rsid w:val="00CE1B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B3E"/>
  </w:style>
  <w:style w:type="paragraph" w:styleId="Footer">
    <w:name w:val="footer"/>
    <w:basedOn w:val="Normal"/>
    <w:link w:val="FooterChar"/>
    <w:uiPriority w:val="99"/>
    <w:unhideWhenUsed/>
    <w:rsid w:val="00CE1B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B3E"/>
  </w:style>
  <w:style w:type="paragraph" w:styleId="NormalWeb">
    <w:name w:val="Normal (Web)"/>
    <w:basedOn w:val="Normal"/>
    <w:uiPriority w:val="99"/>
    <w:unhideWhenUsed/>
    <w:rsid w:val="001569B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1569B6"/>
    <w:rPr>
      <w:color w:val="954F72" w:themeColor="followedHyperlink"/>
      <w:u w:val="single"/>
    </w:rPr>
  </w:style>
  <w:style w:type="character" w:customStyle="1" w:styleId="UnresolvedMention2">
    <w:name w:val="Unresolved Mention2"/>
    <w:basedOn w:val="DefaultParagraphFont"/>
    <w:uiPriority w:val="99"/>
    <w:semiHidden/>
    <w:unhideWhenUsed/>
    <w:rsid w:val="002D0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cities.2023.104235" TargetMode="External"/><Relationship Id="rId18" Type="http://schemas.openxmlformats.org/officeDocument/2006/relationships/hyperlink" Target="https://doi.org/10.1002/csr.2170"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procs.2023.01.448" TargetMode="External"/><Relationship Id="rId7" Type="http://schemas.openxmlformats.org/officeDocument/2006/relationships/endnotes" Target="endnotes.xml"/><Relationship Id="rId12" Type="http://schemas.openxmlformats.org/officeDocument/2006/relationships/hyperlink" Target="https://doi.org/10.1080/14488388.2025.2538901" TargetMode="External"/><Relationship Id="rId17" Type="http://schemas.openxmlformats.org/officeDocument/2006/relationships/hyperlink" Target="https://doi.org/10.3389/fcomm.2024.1340026" TargetMode="External"/><Relationship Id="rId25" Type="http://schemas.openxmlformats.org/officeDocument/2006/relationships/hyperlink" Target="https://doi.org/10.3390/su17094243" TargetMode="External"/><Relationship Id="rId2" Type="http://schemas.openxmlformats.org/officeDocument/2006/relationships/numbering" Target="numbering.xml"/><Relationship Id="rId16" Type="http://schemas.openxmlformats.org/officeDocument/2006/relationships/hyperlink" Target="https://doi.org/10.1080/01446193.2024.2326558" TargetMode="External"/><Relationship Id="rId20" Type="http://schemas.openxmlformats.org/officeDocument/2006/relationships/hyperlink" Target="https://doi.org/10.1186/s13033-021-00458-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0173679/" TargetMode="External"/><Relationship Id="rId24" Type="http://schemas.openxmlformats.org/officeDocument/2006/relationships/hyperlink" Target="https://doi.org/10.36349/easjebm.2024.v07i08.003" TargetMode="External"/><Relationship Id="rId5" Type="http://schemas.openxmlformats.org/officeDocument/2006/relationships/webSettings" Target="webSettings.xml"/><Relationship Id="rId15" Type="http://schemas.openxmlformats.org/officeDocument/2006/relationships/hyperlink" Target="https://doi.org/10.1080/10967494.2024.2423952" TargetMode="External"/><Relationship Id="rId23" Type="http://schemas.openxmlformats.org/officeDocument/2006/relationships/hyperlink" Target="https://doi.org/10.1371/journal.pgph.0003193" TargetMode="External"/><Relationship Id="rId28" Type="http://schemas.openxmlformats.org/officeDocument/2006/relationships/theme" Target="theme/theme1.xml"/><Relationship Id="rId10" Type="http://schemas.openxmlformats.org/officeDocument/2006/relationships/hyperlink" Target="https://doi.org/10.3390/su17198720" TargetMode="External"/><Relationship Id="rId19" Type="http://schemas.openxmlformats.org/officeDocument/2006/relationships/hyperlink" Target="https://doi.org/10.3390/su1703108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ijproman.2024.102649" TargetMode="External"/><Relationship Id="rId22" Type="http://schemas.openxmlformats.org/officeDocument/2006/relationships/hyperlink" Target="https://doi.org/10.3390/buildings1307178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5970E-C002-4A8E-B840-E3A80CD06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4644</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Andreeas Geamanu</dc:creator>
  <cp:keywords/>
  <dc:description/>
  <cp:lastModifiedBy>Windows</cp:lastModifiedBy>
  <cp:revision>2</cp:revision>
  <dcterms:created xsi:type="dcterms:W3CDTF">2026-04-15T13:48:00Z</dcterms:created>
  <dcterms:modified xsi:type="dcterms:W3CDTF">2026-04-15T13:48:00Z</dcterms:modified>
</cp:coreProperties>
</file>