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D4C4E" w14:textId="77777777" w:rsidR="00CD0D98" w:rsidRPr="000857F0" w:rsidRDefault="00CD0D98" w:rsidP="00713278">
      <w:pPr>
        <w:jc w:val="center"/>
        <w:rPr>
          <w:rFonts w:asciiTheme="minorHAnsi" w:hAnsiTheme="minorHAnsi" w:cstheme="minorHAnsi"/>
          <w:b/>
          <w:bCs/>
          <w:sz w:val="28"/>
          <w:szCs w:val="28"/>
        </w:rPr>
      </w:pPr>
      <w:r w:rsidRPr="000857F0">
        <w:rPr>
          <w:rFonts w:asciiTheme="minorHAnsi" w:hAnsiTheme="minorHAnsi" w:cstheme="minorHAnsi"/>
          <w:b/>
          <w:bCs/>
          <w:sz w:val="28"/>
          <w:szCs w:val="28"/>
        </w:rPr>
        <w:t>Critical Analysis of Decision Support</w:t>
      </w:r>
    </w:p>
    <w:p w14:paraId="3CA4FE04" w14:textId="129C03D5" w:rsidR="00CD0D98" w:rsidRPr="000857F0" w:rsidRDefault="00CD0D98" w:rsidP="00713278">
      <w:pPr>
        <w:jc w:val="center"/>
        <w:rPr>
          <w:rFonts w:asciiTheme="minorHAnsi" w:hAnsiTheme="minorHAnsi" w:cstheme="minorHAnsi"/>
          <w:b/>
          <w:bCs/>
          <w:sz w:val="28"/>
          <w:szCs w:val="28"/>
        </w:rPr>
      </w:pPr>
      <w:r w:rsidRPr="000857F0">
        <w:rPr>
          <w:rFonts w:asciiTheme="minorHAnsi" w:hAnsiTheme="minorHAnsi" w:cstheme="minorHAnsi"/>
          <w:b/>
          <w:bCs/>
          <w:sz w:val="28"/>
          <w:szCs w:val="28"/>
        </w:rPr>
        <w:t>Rhodri Clyburn 2112536</w:t>
      </w:r>
    </w:p>
    <w:p w14:paraId="59D409CF" w14:textId="064BB928" w:rsidR="00CD0D98" w:rsidRPr="002B27B3" w:rsidRDefault="00CD0D98" w:rsidP="00CD0D98">
      <w:pPr>
        <w:rPr>
          <w:rFonts w:asciiTheme="minorHAnsi" w:hAnsiTheme="minorHAnsi" w:cstheme="minorHAnsi"/>
          <w:color w:val="FF0000"/>
          <w:sz w:val="22"/>
          <w:szCs w:val="22"/>
        </w:rPr>
      </w:pPr>
    </w:p>
    <w:p w14:paraId="48E1A6A7" w14:textId="3B6044C9" w:rsidR="00CD0D98" w:rsidRPr="00713278" w:rsidRDefault="00CD0D98" w:rsidP="00713278">
      <w:pPr>
        <w:spacing w:after="200" w:line="276" w:lineRule="auto"/>
        <w:rPr>
          <w:rFonts w:asciiTheme="minorHAnsi" w:hAnsiTheme="minorHAnsi" w:cstheme="minorHAnsi"/>
          <w:sz w:val="22"/>
          <w:szCs w:val="22"/>
        </w:rPr>
      </w:pPr>
      <w:r w:rsidRPr="00713278">
        <w:rPr>
          <w:rFonts w:asciiTheme="minorHAnsi" w:hAnsiTheme="minorHAnsi" w:cstheme="minorHAnsi"/>
          <w:b/>
          <w:bCs/>
          <w:sz w:val="22"/>
          <w:szCs w:val="22"/>
        </w:rPr>
        <w:t>Introduction</w:t>
      </w:r>
    </w:p>
    <w:p w14:paraId="00142F9A" w14:textId="3783713F" w:rsidR="002B27B3" w:rsidRDefault="002B27B3" w:rsidP="002B27B3">
      <w:pPr>
        <w:rPr>
          <w:rFonts w:asciiTheme="minorHAnsi" w:hAnsiTheme="minorHAnsi" w:cstheme="minorHAnsi"/>
          <w:sz w:val="22"/>
          <w:szCs w:val="22"/>
        </w:rPr>
      </w:pPr>
      <w:r w:rsidRPr="002B27B3">
        <w:rPr>
          <w:rFonts w:asciiTheme="minorHAnsi" w:hAnsiTheme="minorHAnsi" w:cstheme="minorHAnsi"/>
          <w:sz w:val="22"/>
          <w:szCs w:val="22"/>
        </w:rPr>
        <w:t xml:space="preserve">Polypharmacy is a term used to describe a circumstance where a patient is prescribed multiple medicines at a time for different conditions, increasing the risk of harm </w:t>
      </w:r>
      <w:proofErr w:type="gramStart"/>
      <w:r w:rsidR="00A07563">
        <w:rPr>
          <w:rFonts w:asciiTheme="minorHAnsi" w:hAnsiTheme="minorHAnsi" w:cstheme="minorHAnsi"/>
          <w:sz w:val="22"/>
          <w:szCs w:val="22"/>
        </w:rPr>
        <w:t xml:space="preserve">as a consequence </w:t>
      </w:r>
      <w:r w:rsidRPr="002B27B3">
        <w:rPr>
          <w:rFonts w:asciiTheme="minorHAnsi" w:hAnsiTheme="minorHAnsi" w:cstheme="minorHAnsi"/>
          <w:sz w:val="22"/>
          <w:szCs w:val="22"/>
        </w:rPr>
        <w:t>of</w:t>
      </w:r>
      <w:proofErr w:type="gramEnd"/>
      <w:r w:rsidRPr="002B27B3">
        <w:rPr>
          <w:rFonts w:asciiTheme="minorHAnsi" w:hAnsiTheme="minorHAnsi" w:cstheme="minorHAnsi"/>
          <w:sz w:val="22"/>
          <w:szCs w:val="22"/>
        </w:rPr>
        <w:t xml:space="preserve"> treatment (</w:t>
      </w:r>
      <w:proofErr w:type="spellStart"/>
      <w:r w:rsidRPr="002B27B3">
        <w:rPr>
          <w:rFonts w:asciiTheme="minorHAnsi" w:hAnsiTheme="minorHAnsi" w:cstheme="minorHAnsi"/>
          <w:sz w:val="22"/>
          <w:szCs w:val="22"/>
        </w:rPr>
        <w:t>Masnoon</w:t>
      </w:r>
      <w:proofErr w:type="spellEnd"/>
      <w:r w:rsidRPr="002B27B3">
        <w:rPr>
          <w:rFonts w:asciiTheme="minorHAnsi" w:hAnsiTheme="minorHAnsi" w:cstheme="minorHAnsi"/>
          <w:sz w:val="22"/>
          <w:szCs w:val="22"/>
        </w:rPr>
        <w:t xml:space="preserve"> </w:t>
      </w:r>
      <w:r w:rsidRPr="002B27B3">
        <w:rPr>
          <w:rFonts w:asciiTheme="minorHAnsi" w:hAnsiTheme="minorHAnsi" w:cstheme="minorHAnsi"/>
          <w:i/>
          <w:iCs/>
          <w:sz w:val="22"/>
          <w:szCs w:val="22"/>
        </w:rPr>
        <w:t>et al.</w:t>
      </w:r>
      <w:r w:rsidR="00FD5ADD">
        <w:rPr>
          <w:rFonts w:asciiTheme="minorHAnsi" w:hAnsiTheme="minorHAnsi" w:cstheme="minorHAnsi"/>
          <w:i/>
          <w:iCs/>
          <w:sz w:val="22"/>
          <w:szCs w:val="22"/>
        </w:rPr>
        <w:t>,</w:t>
      </w:r>
      <w:r w:rsidRPr="002B27B3">
        <w:rPr>
          <w:rFonts w:asciiTheme="minorHAnsi" w:hAnsiTheme="minorHAnsi" w:cstheme="minorHAnsi"/>
          <w:i/>
          <w:iCs/>
          <w:sz w:val="22"/>
          <w:szCs w:val="22"/>
        </w:rPr>
        <w:t xml:space="preserve"> </w:t>
      </w:r>
      <w:r w:rsidRPr="002B27B3">
        <w:rPr>
          <w:rFonts w:asciiTheme="minorHAnsi" w:hAnsiTheme="minorHAnsi" w:cstheme="minorHAnsi"/>
          <w:sz w:val="22"/>
          <w:szCs w:val="22"/>
        </w:rPr>
        <w:t xml:space="preserve">2017).  Due to an aging population and improvement in medical </w:t>
      </w:r>
      <w:r w:rsidR="00A07563">
        <w:rPr>
          <w:rFonts w:asciiTheme="minorHAnsi" w:hAnsiTheme="minorHAnsi" w:cstheme="minorHAnsi"/>
          <w:sz w:val="22"/>
          <w:szCs w:val="22"/>
        </w:rPr>
        <w:t>management</w:t>
      </w:r>
      <w:r w:rsidRPr="002B27B3">
        <w:rPr>
          <w:rFonts w:asciiTheme="minorHAnsi" w:hAnsiTheme="minorHAnsi" w:cstheme="minorHAnsi"/>
          <w:sz w:val="22"/>
          <w:szCs w:val="22"/>
        </w:rPr>
        <w:t xml:space="preserve"> of </w:t>
      </w:r>
      <w:r w:rsidR="00A07563" w:rsidRPr="002B27B3">
        <w:rPr>
          <w:rFonts w:asciiTheme="minorHAnsi" w:hAnsiTheme="minorHAnsi" w:cstheme="minorHAnsi"/>
          <w:sz w:val="22"/>
          <w:szCs w:val="22"/>
        </w:rPr>
        <w:t>long-term</w:t>
      </w:r>
      <w:r w:rsidRPr="002B27B3">
        <w:rPr>
          <w:rFonts w:asciiTheme="minorHAnsi" w:hAnsiTheme="minorHAnsi" w:cstheme="minorHAnsi"/>
          <w:sz w:val="22"/>
          <w:szCs w:val="22"/>
        </w:rPr>
        <w:t xml:space="preserve"> health conditions, polypharmacy is increasing in prevalence across all health systems internationally (WHO, 2019)</w:t>
      </w:r>
      <w:r w:rsidR="00D80C16">
        <w:rPr>
          <w:rFonts w:asciiTheme="minorHAnsi" w:hAnsiTheme="minorHAnsi" w:cstheme="minorHAnsi"/>
          <w:sz w:val="22"/>
          <w:szCs w:val="22"/>
        </w:rPr>
        <w:t xml:space="preserve"> additionally, elderly adults have been shown to be most at risk of being prescribed multiple medicines </w:t>
      </w:r>
      <w:r w:rsidR="00FD5ADD">
        <w:rPr>
          <w:rFonts w:asciiTheme="minorHAnsi" w:hAnsiTheme="minorHAnsi" w:cstheme="minorHAnsi"/>
          <w:sz w:val="22"/>
          <w:szCs w:val="22"/>
        </w:rPr>
        <w:t>(</w:t>
      </w:r>
      <w:proofErr w:type="spellStart"/>
      <w:r w:rsidR="00FD5ADD" w:rsidRPr="00FD5ADD">
        <w:rPr>
          <w:rFonts w:asciiTheme="minorHAnsi" w:hAnsiTheme="minorHAnsi" w:cstheme="minorHAnsi"/>
          <w:color w:val="000000" w:themeColor="text1"/>
          <w:sz w:val="22"/>
          <w:szCs w:val="22"/>
          <w:shd w:val="clear" w:color="auto" w:fill="FFFFFF"/>
        </w:rPr>
        <w:t>Midão</w:t>
      </w:r>
      <w:proofErr w:type="spellEnd"/>
      <w:r w:rsidR="00FD5ADD">
        <w:rPr>
          <w:rFonts w:asciiTheme="minorHAnsi" w:hAnsiTheme="minorHAnsi" w:cstheme="minorHAnsi"/>
          <w:color w:val="000000" w:themeColor="text1"/>
          <w:sz w:val="22"/>
          <w:szCs w:val="22"/>
          <w:shd w:val="clear" w:color="auto" w:fill="FFFFFF"/>
        </w:rPr>
        <w:t xml:space="preserve"> </w:t>
      </w:r>
      <w:r w:rsidR="00FD5ADD" w:rsidRPr="00FD5ADD">
        <w:rPr>
          <w:rFonts w:asciiTheme="minorHAnsi" w:hAnsiTheme="minorHAnsi" w:cstheme="minorHAnsi"/>
          <w:i/>
          <w:iCs/>
          <w:color w:val="000000" w:themeColor="text1"/>
          <w:sz w:val="22"/>
          <w:szCs w:val="22"/>
          <w:shd w:val="clear" w:color="auto" w:fill="FFFFFF"/>
        </w:rPr>
        <w:t>et al.</w:t>
      </w:r>
      <w:r w:rsidR="00FD5ADD">
        <w:rPr>
          <w:rFonts w:asciiTheme="minorHAnsi" w:hAnsiTheme="minorHAnsi" w:cstheme="minorHAnsi"/>
          <w:i/>
          <w:iCs/>
          <w:color w:val="000000" w:themeColor="text1"/>
          <w:sz w:val="22"/>
          <w:szCs w:val="22"/>
          <w:shd w:val="clear" w:color="auto" w:fill="FFFFFF"/>
        </w:rPr>
        <w:t>,</w:t>
      </w:r>
      <w:r w:rsidR="00FD5ADD" w:rsidRPr="00FD5ADD">
        <w:rPr>
          <w:rFonts w:asciiTheme="minorHAnsi" w:hAnsiTheme="minorHAnsi" w:cstheme="minorHAnsi"/>
          <w:color w:val="000000" w:themeColor="text1"/>
          <w:sz w:val="22"/>
          <w:szCs w:val="22"/>
          <w:shd w:val="clear" w:color="auto" w:fill="FFFFFF"/>
        </w:rPr>
        <w:t> 2018)</w:t>
      </w:r>
      <w:r w:rsidRPr="002B27B3">
        <w:rPr>
          <w:rFonts w:asciiTheme="minorHAnsi" w:hAnsiTheme="minorHAnsi" w:cstheme="minorHAnsi"/>
          <w:sz w:val="22"/>
          <w:szCs w:val="22"/>
        </w:rPr>
        <w:t xml:space="preserve">. </w:t>
      </w:r>
      <w:r w:rsidR="00153E3F">
        <w:rPr>
          <w:rFonts w:asciiTheme="minorHAnsi" w:hAnsiTheme="minorHAnsi" w:cstheme="minorHAnsi"/>
          <w:sz w:val="22"/>
          <w:szCs w:val="22"/>
        </w:rPr>
        <w:t xml:space="preserve">Polypharmacy increases the risk of harm </w:t>
      </w:r>
      <w:proofErr w:type="gramStart"/>
      <w:r w:rsidR="00153E3F">
        <w:rPr>
          <w:rFonts w:asciiTheme="minorHAnsi" w:hAnsiTheme="minorHAnsi" w:cstheme="minorHAnsi"/>
          <w:sz w:val="22"/>
          <w:szCs w:val="22"/>
        </w:rPr>
        <w:t>as a result of</w:t>
      </w:r>
      <w:proofErr w:type="gramEnd"/>
      <w:r w:rsidR="00153E3F">
        <w:rPr>
          <w:rFonts w:asciiTheme="minorHAnsi" w:hAnsiTheme="minorHAnsi" w:cstheme="minorHAnsi"/>
          <w:sz w:val="22"/>
          <w:szCs w:val="22"/>
        </w:rPr>
        <w:t xml:space="preserve"> medical </w:t>
      </w:r>
      <w:r w:rsidR="007A3D67">
        <w:rPr>
          <w:rFonts w:asciiTheme="minorHAnsi" w:hAnsiTheme="minorHAnsi" w:cstheme="minorHAnsi"/>
          <w:sz w:val="22"/>
          <w:szCs w:val="22"/>
        </w:rPr>
        <w:t>therapy and</w:t>
      </w:r>
      <w:r w:rsidR="00153E3F">
        <w:rPr>
          <w:rFonts w:asciiTheme="minorHAnsi" w:hAnsiTheme="minorHAnsi" w:cstheme="minorHAnsi"/>
          <w:sz w:val="22"/>
          <w:szCs w:val="22"/>
        </w:rPr>
        <w:t xml:space="preserve"> has been shown to increase </w:t>
      </w:r>
      <w:r w:rsidR="007A3D67">
        <w:rPr>
          <w:rFonts w:asciiTheme="minorHAnsi" w:hAnsiTheme="minorHAnsi" w:cstheme="minorHAnsi"/>
          <w:sz w:val="22"/>
          <w:szCs w:val="22"/>
        </w:rPr>
        <w:t xml:space="preserve">physiological frailty and </w:t>
      </w:r>
      <w:r w:rsidR="00153E3F">
        <w:rPr>
          <w:rFonts w:asciiTheme="minorHAnsi" w:hAnsiTheme="minorHAnsi" w:cstheme="minorHAnsi"/>
          <w:sz w:val="22"/>
          <w:szCs w:val="22"/>
        </w:rPr>
        <w:t xml:space="preserve">mortality </w:t>
      </w:r>
      <w:r w:rsidR="007A3D67" w:rsidRPr="007A3D67">
        <w:rPr>
          <w:rFonts w:asciiTheme="minorHAnsi" w:hAnsiTheme="minorHAnsi" w:cstheme="minorHAnsi"/>
          <w:color w:val="000000" w:themeColor="text1"/>
          <w:sz w:val="22"/>
          <w:szCs w:val="22"/>
        </w:rPr>
        <w:t>(</w:t>
      </w:r>
      <w:r w:rsidR="007A3D67" w:rsidRPr="007A3D67">
        <w:rPr>
          <w:rFonts w:asciiTheme="minorHAnsi" w:hAnsiTheme="minorHAnsi" w:cstheme="minorHAnsi"/>
          <w:color w:val="000000" w:themeColor="text1"/>
          <w:sz w:val="22"/>
          <w:szCs w:val="22"/>
          <w:shd w:val="clear" w:color="auto" w:fill="FFFFFF"/>
        </w:rPr>
        <w:t>Gutiérrez‐Valencia </w:t>
      </w:r>
      <w:r w:rsidR="007A3D67" w:rsidRPr="007A3D67">
        <w:rPr>
          <w:rFonts w:asciiTheme="minorHAnsi" w:hAnsiTheme="minorHAnsi" w:cstheme="minorHAnsi"/>
          <w:i/>
          <w:iCs/>
          <w:color w:val="000000" w:themeColor="text1"/>
          <w:sz w:val="22"/>
          <w:szCs w:val="22"/>
          <w:shd w:val="clear" w:color="auto" w:fill="FFFFFF"/>
        </w:rPr>
        <w:t>et al.</w:t>
      </w:r>
      <w:r w:rsidR="00FD5ADD">
        <w:rPr>
          <w:rFonts w:asciiTheme="minorHAnsi" w:hAnsiTheme="minorHAnsi" w:cstheme="minorHAnsi"/>
          <w:i/>
          <w:iCs/>
          <w:color w:val="000000" w:themeColor="text1"/>
          <w:sz w:val="22"/>
          <w:szCs w:val="22"/>
          <w:shd w:val="clear" w:color="auto" w:fill="FFFFFF"/>
        </w:rPr>
        <w:t>,</w:t>
      </w:r>
      <w:r w:rsidR="007A3D67" w:rsidRPr="007A3D67">
        <w:rPr>
          <w:rFonts w:asciiTheme="minorHAnsi" w:hAnsiTheme="minorHAnsi" w:cstheme="minorHAnsi"/>
          <w:color w:val="000000" w:themeColor="text1"/>
          <w:sz w:val="22"/>
          <w:szCs w:val="22"/>
          <w:shd w:val="clear" w:color="auto" w:fill="FFFFFF"/>
        </w:rPr>
        <w:t> 2018</w:t>
      </w:r>
      <w:r w:rsidR="007A3D67" w:rsidRPr="007A3D67">
        <w:rPr>
          <w:rFonts w:asciiTheme="minorHAnsi" w:hAnsiTheme="minorHAnsi" w:cstheme="minorHAnsi"/>
          <w:color w:val="000000" w:themeColor="text1"/>
          <w:sz w:val="22"/>
          <w:szCs w:val="22"/>
          <w:shd w:val="clear" w:color="auto" w:fill="FFFFFF"/>
        </w:rPr>
        <w:t>)</w:t>
      </w:r>
      <w:r w:rsidR="00153E3F">
        <w:rPr>
          <w:rFonts w:asciiTheme="minorHAnsi" w:hAnsiTheme="minorHAnsi" w:cstheme="minorHAnsi"/>
          <w:sz w:val="22"/>
          <w:szCs w:val="22"/>
        </w:rPr>
        <w:t xml:space="preserve">. </w:t>
      </w:r>
      <w:r w:rsidRPr="002B27B3">
        <w:rPr>
          <w:rFonts w:asciiTheme="minorHAnsi" w:hAnsiTheme="minorHAnsi" w:cstheme="minorHAnsi"/>
          <w:sz w:val="22"/>
          <w:szCs w:val="22"/>
        </w:rPr>
        <w:t xml:space="preserve">Because of its increasing prevalence and detrimental impact to patient care, polypharmacy is being targeted across NHS organisations as a prescribing practice which needs to be addressed (AWMSG, 2014), (GMMMG, 2021). </w:t>
      </w:r>
    </w:p>
    <w:p w14:paraId="489C466B" w14:textId="2E464A1E" w:rsidR="0049269E" w:rsidRDefault="0049269E" w:rsidP="002B27B3">
      <w:pPr>
        <w:rPr>
          <w:rFonts w:asciiTheme="minorHAnsi" w:hAnsiTheme="minorHAnsi" w:cstheme="minorHAnsi"/>
          <w:sz w:val="22"/>
          <w:szCs w:val="22"/>
        </w:rPr>
      </w:pPr>
    </w:p>
    <w:p w14:paraId="687C1084" w14:textId="77777777" w:rsidR="00253F63" w:rsidRDefault="00A07563" w:rsidP="002B27B3">
      <w:pPr>
        <w:rPr>
          <w:rFonts w:asciiTheme="minorHAnsi" w:hAnsiTheme="minorHAnsi" w:cstheme="minorHAnsi"/>
          <w:sz w:val="22"/>
          <w:szCs w:val="22"/>
        </w:rPr>
      </w:pPr>
      <w:r w:rsidRPr="002B27B3">
        <w:rPr>
          <w:rFonts w:asciiTheme="minorHAnsi" w:hAnsiTheme="minorHAnsi" w:cstheme="minorHAnsi"/>
          <w:sz w:val="22"/>
          <w:szCs w:val="22"/>
        </w:rPr>
        <w:t>To</w:t>
      </w:r>
      <w:r w:rsidR="002B27B3" w:rsidRPr="002B27B3">
        <w:rPr>
          <w:rFonts w:asciiTheme="minorHAnsi" w:hAnsiTheme="minorHAnsi" w:cstheme="minorHAnsi"/>
          <w:sz w:val="22"/>
          <w:szCs w:val="22"/>
        </w:rPr>
        <w:t xml:space="preserve"> reduce the number of concurrent medicines and decrease the risk of adverse events from polypharmacy, evidence-based guidance is required to rationalise and stop medicines which are least likely to </w:t>
      </w:r>
      <w:r>
        <w:rPr>
          <w:rFonts w:asciiTheme="minorHAnsi" w:hAnsiTheme="minorHAnsi" w:cstheme="minorHAnsi"/>
          <w:sz w:val="22"/>
          <w:szCs w:val="22"/>
        </w:rPr>
        <w:t xml:space="preserve">improve </w:t>
      </w:r>
      <w:r w:rsidR="002B27B3" w:rsidRPr="002B27B3">
        <w:rPr>
          <w:rFonts w:asciiTheme="minorHAnsi" w:hAnsiTheme="minorHAnsi" w:cstheme="minorHAnsi"/>
          <w:sz w:val="22"/>
          <w:szCs w:val="22"/>
        </w:rPr>
        <w:t>the patient’s condition and most likely to cause adverse effect (</w:t>
      </w:r>
      <w:proofErr w:type="spellStart"/>
      <w:r w:rsidR="002B27B3" w:rsidRPr="002B27B3">
        <w:rPr>
          <w:rFonts w:asciiTheme="minorHAnsi" w:hAnsiTheme="minorHAnsi" w:cstheme="minorHAnsi"/>
          <w:sz w:val="22"/>
          <w:szCs w:val="22"/>
        </w:rPr>
        <w:t>Wastesson</w:t>
      </w:r>
      <w:proofErr w:type="spellEnd"/>
      <w:r w:rsidR="002B27B3" w:rsidRPr="002B27B3">
        <w:rPr>
          <w:rFonts w:asciiTheme="minorHAnsi" w:hAnsiTheme="minorHAnsi" w:cstheme="minorHAnsi"/>
          <w:sz w:val="22"/>
          <w:szCs w:val="22"/>
        </w:rPr>
        <w:t xml:space="preserve"> </w:t>
      </w:r>
      <w:r w:rsidR="002B27B3" w:rsidRPr="002B27B3">
        <w:rPr>
          <w:rFonts w:asciiTheme="minorHAnsi" w:hAnsiTheme="minorHAnsi" w:cstheme="minorHAnsi"/>
          <w:i/>
          <w:iCs/>
          <w:sz w:val="22"/>
          <w:szCs w:val="22"/>
        </w:rPr>
        <w:t>et al.</w:t>
      </w:r>
      <w:r w:rsidR="00FD5ADD">
        <w:rPr>
          <w:rFonts w:asciiTheme="minorHAnsi" w:hAnsiTheme="minorHAnsi" w:cstheme="minorHAnsi"/>
          <w:i/>
          <w:iCs/>
          <w:sz w:val="22"/>
          <w:szCs w:val="22"/>
        </w:rPr>
        <w:t>,</w:t>
      </w:r>
      <w:r w:rsidR="002B27B3" w:rsidRPr="002B27B3">
        <w:rPr>
          <w:rFonts w:asciiTheme="minorHAnsi" w:hAnsiTheme="minorHAnsi" w:cstheme="minorHAnsi"/>
          <w:i/>
          <w:iCs/>
          <w:sz w:val="22"/>
          <w:szCs w:val="22"/>
        </w:rPr>
        <w:t xml:space="preserve"> </w:t>
      </w:r>
      <w:r w:rsidR="002B27B3" w:rsidRPr="002B27B3">
        <w:rPr>
          <w:rFonts w:asciiTheme="minorHAnsi" w:hAnsiTheme="minorHAnsi" w:cstheme="minorHAnsi"/>
          <w:sz w:val="22"/>
          <w:szCs w:val="22"/>
        </w:rPr>
        <w:t xml:space="preserve">2018). </w:t>
      </w:r>
      <w:r w:rsidR="005F28DE">
        <w:rPr>
          <w:rFonts w:asciiTheme="minorHAnsi" w:hAnsiTheme="minorHAnsi" w:cstheme="minorHAnsi"/>
          <w:sz w:val="22"/>
          <w:szCs w:val="22"/>
        </w:rPr>
        <w:t>The true definition of polypharmacy is a widely debated topic (Hughes, 2020)</w:t>
      </w:r>
      <w:r w:rsidR="00666C56">
        <w:rPr>
          <w:rFonts w:asciiTheme="minorHAnsi" w:hAnsiTheme="minorHAnsi" w:cstheme="minorHAnsi"/>
          <w:sz w:val="22"/>
          <w:szCs w:val="22"/>
        </w:rPr>
        <w:t>. A numerical definition, often cited as 5 or mor concurrent medicines (WHO, 2019) is potentially overly simplistic and may potentially discourage the prescribing of medicines that are likely to have a positive impact on patient care (</w:t>
      </w:r>
      <w:proofErr w:type="spellStart"/>
      <w:r w:rsidR="00666C56">
        <w:rPr>
          <w:rFonts w:asciiTheme="minorHAnsi" w:hAnsiTheme="minorHAnsi" w:cstheme="minorHAnsi"/>
          <w:sz w:val="22"/>
          <w:szCs w:val="22"/>
        </w:rPr>
        <w:t>Gurwitz</w:t>
      </w:r>
      <w:proofErr w:type="spellEnd"/>
      <w:r w:rsidR="00666C56">
        <w:rPr>
          <w:rFonts w:asciiTheme="minorHAnsi" w:hAnsiTheme="minorHAnsi" w:cstheme="minorHAnsi"/>
          <w:sz w:val="22"/>
          <w:szCs w:val="22"/>
        </w:rPr>
        <w:t xml:space="preserve">, 2004).  </w:t>
      </w:r>
      <w:r w:rsidR="001B4D51">
        <w:rPr>
          <w:rFonts w:asciiTheme="minorHAnsi" w:hAnsiTheme="minorHAnsi" w:cstheme="minorHAnsi"/>
          <w:sz w:val="22"/>
          <w:szCs w:val="22"/>
        </w:rPr>
        <w:t>Consequently</w:t>
      </w:r>
      <w:r w:rsidR="00666C56">
        <w:rPr>
          <w:rFonts w:asciiTheme="minorHAnsi" w:hAnsiTheme="minorHAnsi" w:cstheme="minorHAnsi"/>
          <w:sz w:val="22"/>
          <w:szCs w:val="22"/>
        </w:rPr>
        <w:t>, t</w:t>
      </w:r>
      <w:r w:rsidR="0049269E">
        <w:rPr>
          <w:rFonts w:asciiTheme="minorHAnsi" w:hAnsiTheme="minorHAnsi" w:cstheme="minorHAnsi"/>
          <w:sz w:val="22"/>
          <w:szCs w:val="22"/>
        </w:rPr>
        <w:t xml:space="preserve">here is reluctance in categorising </w:t>
      </w:r>
      <w:r w:rsidR="005F28DE">
        <w:rPr>
          <w:rFonts w:asciiTheme="minorHAnsi" w:hAnsiTheme="minorHAnsi" w:cstheme="minorHAnsi"/>
          <w:sz w:val="22"/>
          <w:szCs w:val="22"/>
        </w:rPr>
        <w:t xml:space="preserve">all polypharmacy as poor </w:t>
      </w:r>
      <w:r w:rsidR="001B4D51">
        <w:rPr>
          <w:rFonts w:asciiTheme="minorHAnsi" w:hAnsiTheme="minorHAnsi" w:cstheme="minorHAnsi"/>
          <w:sz w:val="22"/>
          <w:szCs w:val="22"/>
        </w:rPr>
        <w:t>practice because</w:t>
      </w:r>
      <w:r w:rsidR="005F28DE">
        <w:rPr>
          <w:rFonts w:asciiTheme="minorHAnsi" w:hAnsiTheme="minorHAnsi" w:cstheme="minorHAnsi"/>
          <w:sz w:val="22"/>
          <w:szCs w:val="22"/>
        </w:rPr>
        <w:t xml:space="preserve"> there is evidence to support certain combinations of medicines to be used for some diseases</w:t>
      </w:r>
      <w:r w:rsidR="00EA5621">
        <w:rPr>
          <w:rFonts w:asciiTheme="minorHAnsi" w:hAnsiTheme="minorHAnsi" w:cstheme="minorHAnsi"/>
          <w:sz w:val="22"/>
          <w:szCs w:val="22"/>
        </w:rPr>
        <w:t xml:space="preserve"> (Cadogan, Ryan and Hughes, 2</w:t>
      </w:r>
      <w:r w:rsidR="005A2992">
        <w:rPr>
          <w:rFonts w:asciiTheme="minorHAnsi" w:hAnsiTheme="minorHAnsi" w:cstheme="minorHAnsi"/>
          <w:sz w:val="22"/>
          <w:szCs w:val="22"/>
        </w:rPr>
        <w:t xml:space="preserve">016). This has </w:t>
      </w:r>
      <w:r w:rsidR="001B4D51">
        <w:rPr>
          <w:rFonts w:asciiTheme="minorHAnsi" w:hAnsiTheme="minorHAnsi" w:cstheme="minorHAnsi"/>
          <w:sz w:val="22"/>
          <w:szCs w:val="22"/>
        </w:rPr>
        <w:t>led</w:t>
      </w:r>
      <w:r w:rsidR="005A2992">
        <w:rPr>
          <w:rFonts w:asciiTheme="minorHAnsi" w:hAnsiTheme="minorHAnsi" w:cstheme="minorHAnsi"/>
          <w:sz w:val="22"/>
          <w:szCs w:val="22"/>
        </w:rPr>
        <w:t xml:space="preserve"> to the </w:t>
      </w:r>
      <w:r w:rsidR="001B4D51">
        <w:rPr>
          <w:rFonts w:asciiTheme="minorHAnsi" w:hAnsiTheme="minorHAnsi" w:cstheme="minorHAnsi"/>
          <w:sz w:val="22"/>
          <w:szCs w:val="22"/>
        </w:rPr>
        <w:t>distinction between and use of the terms ‘</w:t>
      </w:r>
      <w:r w:rsidR="005A2992">
        <w:rPr>
          <w:rFonts w:asciiTheme="minorHAnsi" w:hAnsiTheme="minorHAnsi" w:cstheme="minorHAnsi"/>
          <w:sz w:val="22"/>
          <w:szCs w:val="22"/>
        </w:rPr>
        <w:t xml:space="preserve">appropriate </w:t>
      </w:r>
      <w:r w:rsidR="001B4D51">
        <w:rPr>
          <w:rFonts w:asciiTheme="minorHAnsi" w:hAnsiTheme="minorHAnsi" w:cstheme="minorHAnsi"/>
          <w:sz w:val="22"/>
          <w:szCs w:val="22"/>
        </w:rPr>
        <w:t xml:space="preserve">polypharmacy’ </w:t>
      </w:r>
      <w:r w:rsidR="005A2992">
        <w:rPr>
          <w:rFonts w:asciiTheme="minorHAnsi" w:hAnsiTheme="minorHAnsi" w:cstheme="minorHAnsi"/>
          <w:sz w:val="22"/>
          <w:szCs w:val="22"/>
        </w:rPr>
        <w:t xml:space="preserve">and </w:t>
      </w:r>
      <w:r w:rsidR="001B4D51">
        <w:rPr>
          <w:rFonts w:asciiTheme="minorHAnsi" w:hAnsiTheme="minorHAnsi" w:cstheme="minorHAnsi"/>
          <w:sz w:val="22"/>
          <w:szCs w:val="22"/>
        </w:rPr>
        <w:t>‘</w:t>
      </w:r>
      <w:r w:rsidR="00563815">
        <w:rPr>
          <w:rFonts w:asciiTheme="minorHAnsi" w:hAnsiTheme="minorHAnsi" w:cstheme="minorHAnsi"/>
          <w:sz w:val="22"/>
          <w:szCs w:val="22"/>
        </w:rPr>
        <w:t>problematic</w:t>
      </w:r>
      <w:r w:rsidR="005A2992">
        <w:rPr>
          <w:rFonts w:asciiTheme="minorHAnsi" w:hAnsiTheme="minorHAnsi" w:cstheme="minorHAnsi"/>
          <w:sz w:val="22"/>
          <w:szCs w:val="22"/>
        </w:rPr>
        <w:t xml:space="preserve"> polypharmacy</w:t>
      </w:r>
      <w:r w:rsidR="001B4D51">
        <w:rPr>
          <w:rFonts w:asciiTheme="minorHAnsi" w:hAnsiTheme="minorHAnsi" w:cstheme="minorHAnsi"/>
          <w:sz w:val="22"/>
          <w:szCs w:val="22"/>
        </w:rPr>
        <w:t>’ (Rochon, 2021)</w:t>
      </w:r>
      <w:r w:rsidR="008E7682">
        <w:rPr>
          <w:rFonts w:asciiTheme="minorHAnsi" w:hAnsiTheme="minorHAnsi" w:cstheme="minorHAnsi"/>
          <w:sz w:val="22"/>
          <w:szCs w:val="22"/>
        </w:rPr>
        <w:t xml:space="preserve"> (</w:t>
      </w:r>
      <w:proofErr w:type="spellStart"/>
      <w:r w:rsidR="008E7682">
        <w:rPr>
          <w:rFonts w:asciiTheme="minorHAnsi" w:hAnsiTheme="minorHAnsi" w:cstheme="minorHAnsi"/>
          <w:sz w:val="22"/>
          <w:szCs w:val="22"/>
        </w:rPr>
        <w:t>Duerden</w:t>
      </w:r>
      <w:proofErr w:type="spellEnd"/>
      <w:r w:rsidR="008E7682">
        <w:rPr>
          <w:rFonts w:asciiTheme="minorHAnsi" w:hAnsiTheme="minorHAnsi" w:cstheme="minorHAnsi"/>
          <w:sz w:val="22"/>
          <w:szCs w:val="22"/>
        </w:rPr>
        <w:t>, Avery and Payne, 2013)</w:t>
      </w:r>
      <w:r w:rsidR="001B4D51">
        <w:rPr>
          <w:rFonts w:asciiTheme="minorHAnsi" w:hAnsiTheme="minorHAnsi" w:cstheme="minorHAnsi"/>
          <w:sz w:val="22"/>
          <w:szCs w:val="22"/>
        </w:rPr>
        <w:t xml:space="preserve">. </w:t>
      </w:r>
    </w:p>
    <w:p w14:paraId="608B9A40" w14:textId="77777777" w:rsidR="00253F63" w:rsidRDefault="00253F63" w:rsidP="002B27B3">
      <w:pPr>
        <w:rPr>
          <w:rFonts w:asciiTheme="minorHAnsi" w:hAnsiTheme="minorHAnsi" w:cstheme="minorHAnsi"/>
          <w:sz w:val="22"/>
          <w:szCs w:val="22"/>
        </w:rPr>
      </w:pPr>
    </w:p>
    <w:p w14:paraId="4F0F88F3" w14:textId="7A927B28" w:rsidR="002B27B3" w:rsidRDefault="001B4D51" w:rsidP="002B27B3">
      <w:pPr>
        <w:rPr>
          <w:rFonts w:asciiTheme="minorHAnsi" w:hAnsiTheme="minorHAnsi" w:cstheme="minorHAnsi"/>
          <w:sz w:val="22"/>
          <w:szCs w:val="22"/>
        </w:rPr>
      </w:pPr>
      <w:r>
        <w:rPr>
          <w:rFonts w:asciiTheme="minorHAnsi" w:hAnsiTheme="minorHAnsi" w:cstheme="minorHAnsi"/>
          <w:sz w:val="22"/>
          <w:szCs w:val="22"/>
        </w:rPr>
        <w:t xml:space="preserve">A key challenge </w:t>
      </w:r>
      <w:r w:rsidR="00F75138">
        <w:rPr>
          <w:rFonts w:asciiTheme="minorHAnsi" w:hAnsiTheme="minorHAnsi" w:cstheme="minorHAnsi"/>
          <w:sz w:val="22"/>
          <w:szCs w:val="22"/>
        </w:rPr>
        <w:t xml:space="preserve">for increasing the practice of appropriate polypharmacy, is that </w:t>
      </w:r>
      <w:r w:rsidR="002311F4">
        <w:rPr>
          <w:rFonts w:asciiTheme="minorHAnsi" w:hAnsiTheme="minorHAnsi" w:cstheme="minorHAnsi"/>
          <w:sz w:val="22"/>
          <w:szCs w:val="22"/>
        </w:rPr>
        <w:t xml:space="preserve">the </w:t>
      </w:r>
      <w:r w:rsidR="00F75138">
        <w:rPr>
          <w:rFonts w:asciiTheme="minorHAnsi" w:hAnsiTheme="minorHAnsi" w:cstheme="minorHAnsi"/>
          <w:sz w:val="22"/>
          <w:szCs w:val="22"/>
        </w:rPr>
        <w:t xml:space="preserve">clinical trials </w:t>
      </w:r>
      <w:r w:rsidR="002311F4">
        <w:rPr>
          <w:rFonts w:asciiTheme="minorHAnsi" w:hAnsiTheme="minorHAnsi" w:cstheme="minorHAnsi"/>
          <w:sz w:val="22"/>
          <w:szCs w:val="22"/>
        </w:rPr>
        <w:t xml:space="preserve">that underpin the evidence base for prescribing medicines </w:t>
      </w:r>
      <w:r w:rsidR="00F75138">
        <w:rPr>
          <w:rFonts w:asciiTheme="minorHAnsi" w:hAnsiTheme="minorHAnsi" w:cstheme="minorHAnsi"/>
          <w:sz w:val="22"/>
          <w:szCs w:val="22"/>
        </w:rPr>
        <w:t>are most often undertaken in younger adult populations, between the ages of 18-65years, and in a cohort with low levels of multi-morbidity and polypharmacy (</w:t>
      </w:r>
      <w:r w:rsidR="002311F4" w:rsidRPr="002311F4">
        <w:rPr>
          <w:rFonts w:asciiTheme="minorHAnsi" w:hAnsiTheme="minorHAnsi" w:cstheme="minorHAnsi"/>
          <w:color w:val="000000" w:themeColor="text1"/>
          <w:sz w:val="22"/>
          <w:szCs w:val="22"/>
          <w:shd w:val="clear" w:color="auto" w:fill="FFFFFF"/>
        </w:rPr>
        <w:t>Shenoy</w:t>
      </w:r>
      <w:r w:rsidR="002311F4" w:rsidRPr="002311F4">
        <w:rPr>
          <w:rFonts w:asciiTheme="minorHAnsi" w:hAnsiTheme="minorHAnsi" w:cstheme="minorHAnsi"/>
          <w:color w:val="000000" w:themeColor="text1"/>
          <w:sz w:val="22"/>
          <w:szCs w:val="22"/>
          <w:shd w:val="clear" w:color="auto" w:fill="FFFFFF"/>
        </w:rPr>
        <w:t xml:space="preserve"> </w:t>
      </w:r>
      <w:r w:rsidR="002311F4" w:rsidRPr="002311F4">
        <w:rPr>
          <w:rFonts w:asciiTheme="minorHAnsi" w:hAnsiTheme="minorHAnsi" w:cstheme="minorHAnsi"/>
          <w:color w:val="000000" w:themeColor="text1"/>
          <w:sz w:val="22"/>
          <w:szCs w:val="22"/>
          <w:shd w:val="clear" w:color="auto" w:fill="FFFFFF"/>
        </w:rPr>
        <w:t xml:space="preserve">and </w:t>
      </w:r>
      <w:proofErr w:type="spellStart"/>
      <w:r w:rsidR="002311F4" w:rsidRPr="002311F4">
        <w:rPr>
          <w:rFonts w:asciiTheme="minorHAnsi" w:hAnsiTheme="minorHAnsi" w:cstheme="minorHAnsi"/>
          <w:color w:val="000000" w:themeColor="text1"/>
          <w:sz w:val="22"/>
          <w:szCs w:val="22"/>
          <w:shd w:val="clear" w:color="auto" w:fill="FFFFFF"/>
        </w:rPr>
        <w:t>Harugeri</w:t>
      </w:r>
      <w:proofErr w:type="spellEnd"/>
      <w:r w:rsidR="002311F4" w:rsidRPr="002311F4">
        <w:rPr>
          <w:rFonts w:asciiTheme="minorHAnsi" w:hAnsiTheme="minorHAnsi" w:cstheme="minorHAnsi"/>
          <w:color w:val="000000" w:themeColor="text1"/>
          <w:sz w:val="22"/>
          <w:szCs w:val="22"/>
          <w:shd w:val="clear" w:color="auto" w:fill="FFFFFF"/>
        </w:rPr>
        <w:t>,</w:t>
      </w:r>
      <w:r w:rsidR="002311F4" w:rsidRPr="002311F4">
        <w:rPr>
          <w:rFonts w:asciiTheme="minorHAnsi" w:hAnsiTheme="minorHAnsi" w:cstheme="minorHAnsi"/>
          <w:color w:val="000000" w:themeColor="text1"/>
          <w:sz w:val="22"/>
          <w:szCs w:val="22"/>
          <w:shd w:val="clear" w:color="auto" w:fill="FFFFFF"/>
        </w:rPr>
        <w:t xml:space="preserve"> </w:t>
      </w:r>
      <w:r w:rsidR="002311F4" w:rsidRPr="002311F4">
        <w:rPr>
          <w:rFonts w:asciiTheme="minorHAnsi" w:hAnsiTheme="minorHAnsi" w:cstheme="minorHAnsi"/>
          <w:color w:val="000000" w:themeColor="text1"/>
          <w:sz w:val="22"/>
          <w:szCs w:val="22"/>
          <w:shd w:val="clear" w:color="auto" w:fill="FFFFFF"/>
        </w:rPr>
        <w:t>2015)</w:t>
      </w:r>
      <w:r w:rsidR="002311F4">
        <w:rPr>
          <w:rFonts w:asciiTheme="minorHAnsi" w:hAnsiTheme="minorHAnsi" w:cstheme="minorHAnsi"/>
          <w:color w:val="000000" w:themeColor="text1"/>
          <w:sz w:val="22"/>
          <w:szCs w:val="22"/>
          <w:shd w:val="clear" w:color="auto" w:fill="FFFFFF"/>
        </w:rPr>
        <w:t xml:space="preserve">. </w:t>
      </w:r>
      <w:proofErr w:type="gramStart"/>
      <w:r w:rsidR="00A57476">
        <w:rPr>
          <w:rFonts w:asciiTheme="minorHAnsi" w:hAnsiTheme="minorHAnsi" w:cstheme="minorHAnsi"/>
          <w:color w:val="000000" w:themeColor="text1"/>
          <w:sz w:val="22"/>
          <w:szCs w:val="22"/>
          <w:shd w:val="clear" w:color="auto" w:fill="FFFFFF"/>
        </w:rPr>
        <w:t>In order to</w:t>
      </w:r>
      <w:proofErr w:type="gramEnd"/>
      <w:r w:rsidR="00A57476">
        <w:rPr>
          <w:rFonts w:asciiTheme="minorHAnsi" w:hAnsiTheme="minorHAnsi" w:cstheme="minorHAnsi"/>
          <w:color w:val="000000" w:themeColor="text1"/>
          <w:sz w:val="22"/>
          <w:szCs w:val="22"/>
          <w:shd w:val="clear" w:color="auto" w:fill="FFFFFF"/>
        </w:rPr>
        <w:t xml:space="preserve"> reduce the </w:t>
      </w:r>
      <w:proofErr w:type="spellStart"/>
      <w:r w:rsidR="00A57476">
        <w:rPr>
          <w:rFonts w:asciiTheme="minorHAnsi" w:hAnsiTheme="minorHAnsi" w:cstheme="minorHAnsi"/>
          <w:color w:val="000000" w:themeColor="text1"/>
          <w:sz w:val="22"/>
          <w:szCs w:val="22"/>
          <w:shd w:val="clear" w:color="auto" w:fill="FFFFFF"/>
        </w:rPr>
        <w:t>prevelace</w:t>
      </w:r>
      <w:proofErr w:type="spellEnd"/>
      <w:r w:rsidR="00A57476">
        <w:rPr>
          <w:rFonts w:asciiTheme="minorHAnsi" w:hAnsiTheme="minorHAnsi" w:cstheme="minorHAnsi"/>
          <w:color w:val="000000" w:themeColor="text1"/>
          <w:sz w:val="22"/>
          <w:szCs w:val="22"/>
          <w:shd w:val="clear" w:color="auto" w:fill="FFFFFF"/>
        </w:rPr>
        <w:t xml:space="preserve"> of </w:t>
      </w:r>
      <w:r w:rsidR="00563815">
        <w:rPr>
          <w:rFonts w:asciiTheme="minorHAnsi" w:hAnsiTheme="minorHAnsi" w:cstheme="minorHAnsi"/>
          <w:color w:val="000000" w:themeColor="text1"/>
          <w:sz w:val="22"/>
          <w:szCs w:val="22"/>
          <w:shd w:val="clear" w:color="auto" w:fill="FFFFFF"/>
        </w:rPr>
        <w:t>problematic</w:t>
      </w:r>
      <w:r w:rsidR="00A57476">
        <w:rPr>
          <w:rFonts w:asciiTheme="minorHAnsi" w:hAnsiTheme="minorHAnsi" w:cstheme="minorHAnsi"/>
          <w:color w:val="000000" w:themeColor="text1"/>
          <w:sz w:val="22"/>
          <w:szCs w:val="22"/>
          <w:shd w:val="clear" w:color="auto" w:fill="FFFFFF"/>
        </w:rPr>
        <w:t xml:space="preserve"> polypharmacy therefore, a detailed and individualistic </w:t>
      </w:r>
      <w:r w:rsidR="007801A9">
        <w:rPr>
          <w:rFonts w:asciiTheme="minorHAnsi" w:hAnsiTheme="minorHAnsi" w:cstheme="minorHAnsi"/>
          <w:color w:val="000000" w:themeColor="text1"/>
          <w:sz w:val="22"/>
          <w:szCs w:val="22"/>
          <w:shd w:val="clear" w:color="auto" w:fill="FFFFFF"/>
        </w:rPr>
        <w:t>approach</w:t>
      </w:r>
      <w:r w:rsidR="00A57476">
        <w:rPr>
          <w:rFonts w:asciiTheme="minorHAnsi" w:hAnsiTheme="minorHAnsi" w:cstheme="minorHAnsi"/>
          <w:color w:val="000000" w:themeColor="text1"/>
          <w:sz w:val="22"/>
          <w:szCs w:val="22"/>
          <w:shd w:val="clear" w:color="auto" w:fill="FFFFFF"/>
        </w:rPr>
        <w:t xml:space="preserve"> is required, taking into account the potential benefit of a medicine to a patient and counterbalancing this with any </w:t>
      </w:r>
      <w:r w:rsidR="00691800">
        <w:rPr>
          <w:rFonts w:asciiTheme="minorHAnsi" w:hAnsiTheme="minorHAnsi" w:cstheme="minorHAnsi"/>
          <w:color w:val="000000" w:themeColor="text1"/>
          <w:sz w:val="22"/>
          <w:szCs w:val="22"/>
          <w:shd w:val="clear" w:color="auto" w:fill="FFFFFF"/>
        </w:rPr>
        <w:t xml:space="preserve">diverse individual </w:t>
      </w:r>
      <w:r w:rsidR="00A57476">
        <w:rPr>
          <w:rFonts w:asciiTheme="minorHAnsi" w:hAnsiTheme="minorHAnsi" w:cstheme="minorHAnsi"/>
          <w:color w:val="000000" w:themeColor="text1"/>
          <w:sz w:val="22"/>
          <w:szCs w:val="22"/>
          <w:shd w:val="clear" w:color="auto" w:fill="FFFFFF"/>
        </w:rPr>
        <w:t>factors</w:t>
      </w:r>
      <w:r w:rsidR="00691800">
        <w:rPr>
          <w:rFonts w:asciiTheme="minorHAnsi" w:hAnsiTheme="minorHAnsi" w:cstheme="minorHAnsi"/>
          <w:color w:val="000000" w:themeColor="text1"/>
          <w:sz w:val="22"/>
          <w:szCs w:val="22"/>
          <w:shd w:val="clear" w:color="auto" w:fill="FFFFFF"/>
        </w:rPr>
        <w:t xml:space="preserve"> </w:t>
      </w:r>
      <w:r w:rsidR="00A57476">
        <w:rPr>
          <w:rFonts w:asciiTheme="minorHAnsi" w:hAnsiTheme="minorHAnsi" w:cstheme="minorHAnsi"/>
          <w:color w:val="000000" w:themeColor="text1"/>
          <w:sz w:val="22"/>
          <w:szCs w:val="22"/>
          <w:shd w:val="clear" w:color="auto" w:fill="FFFFFF"/>
        </w:rPr>
        <w:t>that increase the risk of adverse effects (</w:t>
      </w:r>
      <w:proofErr w:type="spellStart"/>
      <w:r w:rsidR="00A57476" w:rsidRPr="002B27B3">
        <w:rPr>
          <w:rFonts w:asciiTheme="minorHAnsi" w:hAnsiTheme="minorHAnsi" w:cstheme="minorHAnsi"/>
          <w:sz w:val="22"/>
          <w:szCs w:val="22"/>
        </w:rPr>
        <w:t>Wastesson</w:t>
      </w:r>
      <w:proofErr w:type="spellEnd"/>
      <w:r w:rsidR="00A57476" w:rsidRPr="002B27B3">
        <w:rPr>
          <w:rFonts w:asciiTheme="minorHAnsi" w:hAnsiTheme="minorHAnsi" w:cstheme="minorHAnsi"/>
          <w:sz w:val="22"/>
          <w:szCs w:val="22"/>
        </w:rPr>
        <w:t xml:space="preserve"> </w:t>
      </w:r>
      <w:r w:rsidR="00A57476" w:rsidRPr="002B27B3">
        <w:rPr>
          <w:rFonts w:asciiTheme="minorHAnsi" w:hAnsiTheme="minorHAnsi" w:cstheme="minorHAnsi"/>
          <w:i/>
          <w:iCs/>
          <w:sz w:val="22"/>
          <w:szCs w:val="22"/>
        </w:rPr>
        <w:t>et al.</w:t>
      </w:r>
      <w:r w:rsidR="00A57476">
        <w:rPr>
          <w:rFonts w:asciiTheme="minorHAnsi" w:hAnsiTheme="minorHAnsi" w:cstheme="minorHAnsi"/>
          <w:i/>
          <w:iCs/>
          <w:sz w:val="22"/>
          <w:szCs w:val="22"/>
        </w:rPr>
        <w:t>,</w:t>
      </w:r>
      <w:r w:rsidR="00A57476" w:rsidRPr="002B27B3">
        <w:rPr>
          <w:rFonts w:asciiTheme="minorHAnsi" w:hAnsiTheme="minorHAnsi" w:cstheme="minorHAnsi"/>
          <w:i/>
          <w:iCs/>
          <w:sz w:val="22"/>
          <w:szCs w:val="22"/>
        </w:rPr>
        <w:t xml:space="preserve"> </w:t>
      </w:r>
      <w:r w:rsidR="00A57476" w:rsidRPr="002B27B3">
        <w:rPr>
          <w:rFonts w:asciiTheme="minorHAnsi" w:hAnsiTheme="minorHAnsi" w:cstheme="minorHAnsi"/>
          <w:sz w:val="22"/>
          <w:szCs w:val="22"/>
        </w:rPr>
        <w:t>2018)</w:t>
      </w:r>
      <w:r w:rsidR="00A57476">
        <w:rPr>
          <w:rFonts w:asciiTheme="minorHAnsi" w:hAnsiTheme="minorHAnsi" w:cstheme="minorHAnsi"/>
          <w:sz w:val="22"/>
          <w:szCs w:val="22"/>
        </w:rPr>
        <w:t xml:space="preserve">, </w:t>
      </w:r>
      <w:r w:rsidR="00691800">
        <w:rPr>
          <w:rFonts w:asciiTheme="minorHAnsi" w:hAnsiTheme="minorHAnsi" w:cstheme="minorHAnsi"/>
          <w:sz w:val="22"/>
          <w:szCs w:val="22"/>
        </w:rPr>
        <w:t>(</w:t>
      </w:r>
      <w:proofErr w:type="spellStart"/>
      <w:r w:rsidR="00691800" w:rsidRPr="00FD5ADD">
        <w:rPr>
          <w:rFonts w:asciiTheme="minorHAnsi" w:hAnsiTheme="minorHAnsi" w:cstheme="minorHAnsi"/>
          <w:color w:val="000000" w:themeColor="text1"/>
          <w:sz w:val="22"/>
          <w:szCs w:val="22"/>
          <w:shd w:val="clear" w:color="auto" w:fill="FFFFFF"/>
        </w:rPr>
        <w:t>Midão</w:t>
      </w:r>
      <w:proofErr w:type="spellEnd"/>
      <w:r w:rsidR="00691800">
        <w:rPr>
          <w:rFonts w:asciiTheme="minorHAnsi" w:hAnsiTheme="minorHAnsi" w:cstheme="minorHAnsi"/>
          <w:color w:val="000000" w:themeColor="text1"/>
          <w:sz w:val="22"/>
          <w:szCs w:val="22"/>
          <w:shd w:val="clear" w:color="auto" w:fill="FFFFFF"/>
        </w:rPr>
        <w:t xml:space="preserve"> </w:t>
      </w:r>
      <w:r w:rsidR="00691800" w:rsidRPr="00FD5ADD">
        <w:rPr>
          <w:rFonts w:asciiTheme="minorHAnsi" w:hAnsiTheme="minorHAnsi" w:cstheme="minorHAnsi"/>
          <w:i/>
          <w:iCs/>
          <w:color w:val="000000" w:themeColor="text1"/>
          <w:sz w:val="22"/>
          <w:szCs w:val="22"/>
          <w:shd w:val="clear" w:color="auto" w:fill="FFFFFF"/>
        </w:rPr>
        <w:t>et al.</w:t>
      </w:r>
      <w:r w:rsidR="00691800">
        <w:rPr>
          <w:rFonts w:asciiTheme="minorHAnsi" w:hAnsiTheme="minorHAnsi" w:cstheme="minorHAnsi"/>
          <w:i/>
          <w:iCs/>
          <w:color w:val="000000" w:themeColor="text1"/>
          <w:sz w:val="22"/>
          <w:szCs w:val="22"/>
          <w:shd w:val="clear" w:color="auto" w:fill="FFFFFF"/>
        </w:rPr>
        <w:t>,</w:t>
      </w:r>
      <w:r w:rsidR="00691800" w:rsidRPr="00FD5ADD">
        <w:rPr>
          <w:rFonts w:asciiTheme="minorHAnsi" w:hAnsiTheme="minorHAnsi" w:cstheme="minorHAnsi"/>
          <w:color w:val="000000" w:themeColor="text1"/>
          <w:sz w:val="22"/>
          <w:szCs w:val="22"/>
          <w:shd w:val="clear" w:color="auto" w:fill="FFFFFF"/>
        </w:rPr>
        <w:t> 2018)</w:t>
      </w:r>
      <w:r w:rsidR="00691800">
        <w:rPr>
          <w:rFonts w:asciiTheme="minorHAnsi" w:hAnsiTheme="minorHAnsi" w:cstheme="minorHAnsi"/>
          <w:color w:val="000000" w:themeColor="text1"/>
          <w:sz w:val="22"/>
          <w:szCs w:val="22"/>
          <w:shd w:val="clear" w:color="auto" w:fill="FFFFFF"/>
        </w:rPr>
        <w:t>, (</w:t>
      </w:r>
      <w:proofErr w:type="spellStart"/>
      <w:r w:rsidR="00691800">
        <w:rPr>
          <w:rFonts w:asciiTheme="minorHAnsi" w:hAnsiTheme="minorHAnsi" w:cstheme="minorHAnsi"/>
          <w:color w:val="000000" w:themeColor="text1"/>
          <w:sz w:val="22"/>
          <w:szCs w:val="22"/>
          <w:shd w:val="clear" w:color="auto" w:fill="FFFFFF"/>
        </w:rPr>
        <w:t>Parzan</w:t>
      </w:r>
      <w:proofErr w:type="spellEnd"/>
      <w:r w:rsidR="00691800">
        <w:rPr>
          <w:rFonts w:asciiTheme="minorHAnsi" w:hAnsiTheme="minorHAnsi" w:cstheme="minorHAnsi"/>
          <w:color w:val="000000" w:themeColor="text1"/>
          <w:sz w:val="22"/>
          <w:szCs w:val="22"/>
          <w:shd w:val="clear" w:color="auto" w:fill="FFFFFF"/>
        </w:rPr>
        <w:t xml:space="preserve"> and </w:t>
      </w:r>
      <w:proofErr w:type="spellStart"/>
      <w:r w:rsidR="00691800">
        <w:rPr>
          <w:rFonts w:asciiTheme="minorHAnsi" w:hAnsiTheme="minorHAnsi" w:cstheme="minorHAnsi"/>
          <w:color w:val="000000" w:themeColor="text1"/>
          <w:sz w:val="22"/>
          <w:szCs w:val="22"/>
          <w:shd w:val="clear" w:color="auto" w:fill="FFFFFF"/>
        </w:rPr>
        <w:t>Wehling</w:t>
      </w:r>
      <w:proofErr w:type="spellEnd"/>
      <w:r w:rsidR="00691800">
        <w:rPr>
          <w:rFonts w:asciiTheme="minorHAnsi" w:hAnsiTheme="minorHAnsi" w:cstheme="minorHAnsi"/>
          <w:color w:val="000000" w:themeColor="text1"/>
          <w:sz w:val="22"/>
          <w:szCs w:val="22"/>
          <w:shd w:val="clear" w:color="auto" w:fill="FFFFFF"/>
        </w:rPr>
        <w:t>, 2021)</w:t>
      </w:r>
      <w:r w:rsidR="00691800" w:rsidRPr="002B27B3">
        <w:rPr>
          <w:rFonts w:asciiTheme="minorHAnsi" w:hAnsiTheme="minorHAnsi" w:cstheme="minorHAnsi"/>
          <w:sz w:val="22"/>
          <w:szCs w:val="22"/>
        </w:rPr>
        <w:t>.</w:t>
      </w:r>
      <w:r w:rsidR="007801A9">
        <w:rPr>
          <w:rFonts w:asciiTheme="minorHAnsi" w:hAnsiTheme="minorHAnsi" w:cstheme="minorHAnsi"/>
          <w:sz w:val="22"/>
          <w:szCs w:val="22"/>
        </w:rPr>
        <w:t xml:space="preserve"> Prescribing and reviewing medication should be done, </w:t>
      </w:r>
      <w:proofErr w:type="gramStart"/>
      <w:r w:rsidR="007801A9">
        <w:rPr>
          <w:rFonts w:asciiTheme="minorHAnsi" w:hAnsiTheme="minorHAnsi" w:cstheme="minorHAnsi"/>
          <w:sz w:val="22"/>
          <w:szCs w:val="22"/>
        </w:rPr>
        <w:t>taking into account</w:t>
      </w:r>
      <w:proofErr w:type="gramEnd"/>
      <w:r w:rsidR="007801A9">
        <w:rPr>
          <w:rFonts w:asciiTheme="minorHAnsi" w:hAnsiTheme="minorHAnsi" w:cstheme="minorHAnsi"/>
          <w:sz w:val="22"/>
          <w:szCs w:val="22"/>
        </w:rPr>
        <w:t xml:space="preserve"> a patient’s conditions, medicines, experiences and motivations, holistically, </w:t>
      </w:r>
      <w:r w:rsidR="00253F63">
        <w:rPr>
          <w:rFonts w:asciiTheme="minorHAnsi" w:hAnsiTheme="minorHAnsi" w:cstheme="minorHAnsi"/>
          <w:sz w:val="22"/>
          <w:szCs w:val="22"/>
        </w:rPr>
        <w:t xml:space="preserve">involving the patient in order to prescribe the most effective medicine regimen </w:t>
      </w:r>
      <w:r w:rsidR="00253F63">
        <w:rPr>
          <w:rFonts w:asciiTheme="minorHAnsi" w:hAnsiTheme="minorHAnsi" w:cstheme="minorHAnsi"/>
          <w:sz w:val="22"/>
          <w:szCs w:val="22"/>
        </w:rPr>
        <w:t>(</w:t>
      </w:r>
      <w:proofErr w:type="spellStart"/>
      <w:r w:rsidR="00253F63">
        <w:rPr>
          <w:rFonts w:asciiTheme="minorHAnsi" w:hAnsiTheme="minorHAnsi" w:cstheme="minorHAnsi"/>
          <w:sz w:val="22"/>
          <w:szCs w:val="22"/>
        </w:rPr>
        <w:t>Duerden</w:t>
      </w:r>
      <w:proofErr w:type="spellEnd"/>
      <w:r w:rsidR="00253F63">
        <w:rPr>
          <w:rFonts w:asciiTheme="minorHAnsi" w:hAnsiTheme="minorHAnsi" w:cstheme="minorHAnsi"/>
          <w:sz w:val="22"/>
          <w:szCs w:val="22"/>
        </w:rPr>
        <w:t xml:space="preserve">, Avery and Payne, 2013). </w:t>
      </w:r>
      <w:r w:rsidR="00253F63">
        <w:rPr>
          <w:rFonts w:asciiTheme="minorHAnsi" w:hAnsiTheme="minorHAnsi" w:cstheme="minorHAnsi"/>
          <w:sz w:val="22"/>
          <w:szCs w:val="22"/>
        </w:rPr>
        <w:t xml:space="preserve"> </w:t>
      </w:r>
    </w:p>
    <w:p w14:paraId="5DFF3C29" w14:textId="68B5562D" w:rsidR="00253F63" w:rsidRDefault="00253F63" w:rsidP="002B27B3">
      <w:pPr>
        <w:rPr>
          <w:rFonts w:asciiTheme="minorHAnsi" w:hAnsiTheme="minorHAnsi" w:cstheme="minorHAnsi"/>
          <w:sz w:val="22"/>
          <w:szCs w:val="22"/>
        </w:rPr>
      </w:pPr>
    </w:p>
    <w:p w14:paraId="1EA8B2AF" w14:textId="2942BC2F" w:rsidR="00713278" w:rsidRPr="009E738A" w:rsidRDefault="009E738A" w:rsidP="009E738A">
      <w:pPr>
        <w:rPr>
          <w:rFonts w:asciiTheme="minorHAnsi" w:hAnsiTheme="minorHAnsi" w:cstheme="minorHAnsi"/>
          <w:sz w:val="22"/>
          <w:szCs w:val="22"/>
        </w:rPr>
      </w:pPr>
      <w:proofErr w:type="gramStart"/>
      <w:r>
        <w:rPr>
          <w:rFonts w:asciiTheme="minorHAnsi" w:hAnsiTheme="minorHAnsi" w:cstheme="minorHAnsi"/>
          <w:sz w:val="22"/>
          <w:szCs w:val="22"/>
        </w:rPr>
        <w:t>Typically</w:t>
      </w:r>
      <w:proofErr w:type="gramEnd"/>
      <w:r>
        <w:rPr>
          <w:rFonts w:asciiTheme="minorHAnsi" w:hAnsiTheme="minorHAnsi" w:cstheme="minorHAnsi"/>
          <w:sz w:val="22"/>
          <w:szCs w:val="22"/>
        </w:rPr>
        <w:t xml:space="preserve"> medicines are reviewed within primary care across the UK, as part of an annual medicines review, which is undertaken </w:t>
      </w:r>
      <w:r w:rsidR="00C41FD4">
        <w:rPr>
          <w:rFonts w:asciiTheme="minorHAnsi" w:hAnsiTheme="minorHAnsi" w:cstheme="minorHAnsi"/>
          <w:sz w:val="22"/>
          <w:szCs w:val="22"/>
        </w:rPr>
        <w:t xml:space="preserve">in GP practices </w:t>
      </w:r>
      <w:r>
        <w:rPr>
          <w:rFonts w:asciiTheme="minorHAnsi" w:hAnsiTheme="minorHAnsi" w:cstheme="minorHAnsi"/>
          <w:sz w:val="22"/>
          <w:szCs w:val="22"/>
        </w:rPr>
        <w:t xml:space="preserve">by </w:t>
      </w:r>
      <w:r w:rsidR="00C41FD4">
        <w:rPr>
          <w:rFonts w:asciiTheme="minorHAnsi" w:hAnsiTheme="minorHAnsi" w:cstheme="minorHAnsi"/>
          <w:sz w:val="22"/>
          <w:szCs w:val="22"/>
        </w:rPr>
        <w:t>practice pharmacists</w:t>
      </w:r>
      <w:r w:rsidR="00C41FD4">
        <w:rPr>
          <w:rFonts w:asciiTheme="minorHAnsi" w:hAnsiTheme="minorHAnsi" w:cstheme="minorHAnsi"/>
          <w:sz w:val="22"/>
          <w:szCs w:val="22"/>
        </w:rPr>
        <w:t xml:space="preserve"> and GPs</w:t>
      </w:r>
      <w:r w:rsidR="00C41FD4">
        <w:rPr>
          <w:rFonts w:asciiTheme="minorHAnsi" w:hAnsiTheme="minorHAnsi" w:cstheme="minorHAnsi"/>
          <w:sz w:val="22"/>
          <w:szCs w:val="22"/>
        </w:rPr>
        <w:t>, but can also be undertaken by practice nurses</w:t>
      </w:r>
      <w:r w:rsidR="00C41FD4">
        <w:rPr>
          <w:rFonts w:asciiTheme="minorHAnsi" w:hAnsiTheme="minorHAnsi" w:cstheme="minorHAnsi"/>
          <w:sz w:val="22"/>
          <w:szCs w:val="22"/>
        </w:rPr>
        <w:t xml:space="preserve"> </w:t>
      </w:r>
      <w:r w:rsidRPr="00C41FD4">
        <w:rPr>
          <w:rFonts w:asciiTheme="minorHAnsi" w:hAnsiTheme="minorHAnsi" w:cstheme="minorHAnsi"/>
          <w:sz w:val="22"/>
          <w:szCs w:val="22"/>
        </w:rPr>
        <w:t>(</w:t>
      </w:r>
      <w:r w:rsidR="00C41FD4" w:rsidRPr="00C41FD4">
        <w:rPr>
          <w:rFonts w:asciiTheme="minorHAnsi" w:hAnsiTheme="minorHAnsi" w:cstheme="minorHAnsi"/>
          <w:sz w:val="22"/>
          <w:szCs w:val="22"/>
        </w:rPr>
        <w:t>NHS, 2023</w:t>
      </w:r>
      <w:r w:rsidRPr="00C41FD4">
        <w:rPr>
          <w:rFonts w:asciiTheme="minorHAnsi" w:hAnsiTheme="minorHAnsi" w:cstheme="minorHAnsi"/>
          <w:sz w:val="22"/>
          <w:szCs w:val="22"/>
        </w:rPr>
        <w:t>).</w:t>
      </w:r>
      <w:r w:rsidR="00C41FD4">
        <w:rPr>
          <w:rFonts w:asciiTheme="minorHAnsi" w:hAnsiTheme="minorHAnsi" w:cstheme="minorHAnsi"/>
          <w:sz w:val="22"/>
          <w:szCs w:val="22"/>
        </w:rPr>
        <w:t xml:space="preserve"> </w:t>
      </w:r>
      <w:r>
        <w:rPr>
          <w:rFonts w:asciiTheme="minorHAnsi" w:hAnsiTheme="minorHAnsi" w:cstheme="minorHAnsi"/>
          <w:sz w:val="22"/>
          <w:szCs w:val="22"/>
        </w:rPr>
        <w:t xml:space="preserve">In addition, patient’s medicines are reviewed if they are admitted to hospital, particularly if their admission is thought to have been contributed to by their medicines </w:t>
      </w:r>
      <w:r w:rsidR="000857F0">
        <w:rPr>
          <w:rFonts w:asciiTheme="minorHAnsi" w:hAnsiTheme="minorHAnsi" w:cstheme="minorHAnsi"/>
          <w:sz w:val="22"/>
          <w:szCs w:val="22"/>
        </w:rPr>
        <w:t>(</w:t>
      </w:r>
      <w:proofErr w:type="spellStart"/>
      <w:r w:rsidR="000857F0">
        <w:rPr>
          <w:rFonts w:asciiTheme="minorHAnsi" w:hAnsiTheme="minorHAnsi" w:cstheme="minorHAnsi"/>
          <w:sz w:val="22"/>
          <w:szCs w:val="22"/>
        </w:rPr>
        <w:t>Zaninotto</w:t>
      </w:r>
      <w:proofErr w:type="spellEnd"/>
      <w:r w:rsidR="000857F0">
        <w:rPr>
          <w:rFonts w:asciiTheme="minorHAnsi" w:hAnsiTheme="minorHAnsi" w:cstheme="minorHAnsi"/>
          <w:sz w:val="22"/>
          <w:szCs w:val="22"/>
        </w:rPr>
        <w:t xml:space="preserve"> </w:t>
      </w:r>
      <w:r w:rsidR="000857F0">
        <w:rPr>
          <w:rFonts w:asciiTheme="minorHAnsi" w:hAnsiTheme="minorHAnsi" w:cstheme="minorHAnsi"/>
          <w:i/>
          <w:iCs/>
          <w:sz w:val="22"/>
          <w:szCs w:val="22"/>
        </w:rPr>
        <w:t xml:space="preserve">et al., </w:t>
      </w:r>
      <w:r w:rsidR="000857F0" w:rsidRPr="000857F0">
        <w:rPr>
          <w:rFonts w:asciiTheme="minorHAnsi" w:hAnsiTheme="minorHAnsi" w:cstheme="minorHAnsi"/>
          <w:sz w:val="22"/>
          <w:szCs w:val="22"/>
        </w:rPr>
        <w:t>2020)</w:t>
      </w:r>
      <w:r>
        <w:rPr>
          <w:rFonts w:asciiTheme="minorHAnsi" w:hAnsiTheme="minorHAnsi" w:cstheme="minorHAnsi"/>
          <w:sz w:val="22"/>
          <w:szCs w:val="22"/>
        </w:rPr>
        <w:t xml:space="preserve"> </w:t>
      </w:r>
      <w:r w:rsidR="00AA08DF">
        <w:rPr>
          <w:rFonts w:asciiTheme="minorHAnsi" w:hAnsiTheme="minorHAnsi" w:cstheme="minorHAnsi"/>
          <w:sz w:val="22"/>
          <w:szCs w:val="22"/>
        </w:rPr>
        <w:t xml:space="preserve">The Royal Pharmaceutical Society recommends that reviewing medicines for problematic polypharmacy should not be the responsibility of one profession or sector of healthcare, and instead is the responsibility of all healthcare professionals who come into contact with a patient’s medicines </w:t>
      </w:r>
      <w:r w:rsidR="00AA08DF" w:rsidRPr="001B796D">
        <w:rPr>
          <w:rFonts w:asciiTheme="minorHAnsi" w:hAnsiTheme="minorHAnsi" w:cstheme="minorHAnsi"/>
          <w:sz w:val="22"/>
          <w:szCs w:val="22"/>
        </w:rPr>
        <w:t>(RPS</w:t>
      </w:r>
      <w:r w:rsidR="001B796D" w:rsidRPr="001B796D">
        <w:rPr>
          <w:rFonts w:asciiTheme="minorHAnsi" w:hAnsiTheme="minorHAnsi" w:cstheme="minorHAnsi"/>
          <w:sz w:val="22"/>
          <w:szCs w:val="22"/>
        </w:rPr>
        <w:t>, 2023</w:t>
      </w:r>
      <w:r w:rsidR="00AA08DF" w:rsidRPr="001B796D">
        <w:rPr>
          <w:rFonts w:asciiTheme="minorHAnsi" w:hAnsiTheme="minorHAnsi" w:cstheme="minorHAnsi"/>
          <w:sz w:val="22"/>
          <w:szCs w:val="22"/>
        </w:rPr>
        <w:t>).</w:t>
      </w:r>
    </w:p>
    <w:p w14:paraId="0FB7F117" w14:textId="77777777" w:rsidR="00713278" w:rsidRDefault="00713278" w:rsidP="002B27B3">
      <w:pPr>
        <w:rPr>
          <w:rFonts w:asciiTheme="minorHAnsi" w:hAnsiTheme="minorHAnsi" w:cstheme="minorHAnsi"/>
          <w:sz w:val="22"/>
          <w:szCs w:val="22"/>
        </w:rPr>
      </w:pPr>
    </w:p>
    <w:p w14:paraId="461321D6" w14:textId="003A1DBC" w:rsidR="00253F63" w:rsidRDefault="00DF6A02" w:rsidP="002B27B3">
      <w:pPr>
        <w:rPr>
          <w:rFonts w:asciiTheme="minorHAnsi" w:hAnsiTheme="minorHAnsi" w:cstheme="minorHAnsi"/>
          <w:sz w:val="22"/>
          <w:szCs w:val="22"/>
        </w:rPr>
      </w:pPr>
      <w:r>
        <w:rPr>
          <w:rFonts w:asciiTheme="minorHAnsi" w:hAnsiTheme="minorHAnsi" w:cstheme="minorHAnsi"/>
          <w:sz w:val="22"/>
          <w:szCs w:val="22"/>
        </w:rPr>
        <w:t>To</w:t>
      </w:r>
      <w:r w:rsidR="00EF5508">
        <w:rPr>
          <w:rFonts w:asciiTheme="minorHAnsi" w:hAnsiTheme="minorHAnsi" w:cstheme="minorHAnsi"/>
          <w:sz w:val="22"/>
          <w:szCs w:val="22"/>
        </w:rPr>
        <w:t xml:space="preserve"> review medicines</w:t>
      </w:r>
      <w:r>
        <w:rPr>
          <w:rFonts w:asciiTheme="minorHAnsi" w:hAnsiTheme="minorHAnsi" w:cstheme="minorHAnsi"/>
          <w:sz w:val="22"/>
          <w:szCs w:val="22"/>
        </w:rPr>
        <w:t xml:space="preserve"> </w:t>
      </w:r>
      <w:proofErr w:type="gramStart"/>
      <w:r w:rsidR="007D141A">
        <w:rPr>
          <w:rFonts w:asciiTheme="minorHAnsi" w:hAnsiTheme="minorHAnsi" w:cstheme="minorHAnsi"/>
          <w:sz w:val="22"/>
          <w:szCs w:val="22"/>
        </w:rPr>
        <w:t xml:space="preserve">in order </w:t>
      </w:r>
      <w:r>
        <w:rPr>
          <w:rFonts w:asciiTheme="minorHAnsi" w:hAnsiTheme="minorHAnsi" w:cstheme="minorHAnsi"/>
          <w:sz w:val="22"/>
          <w:szCs w:val="22"/>
        </w:rPr>
        <w:t>to</w:t>
      </w:r>
      <w:proofErr w:type="gramEnd"/>
      <w:r>
        <w:rPr>
          <w:rFonts w:asciiTheme="minorHAnsi" w:hAnsiTheme="minorHAnsi" w:cstheme="minorHAnsi"/>
          <w:sz w:val="22"/>
          <w:szCs w:val="22"/>
        </w:rPr>
        <w:t xml:space="preserve"> reduce the risk of problematic polypharmacy, there are national and international tools available (</w:t>
      </w:r>
      <w:proofErr w:type="spellStart"/>
      <w:r>
        <w:rPr>
          <w:rFonts w:asciiTheme="minorHAnsi" w:hAnsiTheme="minorHAnsi" w:cstheme="minorHAnsi"/>
          <w:sz w:val="22"/>
          <w:szCs w:val="22"/>
        </w:rPr>
        <w:t>Spinewine</w:t>
      </w:r>
      <w:proofErr w:type="spellEnd"/>
      <w:r>
        <w:rPr>
          <w:rFonts w:asciiTheme="minorHAnsi" w:hAnsiTheme="minorHAnsi" w:cstheme="minorHAnsi"/>
          <w:i/>
          <w:iCs/>
          <w:sz w:val="22"/>
          <w:szCs w:val="22"/>
        </w:rPr>
        <w:t xml:space="preserve"> et al</w:t>
      </w:r>
      <w:r>
        <w:rPr>
          <w:rFonts w:asciiTheme="minorHAnsi" w:hAnsiTheme="minorHAnsi" w:cstheme="minorHAnsi"/>
          <w:sz w:val="22"/>
          <w:szCs w:val="22"/>
        </w:rPr>
        <w:t>.</w:t>
      </w:r>
      <w:r w:rsidR="000857F0">
        <w:rPr>
          <w:rFonts w:asciiTheme="minorHAnsi" w:hAnsiTheme="minorHAnsi" w:cstheme="minorHAnsi"/>
          <w:sz w:val="22"/>
          <w:szCs w:val="22"/>
        </w:rPr>
        <w:t>,</w:t>
      </w:r>
      <w:r>
        <w:rPr>
          <w:rFonts w:asciiTheme="minorHAnsi" w:hAnsiTheme="minorHAnsi" w:cstheme="minorHAnsi"/>
          <w:sz w:val="22"/>
          <w:szCs w:val="22"/>
        </w:rPr>
        <w:t xml:space="preserve"> 2007).  </w:t>
      </w:r>
      <w:r w:rsidR="007D141A">
        <w:rPr>
          <w:rFonts w:asciiTheme="minorHAnsi" w:hAnsiTheme="minorHAnsi" w:cstheme="minorHAnsi"/>
          <w:sz w:val="22"/>
          <w:szCs w:val="22"/>
        </w:rPr>
        <w:t>These tools highlight explicit medicines criteri</w:t>
      </w:r>
      <w:r w:rsidR="0000514E">
        <w:rPr>
          <w:rFonts w:asciiTheme="minorHAnsi" w:hAnsiTheme="minorHAnsi" w:cstheme="minorHAnsi"/>
          <w:sz w:val="22"/>
          <w:szCs w:val="22"/>
        </w:rPr>
        <w:t>a</w:t>
      </w:r>
      <w:r w:rsidR="007D141A">
        <w:rPr>
          <w:rFonts w:asciiTheme="minorHAnsi" w:hAnsiTheme="minorHAnsi" w:cstheme="minorHAnsi"/>
          <w:sz w:val="22"/>
          <w:szCs w:val="22"/>
        </w:rPr>
        <w:t xml:space="preserve"> and factors to review associated with medicines or groups of medicines, enabling healthcare </w:t>
      </w:r>
      <w:r w:rsidR="007D141A">
        <w:rPr>
          <w:rFonts w:asciiTheme="minorHAnsi" w:hAnsiTheme="minorHAnsi" w:cstheme="minorHAnsi"/>
          <w:sz w:val="22"/>
          <w:szCs w:val="22"/>
        </w:rPr>
        <w:lastRenderedPageBreak/>
        <w:t>professional</w:t>
      </w:r>
      <w:r w:rsidR="00CB67CF">
        <w:rPr>
          <w:rFonts w:asciiTheme="minorHAnsi" w:hAnsiTheme="minorHAnsi" w:cstheme="minorHAnsi"/>
          <w:sz w:val="22"/>
          <w:szCs w:val="22"/>
        </w:rPr>
        <w:t>s</w:t>
      </w:r>
      <w:r w:rsidR="007D141A">
        <w:rPr>
          <w:rFonts w:asciiTheme="minorHAnsi" w:hAnsiTheme="minorHAnsi" w:cstheme="minorHAnsi"/>
          <w:sz w:val="22"/>
          <w:szCs w:val="22"/>
        </w:rPr>
        <w:t xml:space="preserve"> to undertake detailed medicine review</w:t>
      </w:r>
      <w:r w:rsidR="00CB67CF">
        <w:rPr>
          <w:rFonts w:asciiTheme="minorHAnsi" w:hAnsiTheme="minorHAnsi" w:cstheme="minorHAnsi"/>
          <w:sz w:val="22"/>
          <w:szCs w:val="22"/>
        </w:rPr>
        <w:t>s</w:t>
      </w:r>
      <w:r w:rsidR="007D141A">
        <w:rPr>
          <w:rFonts w:asciiTheme="minorHAnsi" w:hAnsiTheme="minorHAnsi" w:cstheme="minorHAnsi"/>
          <w:sz w:val="22"/>
          <w:szCs w:val="22"/>
        </w:rPr>
        <w:t xml:space="preserve"> </w:t>
      </w:r>
      <w:r w:rsidR="007D141A">
        <w:rPr>
          <w:rFonts w:asciiTheme="minorHAnsi" w:hAnsiTheme="minorHAnsi" w:cstheme="minorHAnsi"/>
          <w:sz w:val="22"/>
          <w:szCs w:val="22"/>
        </w:rPr>
        <w:t>(</w:t>
      </w:r>
      <w:proofErr w:type="spellStart"/>
      <w:r w:rsidR="00CB67CF">
        <w:rPr>
          <w:rFonts w:asciiTheme="minorHAnsi" w:hAnsiTheme="minorHAnsi" w:cstheme="minorHAnsi"/>
          <w:sz w:val="22"/>
          <w:szCs w:val="22"/>
        </w:rPr>
        <w:t>Barenholtz</w:t>
      </w:r>
      <w:proofErr w:type="spellEnd"/>
      <w:r w:rsidR="00CB67CF">
        <w:rPr>
          <w:rFonts w:asciiTheme="minorHAnsi" w:hAnsiTheme="minorHAnsi" w:cstheme="minorHAnsi"/>
          <w:sz w:val="22"/>
          <w:szCs w:val="22"/>
        </w:rPr>
        <w:t>, Marcus and Christen, 2010</w:t>
      </w:r>
      <w:r w:rsidR="007D141A">
        <w:rPr>
          <w:rFonts w:asciiTheme="minorHAnsi" w:hAnsiTheme="minorHAnsi" w:cstheme="minorHAnsi"/>
          <w:sz w:val="22"/>
          <w:szCs w:val="22"/>
        </w:rPr>
        <w:t xml:space="preserve">). </w:t>
      </w:r>
      <w:r w:rsidR="0000514E">
        <w:rPr>
          <w:rFonts w:asciiTheme="minorHAnsi" w:hAnsiTheme="minorHAnsi" w:cstheme="minorHAnsi"/>
          <w:sz w:val="22"/>
          <w:szCs w:val="22"/>
        </w:rPr>
        <w:t>Information used as part of these tools, due to the lack of clinical trial evidence, are mostly based on less reliable expert consensus and therefore</w:t>
      </w:r>
      <w:r w:rsidR="004B7404">
        <w:rPr>
          <w:rFonts w:asciiTheme="minorHAnsi" w:hAnsiTheme="minorHAnsi" w:cstheme="minorHAnsi"/>
          <w:sz w:val="22"/>
          <w:szCs w:val="22"/>
        </w:rPr>
        <w:t xml:space="preserve"> </w:t>
      </w:r>
      <w:r w:rsidR="0000514E">
        <w:rPr>
          <w:rFonts w:asciiTheme="minorHAnsi" w:hAnsiTheme="minorHAnsi" w:cstheme="minorHAnsi"/>
          <w:sz w:val="22"/>
          <w:szCs w:val="22"/>
        </w:rPr>
        <w:t>var</w:t>
      </w:r>
      <w:r w:rsidR="004B7404">
        <w:rPr>
          <w:rFonts w:asciiTheme="minorHAnsi" w:hAnsiTheme="minorHAnsi" w:cstheme="minorHAnsi"/>
          <w:sz w:val="22"/>
          <w:szCs w:val="22"/>
        </w:rPr>
        <w:t>ies</w:t>
      </w:r>
      <w:r w:rsidR="0000514E">
        <w:rPr>
          <w:rFonts w:asciiTheme="minorHAnsi" w:hAnsiTheme="minorHAnsi" w:cstheme="minorHAnsi"/>
          <w:sz w:val="22"/>
          <w:szCs w:val="22"/>
        </w:rPr>
        <w:t>, especially when written in different nations or health systems (</w:t>
      </w:r>
      <w:proofErr w:type="spellStart"/>
      <w:r w:rsidR="0000514E">
        <w:rPr>
          <w:rFonts w:asciiTheme="minorHAnsi" w:hAnsiTheme="minorHAnsi" w:cstheme="minorHAnsi"/>
          <w:sz w:val="22"/>
          <w:szCs w:val="22"/>
        </w:rPr>
        <w:t>Spinewine</w:t>
      </w:r>
      <w:proofErr w:type="spellEnd"/>
      <w:r w:rsidR="0000514E">
        <w:rPr>
          <w:rFonts w:asciiTheme="minorHAnsi" w:hAnsiTheme="minorHAnsi" w:cstheme="minorHAnsi"/>
          <w:sz w:val="22"/>
          <w:szCs w:val="22"/>
        </w:rPr>
        <w:t xml:space="preserve"> </w:t>
      </w:r>
      <w:r w:rsidR="0000514E">
        <w:rPr>
          <w:rFonts w:asciiTheme="minorHAnsi" w:hAnsiTheme="minorHAnsi" w:cstheme="minorHAnsi"/>
          <w:i/>
          <w:iCs/>
          <w:sz w:val="22"/>
          <w:szCs w:val="22"/>
        </w:rPr>
        <w:t>et al.</w:t>
      </w:r>
      <w:r w:rsidR="0000514E" w:rsidRPr="0000514E">
        <w:rPr>
          <w:rFonts w:asciiTheme="minorHAnsi" w:hAnsiTheme="minorHAnsi" w:cstheme="minorHAnsi"/>
          <w:sz w:val="22"/>
          <w:szCs w:val="22"/>
        </w:rPr>
        <w:t>, 2007).</w:t>
      </w:r>
      <w:r w:rsidR="007D141A" w:rsidRPr="0000514E">
        <w:rPr>
          <w:rFonts w:asciiTheme="minorHAnsi" w:hAnsiTheme="minorHAnsi" w:cstheme="minorHAnsi"/>
          <w:sz w:val="22"/>
          <w:szCs w:val="22"/>
        </w:rPr>
        <w:t xml:space="preserve"> </w:t>
      </w:r>
      <w:r w:rsidR="0000514E">
        <w:rPr>
          <w:rFonts w:asciiTheme="minorHAnsi" w:hAnsiTheme="minorHAnsi" w:cstheme="minorHAnsi"/>
          <w:sz w:val="22"/>
          <w:szCs w:val="22"/>
        </w:rPr>
        <w:t>In addition, t</w:t>
      </w:r>
      <w:r w:rsidR="00C02CAC">
        <w:rPr>
          <w:rFonts w:asciiTheme="minorHAnsi" w:hAnsiTheme="minorHAnsi" w:cstheme="minorHAnsi"/>
          <w:sz w:val="22"/>
          <w:szCs w:val="22"/>
        </w:rPr>
        <w:t>hese tools are mostly available online as text or diagrams, requiring healthcare professionals undertaking reviews to be aware of the tools and to have understood and be able to re-call the associated knowledge as part of a quick medicines review</w:t>
      </w:r>
      <w:r w:rsidR="004B7404">
        <w:rPr>
          <w:rFonts w:asciiTheme="minorHAnsi" w:hAnsiTheme="minorHAnsi" w:cstheme="minorHAnsi"/>
          <w:sz w:val="22"/>
          <w:szCs w:val="22"/>
        </w:rPr>
        <w:t xml:space="preserve"> </w:t>
      </w:r>
      <w:r w:rsidR="004B7404">
        <w:rPr>
          <w:rFonts w:asciiTheme="minorHAnsi" w:hAnsiTheme="minorHAnsi" w:cstheme="minorHAnsi"/>
          <w:sz w:val="22"/>
          <w:szCs w:val="22"/>
        </w:rPr>
        <w:t>(</w:t>
      </w:r>
      <w:proofErr w:type="spellStart"/>
      <w:r w:rsidR="004B7404">
        <w:rPr>
          <w:rFonts w:asciiTheme="minorHAnsi" w:hAnsiTheme="minorHAnsi" w:cstheme="minorHAnsi"/>
          <w:sz w:val="22"/>
          <w:szCs w:val="22"/>
        </w:rPr>
        <w:t>Duerden</w:t>
      </w:r>
      <w:proofErr w:type="spellEnd"/>
      <w:r w:rsidR="004B7404">
        <w:rPr>
          <w:rFonts w:asciiTheme="minorHAnsi" w:hAnsiTheme="minorHAnsi" w:cstheme="minorHAnsi"/>
          <w:sz w:val="22"/>
          <w:szCs w:val="22"/>
        </w:rPr>
        <w:t>, Avery and Payne, 2013)</w:t>
      </w:r>
      <w:r w:rsidR="00C02CAC">
        <w:rPr>
          <w:rFonts w:asciiTheme="minorHAnsi" w:hAnsiTheme="minorHAnsi" w:cstheme="minorHAnsi"/>
          <w:sz w:val="22"/>
          <w:szCs w:val="22"/>
        </w:rPr>
        <w:t>.</w:t>
      </w:r>
    </w:p>
    <w:p w14:paraId="2B270A29" w14:textId="3ACBF1B2" w:rsidR="001B4D51" w:rsidRDefault="001B4D51" w:rsidP="002B27B3">
      <w:pPr>
        <w:rPr>
          <w:rFonts w:asciiTheme="minorHAnsi" w:hAnsiTheme="minorHAnsi" w:cstheme="minorHAnsi"/>
          <w:sz w:val="22"/>
          <w:szCs w:val="22"/>
        </w:rPr>
      </w:pPr>
    </w:p>
    <w:p w14:paraId="09630D5A" w14:textId="4C6FCA00" w:rsidR="00DB507D" w:rsidRDefault="00D061A2" w:rsidP="002B27B3">
      <w:pPr>
        <w:rPr>
          <w:rFonts w:asciiTheme="minorHAnsi" w:hAnsiTheme="minorHAnsi" w:cstheme="minorHAnsi"/>
          <w:sz w:val="22"/>
          <w:szCs w:val="22"/>
        </w:rPr>
      </w:pPr>
      <w:r>
        <w:rPr>
          <w:rFonts w:asciiTheme="minorHAnsi" w:hAnsiTheme="minorHAnsi" w:cstheme="minorHAnsi"/>
          <w:sz w:val="22"/>
          <w:szCs w:val="22"/>
        </w:rPr>
        <w:t>Clinical decision support</w:t>
      </w:r>
      <w:r w:rsidR="00457A6C">
        <w:rPr>
          <w:rFonts w:asciiTheme="minorHAnsi" w:hAnsiTheme="minorHAnsi" w:cstheme="minorHAnsi"/>
          <w:sz w:val="22"/>
          <w:szCs w:val="22"/>
        </w:rPr>
        <w:t xml:space="preserve"> (CDS)</w:t>
      </w:r>
      <w:r>
        <w:rPr>
          <w:rFonts w:asciiTheme="minorHAnsi" w:hAnsiTheme="minorHAnsi" w:cstheme="minorHAnsi"/>
          <w:sz w:val="22"/>
          <w:szCs w:val="22"/>
        </w:rPr>
        <w:t xml:space="preserve"> is functionality within a digital system that aids or augments decision making </w:t>
      </w:r>
      <w:r w:rsidR="00A772A1">
        <w:rPr>
          <w:rFonts w:asciiTheme="minorHAnsi" w:hAnsiTheme="minorHAnsi" w:cstheme="minorHAnsi"/>
          <w:sz w:val="22"/>
          <w:szCs w:val="22"/>
        </w:rPr>
        <w:t>within</w:t>
      </w:r>
      <w:r>
        <w:rPr>
          <w:rFonts w:asciiTheme="minorHAnsi" w:hAnsiTheme="minorHAnsi" w:cstheme="minorHAnsi"/>
          <w:sz w:val="22"/>
          <w:szCs w:val="22"/>
        </w:rPr>
        <w:t xml:space="preserve"> healthcare (</w:t>
      </w:r>
      <w:r w:rsidR="00BB4732">
        <w:rPr>
          <w:rFonts w:asciiTheme="minorHAnsi" w:hAnsiTheme="minorHAnsi" w:cstheme="minorHAnsi"/>
          <w:sz w:val="22"/>
          <w:szCs w:val="22"/>
        </w:rPr>
        <w:t>Sutton</w:t>
      </w:r>
      <w:r>
        <w:rPr>
          <w:rFonts w:asciiTheme="minorHAnsi" w:hAnsiTheme="minorHAnsi" w:cstheme="minorHAnsi"/>
          <w:sz w:val="22"/>
          <w:szCs w:val="22"/>
        </w:rPr>
        <w:t xml:space="preserve">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2020). </w:t>
      </w:r>
      <w:r w:rsidR="00BB4732">
        <w:rPr>
          <w:rFonts w:asciiTheme="minorHAnsi" w:hAnsiTheme="minorHAnsi" w:cstheme="minorHAnsi"/>
          <w:sz w:val="22"/>
          <w:szCs w:val="22"/>
        </w:rPr>
        <w:t xml:space="preserve">It does this by communicating relevant clinical information or knowledge at a particular point within a decision process </w:t>
      </w:r>
      <w:proofErr w:type="gramStart"/>
      <w:r w:rsidR="00BB4732">
        <w:rPr>
          <w:rFonts w:asciiTheme="minorHAnsi" w:hAnsiTheme="minorHAnsi" w:cstheme="minorHAnsi"/>
          <w:sz w:val="22"/>
          <w:szCs w:val="22"/>
        </w:rPr>
        <w:t>in order to</w:t>
      </w:r>
      <w:proofErr w:type="gramEnd"/>
      <w:r w:rsidR="00BB4732">
        <w:rPr>
          <w:rFonts w:asciiTheme="minorHAnsi" w:hAnsiTheme="minorHAnsi" w:cstheme="minorHAnsi"/>
          <w:sz w:val="22"/>
          <w:szCs w:val="22"/>
        </w:rPr>
        <w:t xml:space="preserve"> guide the user to make a more informed and optimal decision</w:t>
      </w:r>
      <w:r w:rsidR="001261E1">
        <w:rPr>
          <w:rFonts w:asciiTheme="minorHAnsi" w:hAnsiTheme="minorHAnsi" w:cstheme="minorHAnsi"/>
          <w:sz w:val="22"/>
          <w:szCs w:val="22"/>
        </w:rPr>
        <w:t xml:space="preserve"> (Kwan </w:t>
      </w:r>
      <w:r w:rsidR="001261E1">
        <w:rPr>
          <w:rFonts w:asciiTheme="minorHAnsi" w:hAnsiTheme="minorHAnsi" w:cstheme="minorHAnsi"/>
          <w:i/>
          <w:iCs/>
          <w:sz w:val="22"/>
          <w:szCs w:val="22"/>
        </w:rPr>
        <w:t xml:space="preserve">et al., </w:t>
      </w:r>
      <w:r w:rsidR="001261E1" w:rsidRPr="001261E1">
        <w:rPr>
          <w:rFonts w:asciiTheme="minorHAnsi" w:hAnsiTheme="minorHAnsi" w:cstheme="minorHAnsi"/>
          <w:sz w:val="22"/>
          <w:szCs w:val="22"/>
        </w:rPr>
        <w:t>2020)</w:t>
      </w:r>
      <w:r w:rsidR="00BB4732" w:rsidRPr="001261E1">
        <w:rPr>
          <w:rFonts w:asciiTheme="minorHAnsi" w:hAnsiTheme="minorHAnsi" w:cstheme="minorHAnsi"/>
          <w:sz w:val="22"/>
          <w:szCs w:val="22"/>
        </w:rPr>
        <w:t xml:space="preserve">. </w:t>
      </w:r>
      <w:r w:rsidR="00457A6C">
        <w:rPr>
          <w:rFonts w:asciiTheme="minorHAnsi" w:hAnsiTheme="minorHAnsi" w:cstheme="minorHAnsi"/>
          <w:sz w:val="22"/>
          <w:szCs w:val="22"/>
        </w:rPr>
        <w:t>CDS help within a large scope of processes across healthcare, but ha</w:t>
      </w:r>
      <w:r w:rsidR="00DB507D">
        <w:rPr>
          <w:rFonts w:asciiTheme="minorHAnsi" w:hAnsiTheme="minorHAnsi" w:cstheme="minorHAnsi"/>
          <w:sz w:val="22"/>
          <w:szCs w:val="22"/>
        </w:rPr>
        <w:t>v</w:t>
      </w:r>
      <w:r w:rsidR="00457A6C">
        <w:rPr>
          <w:rFonts w:asciiTheme="minorHAnsi" w:hAnsiTheme="minorHAnsi" w:cstheme="minorHAnsi"/>
          <w:sz w:val="22"/>
          <w:szCs w:val="22"/>
        </w:rPr>
        <w:t>e been particularly used within prescribing processes</w:t>
      </w:r>
      <w:r w:rsidR="006F1D3D">
        <w:rPr>
          <w:rFonts w:asciiTheme="minorHAnsi" w:hAnsiTheme="minorHAnsi" w:cstheme="minorHAnsi"/>
          <w:sz w:val="22"/>
          <w:szCs w:val="22"/>
        </w:rPr>
        <w:t xml:space="preserve">, and has been shown, if </w:t>
      </w:r>
      <w:r w:rsidR="0041785C">
        <w:rPr>
          <w:rFonts w:asciiTheme="minorHAnsi" w:hAnsiTheme="minorHAnsi" w:cstheme="minorHAnsi"/>
          <w:sz w:val="22"/>
          <w:szCs w:val="22"/>
        </w:rPr>
        <w:t>implemented well,</w:t>
      </w:r>
      <w:r w:rsidR="006F1D3D">
        <w:rPr>
          <w:rFonts w:asciiTheme="minorHAnsi" w:hAnsiTheme="minorHAnsi" w:cstheme="minorHAnsi"/>
          <w:sz w:val="22"/>
          <w:szCs w:val="22"/>
        </w:rPr>
        <w:t xml:space="preserve"> to improve</w:t>
      </w:r>
      <w:r w:rsidR="0041785C">
        <w:rPr>
          <w:rFonts w:asciiTheme="minorHAnsi" w:hAnsiTheme="minorHAnsi" w:cstheme="minorHAnsi"/>
          <w:sz w:val="22"/>
          <w:szCs w:val="22"/>
        </w:rPr>
        <w:t xml:space="preserve"> prescribing practice </w:t>
      </w:r>
      <w:r w:rsidR="00457A6C">
        <w:rPr>
          <w:rFonts w:asciiTheme="minorHAnsi" w:hAnsiTheme="minorHAnsi" w:cstheme="minorHAnsi"/>
          <w:sz w:val="22"/>
          <w:szCs w:val="22"/>
        </w:rPr>
        <w:t>(</w:t>
      </w:r>
      <w:r w:rsidR="0041785C">
        <w:rPr>
          <w:rFonts w:asciiTheme="minorHAnsi" w:hAnsiTheme="minorHAnsi" w:cstheme="minorHAnsi"/>
          <w:sz w:val="22"/>
          <w:szCs w:val="22"/>
        </w:rPr>
        <w:t xml:space="preserve">Tiffani </w:t>
      </w:r>
      <w:r w:rsidR="0041785C">
        <w:rPr>
          <w:rFonts w:asciiTheme="minorHAnsi" w:hAnsiTheme="minorHAnsi" w:cstheme="minorHAnsi"/>
          <w:i/>
          <w:iCs/>
          <w:sz w:val="22"/>
          <w:szCs w:val="22"/>
        </w:rPr>
        <w:t xml:space="preserve">et al. </w:t>
      </w:r>
      <w:r w:rsidR="0041785C">
        <w:rPr>
          <w:rFonts w:asciiTheme="minorHAnsi" w:hAnsiTheme="minorHAnsi" w:cstheme="minorHAnsi"/>
          <w:sz w:val="22"/>
          <w:szCs w:val="22"/>
        </w:rPr>
        <w:t>2012)</w:t>
      </w:r>
      <w:r w:rsidR="00457A6C">
        <w:rPr>
          <w:rFonts w:asciiTheme="minorHAnsi" w:hAnsiTheme="minorHAnsi" w:cstheme="minorHAnsi"/>
          <w:sz w:val="22"/>
          <w:szCs w:val="22"/>
        </w:rPr>
        <w:t xml:space="preserve">. Information as part of CDS can be communicated in </w:t>
      </w:r>
      <w:r w:rsidR="0041785C">
        <w:rPr>
          <w:rFonts w:asciiTheme="minorHAnsi" w:hAnsiTheme="minorHAnsi" w:cstheme="minorHAnsi"/>
          <w:sz w:val="22"/>
          <w:szCs w:val="22"/>
        </w:rPr>
        <w:t xml:space="preserve">many forms, such </w:t>
      </w:r>
      <w:r w:rsidR="00457A6C">
        <w:rPr>
          <w:rFonts w:asciiTheme="minorHAnsi" w:hAnsiTheme="minorHAnsi" w:cstheme="minorHAnsi"/>
          <w:sz w:val="22"/>
          <w:szCs w:val="22"/>
        </w:rPr>
        <w:t>alerts, information templates</w:t>
      </w:r>
      <w:r w:rsidR="00DB507D">
        <w:rPr>
          <w:rFonts w:asciiTheme="minorHAnsi" w:hAnsiTheme="minorHAnsi" w:cstheme="minorHAnsi"/>
          <w:sz w:val="22"/>
          <w:szCs w:val="22"/>
        </w:rPr>
        <w:t xml:space="preserve"> and process</w:t>
      </w:r>
      <w:r w:rsidR="00457A6C">
        <w:rPr>
          <w:rFonts w:asciiTheme="minorHAnsi" w:hAnsiTheme="minorHAnsi" w:cstheme="minorHAnsi"/>
          <w:sz w:val="22"/>
          <w:szCs w:val="22"/>
        </w:rPr>
        <w:t xml:space="preserve"> </w:t>
      </w:r>
      <w:r w:rsidR="00DB507D">
        <w:rPr>
          <w:rFonts w:asciiTheme="minorHAnsi" w:hAnsiTheme="minorHAnsi" w:cstheme="minorHAnsi"/>
          <w:sz w:val="22"/>
          <w:szCs w:val="22"/>
        </w:rPr>
        <w:t>tools</w:t>
      </w:r>
      <w:r w:rsidR="00227E77">
        <w:rPr>
          <w:rFonts w:asciiTheme="minorHAnsi" w:hAnsiTheme="minorHAnsi" w:cstheme="minorHAnsi"/>
          <w:sz w:val="22"/>
          <w:szCs w:val="22"/>
        </w:rPr>
        <w:t xml:space="preserve">, and careful consideration is needed </w:t>
      </w:r>
      <w:proofErr w:type="gramStart"/>
      <w:r w:rsidR="00227E77">
        <w:rPr>
          <w:rFonts w:asciiTheme="minorHAnsi" w:hAnsiTheme="minorHAnsi" w:cstheme="minorHAnsi"/>
          <w:sz w:val="22"/>
          <w:szCs w:val="22"/>
        </w:rPr>
        <w:t>in order to</w:t>
      </w:r>
      <w:proofErr w:type="gramEnd"/>
      <w:r w:rsidR="00227E77">
        <w:rPr>
          <w:rFonts w:asciiTheme="minorHAnsi" w:hAnsiTheme="minorHAnsi" w:cstheme="minorHAnsi"/>
          <w:sz w:val="22"/>
          <w:szCs w:val="22"/>
        </w:rPr>
        <w:t xml:space="preserve"> optimise how and when users are given the CDS information</w:t>
      </w:r>
      <w:r w:rsidR="00DB507D">
        <w:rPr>
          <w:rFonts w:asciiTheme="minorHAnsi" w:hAnsiTheme="minorHAnsi" w:cstheme="minorHAnsi"/>
          <w:sz w:val="22"/>
          <w:szCs w:val="22"/>
        </w:rPr>
        <w:t xml:space="preserve"> (</w:t>
      </w:r>
      <w:r w:rsidR="0041785C">
        <w:rPr>
          <w:rFonts w:asciiTheme="minorHAnsi" w:hAnsiTheme="minorHAnsi" w:cstheme="minorHAnsi"/>
          <w:sz w:val="22"/>
          <w:szCs w:val="22"/>
        </w:rPr>
        <w:t>Sutton</w:t>
      </w:r>
      <w:r w:rsidR="0041785C">
        <w:rPr>
          <w:rFonts w:asciiTheme="minorHAnsi" w:hAnsiTheme="minorHAnsi" w:cstheme="minorHAnsi"/>
          <w:i/>
          <w:iCs/>
          <w:sz w:val="22"/>
          <w:szCs w:val="22"/>
        </w:rPr>
        <w:t xml:space="preserve"> et al., </w:t>
      </w:r>
      <w:r w:rsidR="0041785C">
        <w:rPr>
          <w:rFonts w:asciiTheme="minorHAnsi" w:hAnsiTheme="minorHAnsi" w:cstheme="minorHAnsi"/>
          <w:sz w:val="22"/>
          <w:szCs w:val="22"/>
        </w:rPr>
        <w:t>2020)</w:t>
      </w:r>
      <w:r w:rsidR="00DB507D">
        <w:rPr>
          <w:rFonts w:asciiTheme="minorHAnsi" w:hAnsiTheme="minorHAnsi" w:cstheme="minorHAnsi"/>
          <w:sz w:val="22"/>
          <w:szCs w:val="22"/>
        </w:rPr>
        <w:t>.</w:t>
      </w:r>
      <w:r w:rsidR="0041785C">
        <w:rPr>
          <w:rFonts w:asciiTheme="minorHAnsi" w:hAnsiTheme="minorHAnsi" w:cstheme="minorHAnsi"/>
          <w:sz w:val="22"/>
          <w:szCs w:val="22"/>
        </w:rPr>
        <w:t xml:space="preserve"> </w:t>
      </w:r>
      <w:r w:rsidR="003B63AC">
        <w:rPr>
          <w:rFonts w:asciiTheme="minorHAnsi" w:hAnsiTheme="minorHAnsi" w:cstheme="minorHAnsi"/>
          <w:sz w:val="22"/>
          <w:szCs w:val="22"/>
        </w:rPr>
        <w:t>Additionally,</w:t>
      </w:r>
      <w:r w:rsidR="003C5DDB">
        <w:rPr>
          <w:rFonts w:asciiTheme="minorHAnsi" w:hAnsiTheme="minorHAnsi" w:cstheme="minorHAnsi"/>
          <w:sz w:val="22"/>
          <w:szCs w:val="22"/>
        </w:rPr>
        <w:t xml:space="preserve"> CDS has the potential to bridge gaps that exist between research and patient care, enabling the fast deployment of </w:t>
      </w:r>
      <w:r w:rsidR="003B63AC">
        <w:rPr>
          <w:rFonts w:asciiTheme="minorHAnsi" w:hAnsiTheme="minorHAnsi" w:cstheme="minorHAnsi"/>
          <w:sz w:val="22"/>
          <w:szCs w:val="22"/>
        </w:rPr>
        <w:t>up-to-date research or expert consensus guidelines</w:t>
      </w:r>
      <w:r w:rsidR="003C5DDB">
        <w:rPr>
          <w:rFonts w:asciiTheme="minorHAnsi" w:hAnsiTheme="minorHAnsi" w:cstheme="minorHAnsi"/>
          <w:sz w:val="22"/>
          <w:szCs w:val="22"/>
        </w:rPr>
        <w:t xml:space="preserve"> and communicate it effectively within appropriate </w:t>
      </w:r>
      <w:proofErr w:type="gramStart"/>
      <w:r w:rsidR="003C5DDB">
        <w:rPr>
          <w:rFonts w:asciiTheme="minorHAnsi" w:hAnsiTheme="minorHAnsi" w:cstheme="minorHAnsi"/>
          <w:sz w:val="22"/>
          <w:szCs w:val="22"/>
        </w:rPr>
        <w:t>decision making</w:t>
      </w:r>
      <w:proofErr w:type="gramEnd"/>
      <w:r w:rsidR="003C5DDB">
        <w:rPr>
          <w:rFonts w:asciiTheme="minorHAnsi" w:hAnsiTheme="minorHAnsi" w:cstheme="minorHAnsi"/>
          <w:sz w:val="22"/>
          <w:szCs w:val="22"/>
        </w:rPr>
        <w:t xml:space="preserve"> processes </w:t>
      </w:r>
      <w:r w:rsidR="003B63AC">
        <w:rPr>
          <w:rFonts w:asciiTheme="minorHAnsi" w:hAnsiTheme="minorHAnsi" w:cstheme="minorHAnsi"/>
          <w:sz w:val="22"/>
          <w:szCs w:val="22"/>
        </w:rPr>
        <w:t xml:space="preserve">and clinical pathways </w:t>
      </w:r>
      <w:r w:rsidR="003C5DDB">
        <w:rPr>
          <w:rFonts w:asciiTheme="minorHAnsi" w:hAnsiTheme="minorHAnsi" w:cstheme="minorHAnsi"/>
          <w:sz w:val="22"/>
          <w:szCs w:val="22"/>
        </w:rPr>
        <w:t>(</w:t>
      </w:r>
      <w:proofErr w:type="spellStart"/>
      <w:r w:rsidR="003C5DDB">
        <w:rPr>
          <w:rFonts w:asciiTheme="minorHAnsi" w:hAnsiTheme="minorHAnsi" w:cstheme="minorHAnsi"/>
          <w:sz w:val="22"/>
          <w:szCs w:val="22"/>
        </w:rPr>
        <w:t>Dagliati</w:t>
      </w:r>
      <w:proofErr w:type="spellEnd"/>
      <w:r w:rsidR="003C5DDB">
        <w:rPr>
          <w:rFonts w:asciiTheme="minorHAnsi" w:hAnsiTheme="minorHAnsi" w:cstheme="minorHAnsi"/>
          <w:sz w:val="22"/>
          <w:szCs w:val="22"/>
        </w:rPr>
        <w:t xml:space="preserve"> </w:t>
      </w:r>
      <w:r w:rsidR="003C5DDB">
        <w:rPr>
          <w:rFonts w:asciiTheme="minorHAnsi" w:hAnsiTheme="minorHAnsi" w:cstheme="minorHAnsi"/>
          <w:i/>
          <w:iCs/>
          <w:sz w:val="22"/>
          <w:szCs w:val="22"/>
        </w:rPr>
        <w:t xml:space="preserve">et al. </w:t>
      </w:r>
      <w:r w:rsidR="003C5DDB">
        <w:rPr>
          <w:rFonts w:asciiTheme="minorHAnsi" w:hAnsiTheme="minorHAnsi" w:cstheme="minorHAnsi"/>
          <w:sz w:val="22"/>
          <w:szCs w:val="22"/>
        </w:rPr>
        <w:t xml:space="preserve">2018). </w:t>
      </w:r>
      <w:r w:rsidR="0041785C">
        <w:rPr>
          <w:rFonts w:asciiTheme="minorHAnsi" w:hAnsiTheme="minorHAnsi" w:cstheme="minorHAnsi"/>
          <w:sz w:val="22"/>
          <w:szCs w:val="22"/>
        </w:rPr>
        <w:t xml:space="preserve">There </w:t>
      </w:r>
      <w:proofErr w:type="gramStart"/>
      <w:r w:rsidR="0041785C">
        <w:rPr>
          <w:rFonts w:asciiTheme="minorHAnsi" w:hAnsiTheme="minorHAnsi" w:cstheme="minorHAnsi"/>
          <w:sz w:val="22"/>
          <w:szCs w:val="22"/>
        </w:rPr>
        <w:t>are</w:t>
      </w:r>
      <w:proofErr w:type="gramEnd"/>
      <w:r w:rsidR="0041785C">
        <w:rPr>
          <w:rFonts w:asciiTheme="minorHAnsi" w:hAnsiTheme="minorHAnsi" w:cstheme="minorHAnsi"/>
          <w:sz w:val="22"/>
          <w:szCs w:val="22"/>
        </w:rPr>
        <w:t xml:space="preserve"> however, risks associated with CDS, that need to be considered as part of design and implementation, such as alert fatigue </w:t>
      </w:r>
      <w:r w:rsidR="0041785C" w:rsidRPr="00375106">
        <w:rPr>
          <w:rFonts w:asciiTheme="minorHAnsi" w:hAnsiTheme="minorHAnsi" w:cstheme="minorHAnsi"/>
          <w:sz w:val="22"/>
          <w:szCs w:val="22"/>
        </w:rPr>
        <w:t>(</w:t>
      </w:r>
      <w:r w:rsidR="00375106">
        <w:rPr>
          <w:rFonts w:asciiTheme="minorHAnsi" w:hAnsiTheme="minorHAnsi" w:cstheme="minorHAnsi"/>
          <w:sz w:val="22"/>
          <w:szCs w:val="22"/>
        </w:rPr>
        <w:t xml:space="preserve">Murad </w:t>
      </w:r>
      <w:r w:rsidR="00375106">
        <w:rPr>
          <w:rFonts w:asciiTheme="minorHAnsi" w:hAnsiTheme="minorHAnsi" w:cstheme="minorHAnsi"/>
          <w:i/>
          <w:iCs/>
          <w:sz w:val="22"/>
          <w:szCs w:val="22"/>
        </w:rPr>
        <w:t xml:space="preserve">et al. </w:t>
      </w:r>
      <w:r w:rsidR="00375106">
        <w:rPr>
          <w:rFonts w:asciiTheme="minorHAnsi" w:hAnsiTheme="minorHAnsi" w:cstheme="minorHAnsi"/>
          <w:sz w:val="22"/>
          <w:szCs w:val="22"/>
        </w:rPr>
        <w:t>2023</w:t>
      </w:r>
      <w:r w:rsidR="0041785C" w:rsidRPr="00375106">
        <w:rPr>
          <w:rFonts w:asciiTheme="minorHAnsi" w:hAnsiTheme="minorHAnsi" w:cstheme="minorHAnsi"/>
          <w:sz w:val="22"/>
          <w:szCs w:val="22"/>
        </w:rPr>
        <w:t>) and automation bias (</w:t>
      </w:r>
      <w:r w:rsidR="00227E77" w:rsidRPr="00375106">
        <w:rPr>
          <w:rFonts w:asciiTheme="minorHAnsi" w:hAnsiTheme="minorHAnsi" w:cstheme="minorHAnsi"/>
          <w:sz w:val="22"/>
          <w:szCs w:val="22"/>
        </w:rPr>
        <w:t>L</w:t>
      </w:r>
      <w:r w:rsidR="00375106" w:rsidRPr="00375106">
        <w:rPr>
          <w:rFonts w:asciiTheme="minorHAnsi" w:hAnsiTheme="minorHAnsi" w:cstheme="minorHAnsi"/>
          <w:sz w:val="22"/>
          <w:szCs w:val="22"/>
        </w:rPr>
        <w:t>y</w:t>
      </w:r>
      <w:r w:rsidR="00227E77" w:rsidRPr="00375106">
        <w:rPr>
          <w:rFonts w:asciiTheme="minorHAnsi" w:hAnsiTheme="minorHAnsi" w:cstheme="minorHAnsi"/>
          <w:sz w:val="22"/>
          <w:szCs w:val="22"/>
        </w:rPr>
        <w:t>ell</w:t>
      </w:r>
      <w:r w:rsidR="00375106" w:rsidRPr="00375106">
        <w:rPr>
          <w:rFonts w:asciiTheme="minorHAnsi" w:hAnsiTheme="minorHAnsi" w:cstheme="minorHAnsi"/>
          <w:sz w:val="22"/>
          <w:szCs w:val="22"/>
        </w:rPr>
        <w:t xml:space="preserve"> </w:t>
      </w:r>
      <w:r w:rsidR="00375106" w:rsidRPr="00375106">
        <w:rPr>
          <w:rFonts w:asciiTheme="minorHAnsi" w:hAnsiTheme="minorHAnsi" w:cstheme="minorHAnsi"/>
          <w:i/>
          <w:iCs/>
          <w:sz w:val="22"/>
          <w:szCs w:val="22"/>
        </w:rPr>
        <w:t xml:space="preserve">et al. </w:t>
      </w:r>
      <w:r w:rsidR="00375106" w:rsidRPr="00375106">
        <w:rPr>
          <w:rFonts w:asciiTheme="minorHAnsi" w:hAnsiTheme="minorHAnsi" w:cstheme="minorHAnsi"/>
          <w:sz w:val="22"/>
          <w:szCs w:val="22"/>
        </w:rPr>
        <w:t>2017</w:t>
      </w:r>
      <w:r w:rsidR="0041785C" w:rsidRPr="00375106">
        <w:rPr>
          <w:rFonts w:asciiTheme="minorHAnsi" w:hAnsiTheme="minorHAnsi" w:cstheme="minorHAnsi"/>
          <w:sz w:val="22"/>
          <w:szCs w:val="22"/>
        </w:rPr>
        <w:t>).</w:t>
      </w:r>
      <w:r w:rsidR="0041785C">
        <w:rPr>
          <w:rFonts w:asciiTheme="minorHAnsi" w:hAnsiTheme="minorHAnsi" w:cstheme="minorHAnsi"/>
          <w:sz w:val="22"/>
          <w:szCs w:val="22"/>
        </w:rPr>
        <w:t xml:space="preserve"> </w:t>
      </w:r>
    </w:p>
    <w:p w14:paraId="0DC784B7" w14:textId="77777777" w:rsidR="00556953" w:rsidRPr="003B63AC" w:rsidRDefault="00556953" w:rsidP="003B63AC">
      <w:pPr>
        <w:rPr>
          <w:rFonts w:asciiTheme="minorHAnsi" w:hAnsiTheme="minorHAnsi" w:cstheme="minorHAnsi"/>
          <w:sz w:val="22"/>
          <w:szCs w:val="22"/>
        </w:rPr>
      </w:pPr>
    </w:p>
    <w:p w14:paraId="3D03FA7A" w14:textId="5FA77B08" w:rsidR="00D061A2" w:rsidRPr="001261E1" w:rsidRDefault="00DB507D" w:rsidP="002B27B3">
      <w:pPr>
        <w:rPr>
          <w:rFonts w:asciiTheme="minorHAnsi" w:hAnsiTheme="minorHAnsi" w:cstheme="minorHAnsi"/>
          <w:sz w:val="22"/>
          <w:szCs w:val="22"/>
        </w:rPr>
      </w:pPr>
      <w:r>
        <w:rPr>
          <w:rFonts w:asciiTheme="minorHAnsi" w:hAnsiTheme="minorHAnsi" w:cstheme="minorHAnsi"/>
          <w:sz w:val="22"/>
          <w:szCs w:val="22"/>
        </w:rPr>
        <w:t xml:space="preserve">This essay attempts to understand </w:t>
      </w:r>
      <w:r w:rsidR="000857F0">
        <w:rPr>
          <w:rFonts w:asciiTheme="minorHAnsi" w:hAnsiTheme="minorHAnsi" w:cstheme="minorHAnsi"/>
          <w:sz w:val="22"/>
          <w:szCs w:val="22"/>
        </w:rPr>
        <w:t xml:space="preserve">the evidence for </w:t>
      </w:r>
      <w:r>
        <w:rPr>
          <w:rFonts w:asciiTheme="minorHAnsi" w:hAnsiTheme="minorHAnsi" w:cstheme="minorHAnsi"/>
          <w:sz w:val="22"/>
          <w:szCs w:val="22"/>
        </w:rPr>
        <w:t>the use CDS to improve problematic polypharmacy</w:t>
      </w:r>
      <w:r w:rsidR="000857F0">
        <w:rPr>
          <w:rFonts w:asciiTheme="minorHAnsi" w:hAnsiTheme="minorHAnsi" w:cstheme="minorHAnsi"/>
          <w:sz w:val="22"/>
          <w:szCs w:val="22"/>
        </w:rPr>
        <w:t xml:space="preserve"> and</w:t>
      </w:r>
      <w:r w:rsidR="00227E77">
        <w:rPr>
          <w:rFonts w:asciiTheme="minorHAnsi" w:hAnsiTheme="minorHAnsi" w:cstheme="minorHAnsi"/>
          <w:sz w:val="22"/>
          <w:szCs w:val="22"/>
        </w:rPr>
        <w:t xml:space="preserve"> whether</w:t>
      </w:r>
      <w:r w:rsidR="000857F0">
        <w:rPr>
          <w:rFonts w:asciiTheme="minorHAnsi" w:hAnsiTheme="minorHAnsi" w:cstheme="minorHAnsi"/>
          <w:sz w:val="22"/>
          <w:szCs w:val="22"/>
        </w:rPr>
        <w:t xml:space="preserve"> i</w:t>
      </w:r>
      <w:r w:rsidR="00227E77">
        <w:rPr>
          <w:rFonts w:asciiTheme="minorHAnsi" w:hAnsiTheme="minorHAnsi" w:cstheme="minorHAnsi"/>
          <w:sz w:val="22"/>
          <w:szCs w:val="22"/>
        </w:rPr>
        <w:t xml:space="preserve">t is likely to be of benefit to practice </w:t>
      </w:r>
      <w:r w:rsidR="008E1816">
        <w:rPr>
          <w:rFonts w:asciiTheme="minorHAnsi" w:hAnsiTheme="minorHAnsi" w:cstheme="minorHAnsi"/>
          <w:sz w:val="22"/>
          <w:szCs w:val="22"/>
        </w:rPr>
        <w:t xml:space="preserve">within primary care services across Cardiff and Vale University Health Board, </w:t>
      </w:r>
      <w:r w:rsidR="000857F0">
        <w:rPr>
          <w:rFonts w:asciiTheme="minorHAnsi" w:hAnsiTheme="minorHAnsi" w:cstheme="minorHAnsi"/>
          <w:sz w:val="22"/>
          <w:szCs w:val="22"/>
        </w:rPr>
        <w:t>including</w:t>
      </w:r>
      <w:r w:rsidR="00227E77">
        <w:rPr>
          <w:rFonts w:asciiTheme="minorHAnsi" w:hAnsiTheme="minorHAnsi" w:cstheme="minorHAnsi"/>
          <w:sz w:val="22"/>
          <w:szCs w:val="22"/>
        </w:rPr>
        <w:t xml:space="preserve"> how it could be </w:t>
      </w:r>
      <w:r w:rsidR="000857F0">
        <w:rPr>
          <w:rFonts w:asciiTheme="minorHAnsi" w:hAnsiTheme="minorHAnsi" w:cstheme="minorHAnsi"/>
          <w:sz w:val="22"/>
          <w:szCs w:val="22"/>
        </w:rPr>
        <w:t xml:space="preserve">successfully </w:t>
      </w:r>
      <w:r w:rsidR="00227E77">
        <w:rPr>
          <w:rFonts w:asciiTheme="minorHAnsi" w:hAnsiTheme="minorHAnsi" w:cstheme="minorHAnsi"/>
          <w:sz w:val="22"/>
          <w:szCs w:val="22"/>
        </w:rPr>
        <w:t>implemented</w:t>
      </w:r>
      <w:r w:rsidR="008E1816">
        <w:rPr>
          <w:rFonts w:asciiTheme="minorHAnsi" w:hAnsiTheme="minorHAnsi" w:cstheme="minorHAnsi"/>
          <w:sz w:val="22"/>
          <w:szCs w:val="22"/>
        </w:rPr>
        <w:t xml:space="preserve"> across the organisation</w:t>
      </w:r>
      <w:r>
        <w:rPr>
          <w:rFonts w:asciiTheme="minorHAnsi" w:hAnsiTheme="minorHAnsi" w:cstheme="minorHAnsi"/>
          <w:sz w:val="22"/>
          <w:szCs w:val="22"/>
        </w:rPr>
        <w:t xml:space="preserve">. </w:t>
      </w:r>
    </w:p>
    <w:p w14:paraId="4276BCFA" w14:textId="77777777" w:rsidR="00CD0D98" w:rsidRPr="002B27B3" w:rsidRDefault="00CD0D98" w:rsidP="00CD0D98">
      <w:pPr>
        <w:rPr>
          <w:rFonts w:asciiTheme="minorHAnsi" w:hAnsiTheme="minorHAnsi" w:cstheme="minorHAnsi"/>
          <w:color w:val="FF0000"/>
          <w:sz w:val="22"/>
          <w:szCs w:val="22"/>
        </w:rPr>
      </w:pPr>
    </w:p>
    <w:p w14:paraId="603C940A" w14:textId="77777777" w:rsidR="00CD0D98" w:rsidRPr="002B27B3" w:rsidRDefault="00CD0D98" w:rsidP="00CD0D98">
      <w:pPr>
        <w:rPr>
          <w:rFonts w:asciiTheme="minorHAnsi" w:hAnsiTheme="minorHAnsi" w:cstheme="minorHAnsi"/>
          <w:color w:val="FF0000"/>
          <w:sz w:val="22"/>
          <w:szCs w:val="22"/>
        </w:rPr>
      </w:pPr>
    </w:p>
    <w:p w14:paraId="0F083FF1" w14:textId="0868D8A7" w:rsidR="00CD0D98" w:rsidRPr="00C33595" w:rsidRDefault="00CD0D98" w:rsidP="00C33595">
      <w:pPr>
        <w:rPr>
          <w:rFonts w:asciiTheme="minorHAnsi" w:hAnsiTheme="minorHAnsi" w:cstheme="minorHAnsi"/>
          <w:color w:val="FF0000"/>
          <w:sz w:val="22"/>
          <w:szCs w:val="22"/>
        </w:rPr>
      </w:pPr>
      <w:r w:rsidRPr="00C33595">
        <w:rPr>
          <w:rFonts w:asciiTheme="minorHAnsi" w:hAnsiTheme="minorHAnsi" w:cstheme="minorHAnsi"/>
          <w:b/>
          <w:bCs/>
          <w:sz w:val="22"/>
          <w:szCs w:val="22"/>
        </w:rPr>
        <w:t xml:space="preserve">Evidence </w:t>
      </w:r>
      <w:proofErr w:type="gramStart"/>
      <w:r w:rsidRPr="00C33595">
        <w:rPr>
          <w:rFonts w:asciiTheme="minorHAnsi" w:hAnsiTheme="minorHAnsi" w:cstheme="minorHAnsi"/>
          <w:b/>
          <w:bCs/>
          <w:sz w:val="22"/>
          <w:szCs w:val="22"/>
        </w:rPr>
        <w:t>review</w:t>
      </w:r>
      <w:proofErr w:type="gramEnd"/>
    </w:p>
    <w:p w14:paraId="6C2B0FE1" w14:textId="7D394FD2" w:rsidR="00955165" w:rsidRDefault="00955165" w:rsidP="00955165">
      <w:pPr>
        <w:rPr>
          <w:rFonts w:asciiTheme="minorHAnsi" w:hAnsiTheme="minorHAnsi" w:cstheme="minorHAnsi"/>
          <w:color w:val="000000" w:themeColor="text1"/>
          <w:sz w:val="22"/>
          <w:szCs w:val="22"/>
        </w:rPr>
      </w:pPr>
    </w:p>
    <w:p w14:paraId="56730B38" w14:textId="5E11D1B9" w:rsidR="00CD0D98" w:rsidRDefault="00332893"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meta-analysis conducted by Kwan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on the impact that CDS has had on care, observed a modest impact</w:t>
      </w:r>
      <w:r w:rsidR="00EC1F6D">
        <w:rPr>
          <w:rFonts w:asciiTheme="minorHAnsi" w:hAnsiTheme="minorHAnsi" w:cstheme="minorHAnsi"/>
          <w:color w:val="000000" w:themeColor="text1"/>
          <w:sz w:val="22"/>
          <w:szCs w:val="22"/>
        </w:rPr>
        <w:t xml:space="preserve"> </w:t>
      </w:r>
      <w:r w:rsidR="00EC1F6D">
        <w:rPr>
          <w:rFonts w:asciiTheme="minorHAnsi" w:hAnsiTheme="minorHAnsi" w:cstheme="minorHAnsi"/>
          <w:sz w:val="22"/>
          <w:szCs w:val="22"/>
        </w:rPr>
        <w:t xml:space="preserve">(Kwan </w:t>
      </w:r>
      <w:r w:rsidR="00EC1F6D">
        <w:rPr>
          <w:rFonts w:asciiTheme="minorHAnsi" w:hAnsiTheme="minorHAnsi" w:cstheme="minorHAnsi"/>
          <w:i/>
          <w:iCs/>
          <w:sz w:val="22"/>
          <w:szCs w:val="22"/>
        </w:rPr>
        <w:t xml:space="preserve">et al., </w:t>
      </w:r>
      <w:r w:rsidR="00EC1F6D" w:rsidRPr="001261E1">
        <w:rPr>
          <w:rFonts w:asciiTheme="minorHAnsi" w:hAnsiTheme="minorHAnsi" w:cstheme="minorHAnsi"/>
          <w:sz w:val="22"/>
          <w:szCs w:val="22"/>
        </w:rPr>
        <w:t>2020)</w:t>
      </w:r>
      <w:r>
        <w:rPr>
          <w:rFonts w:asciiTheme="minorHAnsi" w:hAnsiTheme="minorHAnsi" w:cstheme="minorHAnsi"/>
          <w:color w:val="000000" w:themeColor="text1"/>
          <w:sz w:val="22"/>
          <w:szCs w:val="22"/>
        </w:rPr>
        <w:t>. They found that CDS improved</w:t>
      </w:r>
      <w:r w:rsidR="00084FD1">
        <w:rPr>
          <w:rFonts w:asciiTheme="minorHAnsi" w:hAnsiTheme="minorHAnsi" w:cstheme="minorHAnsi"/>
          <w:color w:val="000000" w:themeColor="text1"/>
          <w:sz w:val="22"/>
          <w:szCs w:val="22"/>
        </w:rPr>
        <w:t xml:space="preserve"> the rate by which patients receive the desired level of care by 5.8%. </w:t>
      </w:r>
      <w:r w:rsidR="00EC1F6D">
        <w:rPr>
          <w:rFonts w:asciiTheme="minorHAnsi" w:hAnsiTheme="minorHAnsi" w:cstheme="minorHAnsi"/>
          <w:color w:val="000000" w:themeColor="text1"/>
          <w:sz w:val="22"/>
          <w:szCs w:val="22"/>
        </w:rPr>
        <w:t xml:space="preserve">This meta-analysis was conducted using results of 122 trials across a wide range of clinical processes, and consequently, has a significantly large degree of heterogeneity. </w:t>
      </w:r>
      <w:r w:rsidR="003B3A94">
        <w:rPr>
          <w:rFonts w:asciiTheme="minorHAnsi" w:hAnsiTheme="minorHAnsi" w:cstheme="minorHAnsi"/>
          <w:color w:val="000000" w:themeColor="text1"/>
          <w:sz w:val="22"/>
          <w:szCs w:val="22"/>
        </w:rPr>
        <w:t xml:space="preserve">However, the study does show that clinical decision support has a statistically significant impact on care. </w:t>
      </w:r>
      <w:r w:rsidR="00315645">
        <w:rPr>
          <w:rFonts w:asciiTheme="minorHAnsi" w:hAnsiTheme="minorHAnsi" w:cstheme="minorHAnsi"/>
          <w:color w:val="000000" w:themeColor="text1"/>
          <w:sz w:val="22"/>
          <w:szCs w:val="22"/>
        </w:rPr>
        <w:t xml:space="preserve">Results varied </w:t>
      </w:r>
      <w:r w:rsidR="00FF3B7F">
        <w:rPr>
          <w:rFonts w:asciiTheme="minorHAnsi" w:hAnsiTheme="minorHAnsi" w:cstheme="minorHAnsi"/>
          <w:color w:val="000000" w:themeColor="text1"/>
          <w:sz w:val="22"/>
          <w:szCs w:val="22"/>
        </w:rPr>
        <w:t>according to the clinical context and type of decision support functionality, for instance decision support within the clinical conte</w:t>
      </w:r>
      <w:r w:rsidR="003B3A94">
        <w:rPr>
          <w:rFonts w:asciiTheme="minorHAnsi" w:hAnsiTheme="minorHAnsi" w:cstheme="minorHAnsi"/>
          <w:color w:val="000000" w:themeColor="text1"/>
          <w:sz w:val="22"/>
          <w:szCs w:val="22"/>
        </w:rPr>
        <w:t>x</w:t>
      </w:r>
      <w:r w:rsidR="00FF3B7F">
        <w:rPr>
          <w:rFonts w:asciiTheme="minorHAnsi" w:hAnsiTheme="minorHAnsi" w:cstheme="minorHAnsi"/>
          <w:color w:val="000000" w:themeColor="text1"/>
          <w:sz w:val="22"/>
          <w:szCs w:val="22"/>
        </w:rPr>
        <w:t>t of paediatric care improved care by an average 14.7%, whilst within the outpatient se</w:t>
      </w:r>
      <w:r w:rsidR="003B3A94">
        <w:rPr>
          <w:rFonts w:asciiTheme="minorHAnsi" w:hAnsiTheme="minorHAnsi" w:cstheme="minorHAnsi"/>
          <w:color w:val="000000" w:themeColor="text1"/>
          <w:sz w:val="22"/>
          <w:szCs w:val="22"/>
        </w:rPr>
        <w:t>t</w:t>
      </w:r>
      <w:r w:rsidR="00FF3B7F">
        <w:rPr>
          <w:rFonts w:asciiTheme="minorHAnsi" w:hAnsiTheme="minorHAnsi" w:cstheme="minorHAnsi"/>
          <w:color w:val="000000" w:themeColor="text1"/>
          <w:sz w:val="22"/>
          <w:szCs w:val="22"/>
        </w:rPr>
        <w:t>ting decision support had an overall negative impact of -3.7%.</w:t>
      </w:r>
      <w:r w:rsidR="00EC1F6D">
        <w:rPr>
          <w:rFonts w:asciiTheme="minorHAnsi" w:hAnsiTheme="minorHAnsi" w:cstheme="minorHAnsi"/>
          <w:color w:val="000000" w:themeColor="text1"/>
          <w:sz w:val="22"/>
          <w:szCs w:val="22"/>
        </w:rPr>
        <w:t xml:space="preserve"> </w:t>
      </w:r>
      <w:r w:rsidR="00FF3B7F">
        <w:rPr>
          <w:rFonts w:asciiTheme="minorHAnsi" w:hAnsiTheme="minorHAnsi" w:cstheme="minorHAnsi"/>
          <w:color w:val="000000" w:themeColor="text1"/>
          <w:sz w:val="22"/>
          <w:szCs w:val="22"/>
        </w:rPr>
        <w:t>Clin</w:t>
      </w:r>
      <w:r w:rsidR="003B3A94">
        <w:rPr>
          <w:rFonts w:asciiTheme="minorHAnsi" w:hAnsiTheme="minorHAnsi" w:cstheme="minorHAnsi"/>
          <w:color w:val="000000" w:themeColor="text1"/>
          <w:sz w:val="22"/>
          <w:szCs w:val="22"/>
        </w:rPr>
        <w:t>i</w:t>
      </w:r>
      <w:r w:rsidR="00FF3B7F">
        <w:rPr>
          <w:rFonts w:asciiTheme="minorHAnsi" w:hAnsiTheme="minorHAnsi" w:cstheme="minorHAnsi"/>
          <w:color w:val="000000" w:themeColor="text1"/>
          <w:sz w:val="22"/>
          <w:szCs w:val="22"/>
        </w:rPr>
        <w:t>cal decision support within prescribing processes</w:t>
      </w:r>
      <w:r w:rsidR="00E75ED5">
        <w:rPr>
          <w:rFonts w:asciiTheme="minorHAnsi" w:hAnsiTheme="minorHAnsi" w:cstheme="minorHAnsi"/>
          <w:color w:val="000000" w:themeColor="text1"/>
          <w:sz w:val="22"/>
          <w:szCs w:val="22"/>
        </w:rPr>
        <w:t>, from a pool of 68 trials,</w:t>
      </w:r>
      <w:r w:rsidR="003B3A94">
        <w:rPr>
          <w:rFonts w:asciiTheme="minorHAnsi" w:hAnsiTheme="minorHAnsi" w:cstheme="minorHAnsi"/>
          <w:color w:val="000000" w:themeColor="text1"/>
          <w:sz w:val="22"/>
          <w:szCs w:val="22"/>
        </w:rPr>
        <w:t xml:space="preserve"> overall improved care by 4.4%. </w:t>
      </w:r>
    </w:p>
    <w:p w14:paraId="6CA790D4" w14:textId="4C0A0F1A" w:rsidR="00E75ED5" w:rsidRDefault="00D33584"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systematic review conducted by Moja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aimed to understand, from randomised control trials, the impact that CDS</w:t>
      </w:r>
      <w:r w:rsidR="005D06F8">
        <w:rPr>
          <w:rFonts w:asciiTheme="minorHAnsi" w:hAnsiTheme="minorHAnsi" w:cstheme="minorHAnsi"/>
          <w:color w:val="000000" w:themeColor="text1"/>
          <w:sz w:val="22"/>
          <w:szCs w:val="22"/>
        </w:rPr>
        <w:t>, when implemented as part of an electronic health record,</w:t>
      </w:r>
      <w:r>
        <w:rPr>
          <w:rFonts w:asciiTheme="minorHAnsi" w:hAnsiTheme="minorHAnsi" w:cstheme="minorHAnsi"/>
          <w:color w:val="000000" w:themeColor="text1"/>
          <w:sz w:val="22"/>
          <w:szCs w:val="22"/>
        </w:rPr>
        <w:t xml:space="preserve"> has on clinical outcomes </w:t>
      </w:r>
      <w:r w:rsidRPr="00D33584">
        <w:rPr>
          <w:rFonts w:asciiTheme="minorHAnsi" w:hAnsiTheme="minorHAnsi" w:cstheme="minorHAnsi"/>
          <w:color w:val="000000" w:themeColor="text1"/>
          <w:sz w:val="22"/>
          <w:szCs w:val="22"/>
        </w:rPr>
        <w:t>(</w:t>
      </w:r>
      <w:r w:rsidRPr="00D33584">
        <w:rPr>
          <w:rFonts w:asciiTheme="minorHAnsi" w:hAnsiTheme="minorHAnsi" w:cstheme="minorHAnsi"/>
          <w:color w:val="000000" w:themeColor="text1"/>
          <w:sz w:val="22"/>
          <w:szCs w:val="22"/>
        </w:rPr>
        <w:t xml:space="preserve">Moja </w:t>
      </w:r>
      <w:r w:rsidRPr="00D33584">
        <w:rPr>
          <w:rFonts w:asciiTheme="minorHAnsi" w:hAnsiTheme="minorHAnsi" w:cstheme="minorHAnsi"/>
          <w:i/>
          <w:iCs/>
          <w:color w:val="000000" w:themeColor="text1"/>
          <w:sz w:val="22"/>
          <w:szCs w:val="22"/>
        </w:rPr>
        <w:t xml:space="preserve">et al. </w:t>
      </w:r>
      <w:r w:rsidRPr="00D33584">
        <w:rPr>
          <w:rFonts w:asciiTheme="minorHAnsi" w:hAnsiTheme="minorHAnsi" w:cstheme="minorHAnsi"/>
          <w:color w:val="000000" w:themeColor="text1"/>
          <w:sz w:val="22"/>
          <w:szCs w:val="22"/>
        </w:rPr>
        <w:t>2014).</w:t>
      </w:r>
      <w:r>
        <w:rPr>
          <w:rFonts w:asciiTheme="minorHAnsi" w:hAnsiTheme="minorHAnsi" w:cstheme="minorHAnsi"/>
          <w:color w:val="000000" w:themeColor="text1"/>
          <w:sz w:val="22"/>
          <w:szCs w:val="22"/>
        </w:rPr>
        <w:t xml:space="preserve"> The review included 28 trials</w:t>
      </w:r>
      <w:r w:rsidR="006A2EFC">
        <w:rPr>
          <w:rFonts w:asciiTheme="minorHAnsi" w:hAnsiTheme="minorHAnsi" w:cstheme="minorHAnsi"/>
          <w:color w:val="000000" w:themeColor="text1"/>
          <w:sz w:val="22"/>
          <w:szCs w:val="22"/>
        </w:rPr>
        <w:t xml:space="preserve"> that compared CDS to non-CDS implementation</w:t>
      </w:r>
      <w:r w:rsidR="005D06F8">
        <w:rPr>
          <w:rFonts w:asciiTheme="minorHAnsi" w:hAnsiTheme="minorHAnsi" w:cstheme="minorHAnsi"/>
          <w:color w:val="000000" w:themeColor="text1"/>
          <w:sz w:val="22"/>
          <w:szCs w:val="22"/>
        </w:rPr>
        <w:t xml:space="preserve">, and ultimately found that CDS had no significant impact on mortality, a small but significant impact on morbidity of 10-18% and a beneficial economic benefit of </w:t>
      </w:r>
      <w:r w:rsidR="006A2EFC">
        <w:rPr>
          <w:rFonts w:asciiTheme="minorHAnsi" w:hAnsiTheme="minorHAnsi" w:cstheme="minorHAnsi"/>
          <w:color w:val="000000" w:themeColor="text1"/>
          <w:sz w:val="22"/>
          <w:szCs w:val="22"/>
        </w:rPr>
        <w:t xml:space="preserve">CDS. The trials utilised as part of the review were small and differed in CDS functionality and outcome measurement, making a meta-analysis of mortality data difficult. </w:t>
      </w:r>
    </w:p>
    <w:p w14:paraId="398978ED" w14:textId="77777777" w:rsidR="00D33584" w:rsidRPr="00D33584" w:rsidRDefault="00D33584" w:rsidP="00CD0D98">
      <w:pPr>
        <w:rPr>
          <w:rFonts w:asciiTheme="minorHAnsi" w:hAnsiTheme="minorHAnsi" w:cstheme="minorHAnsi"/>
          <w:color w:val="000000" w:themeColor="text1"/>
          <w:sz w:val="22"/>
          <w:szCs w:val="22"/>
        </w:rPr>
      </w:pPr>
    </w:p>
    <w:p w14:paraId="2FA5E169" w14:textId="3A9C083A" w:rsidR="00046733" w:rsidRDefault="00E75ED5"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w:t>
      </w:r>
      <w:r w:rsidR="006A2EFC">
        <w:rPr>
          <w:rFonts w:asciiTheme="minorHAnsi" w:hAnsiTheme="minorHAnsi" w:cstheme="minorHAnsi"/>
          <w:color w:val="000000" w:themeColor="text1"/>
          <w:sz w:val="22"/>
          <w:szCs w:val="22"/>
        </w:rPr>
        <w:t xml:space="preserve">later and larger </w:t>
      </w:r>
      <w:r>
        <w:rPr>
          <w:rFonts w:asciiTheme="minorHAnsi" w:hAnsiTheme="minorHAnsi" w:cstheme="minorHAnsi"/>
          <w:color w:val="000000" w:themeColor="text1"/>
          <w:sz w:val="22"/>
          <w:szCs w:val="22"/>
        </w:rPr>
        <w:t xml:space="preserve">systematic review conducted by Varghese </w:t>
      </w:r>
      <w:r>
        <w:rPr>
          <w:rFonts w:asciiTheme="minorHAnsi" w:hAnsiTheme="minorHAnsi" w:cstheme="minorHAnsi"/>
          <w:i/>
          <w:iCs/>
          <w:color w:val="000000" w:themeColor="text1"/>
          <w:sz w:val="22"/>
          <w:szCs w:val="22"/>
        </w:rPr>
        <w:t>et al</w:t>
      </w:r>
      <w:r w:rsidR="00C6006B">
        <w:rPr>
          <w:rFonts w:asciiTheme="minorHAnsi" w:hAnsiTheme="minorHAnsi" w:cstheme="minorHAnsi"/>
          <w:i/>
          <w:iCs/>
          <w:color w:val="000000" w:themeColor="text1"/>
          <w:sz w:val="22"/>
          <w:szCs w:val="22"/>
        </w:rPr>
        <w:t>.</w:t>
      </w:r>
      <w:r>
        <w:rPr>
          <w:rFonts w:asciiTheme="minorHAnsi" w:hAnsiTheme="minorHAnsi" w:cstheme="minorHAnsi"/>
          <w:color w:val="000000" w:themeColor="text1"/>
          <w:sz w:val="22"/>
          <w:szCs w:val="22"/>
        </w:rPr>
        <w:t xml:space="preserve">, looking into the clinical impact of decision </w:t>
      </w:r>
      <w:r w:rsidR="00046733">
        <w:rPr>
          <w:rFonts w:asciiTheme="minorHAnsi" w:hAnsiTheme="minorHAnsi" w:cstheme="minorHAnsi"/>
          <w:color w:val="000000" w:themeColor="text1"/>
          <w:sz w:val="22"/>
          <w:szCs w:val="22"/>
        </w:rPr>
        <w:t>support systems</w:t>
      </w:r>
      <w:r w:rsidR="006A2EFC">
        <w:rPr>
          <w:rFonts w:asciiTheme="minorHAnsi" w:hAnsiTheme="minorHAnsi" w:cstheme="minorHAnsi"/>
          <w:color w:val="000000" w:themeColor="text1"/>
          <w:sz w:val="22"/>
          <w:szCs w:val="22"/>
        </w:rPr>
        <w:t>, obtained more conclusive</w:t>
      </w:r>
      <w:r w:rsidR="00046733">
        <w:rPr>
          <w:rFonts w:asciiTheme="minorHAnsi" w:hAnsiTheme="minorHAnsi" w:cstheme="minorHAnsi"/>
          <w:color w:val="000000" w:themeColor="text1"/>
          <w:sz w:val="22"/>
          <w:szCs w:val="22"/>
        </w:rPr>
        <w:t xml:space="preserve"> </w:t>
      </w:r>
      <w:r w:rsidR="006A2EFC">
        <w:rPr>
          <w:rFonts w:asciiTheme="minorHAnsi" w:hAnsiTheme="minorHAnsi" w:cstheme="minorHAnsi"/>
          <w:color w:val="000000" w:themeColor="text1"/>
          <w:sz w:val="22"/>
          <w:szCs w:val="22"/>
        </w:rPr>
        <w:t xml:space="preserve">findings </w:t>
      </w:r>
      <w:r w:rsidR="00046733">
        <w:rPr>
          <w:rFonts w:asciiTheme="minorHAnsi" w:hAnsiTheme="minorHAnsi" w:cstheme="minorHAnsi"/>
          <w:color w:val="000000" w:themeColor="text1"/>
          <w:sz w:val="22"/>
          <w:szCs w:val="22"/>
        </w:rPr>
        <w:t xml:space="preserve">(Varghese </w:t>
      </w:r>
      <w:r w:rsidR="00046733">
        <w:rPr>
          <w:rFonts w:asciiTheme="minorHAnsi" w:hAnsiTheme="minorHAnsi" w:cstheme="minorHAnsi"/>
          <w:i/>
          <w:iCs/>
          <w:color w:val="000000" w:themeColor="text1"/>
          <w:sz w:val="22"/>
          <w:szCs w:val="22"/>
        </w:rPr>
        <w:t xml:space="preserve">et al. </w:t>
      </w:r>
      <w:r w:rsidR="00046733" w:rsidRPr="00046733">
        <w:rPr>
          <w:rFonts w:asciiTheme="minorHAnsi" w:hAnsiTheme="minorHAnsi" w:cstheme="minorHAnsi"/>
          <w:color w:val="000000" w:themeColor="text1"/>
          <w:sz w:val="22"/>
          <w:szCs w:val="22"/>
        </w:rPr>
        <w:t xml:space="preserve">2018). </w:t>
      </w:r>
      <w:r w:rsidR="00046733">
        <w:rPr>
          <w:rFonts w:asciiTheme="minorHAnsi" w:hAnsiTheme="minorHAnsi" w:cstheme="minorHAnsi"/>
          <w:color w:val="000000" w:themeColor="text1"/>
          <w:sz w:val="22"/>
          <w:szCs w:val="22"/>
        </w:rPr>
        <w:t xml:space="preserve">The review </w:t>
      </w:r>
      <w:r w:rsidR="00046733">
        <w:rPr>
          <w:rFonts w:asciiTheme="minorHAnsi" w:hAnsiTheme="minorHAnsi" w:cstheme="minorHAnsi"/>
          <w:color w:val="000000" w:themeColor="text1"/>
          <w:sz w:val="22"/>
          <w:szCs w:val="22"/>
        </w:rPr>
        <w:lastRenderedPageBreak/>
        <w:t>included 70 studies, of which, 70</w:t>
      </w:r>
      <w:r w:rsidR="007C55DC">
        <w:rPr>
          <w:rFonts w:asciiTheme="minorHAnsi" w:hAnsiTheme="minorHAnsi" w:cstheme="minorHAnsi"/>
          <w:color w:val="000000" w:themeColor="text1"/>
          <w:sz w:val="22"/>
          <w:szCs w:val="22"/>
        </w:rPr>
        <w:t>%</w:t>
      </w:r>
      <w:r w:rsidR="00046733">
        <w:rPr>
          <w:rFonts w:asciiTheme="minorHAnsi" w:hAnsiTheme="minorHAnsi" w:cstheme="minorHAnsi"/>
          <w:color w:val="000000" w:themeColor="text1"/>
          <w:sz w:val="22"/>
          <w:szCs w:val="22"/>
        </w:rPr>
        <w:t xml:space="preserve"> of those </w:t>
      </w:r>
      <w:r w:rsidR="007C55DC">
        <w:rPr>
          <w:rFonts w:asciiTheme="minorHAnsi" w:hAnsiTheme="minorHAnsi" w:cstheme="minorHAnsi"/>
          <w:color w:val="000000" w:themeColor="text1"/>
          <w:sz w:val="22"/>
          <w:szCs w:val="22"/>
        </w:rPr>
        <w:t>measured</w:t>
      </w:r>
      <w:r w:rsidR="00046733">
        <w:rPr>
          <w:rFonts w:asciiTheme="minorHAnsi" w:hAnsiTheme="minorHAnsi" w:cstheme="minorHAnsi"/>
          <w:color w:val="000000" w:themeColor="text1"/>
          <w:sz w:val="22"/>
          <w:szCs w:val="22"/>
        </w:rPr>
        <w:t xml:space="preserve"> an overall positive impact on clinical outcomes</w:t>
      </w:r>
      <w:r w:rsidR="007C55DC">
        <w:rPr>
          <w:rFonts w:asciiTheme="minorHAnsi" w:hAnsiTheme="minorHAnsi" w:cstheme="minorHAnsi"/>
          <w:color w:val="000000" w:themeColor="text1"/>
          <w:sz w:val="22"/>
          <w:szCs w:val="22"/>
        </w:rPr>
        <w:t xml:space="preserve"> as a result of CDS implementation. 29% of studies did not show a significant effect on outcomes, whilst one study had a significant negative impact, </w:t>
      </w:r>
      <w:proofErr w:type="gramStart"/>
      <w:r w:rsidR="007C55DC">
        <w:rPr>
          <w:rFonts w:asciiTheme="minorHAnsi" w:hAnsiTheme="minorHAnsi" w:cstheme="minorHAnsi"/>
          <w:color w:val="000000" w:themeColor="text1"/>
          <w:sz w:val="22"/>
          <w:szCs w:val="22"/>
        </w:rPr>
        <w:t>as a result of</w:t>
      </w:r>
      <w:proofErr w:type="gramEnd"/>
      <w:r w:rsidR="007C55DC">
        <w:rPr>
          <w:rFonts w:asciiTheme="minorHAnsi" w:hAnsiTheme="minorHAnsi" w:cstheme="minorHAnsi"/>
          <w:color w:val="000000" w:themeColor="text1"/>
          <w:sz w:val="22"/>
          <w:szCs w:val="22"/>
        </w:rPr>
        <w:t xml:space="preserve"> a system that increased the rate of hypoglycaemic episodes within a critical care area</w:t>
      </w:r>
      <w:r w:rsidR="006A7C62">
        <w:rPr>
          <w:rFonts w:asciiTheme="minorHAnsi" w:hAnsiTheme="minorHAnsi" w:cstheme="minorHAnsi"/>
          <w:color w:val="000000" w:themeColor="text1"/>
          <w:sz w:val="22"/>
          <w:szCs w:val="22"/>
        </w:rPr>
        <w:t xml:space="preserve"> (</w:t>
      </w:r>
      <w:proofErr w:type="spellStart"/>
      <w:r w:rsidR="006A7C62">
        <w:rPr>
          <w:rFonts w:asciiTheme="minorHAnsi" w:hAnsiTheme="minorHAnsi" w:cstheme="minorHAnsi"/>
          <w:color w:val="000000" w:themeColor="text1"/>
          <w:sz w:val="22"/>
          <w:szCs w:val="22"/>
        </w:rPr>
        <w:t>Kalfon</w:t>
      </w:r>
      <w:proofErr w:type="spellEnd"/>
      <w:r w:rsidR="006A7C62">
        <w:rPr>
          <w:rFonts w:asciiTheme="minorHAnsi" w:hAnsiTheme="minorHAnsi" w:cstheme="minorHAnsi"/>
          <w:color w:val="000000" w:themeColor="text1"/>
          <w:sz w:val="22"/>
          <w:szCs w:val="22"/>
        </w:rPr>
        <w:t xml:space="preserve"> </w:t>
      </w:r>
      <w:r w:rsidR="006A7C62">
        <w:rPr>
          <w:rFonts w:asciiTheme="minorHAnsi" w:hAnsiTheme="minorHAnsi" w:cstheme="minorHAnsi"/>
          <w:i/>
          <w:iCs/>
          <w:color w:val="000000" w:themeColor="text1"/>
          <w:sz w:val="22"/>
          <w:szCs w:val="22"/>
        </w:rPr>
        <w:t xml:space="preserve">et al. </w:t>
      </w:r>
      <w:r w:rsidR="006A7C62">
        <w:rPr>
          <w:rFonts w:asciiTheme="minorHAnsi" w:hAnsiTheme="minorHAnsi" w:cstheme="minorHAnsi"/>
          <w:color w:val="000000" w:themeColor="text1"/>
          <w:sz w:val="22"/>
          <w:szCs w:val="22"/>
        </w:rPr>
        <w:t>2014)</w:t>
      </w:r>
      <w:r w:rsidR="007C55DC">
        <w:rPr>
          <w:rFonts w:asciiTheme="minorHAnsi" w:hAnsiTheme="minorHAnsi" w:cstheme="minorHAnsi"/>
          <w:color w:val="000000" w:themeColor="text1"/>
          <w:sz w:val="22"/>
          <w:szCs w:val="22"/>
        </w:rPr>
        <w:t xml:space="preserve">. </w:t>
      </w:r>
      <w:r w:rsidR="006A7C62">
        <w:rPr>
          <w:rFonts w:asciiTheme="minorHAnsi" w:hAnsiTheme="minorHAnsi" w:cstheme="minorHAnsi"/>
          <w:color w:val="000000" w:themeColor="text1"/>
          <w:sz w:val="22"/>
          <w:szCs w:val="22"/>
        </w:rPr>
        <w:t>The systematic review demonstrates the potential positive impact</w:t>
      </w:r>
      <w:r w:rsidR="004F5C76">
        <w:rPr>
          <w:rFonts w:asciiTheme="minorHAnsi" w:hAnsiTheme="minorHAnsi" w:cstheme="minorHAnsi"/>
          <w:color w:val="000000" w:themeColor="text1"/>
          <w:sz w:val="22"/>
          <w:szCs w:val="22"/>
        </w:rPr>
        <w:t xml:space="preserve"> that decision support systems can have, including the reduction in mortality observed in 7% and the reduction of life-threatening events in 40% of the reviewed studies (Varghese </w:t>
      </w:r>
      <w:r w:rsidR="004F5C76">
        <w:rPr>
          <w:rFonts w:asciiTheme="minorHAnsi" w:hAnsiTheme="minorHAnsi" w:cstheme="minorHAnsi"/>
          <w:i/>
          <w:iCs/>
          <w:color w:val="000000" w:themeColor="text1"/>
          <w:sz w:val="22"/>
          <w:szCs w:val="22"/>
        </w:rPr>
        <w:t xml:space="preserve">et al. </w:t>
      </w:r>
      <w:r w:rsidR="004F5C76" w:rsidRPr="00046733">
        <w:rPr>
          <w:rFonts w:asciiTheme="minorHAnsi" w:hAnsiTheme="minorHAnsi" w:cstheme="minorHAnsi"/>
          <w:color w:val="000000" w:themeColor="text1"/>
          <w:sz w:val="22"/>
          <w:szCs w:val="22"/>
        </w:rPr>
        <w:t>2018)</w:t>
      </w:r>
      <w:r w:rsidR="004F5C76">
        <w:rPr>
          <w:rFonts w:asciiTheme="minorHAnsi" w:hAnsiTheme="minorHAnsi" w:cstheme="minorHAnsi"/>
          <w:color w:val="000000" w:themeColor="text1"/>
          <w:sz w:val="22"/>
          <w:szCs w:val="22"/>
        </w:rPr>
        <w:t xml:space="preserve">. </w:t>
      </w:r>
      <w:r w:rsidR="00CD1A0C">
        <w:rPr>
          <w:rFonts w:asciiTheme="minorHAnsi" w:hAnsiTheme="minorHAnsi" w:cstheme="minorHAnsi"/>
          <w:color w:val="000000" w:themeColor="text1"/>
          <w:sz w:val="22"/>
          <w:szCs w:val="22"/>
        </w:rPr>
        <w:t>However,</w:t>
      </w:r>
      <w:r w:rsidR="004F5C76">
        <w:rPr>
          <w:rFonts w:asciiTheme="minorHAnsi" w:hAnsiTheme="minorHAnsi" w:cstheme="minorHAnsi"/>
          <w:color w:val="000000" w:themeColor="text1"/>
          <w:sz w:val="22"/>
          <w:szCs w:val="22"/>
        </w:rPr>
        <w:t xml:space="preserve"> consideration is needed to the variation in results observed</w:t>
      </w:r>
      <w:r w:rsidR="008405E4">
        <w:rPr>
          <w:rFonts w:asciiTheme="minorHAnsi" w:hAnsiTheme="minorHAnsi" w:cstheme="minorHAnsi"/>
          <w:color w:val="000000" w:themeColor="text1"/>
          <w:sz w:val="22"/>
          <w:szCs w:val="22"/>
        </w:rPr>
        <w:t>, across different clinical specialities and processes,</w:t>
      </w:r>
      <w:r w:rsidR="004F5C76">
        <w:rPr>
          <w:rFonts w:asciiTheme="minorHAnsi" w:hAnsiTheme="minorHAnsi" w:cstheme="minorHAnsi"/>
          <w:color w:val="000000" w:themeColor="text1"/>
          <w:sz w:val="22"/>
          <w:szCs w:val="22"/>
        </w:rPr>
        <w:t xml:space="preserve"> given the percentage of studies demonstrating insignificant or negative outcomes. </w:t>
      </w:r>
      <w:r w:rsidR="008405E4">
        <w:rPr>
          <w:rFonts w:asciiTheme="minorHAnsi" w:hAnsiTheme="minorHAnsi" w:cstheme="minorHAnsi"/>
          <w:color w:val="000000" w:themeColor="text1"/>
          <w:sz w:val="22"/>
          <w:szCs w:val="22"/>
        </w:rPr>
        <w:t>This impart may be due to a large heterogeneity of study designs</w:t>
      </w:r>
      <w:r w:rsidR="00DA1945">
        <w:rPr>
          <w:rFonts w:asciiTheme="minorHAnsi" w:hAnsiTheme="minorHAnsi" w:cstheme="minorHAnsi"/>
          <w:color w:val="000000" w:themeColor="text1"/>
          <w:sz w:val="22"/>
          <w:szCs w:val="22"/>
        </w:rPr>
        <w:t xml:space="preserve">, but there </w:t>
      </w:r>
      <w:proofErr w:type="gramStart"/>
      <w:r w:rsidR="00DA1945">
        <w:rPr>
          <w:rFonts w:asciiTheme="minorHAnsi" w:hAnsiTheme="minorHAnsi" w:cstheme="minorHAnsi"/>
          <w:color w:val="000000" w:themeColor="text1"/>
          <w:sz w:val="22"/>
          <w:szCs w:val="22"/>
        </w:rPr>
        <w:t>is</w:t>
      </w:r>
      <w:proofErr w:type="gramEnd"/>
      <w:r w:rsidR="00DA1945">
        <w:rPr>
          <w:rFonts w:asciiTheme="minorHAnsi" w:hAnsiTheme="minorHAnsi" w:cstheme="minorHAnsi"/>
          <w:color w:val="000000" w:themeColor="text1"/>
          <w:sz w:val="22"/>
          <w:szCs w:val="22"/>
        </w:rPr>
        <w:t xml:space="preserve"> certainly additional clinical, technical and sociotechnical factors to consider as part of successful implementation. </w:t>
      </w:r>
    </w:p>
    <w:p w14:paraId="671D3E2E" w14:textId="77777777" w:rsidR="005A27E7" w:rsidRPr="00CD5891" w:rsidRDefault="005A27E7" w:rsidP="00CD5891">
      <w:pPr>
        <w:rPr>
          <w:rFonts w:asciiTheme="minorHAnsi" w:hAnsiTheme="minorHAnsi" w:cstheme="minorHAnsi"/>
          <w:color w:val="000000" w:themeColor="text1"/>
          <w:sz w:val="22"/>
          <w:szCs w:val="22"/>
        </w:rPr>
      </w:pPr>
    </w:p>
    <w:p w14:paraId="168252FD" w14:textId="6020222C" w:rsidR="00CD0D98" w:rsidRDefault="00C6006B" w:rsidP="00CD0D98">
      <w:pPr>
        <w:rPr>
          <w:rFonts w:asciiTheme="minorHAnsi" w:hAnsiTheme="minorHAnsi" w:cstheme="minorHAnsi"/>
          <w:color w:val="000000" w:themeColor="text1"/>
          <w:sz w:val="22"/>
          <w:szCs w:val="22"/>
        </w:rPr>
      </w:pPr>
      <w:r w:rsidRPr="00C6006B">
        <w:rPr>
          <w:rFonts w:asciiTheme="minorHAnsi" w:hAnsiTheme="minorHAnsi" w:cstheme="minorHAnsi"/>
          <w:color w:val="000000" w:themeColor="text1"/>
          <w:sz w:val="22"/>
          <w:szCs w:val="22"/>
        </w:rPr>
        <w:t xml:space="preserve">A systematic review </w:t>
      </w:r>
      <w:r>
        <w:rPr>
          <w:rFonts w:asciiTheme="minorHAnsi" w:hAnsiTheme="minorHAnsi" w:cstheme="minorHAnsi"/>
          <w:color w:val="000000" w:themeColor="text1"/>
          <w:sz w:val="22"/>
          <w:szCs w:val="22"/>
        </w:rPr>
        <w:t xml:space="preserve">by Pearson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 xml:space="preserve">investigated the impact of CDS, utilised as part of the prescribing process, has on practice (Pearson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 xml:space="preserve">2009). </w:t>
      </w:r>
      <w:r w:rsidR="00BB7AB2">
        <w:rPr>
          <w:rFonts w:asciiTheme="minorHAnsi" w:hAnsiTheme="minorHAnsi" w:cstheme="minorHAnsi"/>
          <w:color w:val="000000" w:themeColor="text1"/>
          <w:sz w:val="22"/>
          <w:szCs w:val="22"/>
        </w:rPr>
        <w:t>56 studies were included in the review, of which the studies</w:t>
      </w:r>
      <w:r w:rsidR="00723810">
        <w:rPr>
          <w:rFonts w:asciiTheme="minorHAnsi" w:hAnsiTheme="minorHAnsi" w:cstheme="minorHAnsi"/>
          <w:color w:val="000000" w:themeColor="text1"/>
          <w:sz w:val="22"/>
          <w:szCs w:val="22"/>
        </w:rPr>
        <w:t xml:space="preserve"> assessing CDS systems acting at the point of prescribing and as part of subsequent monitoring were found to have a positive outcome on practice overall, however studies assessing systems intending to help stop medications had no significant impact on practice, although the number of studies (n</w:t>
      </w:r>
      <w:r w:rsidR="00EB7206">
        <w:rPr>
          <w:rFonts w:asciiTheme="minorHAnsi" w:hAnsiTheme="minorHAnsi" w:cstheme="minorHAnsi"/>
          <w:color w:val="000000" w:themeColor="text1"/>
          <w:sz w:val="22"/>
          <w:szCs w:val="22"/>
        </w:rPr>
        <w:t>=</w:t>
      </w:r>
      <w:r w:rsidR="00723810">
        <w:rPr>
          <w:rFonts w:asciiTheme="minorHAnsi" w:hAnsiTheme="minorHAnsi" w:cstheme="minorHAnsi"/>
          <w:color w:val="000000" w:themeColor="text1"/>
          <w:sz w:val="22"/>
          <w:szCs w:val="22"/>
        </w:rPr>
        <w:t xml:space="preserve">3) were low. </w:t>
      </w:r>
    </w:p>
    <w:p w14:paraId="4BCBE5F9" w14:textId="68426230" w:rsidR="00114BA3" w:rsidRDefault="00114BA3" w:rsidP="00CD0D98">
      <w:pPr>
        <w:rPr>
          <w:rFonts w:asciiTheme="minorHAnsi" w:hAnsiTheme="minorHAnsi" w:cstheme="minorHAnsi"/>
          <w:color w:val="000000" w:themeColor="text1"/>
          <w:sz w:val="22"/>
          <w:szCs w:val="22"/>
        </w:rPr>
      </w:pPr>
    </w:p>
    <w:p w14:paraId="55BDB862" w14:textId="11577F08" w:rsidR="00114BA3" w:rsidRPr="00472023" w:rsidRDefault="00114BA3"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Jia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 xml:space="preserve">published an overview </w:t>
      </w:r>
      <w:r w:rsidR="00472023">
        <w:rPr>
          <w:rFonts w:asciiTheme="minorHAnsi" w:hAnsiTheme="minorHAnsi" w:cstheme="minorHAnsi"/>
          <w:color w:val="000000" w:themeColor="text1"/>
          <w:sz w:val="22"/>
          <w:szCs w:val="22"/>
        </w:rPr>
        <w:t xml:space="preserve">and meta-analysis </w:t>
      </w:r>
      <w:r>
        <w:rPr>
          <w:rFonts w:asciiTheme="minorHAnsi" w:hAnsiTheme="minorHAnsi" w:cstheme="minorHAnsi"/>
          <w:color w:val="000000" w:themeColor="text1"/>
          <w:sz w:val="22"/>
          <w:szCs w:val="22"/>
        </w:rPr>
        <w:t xml:space="preserve">of the systematic reviews </w:t>
      </w:r>
      <w:r w:rsidR="00472023">
        <w:rPr>
          <w:rFonts w:asciiTheme="minorHAnsi" w:hAnsiTheme="minorHAnsi" w:cstheme="minorHAnsi"/>
          <w:color w:val="000000" w:themeColor="text1"/>
          <w:sz w:val="22"/>
          <w:szCs w:val="22"/>
        </w:rPr>
        <w:t xml:space="preserve">studying the impact of CDS systems on medicines safety (Jia </w:t>
      </w:r>
      <w:r w:rsidR="00472023">
        <w:rPr>
          <w:rFonts w:asciiTheme="minorHAnsi" w:hAnsiTheme="minorHAnsi" w:cstheme="minorHAnsi"/>
          <w:i/>
          <w:iCs/>
          <w:color w:val="000000" w:themeColor="text1"/>
          <w:sz w:val="22"/>
          <w:szCs w:val="22"/>
        </w:rPr>
        <w:t xml:space="preserve">et al. </w:t>
      </w:r>
      <w:r w:rsidR="00472023">
        <w:rPr>
          <w:rFonts w:asciiTheme="minorHAnsi" w:hAnsiTheme="minorHAnsi" w:cstheme="minorHAnsi"/>
          <w:color w:val="000000" w:themeColor="text1"/>
          <w:sz w:val="22"/>
          <w:szCs w:val="22"/>
        </w:rPr>
        <w:t xml:space="preserve">2016). They found that overall CDS, utilised within medicines processes, improved practice, however inconsistencies are evident in demonstrating an improvement in patient outcomes. This is a consistent finding within the domain of </w:t>
      </w:r>
      <w:proofErr w:type="gramStart"/>
      <w:r w:rsidR="00472023">
        <w:rPr>
          <w:rFonts w:asciiTheme="minorHAnsi" w:hAnsiTheme="minorHAnsi" w:cstheme="minorHAnsi"/>
          <w:color w:val="000000" w:themeColor="text1"/>
          <w:sz w:val="22"/>
          <w:szCs w:val="22"/>
        </w:rPr>
        <w:t>CDS, and</w:t>
      </w:r>
      <w:proofErr w:type="gramEnd"/>
      <w:r w:rsidR="00472023">
        <w:rPr>
          <w:rFonts w:asciiTheme="minorHAnsi" w:hAnsiTheme="minorHAnsi" w:cstheme="minorHAnsi"/>
          <w:color w:val="000000" w:themeColor="text1"/>
          <w:sz w:val="22"/>
          <w:szCs w:val="22"/>
        </w:rPr>
        <w:t xml:space="preserve"> is thought to be due to the heterogeneity of study designs as well as studies not being p</w:t>
      </w:r>
      <w:r w:rsidR="004E5AC5">
        <w:rPr>
          <w:rFonts w:asciiTheme="minorHAnsi" w:hAnsiTheme="minorHAnsi" w:cstheme="minorHAnsi"/>
          <w:color w:val="000000" w:themeColor="text1"/>
          <w:sz w:val="22"/>
          <w:szCs w:val="22"/>
        </w:rPr>
        <w:t>o</w:t>
      </w:r>
      <w:r w:rsidR="00472023">
        <w:rPr>
          <w:rFonts w:asciiTheme="minorHAnsi" w:hAnsiTheme="minorHAnsi" w:cstheme="minorHAnsi"/>
          <w:color w:val="000000" w:themeColor="text1"/>
          <w:sz w:val="22"/>
          <w:szCs w:val="22"/>
        </w:rPr>
        <w:t>wered sufficiently</w:t>
      </w:r>
      <w:r w:rsidR="00E769E3">
        <w:rPr>
          <w:rFonts w:asciiTheme="minorHAnsi" w:hAnsiTheme="minorHAnsi" w:cstheme="minorHAnsi"/>
          <w:color w:val="000000" w:themeColor="text1"/>
          <w:sz w:val="22"/>
          <w:szCs w:val="22"/>
        </w:rPr>
        <w:t>, or being studies for sufficient len</w:t>
      </w:r>
      <w:r w:rsidR="00556953">
        <w:rPr>
          <w:rFonts w:asciiTheme="minorHAnsi" w:hAnsiTheme="minorHAnsi" w:cstheme="minorHAnsi"/>
          <w:color w:val="000000" w:themeColor="text1"/>
          <w:sz w:val="22"/>
          <w:szCs w:val="22"/>
        </w:rPr>
        <w:t>g</w:t>
      </w:r>
      <w:r w:rsidR="00E769E3">
        <w:rPr>
          <w:rFonts w:asciiTheme="minorHAnsi" w:hAnsiTheme="minorHAnsi" w:cstheme="minorHAnsi"/>
          <w:color w:val="000000" w:themeColor="text1"/>
          <w:sz w:val="22"/>
          <w:szCs w:val="22"/>
        </w:rPr>
        <w:t>th of time</w:t>
      </w:r>
      <w:r w:rsidR="00472023">
        <w:rPr>
          <w:rFonts w:asciiTheme="minorHAnsi" w:hAnsiTheme="minorHAnsi" w:cstheme="minorHAnsi"/>
          <w:color w:val="000000" w:themeColor="text1"/>
          <w:sz w:val="22"/>
          <w:szCs w:val="22"/>
        </w:rPr>
        <w:t xml:space="preserve"> to demonstrate an improvement in patient outcome</w:t>
      </w:r>
      <w:r w:rsidR="004E5AC5">
        <w:rPr>
          <w:rFonts w:asciiTheme="minorHAnsi" w:hAnsiTheme="minorHAnsi" w:cstheme="minorHAnsi"/>
          <w:color w:val="000000" w:themeColor="text1"/>
          <w:sz w:val="22"/>
          <w:szCs w:val="22"/>
        </w:rPr>
        <w:t xml:space="preserve"> (Monique </w:t>
      </w:r>
      <w:r w:rsidR="004E5AC5">
        <w:rPr>
          <w:rFonts w:asciiTheme="minorHAnsi" w:hAnsiTheme="minorHAnsi" w:cstheme="minorHAnsi"/>
          <w:i/>
          <w:iCs/>
          <w:color w:val="000000" w:themeColor="text1"/>
          <w:sz w:val="22"/>
          <w:szCs w:val="22"/>
        </w:rPr>
        <w:t xml:space="preserve">et al. </w:t>
      </w:r>
      <w:r w:rsidR="004E5AC5">
        <w:rPr>
          <w:rFonts w:asciiTheme="minorHAnsi" w:hAnsiTheme="minorHAnsi" w:cstheme="minorHAnsi"/>
          <w:color w:val="000000" w:themeColor="text1"/>
          <w:sz w:val="22"/>
          <w:szCs w:val="22"/>
        </w:rPr>
        <w:t>2011)</w:t>
      </w:r>
      <w:r w:rsidR="00472023">
        <w:rPr>
          <w:rFonts w:asciiTheme="minorHAnsi" w:hAnsiTheme="minorHAnsi" w:cstheme="minorHAnsi"/>
          <w:color w:val="000000" w:themeColor="text1"/>
          <w:sz w:val="22"/>
          <w:szCs w:val="22"/>
        </w:rPr>
        <w:t xml:space="preserve">. </w:t>
      </w:r>
      <w:r w:rsidR="004E5AC5">
        <w:rPr>
          <w:rFonts w:asciiTheme="minorHAnsi" w:hAnsiTheme="minorHAnsi" w:cstheme="minorHAnsi"/>
          <w:color w:val="000000" w:themeColor="text1"/>
          <w:sz w:val="22"/>
          <w:szCs w:val="22"/>
        </w:rPr>
        <w:t xml:space="preserve">CDS systems are </w:t>
      </w:r>
      <w:proofErr w:type="gramStart"/>
      <w:r w:rsidR="004E5AC5">
        <w:rPr>
          <w:rFonts w:asciiTheme="minorHAnsi" w:hAnsiTheme="minorHAnsi" w:cstheme="minorHAnsi"/>
          <w:color w:val="000000" w:themeColor="text1"/>
          <w:sz w:val="22"/>
          <w:szCs w:val="22"/>
        </w:rPr>
        <w:t>more often than not</w:t>
      </w:r>
      <w:proofErr w:type="gramEnd"/>
      <w:r w:rsidR="004E5AC5">
        <w:rPr>
          <w:rFonts w:asciiTheme="minorHAnsi" w:hAnsiTheme="minorHAnsi" w:cstheme="minorHAnsi"/>
          <w:color w:val="000000" w:themeColor="text1"/>
          <w:sz w:val="22"/>
          <w:szCs w:val="22"/>
        </w:rPr>
        <w:t xml:space="preserve"> created within a single proprietary system, and studied at a single centre </w:t>
      </w:r>
      <w:r w:rsidR="00E769E3">
        <w:rPr>
          <w:rFonts w:asciiTheme="minorHAnsi" w:hAnsiTheme="minorHAnsi" w:cstheme="minorHAnsi"/>
          <w:sz w:val="22"/>
          <w:szCs w:val="22"/>
        </w:rPr>
        <w:t xml:space="preserve">(Sutton </w:t>
      </w:r>
      <w:r w:rsidR="00E769E3">
        <w:rPr>
          <w:rFonts w:asciiTheme="minorHAnsi" w:hAnsiTheme="minorHAnsi" w:cstheme="minorHAnsi"/>
          <w:i/>
          <w:iCs/>
          <w:sz w:val="22"/>
          <w:szCs w:val="22"/>
        </w:rPr>
        <w:t xml:space="preserve">et al., </w:t>
      </w:r>
      <w:r w:rsidR="00E769E3">
        <w:rPr>
          <w:rFonts w:asciiTheme="minorHAnsi" w:hAnsiTheme="minorHAnsi" w:cstheme="minorHAnsi"/>
          <w:sz w:val="22"/>
          <w:szCs w:val="22"/>
        </w:rPr>
        <w:t>2020</w:t>
      </w:r>
      <w:r w:rsidR="00E769E3">
        <w:rPr>
          <w:rFonts w:asciiTheme="minorHAnsi" w:hAnsiTheme="minorHAnsi" w:cstheme="minorHAnsi"/>
          <w:sz w:val="22"/>
          <w:szCs w:val="22"/>
        </w:rPr>
        <w:t>)</w:t>
      </w:r>
      <w:r w:rsidR="004E5AC5">
        <w:rPr>
          <w:rFonts w:asciiTheme="minorHAnsi" w:hAnsiTheme="minorHAnsi" w:cstheme="minorHAnsi"/>
          <w:color w:val="000000" w:themeColor="text1"/>
          <w:sz w:val="22"/>
          <w:szCs w:val="22"/>
        </w:rPr>
        <w:t xml:space="preserve">. </w:t>
      </w:r>
    </w:p>
    <w:p w14:paraId="20B6801D" w14:textId="67911DDB" w:rsidR="00CD0D98" w:rsidRDefault="00CD0D98" w:rsidP="00CD0D98">
      <w:pPr>
        <w:rPr>
          <w:rFonts w:asciiTheme="minorHAnsi" w:hAnsiTheme="minorHAnsi" w:cstheme="minorHAnsi"/>
          <w:color w:val="FF0000"/>
          <w:sz w:val="22"/>
          <w:szCs w:val="22"/>
        </w:rPr>
      </w:pPr>
    </w:p>
    <w:p w14:paraId="453352AB" w14:textId="4458AACE" w:rsidR="00CD5891" w:rsidRDefault="00CD5891" w:rsidP="00CD0D98">
      <w:pPr>
        <w:rPr>
          <w:rFonts w:asciiTheme="minorHAnsi" w:hAnsiTheme="minorHAnsi" w:cstheme="minorHAnsi"/>
          <w:color w:val="000000" w:themeColor="text1"/>
          <w:sz w:val="22"/>
          <w:szCs w:val="22"/>
          <w:highlight w:val="yellow"/>
        </w:rPr>
      </w:pPr>
      <w:r>
        <w:rPr>
          <w:rFonts w:asciiTheme="minorHAnsi" w:hAnsiTheme="minorHAnsi" w:cstheme="minorHAnsi"/>
          <w:color w:val="000000" w:themeColor="text1"/>
          <w:sz w:val="22"/>
          <w:szCs w:val="22"/>
        </w:rPr>
        <w:t xml:space="preserve">A comparative systematic review conducted by Van de Velde </w:t>
      </w:r>
      <w:r>
        <w:rPr>
          <w:rFonts w:asciiTheme="minorHAnsi" w:hAnsiTheme="minorHAnsi" w:cstheme="minorHAnsi"/>
          <w:i/>
          <w:iCs/>
          <w:color w:val="000000" w:themeColor="text1"/>
          <w:sz w:val="22"/>
          <w:szCs w:val="22"/>
        </w:rPr>
        <w:t>et al.</w:t>
      </w:r>
      <w:r>
        <w:rPr>
          <w:rFonts w:asciiTheme="minorHAnsi" w:hAnsiTheme="minorHAnsi" w:cstheme="minorHAnsi"/>
          <w:color w:val="000000" w:themeColor="text1"/>
          <w:sz w:val="22"/>
          <w:szCs w:val="22"/>
        </w:rPr>
        <w:t xml:space="preserve"> aimed to understand the difference in efficacies of CDS design factors in a head-to-head manner (Van de Velde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2018). 66 trials were included in the review and 14 separate design factors were compared. Design factors were measured using a relative risk difference in adherence, with some including outcome data. Adherence was used to understand the impact that the CDS system had on user decision making directly. The review found that the factors that provided the biggest positive impact on user adherence were CDS that was presented to users automatically instead of on request by the users, and information that was presented on a screen instead of on paper. It also identified positive effects when CDS is more evidence-based and presented in a patient specific manner and when included alongside care strategies. Although this study provides a depth of insight into potential factors that explain the variation in CDS effectiveness, only a handful of small studies were utilised in the comparison of most factors, and therefore the conclusions should be treated with caution, until more robust and reliable evidence is available.</w:t>
      </w:r>
    </w:p>
    <w:p w14:paraId="7ECB010B" w14:textId="4CF3F5A3" w:rsidR="00CD5891" w:rsidRDefault="00CD5891" w:rsidP="00CD0D98">
      <w:pPr>
        <w:rPr>
          <w:rFonts w:asciiTheme="minorHAnsi" w:hAnsiTheme="minorHAnsi" w:cstheme="minorHAnsi"/>
          <w:color w:val="000000" w:themeColor="text1"/>
          <w:sz w:val="22"/>
          <w:szCs w:val="22"/>
          <w:highlight w:val="yellow"/>
        </w:rPr>
      </w:pPr>
    </w:p>
    <w:p w14:paraId="6E3A685D" w14:textId="4356B18A" w:rsidR="00603339" w:rsidRDefault="00603339" w:rsidP="00CD0D9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qualitative study conducted by </w:t>
      </w:r>
      <w:proofErr w:type="spellStart"/>
      <w:r>
        <w:rPr>
          <w:rFonts w:asciiTheme="minorHAnsi" w:hAnsiTheme="minorHAnsi" w:cstheme="minorHAnsi"/>
          <w:color w:val="000000" w:themeColor="text1"/>
          <w:sz w:val="22"/>
          <w:szCs w:val="22"/>
        </w:rPr>
        <w:t>Petkus</w:t>
      </w:r>
      <w:proofErr w:type="spellEnd"/>
      <w:r>
        <w:rPr>
          <w:rFonts w:asciiTheme="minorHAnsi" w:hAnsiTheme="minorHAnsi" w:cstheme="minorHAnsi"/>
          <w:color w:val="000000" w:themeColor="text1"/>
          <w:sz w:val="22"/>
          <w:szCs w:val="22"/>
        </w:rPr>
        <w:t xml:space="preserve">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investigated the views of healthcare professionals</w:t>
      </w:r>
      <w:r w:rsidR="008C470D">
        <w:rPr>
          <w:rFonts w:asciiTheme="minorHAnsi" w:hAnsiTheme="minorHAnsi" w:cstheme="minorHAnsi"/>
          <w:color w:val="000000" w:themeColor="text1"/>
          <w:sz w:val="22"/>
          <w:szCs w:val="22"/>
        </w:rPr>
        <w:t>,</w:t>
      </w:r>
      <w:r>
        <w:rPr>
          <w:rFonts w:asciiTheme="minorHAnsi" w:hAnsiTheme="minorHAnsi" w:cstheme="minorHAnsi"/>
          <w:color w:val="000000" w:themeColor="text1"/>
          <w:sz w:val="22"/>
          <w:szCs w:val="22"/>
        </w:rPr>
        <w:t xml:space="preserve"> </w:t>
      </w:r>
      <w:r w:rsidR="008C470D">
        <w:rPr>
          <w:rFonts w:asciiTheme="minorHAnsi" w:hAnsiTheme="minorHAnsi" w:cstheme="minorHAnsi"/>
          <w:color w:val="000000" w:themeColor="text1"/>
          <w:sz w:val="22"/>
          <w:szCs w:val="22"/>
        </w:rPr>
        <w:t xml:space="preserve">by engaging with healthcare societies and associations, </w:t>
      </w:r>
      <w:r>
        <w:rPr>
          <w:rFonts w:asciiTheme="minorHAnsi" w:hAnsiTheme="minorHAnsi" w:cstheme="minorHAnsi"/>
          <w:color w:val="000000" w:themeColor="text1"/>
          <w:sz w:val="22"/>
          <w:szCs w:val="22"/>
        </w:rPr>
        <w:t>of CDS systems (</w:t>
      </w:r>
      <w:proofErr w:type="spellStart"/>
      <w:r>
        <w:rPr>
          <w:rFonts w:asciiTheme="minorHAnsi" w:hAnsiTheme="minorHAnsi" w:cstheme="minorHAnsi"/>
          <w:color w:val="000000" w:themeColor="text1"/>
          <w:sz w:val="22"/>
          <w:szCs w:val="22"/>
        </w:rPr>
        <w:t>Petkus</w:t>
      </w:r>
      <w:proofErr w:type="spellEnd"/>
      <w:r>
        <w:rPr>
          <w:rFonts w:asciiTheme="minorHAnsi" w:hAnsiTheme="minorHAnsi" w:cstheme="minorHAnsi"/>
          <w:color w:val="000000" w:themeColor="text1"/>
          <w:sz w:val="22"/>
          <w:szCs w:val="22"/>
        </w:rPr>
        <w:t xml:space="preserve"> </w:t>
      </w:r>
      <w:r>
        <w:rPr>
          <w:rFonts w:asciiTheme="minorHAnsi" w:hAnsiTheme="minorHAnsi" w:cstheme="minorHAnsi"/>
          <w:i/>
          <w:iCs/>
          <w:color w:val="000000" w:themeColor="text1"/>
          <w:sz w:val="22"/>
          <w:szCs w:val="22"/>
        </w:rPr>
        <w:t xml:space="preserve">et al. </w:t>
      </w:r>
      <w:r>
        <w:rPr>
          <w:rFonts w:asciiTheme="minorHAnsi" w:hAnsiTheme="minorHAnsi" w:cstheme="minorHAnsi"/>
          <w:color w:val="000000" w:themeColor="text1"/>
          <w:sz w:val="22"/>
          <w:szCs w:val="22"/>
        </w:rPr>
        <w:t xml:space="preserve">2020). </w:t>
      </w:r>
      <w:r w:rsidR="008C470D">
        <w:rPr>
          <w:rFonts w:asciiTheme="minorHAnsi" w:hAnsiTheme="minorHAnsi" w:cstheme="minorHAnsi"/>
          <w:color w:val="000000" w:themeColor="text1"/>
          <w:sz w:val="22"/>
          <w:szCs w:val="22"/>
        </w:rPr>
        <w:t xml:space="preserve">The survey results highlight important concerns that clinical users have of CDS systems, </w:t>
      </w:r>
      <w:proofErr w:type="gramStart"/>
      <w:r w:rsidR="008C470D">
        <w:rPr>
          <w:rFonts w:asciiTheme="minorHAnsi" w:hAnsiTheme="minorHAnsi" w:cstheme="minorHAnsi"/>
          <w:color w:val="000000" w:themeColor="text1"/>
          <w:sz w:val="22"/>
          <w:szCs w:val="22"/>
        </w:rPr>
        <w:t>incl</w:t>
      </w:r>
      <w:r w:rsidR="00F52031">
        <w:rPr>
          <w:rFonts w:asciiTheme="minorHAnsi" w:hAnsiTheme="minorHAnsi" w:cstheme="minorHAnsi"/>
          <w:color w:val="000000" w:themeColor="text1"/>
          <w:sz w:val="22"/>
          <w:szCs w:val="22"/>
        </w:rPr>
        <w:t>ud</w:t>
      </w:r>
      <w:r w:rsidR="008C470D">
        <w:rPr>
          <w:rFonts w:asciiTheme="minorHAnsi" w:hAnsiTheme="minorHAnsi" w:cstheme="minorHAnsi"/>
          <w:color w:val="000000" w:themeColor="text1"/>
          <w:sz w:val="22"/>
          <w:szCs w:val="22"/>
        </w:rPr>
        <w:t>ing:</w:t>
      </w:r>
      <w:proofErr w:type="gramEnd"/>
      <w:r w:rsidR="008C470D">
        <w:rPr>
          <w:rFonts w:asciiTheme="minorHAnsi" w:hAnsiTheme="minorHAnsi" w:cstheme="minorHAnsi"/>
          <w:color w:val="000000" w:themeColor="text1"/>
          <w:sz w:val="22"/>
          <w:szCs w:val="22"/>
        </w:rPr>
        <w:t xml:space="preserve"> legal liability of advice; governance and reliability of </w:t>
      </w:r>
      <w:r w:rsidR="007D1C1E">
        <w:rPr>
          <w:rFonts w:asciiTheme="minorHAnsi" w:hAnsiTheme="minorHAnsi" w:cstheme="minorHAnsi"/>
          <w:color w:val="000000" w:themeColor="text1"/>
          <w:sz w:val="22"/>
          <w:szCs w:val="22"/>
        </w:rPr>
        <w:t>CDS</w:t>
      </w:r>
      <w:r w:rsidR="008C470D">
        <w:rPr>
          <w:rFonts w:asciiTheme="minorHAnsi" w:hAnsiTheme="minorHAnsi" w:cstheme="minorHAnsi"/>
          <w:color w:val="000000" w:themeColor="text1"/>
          <w:sz w:val="22"/>
          <w:szCs w:val="22"/>
        </w:rPr>
        <w:t>;</w:t>
      </w:r>
      <w:r w:rsidR="007D1C1E">
        <w:rPr>
          <w:rFonts w:asciiTheme="minorHAnsi" w:hAnsiTheme="minorHAnsi" w:cstheme="minorHAnsi"/>
          <w:color w:val="000000" w:themeColor="text1"/>
          <w:sz w:val="22"/>
          <w:szCs w:val="22"/>
        </w:rPr>
        <w:t xml:space="preserve"> how up to date the systems are and the clarity of reasoning provided for alerts. Many think that CDS can operate as ‘a black box’ where justification of advice is not provided, in a dictatorial manner (Wyatt, 1995). </w:t>
      </w:r>
      <w:r w:rsidR="00A902A6">
        <w:rPr>
          <w:rFonts w:asciiTheme="minorHAnsi" w:hAnsiTheme="minorHAnsi" w:cstheme="minorHAnsi"/>
          <w:color w:val="000000" w:themeColor="text1"/>
          <w:sz w:val="22"/>
          <w:szCs w:val="22"/>
        </w:rPr>
        <w:t xml:space="preserve">A similar qualitative study investigating GP views of a primary care prescribing CDS system, found that users </w:t>
      </w:r>
      <w:r w:rsidR="005632B9">
        <w:rPr>
          <w:rFonts w:asciiTheme="minorHAnsi" w:hAnsiTheme="minorHAnsi" w:cstheme="minorHAnsi"/>
          <w:color w:val="000000" w:themeColor="text1"/>
          <w:sz w:val="22"/>
          <w:szCs w:val="22"/>
        </w:rPr>
        <w:t xml:space="preserve">thought the system needed optimising so that it fitted better to </w:t>
      </w:r>
      <w:proofErr w:type="spellStart"/>
      <w:r w:rsidR="005632B9">
        <w:rPr>
          <w:rFonts w:asciiTheme="minorHAnsi" w:hAnsiTheme="minorHAnsi" w:cstheme="minorHAnsi"/>
          <w:color w:val="000000" w:themeColor="text1"/>
          <w:sz w:val="22"/>
          <w:szCs w:val="22"/>
        </w:rPr>
        <w:t>compliment</w:t>
      </w:r>
      <w:proofErr w:type="spellEnd"/>
      <w:r w:rsidR="005632B9">
        <w:rPr>
          <w:rFonts w:asciiTheme="minorHAnsi" w:hAnsiTheme="minorHAnsi" w:cstheme="minorHAnsi"/>
          <w:color w:val="000000" w:themeColor="text1"/>
          <w:sz w:val="22"/>
          <w:szCs w:val="22"/>
        </w:rPr>
        <w:t xml:space="preserve"> their </w:t>
      </w:r>
      <w:proofErr w:type="gramStart"/>
      <w:r w:rsidR="005632B9">
        <w:rPr>
          <w:rFonts w:asciiTheme="minorHAnsi" w:hAnsiTheme="minorHAnsi" w:cstheme="minorHAnsi"/>
          <w:color w:val="000000" w:themeColor="text1"/>
          <w:sz w:val="22"/>
          <w:szCs w:val="22"/>
        </w:rPr>
        <w:t>decision making</w:t>
      </w:r>
      <w:proofErr w:type="gramEnd"/>
      <w:r w:rsidR="005632B9">
        <w:rPr>
          <w:rFonts w:asciiTheme="minorHAnsi" w:hAnsiTheme="minorHAnsi" w:cstheme="minorHAnsi"/>
          <w:color w:val="000000" w:themeColor="text1"/>
          <w:sz w:val="22"/>
          <w:szCs w:val="22"/>
        </w:rPr>
        <w:t xml:space="preserve"> process, instead of providing often irrelevant, interruptive and non-patient specific alerts. </w:t>
      </w:r>
      <w:r w:rsidR="00F52031">
        <w:rPr>
          <w:rFonts w:asciiTheme="minorHAnsi" w:hAnsiTheme="minorHAnsi" w:cstheme="minorHAnsi"/>
          <w:color w:val="000000" w:themeColor="text1"/>
          <w:sz w:val="22"/>
          <w:szCs w:val="22"/>
        </w:rPr>
        <w:t xml:space="preserve">As such, the key recommendations to </w:t>
      </w:r>
      <w:r w:rsidR="00F52031">
        <w:rPr>
          <w:rFonts w:asciiTheme="minorHAnsi" w:hAnsiTheme="minorHAnsi" w:cstheme="minorHAnsi"/>
          <w:color w:val="000000" w:themeColor="text1"/>
          <w:sz w:val="22"/>
          <w:szCs w:val="22"/>
        </w:rPr>
        <w:lastRenderedPageBreak/>
        <w:t>improve user acceptability is that healthcare professionals are involved in the designing of CDS systems</w:t>
      </w:r>
      <w:r w:rsidR="005632B9">
        <w:rPr>
          <w:rFonts w:asciiTheme="minorHAnsi" w:hAnsiTheme="minorHAnsi" w:cstheme="minorHAnsi"/>
          <w:color w:val="000000" w:themeColor="text1"/>
          <w:sz w:val="22"/>
          <w:szCs w:val="22"/>
        </w:rPr>
        <w:t xml:space="preserve"> to compliment processes of patient care</w:t>
      </w:r>
      <w:r w:rsidR="00F52031">
        <w:rPr>
          <w:rFonts w:asciiTheme="minorHAnsi" w:hAnsiTheme="minorHAnsi" w:cstheme="minorHAnsi"/>
          <w:color w:val="000000" w:themeColor="text1"/>
          <w:sz w:val="22"/>
          <w:szCs w:val="22"/>
        </w:rPr>
        <w:t xml:space="preserve">, and that such systems are tested sufficiently </w:t>
      </w:r>
      <w:r w:rsidR="005632B9">
        <w:rPr>
          <w:rFonts w:asciiTheme="minorHAnsi" w:hAnsiTheme="minorHAnsi" w:cstheme="minorHAnsi"/>
          <w:color w:val="000000" w:themeColor="text1"/>
          <w:sz w:val="22"/>
          <w:szCs w:val="22"/>
        </w:rPr>
        <w:t xml:space="preserve">to provide confidence </w:t>
      </w:r>
      <w:r w:rsidR="00F52031">
        <w:rPr>
          <w:rFonts w:asciiTheme="minorHAnsi" w:hAnsiTheme="minorHAnsi" w:cstheme="minorHAnsi"/>
          <w:color w:val="000000" w:themeColor="text1"/>
          <w:sz w:val="22"/>
          <w:szCs w:val="22"/>
        </w:rPr>
        <w:t>(</w:t>
      </w:r>
      <w:proofErr w:type="spellStart"/>
      <w:r w:rsidR="00F52031">
        <w:rPr>
          <w:rFonts w:asciiTheme="minorHAnsi" w:hAnsiTheme="minorHAnsi" w:cstheme="minorHAnsi"/>
          <w:color w:val="000000" w:themeColor="text1"/>
          <w:sz w:val="22"/>
          <w:szCs w:val="22"/>
        </w:rPr>
        <w:t>Petkus</w:t>
      </w:r>
      <w:proofErr w:type="spellEnd"/>
      <w:r w:rsidR="00F52031">
        <w:rPr>
          <w:rFonts w:asciiTheme="minorHAnsi" w:hAnsiTheme="minorHAnsi" w:cstheme="minorHAnsi"/>
          <w:color w:val="000000" w:themeColor="text1"/>
          <w:sz w:val="22"/>
          <w:szCs w:val="22"/>
        </w:rPr>
        <w:t xml:space="preserve"> </w:t>
      </w:r>
      <w:r w:rsidR="00F52031">
        <w:rPr>
          <w:rFonts w:asciiTheme="minorHAnsi" w:hAnsiTheme="minorHAnsi" w:cstheme="minorHAnsi"/>
          <w:i/>
          <w:iCs/>
          <w:color w:val="000000" w:themeColor="text1"/>
          <w:sz w:val="22"/>
          <w:szCs w:val="22"/>
        </w:rPr>
        <w:t xml:space="preserve">et al. </w:t>
      </w:r>
      <w:r w:rsidR="00F52031">
        <w:rPr>
          <w:rFonts w:asciiTheme="minorHAnsi" w:hAnsiTheme="minorHAnsi" w:cstheme="minorHAnsi"/>
          <w:color w:val="000000" w:themeColor="text1"/>
          <w:sz w:val="22"/>
          <w:szCs w:val="22"/>
        </w:rPr>
        <w:t>2020).</w:t>
      </w:r>
      <w:r w:rsidR="007A121C">
        <w:rPr>
          <w:rFonts w:asciiTheme="minorHAnsi" w:hAnsiTheme="minorHAnsi" w:cstheme="minorHAnsi"/>
          <w:color w:val="000000" w:themeColor="text1"/>
          <w:sz w:val="22"/>
          <w:szCs w:val="22"/>
        </w:rPr>
        <w:t xml:space="preserve"> </w:t>
      </w:r>
    </w:p>
    <w:p w14:paraId="35DFB93F" w14:textId="77777777" w:rsidR="00603339" w:rsidRDefault="00603339" w:rsidP="00CD0D98">
      <w:pPr>
        <w:rPr>
          <w:rFonts w:asciiTheme="minorHAnsi" w:hAnsiTheme="minorHAnsi" w:cstheme="minorHAnsi"/>
          <w:color w:val="000000" w:themeColor="text1"/>
          <w:sz w:val="22"/>
          <w:szCs w:val="22"/>
        </w:rPr>
      </w:pPr>
    </w:p>
    <w:p w14:paraId="1A8C635F" w14:textId="51C2B67D" w:rsidR="00EB2800" w:rsidRPr="00781BF8" w:rsidRDefault="004000D2" w:rsidP="00CD0D98">
      <w:pPr>
        <w:rPr>
          <w:rFonts w:asciiTheme="minorHAnsi" w:hAnsiTheme="minorHAnsi" w:cstheme="minorHAnsi"/>
          <w:color w:val="000000" w:themeColor="text1"/>
          <w:sz w:val="22"/>
          <w:szCs w:val="22"/>
        </w:rPr>
      </w:pPr>
      <w:r w:rsidRPr="00603339">
        <w:rPr>
          <w:rFonts w:asciiTheme="minorHAnsi" w:hAnsiTheme="minorHAnsi" w:cstheme="minorHAnsi"/>
          <w:color w:val="000000" w:themeColor="text1"/>
          <w:sz w:val="22"/>
          <w:szCs w:val="22"/>
        </w:rPr>
        <w:t xml:space="preserve">A </w:t>
      </w:r>
      <w:r w:rsidR="000C5451" w:rsidRPr="00781BF8">
        <w:rPr>
          <w:rFonts w:asciiTheme="minorHAnsi" w:hAnsiTheme="minorHAnsi" w:cstheme="minorHAnsi"/>
          <w:color w:val="000000" w:themeColor="text1"/>
          <w:sz w:val="22"/>
          <w:szCs w:val="22"/>
        </w:rPr>
        <w:t>Cochrane</w:t>
      </w:r>
      <w:r w:rsidRPr="00781BF8">
        <w:rPr>
          <w:rFonts w:asciiTheme="minorHAnsi" w:hAnsiTheme="minorHAnsi" w:cstheme="minorHAnsi"/>
          <w:color w:val="000000" w:themeColor="text1"/>
          <w:sz w:val="22"/>
          <w:szCs w:val="22"/>
        </w:rPr>
        <w:t xml:space="preserve"> review </w:t>
      </w:r>
      <w:r w:rsidR="00781BF8" w:rsidRPr="00781BF8">
        <w:rPr>
          <w:rFonts w:asciiTheme="minorHAnsi" w:hAnsiTheme="minorHAnsi" w:cstheme="minorHAnsi"/>
          <w:color w:val="000000" w:themeColor="text1"/>
          <w:sz w:val="22"/>
          <w:szCs w:val="22"/>
        </w:rPr>
        <w:t>conducted to understand the most effective intervention to reduce problematic polypharmacy</w:t>
      </w:r>
      <w:r w:rsidR="00781BF8">
        <w:rPr>
          <w:rFonts w:asciiTheme="minorHAnsi" w:hAnsiTheme="minorHAnsi" w:cstheme="minorHAnsi"/>
          <w:color w:val="000000" w:themeColor="text1"/>
          <w:sz w:val="22"/>
          <w:szCs w:val="22"/>
        </w:rPr>
        <w:t xml:space="preserve"> found that the evidence for medicines reviews were inconclusive (Rankin </w:t>
      </w:r>
      <w:r w:rsidR="00781BF8">
        <w:rPr>
          <w:rFonts w:asciiTheme="minorHAnsi" w:hAnsiTheme="minorHAnsi" w:cstheme="minorHAnsi"/>
          <w:i/>
          <w:iCs/>
          <w:color w:val="000000" w:themeColor="text1"/>
          <w:sz w:val="22"/>
          <w:szCs w:val="22"/>
        </w:rPr>
        <w:t xml:space="preserve">et al. </w:t>
      </w:r>
      <w:r w:rsidR="00781BF8">
        <w:rPr>
          <w:rFonts w:asciiTheme="minorHAnsi" w:hAnsiTheme="minorHAnsi" w:cstheme="minorHAnsi"/>
          <w:color w:val="000000" w:themeColor="text1"/>
          <w:sz w:val="22"/>
          <w:szCs w:val="22"/>
        </w:rPr>
        <w:t xml:space="preserve">2018). 32 studies were included in the systematic review, utilising different pharmaceutical interventions. It is clear therefore, that </w:t>
      </w:r>
      <w:r w:rsidR="000C5451">
        <w:rPr>
          <w:rFonts w:asciiTheme="minorHAnsi" w:hAnsiTheme="minorHAnsi" w:cstheme="minorHAnsi"/>
          <w:color w:val="000000" w:themeColor="text1"/>
          <w:sz w:val="22"/>
          <w:szCs w:val="22"/>
        </w:rPr>
        <w:t xml:space="preserve">current interventions are insufficient in tackling problematic polypharmacy, which is supported by the increased rate of polypharmacy internationally (WHO, 2019). </w:t>
      </w:r>
    </w:p>
    <w:p w14:paraId="145DA7F6" w14:textId="3FC46D23" w:rsidR="00CD0D98" w:rsidRPr="00403D19" w:rsidRDefault="00CD0D98" w:rsidP="00CD0D98">
      <w:pPr>
        <w:rPr>
          <w:rFonts w:asciiTheme="minorHAnsi" w:hAnsiTheme="minorHAnsi" w:cstheme="minorHAnsi"/>
          <w:color w:val="000000" w:themeColor="text1"/>
          <w:sz w:val="22"/>
          <w:szCs w:val="22"/>
        </w:rPr>
      </w:pPr>
    </w:p>
    <w:p w14:paraId="0C1D3034" w14:textId="3B81FA87" w:rsidR="000D642B" w:rsidRDefault="00403D19" w:rsidP="00CD0D98">
      <w:pPr>
        <w:rPr>
          <w:rFonts w:asciiTheme="minorHAnsi" w:hAnsiTheme="minorHAnsi" w:cstheme="minorHAnsi"/>
          <w:sz w:val="22"/>
          <w:szCs w:val="22"/>
        </w:rPr>
      </w:pPr>
      <w:r w:rsidRPr="00403D19">
        <w:rPr>
          <w:rFonts w:asciiTheme="minorHAnsi" w:hAnsiTheme="minorHAnsi" w:cstheme="minorHAnsi"/>
          <w:color w:val="000000" w:themeColor="text1"/>
          <w:sz w:val="22"/>
          <w:szCs w:val="22"/>
        </w:rPr>
        <w:t xml:space="preserve">A </w:t>
      </w:r>
      <w:r>
        <w:rPr>
          <w:rFonts w:asciiTheme="minorHAnsi" w:hAnsiTheme="minorHAnsi" w:cstheme="minorHAnsi"/>
          <w:color w:val="000000" w:themeColor="text1"/>
          <w:sz w:val="22"/>
          <w:szCs w:val="22"/>
        </w:rPr>
        <w:t xml:space="preserve">systematic review into the use of CDS systems in </w:t>
      </w:r>
      <w:r w:rsidR="000D642B">
        <w:rPr>
          <w:rFonts w:asciiTheme="minorHAnsi" w:hAnsiTheme="minorHAnsi" w:cstheme="minorHAnsi"/>
          <w:color w:val="000000" w:themeColor="text1"/>
          <w:sz w:val="22"/>
          <w:szCs w:val="22"/>
        </w:rPr>
        <w:t xml:space="preserve">reducing problematic polypharmacy found that although most studies demonstrated an improvement in prescribing practice </w:t>
      </w:r>
      <w:proofErr w:type="gramStart"/>
      <w:r w:rsidR="000D642B">
        <w:rPr>
          <w:rFonts w:asciiTheme="minorHAnsi" w:hAnsiTheme="minorHAnsi" w:cstheme="minorHAnsi"/>
          <w:color w:val="000000" w:themeColor="text1"/>
          <w:sz w:val="22"/>
          <w:szCs w:val="22"/>
        </w:rPr>
        <w:t>as a consequence of</w:t>
      </w:r>
      <w:proofErr w:type="gramEnd"/>
      <w:r w:rsidR="000D642B">
        <w:rPr>
          <w:rFonts w:asciiTheme="minorHAnsi" w:hAnsiTheme="minorHAnsi" w:cstheme="minorHAnsi"/>
          <w:color w:val="000000" w:themeColor="text1"/>
          <w:sz w:val="22"/>
          <w:szCs w:val="22"/>
        </w:rPr>
        <w:t xml:space="preserve"> CDS compared to standard care, a high number of which did not reach statistical significance (Monteiro </w:t>
      </w:r>
      <w:r w:rsidR="000D642B">
        <w:rPr>
          <w:rFonts w:asciiTheme="minorHAnsi" w:hAnsiTheme="minorHAnsi" w:cstheme="minorHAnsi"/>
          <w:i/>
          <w:iCs/>
          <w:color w:val="000000" w:themeColor="text1"/>
          <w:sz w:val="22"/>
          <w:szCs w:val="22"/>
        </w:rPr>
        <w:t>et al</w:t>
      </w:r>
      <w:r w:rsidR="000D642B">
        <w:rPr>
          <w:rFonts w:asciiTheme="minorHAnsi" w:hAnsiTheme="minorHAnsi" w:cstheme="minorHAnsi"/>
          <w:color w:val="000000" w:themeColor="text1"/>
          <w:sz w:val="22"/>
          <w:szCs w:val="22"/>
        </w:rPr>
        <w:t xml:space="preserve">. 2019). CDS systems utilised medicine review tools, mainly </w:t>
      </w:r>
      <w:proofErr w:type="gramStart"/>
      <w:r w:rsidR="000D642B">
        <w:rPr>
          <w:rFonts w:asciiTheme="minorHAnsi" w:hAnsiTheme="minorHAnsi" w:cstheme="minorHAnsi"/>
          <w:color w:val="000000" w:themeColor="text1"/>
          <w:sz w:val="22"/>
          <w:szCs w:val="22"/>
        </w:rPr>
        <w:t>Beers</w:t>
      </w:r>
      <w:proofErr w:type="gramEnd"/>
      <w:r w:rsidR="000D642B">
        <w:rPr>
          <w:rFonts w:asciiTheme="minorHAnsi" w:hAnsiTheme="minorHAnsi" w:cstheme="minorHAnsi"/>
          <w:color w:val="000000" w:themeColor="text1"/>
          <w:sz w:val="22"/>
          <w:szCs w:val="22"/>
        </w:rPr>
        <w:t xml:space="preserve"> criteria (</w:t>
      </w:r>
      <w:r w:rsidR="00A15DEF">
        <w:rPr>
          <w:rFonts w:asciiTheme="minorHAnsi" w:hAnsiTheme="minorHAnsi" w:cstheme="minorHAnsi"/>
          <w:color w:val="000000" w:themeColor="text1"/>
          <w:sz w:val="22"/>
          <w:szCs w:val="22"/>
        </w:rPr>
        <w:t>Beers, 2012</w:t>
      </w:r>
      <w:r w:rsidR="000D642B">
        <w:rPr>
          <w:rFonts w:asciiTheme="minorHAnsi" w:hAnsiTheme="minorHAnsi" w:cstheme="minorHAnsi"/>
          <w:color w:val="000000" w:themeColor="text1"/>
          <w:sz w:val="22"/>
          <w:szCs w:val="22"/>
        </w:rPr>
        <w:t>) and STOPP/START (</w:t>
      </w:r>
      <w:r w:rsidR="00A15DEF">
        <w:rPr>
          <w:rFonts w:asciiTheme="minorHAnsi" w:hAnsiTheme="minorHAnsi" w:cstheme="minorHAnsi"/>
          <w:color w:val="000000" w:themeColor="text1"/>
          <w:sz w:val="22"/>
          <w:szCs w:val="22"/>
        </w:rPr>
        <w:t xml:space="preserve">Gallagher </w:t>
      </w:r>
      <w:r w:rsidR="00A15DEF">
        <w:rPr>
          <w:rFonts w:asciiTheme="minorHAnsi" w:hAnsiTheme="minorHAnsi" w:cstheme="minorHAnsi"/>
          <w:i/>
          <w:iCs/>
          <w:color w:val="000000" w:themeColor="text1"/>
          <w:sz w:val="22"/>
          <w:szCs w:val="22"/>
        </w:rPr>
        <w:t xml:space="preserve">et al. </w:t>
      </w:r>
      <w:r w:rsidR="00A15DEF">
        <w:rPr>
          <w:rFonts w:asciiTheme="minorHAnsi" w:hAnsiTheme="minorHAnsi" w:cstheme="minorHAnsi"/>
          <w:color w:val="000000" w:themeColor="text1"/>
          <w:sz w:val="22"/>
          <w:szCs w:val="22"/>
        </w:rPr>
        <w:t>2008</w:t>
      </w:r>
      <w:r w:rsidR="000D642B">
        <w:rPr>
          <w:rFonts w:asciiTheme="minorHAnsi" w:hAnsiTheme="minorHAnsi" w:cstheme="minorHAnsi"/>
          <w:color w:val="000000" w:themeColor="text1"/>
          <w:sz w:val="22"/>
          <w:szCs w:val="22"/>
        </w:rPr>
        <w:t>). These criteria are routinely used in current practice in a non-digital format</w:t>
      </w:r>
      <w:r w:rsidR="00C172FD">
        <w:rPr>
          <w:rFonts w:asciiTheme="minorHAnsi" w:hAnsiTheme="minorHAnsi" w:cstheme="minorHAnsi"/>
          <w:color w:val="000000" w:themeColor="text1"/>
          <w:sz w:val="22"/>
          <w:szCs w:val="22"/>
        </w:rPr>
        <w:t xml:space="preserve"> </w:t>
      </w:r>
      <w:r w:rsidR="00C172FD">
        <w:rPr>
          <w:rFonts w:asciiTheme="minorHAnsi" w:hAnsiTheme="minorHAnsi" w:cstheme="minorHAnsi"/>
          <w:sz w:val="22"/>
          <w:szCs w:val="22"/>
        </w:rPr>
        <w:t>(</w:t>
      </w:r>
      <w:proofErr w:type="spellStart"/>
      <w:r w:rsidR="00C172FD">
        <w:rPr>
          <w:rFonts w:asciiTheme="minorHAnsi" w:hAnsiTheme="minorHAnsi" w:cstheme="minorHAnsi"/>
          <w:sz w:val="22"/>
          <w:szCs w:val="22"/>
        </w:rPr>
        <w:t>Duerden</w:t>
      </w:r>
      <w:proofErr w:type="spellEnd"/>
      <w:r w:rsidR="00C172FD">
        <w:rPr>
          <w:rFonts w:asciiTheme="minorHAnsi" w:hAnsiTheme="minorHAnsi" w:cstheme="minorHAnsi"/>
          <w:sz w:val="22"/>
          <w:szCs w:val="22"/>
        </w:rPr>
        <w:t>, Avery and Payne, 2013)</w:t>
      </w:r>
      <w:r w:rsidR="00C172FD">
        <w:rPr>
          <w:rFonts w:asciiTheme="minorHAnsi" w:hAnsiTheme="minorHAnsi" w:cstheme="minorHAnsi"/>
          <w:sz w:val="22"/>
          <w:szCs w:val="22"/>
        </w:rPr>
        <w:t>, however</w:t>
      </w:r>
      <w:r w:rsidR="008E1816">
        <w:rPr>
          <w:rFonts w:asciiTheme="minorHAnsi" w:hAnsiTheme="minorHAnsi" w:cstheme="minorHAnsi"/>
          <w:sz w:val="22"/>
          <w:szCs w:val="22"/>
        </w:rPr>
        <w:t xml:space="preserve"> </w:t>
      </w:r>
      <w:proofErr w:type="spellStart"/>
      <w:r w:rsidR="008E1816">
        <w:rPr>
          <w:rFonts w:asciiTheme="minorHAnsi" w:hAnsiTheme="minorHAnsi" w:cstheme="minorHAnsi"/>
          <w:sz w:val="22"/>
          <w:szCs w:val="22"/>
        </w:rPr>
        <w:t>Sallevelt</w:t>
      </w:r>
      <w:proofErr w:type="spellEnd"/>
      <w:r w:rsidR="008E1816">
        <w:rPr>
          <w:rFonts w:asciiTheme="minorHAnsi" w:hAnsiTheme="minorHAnsi" w:cstheme="minorHAnsi"/>
          <w:sz w:val="22"/>
          <w:szCs w:val="22"/>
        </w:rPr>
        <w:t xml:space="preserve"> </w:t>
      </w:r>
      <w:r w:rsidR="008E1816">
        <w:rPr>
          <w:rFonts w:asciiTheme="minorHAnsi" w:hAnsiTheme="minorHAnsi" w:cstheme="minorHAnsi"/>
          <w:i/>
          <w:iCs/>
          <w:sz w:val="22"/>
          <w:szCs w:val="22"/>
        </w:rPr>
        <w:t>et al.</w:t>
      </w:r>
      <w:r w:rsidR="008E1816">
        <w:rPr>
          <w:rFonts w:asciiTheme="minorHAnsi" w:hAnsiTheme="minorHAnsi" w:cstheme="minorHAnsi"/>
          <w:sz w:val="22"/>
          <w:szCs w:val="22"/>
        </w:rPr>
        <w:t xml:space="preserve"> identified challenges in</w:t>
      </w:r>
      <w:r w:rsidR="00362F6B">
        <w:rPr>
          <w:rFonts w:asciiTheme="minorHAnsi" w:hAnsiTheme="minorHAnsi" w:cstheme="minorHAnsi"/>
          <w:sz w:val="22"/>
          <w:szCs w:val="22"/>
        </w:rPr>
        <w:t xml:space="preserve"> being able to translate </w:t>
      </w:r>
      <w:r w:rsidR="005460DF">
        <w:rPr>
          <w:rFonts w:asciiTheme="minorHAnsi" w:hAnsiTheme="minorHAnsi" w:cstheme="minorHAnsi"/>
          <w:sz w:val="22"/>
          <w:szCs w:val="22"/>
        </w:rPr>
        <w:t xml:space="preserve">the STOPP/START </w:t>
      </w:r>
      <w:r w:rsidR="00362F6B">
        <w:rPr>
          <w:rFonts w:asciiTheme="minorHAnsi" w:hAnsiTheme="minorHAnsi" w:cstheme="minorHAnsi"/>
          <w:sz w:val="22"/>
          <w:szCs w:val="22"/>
        </w:rPr>
        <w:t>guidance into a computable</w:t>
      </w:r>
      <w:r w:rsidR="00C172FD">
        <w:rPr>
          <w:rFonts w:asciiTheme="minorHAnsi" w:hAnsiTheme="minorHAnsi" w:cstheme="minorHAnsi"/>
          <w:sz w:val="22"/>
          <w:szCs w:val="22"/>
        </w:rPr>
        <w:t xml:space="preserve"> </w:t>
      </w:r>
      <w:r w:rsidR="00362F6B">
        <w:rPr>
          <w:rFonts w:asciiTheme="minorHAnsi" w:hAnsiTheme="minorHAnsi" w:cstheme="minorHAnsi"/>
          <w:sz w:val="22"/>
          <w:szCs w:val="22"/>
        </w:rPr>
        <w:t>format</w:t>
      </w:r>
      <w:r w:rsidR="005460DF">
        <w:rPr>
          <w:rFonts w:asciiTheme="minorHAnsi" w:hAnsiTheme="minorHAnsi" w:cstheme="minorHAnsi"/>
          <w:sz w:val="22"/>
          <w:szCs w:val="22"/>
        </w:rPr>
        <w:t>,</w:t>
      </w:r>
      <w:r w:rsidR="00362F6B">
        <w:rPr>
          <w:rFonts w:asciiTheme="minorHAnsi" w:hAnsiTheme="minorHAnsi" w:cstheme="minorHAnsi"/>
          <w:sz w:val="22"/>
          <w:szCs w:val="22"/>
        </w:rPr>
        <w:t xml:space="preserve"> with some </w:t>
      </w:r>
      <w:r w:rsidR="005460DF">
        <w:rPr>
          <w:rFonts w:asciiTheme="minorHAnsi" w:hAnsiTheme="minorHAnsi" w:cstheme="minorHAnsi"/>
          <w:sz w:val="22"/>
          <w:szCs w:val="22"/>
        </w:rPr>
        <w:t xml:space="preserve">rules and </w:t>
      </w:r>
      <w:r w:rsidR="00362F6B">
        <w:rPr>
          <w:rFonts w:asciiTheme="minorHAnsi" w:hAnsiTheme="minorHAnsi" w:cstheme="minorHAnsi"/>
          <w:sz w:val="22"/>
          <w:szCs w:val="22"/>
        </w:rPr>
        <w:t>concepts being difficult to code, especially where</w:t>
      </w:r>
      <w:r w:rsidR="00105505">
        <w:rPr>
          <w:rFonts w:asciiTheme="minorHAnsi" w:hAnsiTheme="minorHAnsi" w:cstheme="minorHAnsi"/>
          <w:sz w:val="22"/>
          <w:szCs w:val="22"/>
        </w:rPr>
        <w:t xml:space="preserve"> </w:t>
      </w:r>
      <w:r w:rsidR="00362F6B">
        <w:rPr>
          <w:rFonts w:asciiTheme="minorHAnsi" w:hAnsiTheme="minorHAnsi" w:cstheme="minorHAnsi"/>
          <w:sz w:val="22"/>
          <w:szCs w:val="22"/>
        </w:rPr>
        <w:t>there is a certain level of ambiguity (</w:t>
      </w:r>
      <w:proofErr w:type="spellStart"/>
      <w:r w:rsidR="00362F6B">
        <w:rPr>
          <w:rFonts w:asciiTheme="minorHAnsi" w:hAnsiTheme="minorHAnsi" w:cstheme="minorHAnsi"/>
          <w:sz w:val="22"/>
          <w:szCs w:val="22"/>
        </w:rPr>
        <w:t>Sallevelt</w:t>
      </w:r>
      <w:proofErr w:type="spellEnd"/>
      <w:r w:rsidR="00362F6B">
        <w:rPr>
          <w:rFonts w:asciiTheme="minorHAnsi" w:hAnsiTheme="minorHAnsi" w:cstheme="minorHAnsi"/>
          <w:sz w:val="22"/>
          <w:szCs w:val="22"/>
        </w:rPr>
        <w:t xml:space="preserve"> </w:t>
      </w:r>
      <w:r w:rsidR="00362F6B">
        <w:rPr>
          <w:rFonts w:asciiTheme="minorHAnsi" w:hAnsiTheme="minorHAnsi" w:cstheme="minorHAnsi"/>
          <w:i/>
          <w:iCs/>
          <w:sz w:val="22"/>
          <w:szCs w:val="22"/>
        </w:rPr>
        <w:t xml:space="preserve">et al. </w:t>
      </w:r>
      <w:r w:rsidR="00362F6B">
        <w:rPr>
          <w:rFonts w:asciiTheme="minorHAnsi" w:hAnsiTheme="minorHAnsi" w:cstheme="minorHAnsi"/>
          <w:sz w:val="22"/>
          <w:szCs w:val="22"/>
        </w:rPr>
        <w:t>2022)</w:t>
      </w:r>
      <w:r w:rsidR="00C172FD">
        <w:rPr>
          <w:rFonts w:asciiTheme="minorHAnsi" w:hAnsiTheme="minorHAnsi" w:cstheme="minorHAnsi"/>
          <w:sz w:val="22"/>
          <w:szCs w:val="22"/>
        </w:rPr>
        <w:t>.</w:t>
      </w:r>
      <w:r w:rsidR="007A121C">
        <w:rPr>
          <w:rFonts w:asciiTheme="minorHAnsi" w:hAnsiTheme="minorHAnsi" w:cstheme="minorHAnsi"/>
          <w:sz w:val="22"/>
          <w:szCs w:val="22"/>
        </w:rPr>
        <w:t xml:space="preserve"> </w:t>
      </w:r>
    </w:p>
    <w:p w14:paraId="6CD92631" w14:textId="77777777" w:rsidR="00362F6B" w:rsidRPr="00403D19" w:rsidRDefault="00362F6B" w:rsidP="00CD0D98">
      <w:pPr>
        <w:rPr>
          <w:rFonts w:asciiTheme="minorHAnsi" w:hAnsiTheme="minorHAnsi" w:cstheme="minorHAnsi"/>
          <w:color w:val="000000" w:themeColor="text1"/>
          <w:sz w:val="22"/>
          <w:szCs w:val="22"/>
        </w:rPr>
      </w:pPr>
    </w:p>
    <w:p w14:paraId="71B59E47" w14:textId="0474EB4F" w:rsidR="000C5451" w:rsidRDefault="00AD11BF" w:rsidP="00CD0D98">
      <w:pPr>
        <w:rPr>
          <w:rFonts w:asciiTheme="minorHAnsi" w:hAnsiTheme="minorHAnsi" w:cstheme="minorHAnsi"/>
          <w:color w:val="000000" w:themeColor="text1"/>
          <w:sz w:val="22"/>
          <w:szCs w:val="22"/>
        </w:rPr>
      </w:pPr>
      <w:r w:rsidRPr="00AD11BF">
        <w:rPr>
          <w:rFonts w:asciiTheme="minorHAnsi" w:hAnsiTheme="minorHAnsi" w:cstheme="minorHAnsi"/>
          <w:color w:val="000000" w:themeColor="text1"/>
          <w:sz w:val="22"/>
          <w:szCs w:val="22"/>
        </w:rPr>
        <w:t>There have also been developments over recent years in utilising pharmacogenomic data as part of clinical decision support to help review medicines, depending on certain individual genetic traits, which increase the risk of adverse effects secondary to medicines (</w:t>
      </w:r>
      <w:proofErr w:type="spellStart"/>
      <w:r w:rsidRPr="00AD11BF">
        <w:rPr>
          <w:rFonts w:asciiTheme="minorHAnsi" w:hAnsiTheme="minorHAnsi" w:cstheme="minorHAnsi"/>
          <w:color w:val="000000" w:themeColor="text1"/>
          <w:sz w:val="22"/>
          <w:szCs w:val="22"/>
        </w:rPr>
        <w:t>Brixner</w:t>
      </w:r>
      <w:proofErr w:type="spellEnd"/>
      <w:r w:rsidRPr="00AD11BF">
        <w:rPr>
          <w:rFonts w:asciiTheme="minorHAnsi" w:hAnsiTheme="minorHAnsi" w:cstheme="minorHAnsi"/>
          <w:color w:val="000000" w:themeColor="text1"/>
          <w:sz w:val="22"/>
          <w:szCs w:val="22"/>
        </w:rPr>
        <w:t xml:space="preserve"> </w:t>
      </w:r>
      <w:r w:rsidRPr="00AD11BF">
        <w:rPr>
          <w:rFonts w:asciiTheme="minorHAnsi" w:hAnsiTheme="minorHAnsi" w:cstheme="minorHAnsi"/>
          <w:i/>
          <w:iCs/>
          <w:color w:val="000000" w:themeColor="text1"/>
          <w:sz w:val="22"/>
          <w:szCs w:val="22"/>
        </w:rPr>
        <w:t xml:space="preserve">et al. </w:t>
      </w:r>
      <w:r w:rsidRPr="00AD11BF">
        <w:rPr>
          <w:rFonts w:asciiTheme="minorHAnsi" w:hAnsiTheme="minorHAnsi" w:cstheme="minorHAnsi"/>
          <w:color w:val="000000" w:themeColor="text1"/>
          <w:sz w:val="22"/>
          <w:szCs w:val="22"/>
        </w:rPr>
        <w:t>2015)</w:t>
      </w:r>
      <w:r w:rsidR="00622B6B">
        <w:rPr>
          <w:rFonts w:asciiTheme="minorHAnsi" w:hAnsiTheme="minorHAnsi" w:cstheme="minorHAnsi"/>
          <w:color w:val="000000" w:themeColor="text1"/>
          <w:sz w:val="22"/>
          <w:szCs w:val="22"/>
        </w:rPr>
        <w:t xml:space="preserve"> (Kim </w:t>
      </w:r>
      <w:r w:rsidR="00622B6B" w:rsidRPr="00622B6B">
        <w:rPr>
          <w:rFonts w:asciiTheme="minorHAnsi" w:hAnsiTheme="minorHAnsi" w:cstheme="minorHAnsi"/>
          <w:i/>
          <w:iCs/>
          <w:color w:val="000000" w:themeColor="text1"/>
          <w:sz w:val="22"/>
          <w:szCs w:val="22"/>
        </w:rPr>
        <w:t>et al</w:t>
      </w:r>
      <w:r w:rsidR="00622B6B">
        <w:rPr>
          <w:rFonts w:asciiTheme="minorHAnsi" w:hAnsiTheme="minorHAnsi" w:cstheme="minorHAnsi"/>
          <w:i/>
          <w:iCs/>
          <w:color w:val="000000" w:themeColor="text1"/>
          <w:sz w:val="22"/>
          <w:szCs w:val="22"/>
        </w:rPr>
        <w:t xml:space="preserve">. </w:t>
      </w:r>
      <w:r w:rsidR="00622B6B" w:rsidRPr="00622B6B">
        <w:rPr>
          <w:rFonts w:asciiTheme="minorHAnsi" w:hAnsiTheme="minorHAnsi" w:cstheme="minorHAnsi"/>
          <w:color w:val="000000" w:themeColor="text1"/>
          <w:sz w:val="22"/>
          <w:szCs w:val="22"/>
        </w:rPr>
        <w:t>2016)</w:t>
      </w:r>
      <w:r w:rsidR="00622B6B">
        <w:rPr>
          <w:rFonts w:asciiTheme="minorHAnsi" w:hAnsiTheme="minorHAnsi" w:cstheme="minorHAnsi"/>
          <w:color w:val="000000" w:themeColor="text1"/>
          <w:sz w:val="22"/>
          <w:szCs w:val="22"/>
        </w:rPr>
        <w:t xml:space="preserve">, (Elliot </w:t>
      </w:r>
      <w:r w:rsidR="00622B6B">
        <w:rPr>
          <w:rFonts w:asciiTheme="minorHAnsi" w:hAnsiTheme="minorHAnsi" w:cstheme="minorHAnsi"/>
          <w:i/>
          <w:iCs/>
          <w:color w:val="000000" w:themeColor="text1"/>
          <w:sz w:val="22"/>
          <w:szCs w:val="22"/>
        </w:rPr>
        <w:t>et al</w:t>
      </w:r>
      <w:r w:rsidRPr="00622B6B">
        <w:rPr>
          <w:rFonts w:asciiTheme="minorHAnsi" w:hAnsiTheme="minorHAnsi" w:cstheme="minorHAnsi"/>
          <w:color w:val="000000" w:themeColor="text1"/>
          <w:sz w:val="22"/>
          <w:szCs w:val="22"/>
        </w:rPr>
        <w:t>.</w:t>
      </w:r>
      <w:r w:rsidR="00622B6B">
        <w:rPr>
          <w:rFonts w:asciiTheme="minorHAnsi" w:hAnsiTheme="minorHAnsi" w:cstheme="minorHAnsi"/>
          <w:color w:val="000000" w:themeColor="text1"/>
          <w:sz w:val="22"/>
          <w:szCs w:val="22"/>
        </w:rPr>
        <w:t xml:space="preserve"> 2017). </w:t>
      </w:r>
      <w:r w:rsidRPr="00AD11BF">
        <w:rPr>
          <w:rFonts w:asciiTheme="minorHAnsi" w:hAnsiTheme="minorHAnsi" w:cstheme="minorHAnsi"/>
          <w:color w:val="000000" w:themeColor="text1"/>
          <w:sz w:val="22"/>
          <w:szCs w:val="22"/>
        </w:rPr>
        <w:t xml:space="preserve"> </w:t>
      </w:r>
    </w:p>
    <w:p w14:paraId="1473D625" w14:textId="3AEB15DE" w:rsidR="007A121C" w:rsidRDefault="007A121C" w:rsidP="00CD0D98">
      <w:pPr>
        <w:rPr>
          <w:rFonts w:asciiTheme="minorHAnsi" w:hAnsiTheme="minorHAnsi" w:cstheme="minorHAnsi"/>
          <w:color w:val="000000" w:themeColor="text1"/>
          <w:sz w:val="22"/>
          <w:szCs w:val="22"/>
        </w:rPr>
      </w:pPr>
    </w:p>
    <w:p w14:paraId="67B2C9FA" w14:textId="4B5E28EA" w:rsidR="007A121C" w:rsidRPr="00AD11BF" w:rsidRDefault="007A121C" w:rsidP="00CD0D98">
      <w:pPr>
        <w:rPr>
          <w:rFonts w:asciiTheme="minorHAnsi" w:hAnsiTheme="minorHAnsi" w:cstheme="minorHAnsi"/>
          <w:color w:val="000000" w:themeColor="text1"/>
          <w:sz w:val="22"/>
          <w:szCs w:val="22"/>
        </w:rPr>
      </w:pPr>
      <w:r>
        <w:rPr>
          <w:rFonts w:asciiTheme="minorHAnsi" w:hAnsiTheme="minorHAnsi" w:cstheme="minorHAnsi"/>
          <w:sz w:val="22"/>
          <w:szCs w:val="22"/>
        </w:rPr>
        <w:t>There is a lack of reliable evidence that demonstrates the impact that CDS has on problematic polypharmacy medicine reviews. This is due to the lack</w:t>
      </w:r>
      <w:r>
        <w:rPr>
          <w:rFonts w:asciiTheme="minorHAnsi" w:hAnsiTheme="minorHAnsi" w:cstheme="minorHAnsi"/>
          <w:sz w:val="22"/>
          <w:szCs w:val="22"/>
        </w:rPr>
        <w:t xml:space="preserve"> large multi-centred trials using </w:t>
      </w:r>
      <w:r w:rsidR="00C33595">
        <w:rPr>
          <w:rFonts w:asciiTheme="minorHAnsi" w:hAnsiTheme="minorHAnsi" w:cstheme="minorHAnsi"/>
          <w:sz w:val="22"/>
          <w:szCs w:val="22"/>
        </w:rPr>
        <w:t xml:space="preserve">consistent CDS designs and trial methodology, with trials powered sufficiently to demonstrate clinical outcomes of such systems. </w:t>
      </w:r>
    </w:p>
    <w:p w14:paraId="09892D65" w14:textId="77777777" w:rsidR="00144844" w:rsidRDefault="00144844" w:rsidP="00144844">
      <w:pPr>
        <w:rPr>
          <w:rFonts w:asciiTheme="minorHAnsi" w:hAnsiTheme="minorHAnsi" w:cstheme="minorHAnsi"/>
          <w:color w:val="FF0000"/>
          <w:sz w:val="22"/>
          <w:szCs w:val="22"/>
        </w:rPr>
      </w:pPr>
    </w:p>
    <w:p w14:paraId="157AFB73" w14:textId="4CAFD7F1" w:rsidR="00CD0D98" w:rsidRDefault="00CD0D98" w:rsidP="00144844">
      <w:pPr>
        <w:rPr>
          <w:rFonts w:asciiTheme="minorHAnsi" w:hAnsiTheme="minorHAnsi" w:cstheme="minorHAnsi"/>
          <w:b/>
          <w:bCs/>
          <w:sz w:val="22"/>
          <w:szCs w:val="22"/>
        </w:rPr>
      </w:pPr>
      <w:r w:rsidRPr="00144844">
        <w:rPr>
          <w:rFonts w:asciiTheme="minorHAnsi" w:hAnsiTheme="minorHAnsi" w:cstheme="minorHAnsi"/>
          <w:b/>
          <w:bCs/>
          <w:sz w:val="22"/>
          <w:szCs w:val="22"/>
        </w:rPr>
        <w:t>Implementation</w:t>
      </w:r>
    </w:p>
    <w:p w14:paraId="10FC105F" w14:textId="77777777" w:rsidR="00144844" w:rsidRPr="00144844" w:rsidRDefault="00144844" w:rsidP="00144844">
      <w:pPr>
        <w:rPr>
          <w:rFonts w:asciiTheme="minorHAnsi" w:hAnsiTheme="minorHAnsi" w:cstheme="minorHAnsi"/>
          <w:color w:val="FF0000"/>
          <w:sz w:val="22"/>
          <w:szCs w:val="22"/>
        </w:rPr>
      </w:pPr>
    </w:p>
    <w:p w14:paraId="2A0D2B4B" w14:textId="3A8A3A06" w:rsidR="00CD0D98" w:rsidRDefault="00C20338" w:rsidP="00CD0D98">
      <w:pPr>
        <w:rPr>
          <w:rFonts w:asciiTheme="minorHAnsi" w:hAnsiTheme="minorHAnsi" w:cstheme="minorHAnsi"/>
          <w:sz w:val="22"/>
          <w:szCs w:val="22"/>
        </w:rPr>
      </w:pP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consider the implantation of a CDS tool to improve the reviewing process of problematic pharmacy, the GUIDES checklist, developed by Van der Velde </w:t>
      </w:r>
      <w:r>
        <w:rPr>
          <w:rFonts w:asciiTheme="minorHAnsi" w:hAnsiTheme="minorHAnsi" w:cstheme="minorHAnsi"/>
          <w:i/>
          <w:iCs/>
          <w:sz w:val="22"/>
          <w:szCs w:val="22"/>
        </w:rPr>
        <w:t>et al.</w:t>
      </w:r>
      <w:r>
        <w:rPr>
          <w:rFonts w:asciiTheme="minorHAnsi" w:hAnsiTheme="minorHAnsi" w:cstheme="minorHAnsi"/>
          <w:sz w:val="22"/>
          <w:szCs w:val="22"/>
        </w:rPr>
        <w:t xml:space="preserve"> will be used </w:t>
      </w:r>
      <w:r>
        <w:rPr>
          <w:rFonts w:asciiTheme="minorHAnsi" w:hAnsiTheme="minorHAnsi" w:cstheme="minorHAnsi"/>
          <w:sz w:val="22"/>
          <w:szCs w:val="22"/>
        </w:rPr>
        <w:t>(Van de V</w:t>
      </w:r>
      <w:r w:rsidR="002E696B">
        <w:rPr>
          <w:rFonts w:asciiTheme="minorHAnsi" w:hAnsiTheme="minorHAnsi" w:cstheme="minorHAnsi"/>
          <w:sz w:val="22"/>
          <w:szCs w:val="22"/>
        </w:rPr>
        <w:t>e</w:t>
      </w:r>
      <w:r>
        <w:rPr>
          <w:rFonts w:asciiTheme="minorHAnsi" w:hAnsiTheme="minorHAnsi" w:cstheme="minorHAnsi"/>
          <w:sz w:val="22"/>
          <w:szCs w:val="22"/>
        </w:rPr>
        <w:t>lde, 2018)</w:t>
      </w:r>
      <w:r w:rsidR="00402629">
        <w:rPr>
          <w:rFonts w:asciiTheme="minorHAnsi" w:hAnsiTheme="minorHAnsi" w:cstheme="minorHAnsi"/>
          <w:sz w:val="22"/>
          <w:szCs w:val="22"/>
        </w:rPr>
        <w:t xml:space="preserve">. The checklist was developed following a systematic review of relevant CDS implementation </w:t>
      </w:r>
      <w:proofErr w:type="gramStart"/>
      <w:r w:rsidR="00402629">
        <w:rPr>
          <w:rFonts w:asciiTheme="minorHAnsi" w:hAnsiTheme="minorHAnsi" w:cstheme="minorHAnsi"/>
          <w:sz w:val="22"/>
          <w:szCs w:val="22"/>
        </w:rPr>
        <w:t>studies, and</w:t>
      </w:r>
      <w:proofErr w:type="gramEnd"/>
      <w:r w:rsidR="00402629">
        <w:rPr>
          <w:rFonts w:asciiTheme="minorHAnsi" w:hAnsiTheme="minorHAnsi" w:cstheme="minorHAnsi"/>
          <w:sz w:val="22"/>
          <w:szCs w:val="22"/>
        </w:rPr>
        <w:t xml:space="preserve"> highlights the important considerations </w:t>
      </w:r>
      <w:r w:rsidR="0077576C">
        <w:rPr>
          <w:rFonts w:asciiTheme="minorHAnsi" w:hAnsiTheme="minorHAnsi" w:cstheme="minorHAnsi"/>
          <w:sz w:val="22"/>
          <w:szCs w:val="22"/>
        </w:rPr>
        <w:t>to make as part of successful CDS implementation.</w:t>
      </w:r>
    </w:p>
    <w:p w14:paraId="42BA7476" w14:textId="061297E1" w:rsidR="0077576C" w:rsidRPr="00144844" w:rsidRDefault="0077576C" w:rsidP="00CD0D98">
      <w:pPr>
        <w:rPr>
          <w:rFonts w:asciiTheme="minorHAnsi" w:hAnsiTheme="minorHAnsi" w:cstheme="minorHAnsi"/>
          <w:b/>
          <w:bCs/>
          <w:sz w:val="22"/>
          <w:szCs w:val="22"/>
        </w:rPr>
      </w:pPr>
    </w:p>
    <w:p w14:paraId="12595162" w14:textId="6C65A159" w:rsidR="0077576C" w:rsidRPr="00144844" w:rsidRDefault="0077576C" w:rsidP="00CD0D98">
      <w:pPr>
        <w:rPr>
          <w:rFonts w:asciiTheme="minorHAnsi" w:hAnsiTheme="minorHAnsi" w:cstheme="minorHAnsi"/>
          <w:b/>
          <w:bCs/>
          <w:i/>
          <w:iCs/>
          <w:sz w:val="22"/>
          <w:szCs w:val="22"/>
        </w:rPr>
      </w:pPr>
      <w:r w:rsidRPr="00144844">
        <w:rPr>
          <w:rFonts w:asciiTheme="minorHAnsi" w:hAnsiTheme="minorHAnsi" w:cstheme="minorHAnsi"/>
          <w:b/>
          <w:bCs/>
          <w:i/>
          <w:iCs/>
          <w:sz w:val="22"/>
          <w:szCs w:val="22"/>
        </w:rPr>
        <w:t>The context for CDS implementation</w:t>
      </w:r>
    </w:p>
    <w:p w14:paraId="11EBD2DD" w14:textId="1F0521C2" w:rsidR="0077576C" w:rsidRDefault="0077576C" w:rsidP="00CD0D98">
      <w:pPr>
        <w:rPr>
          <w:rFonts w:asciiTheme="minorHAnsi" w:hAnsiTheme="minorHAnsi" w:cstheme="minorHAnsi"/>
          <w:i/>
          <w:iCs/>
          <w:sz w:val="22"/>
          <w:szCs w:val="22"/>
        </w:rPr>
      </w:pPr>
    </w:p>
    <w:p w14:paraId="0251773D" w14:textId="608935A6" w:rsidR="00CD5EC4" w:rsidRDefault="006A7B5D" w:rsidP="00CD0D98">
      <w:pPr>
        <w:rPr>
          <w:rFonts w:asciiTheme="minorHAnsi" w:hAnsiTheme="minorHAnsi" w:cstheme="minorHAnsi"/>
          <w:sz w:val="22"/>
          <w:szCs w:val="22"/>
        </w:rPr>
      </w:pPr>
      <w:r>
        <w:rPr>
          <w:rFonts w:asciiTheme="minorHAnsi" w:hAnsiTheme="minorHAnsi" w:cstheme="minorHAnsi"/>
          <w:sz w:val="22"/>
          <w:szCs w:val="22"/>
        </w:rPr>
        <w:t xml:space="preserve">Interventions to this date have been mostly unsuccessful in reducing the prevalence of problematic pharmacy (Rankin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2018) (WHO, 2017). This is despite clear and explicit guidance tools, based on the available evidence, being available for healthcare professionals to </w:t>
      </w:r>
      <w:r w:rsidR="007F7EC1">
        <w:rPr>
          <w:rFonts w:asciiTheme="minorHAnsi" w:hAnsiTheme="minorHAnsi" w:cstheme="minorHAnsi"/>
          <w:sz w:val="22"/>
          <w:szCs w:val="22"/>
        </w:rPr>
        <w:t xml:space="preserve">use as part of a medicines review </w:t>
      </w:r>
      <w:r w:rsidR="007F7EC1">
        <w:rPr>
          <w:rFonts w:asciiTheme="minorHAnsi" w:hAnsiTheme="minorHAnsi" w:cstheme="minorHAnsi"/>
          <w:sz w:val="22"/>
          <w:szCs w:val="22"/>
        </w:rPr>
        <w:t>(</w:t>
      </w:r>
      <w:proofErr w:type="spellStart"/>
      <w:r w:rsidR="007F7EC1">
        <w:rPr>
          <w:rFonts w:asciiTheme="minorHAnsi" w:hAnsiTheme="minorHAnsi" w:cstheme="minorHAnsi"/>
          <w:sz w:val="22"/>
          <w:szCs w:val="22"/>
        </w:rPr>
        <w:t>Duerden</w:t>
      </w:r>
      <w:proofErr w:type="spellEnd"/>
      <w:r w:rsidR="007F7EC1">
        <w:rPr>
          <w:rFonts w:asciiTheme="minorHAnsi" w:hAnsiTheme="minorHAnsi" w:cstheme="minorHAnsi"/>
          <w:sz w:val="22"/>
          <w:szCs w:val="22"/>
        </w:rPr>
        <w:t>, Avery and Payne, 2013</w:t>
      </w:r>
      <w:r w:rsidR="007F7EC1">
        <w:rPr>
          <w:rFonts w:asciiTheme="minorHAnsi" w:hAnsiTheme="minorHAnsi" w:cstheme="minorHAnsi"/>
          <w:sz w:val="22"/>
          <w:szCs w:val="22"/>
        </w:rPr>
        <w:t xml:space="preserve">). There is evidence to show the effectiveness of CDS in improving prescribing practice (Kwan </w:t>
      </w:r>
      <w:r w:rsidR="007F7EC1">
        <w:rPr>
          <w:rFonts w:asciiTheme="minorHAnsi" w:hAnsiTheme="minorHAnsi" w:cstheme="minorHAnsi"/>
          <w:i/>
          <w:iCs/>
          <w:sz w:val="22"/>
          <w:szCs w:val="22"/>
        </w:rPr>
        <w:t xml:space="preserve">et al. </w:t>
      </w:r>
      <w:r w:rsidR="007F7EC1">
        <w:rPr>
          <w:rFonts w:asciiTheme="minorHAnsi" w:hAnsiTheme="minorHAnsi" w:cstheme="minorHAnsi"/>
          <w:sz w:val="22"/>
          <w:szCs w:val="22"/>
        </w:rPr>
        <w:t>2020) including polypharmacy</w:t>
      </w:r>
      <w:r w:rsidR="00B96436">
        <w:rPr>
          <w:rFonts w:asciiTheme="minorHAnsi" w:hAnsiTheme="minorHAnsi" w:cstheme="minorHAnsi"/>
          <w:sz w:val="22"/>
          <w:szCs w:val="22"/>
        </w:rPr>
        <w:t xml:space="preserve"> (Monteiro </w:t>
      </w:r>
      <w:r w:rsidR="00B96436">
        <w:rPr>
          <w:rFonts w:asciiTheme="minorHAnsi" w:hAnsiTheme="minorHAnsi" w:cstheme="minorHAnsi"/>
          <w:i/>
          <w:iCs/>
          <w:sz w:val="22"/>
          <w:szCs w:val="22"/>
        </w:rPr>
        <w:t>et al</w:t>
      </w:r>
      <w:r w:rsidR="00B96436">
        <w:rPr>
          <w:rFonts w:asciiTheme="minorHAnsi" w:hAnsiTheme="minorHAnsi" w:cstheme="minorHAnsi"/>
          <w:sz w:val="22"/>
          <w:szCs w:val="22"/>
        </w:rPr>
        <w:t xml:space="preserve">. 2019). There is no CDS tool available currently within primary care in Cardiff to utilise </w:t>
      </w:r>
      <w:r w:rsidR="00B96436">
        <w:rPr>
          <w:rFonts w:asciiTheme="minorHAnsi" w:hAnsiTheme="minorHAnsi" w:cstheme="minorHAnsi"/>
          <w:sz w:val="22"/>
          <w:szCs w:val="22"/>
        </w:rPr>
        <w:t>as part of a detailed medicines review</w:t>
      </w:r>
      <w:r w:rsidR="00B96436">
        <w:rPr>
          <w:rFonts w:asciiTheme="minorHAnsi" w:hAnsiTheme="minorHAnsi" w:cstheme="minorHAnsi"/>
          <w:sz w:val="22"/>
          <w:szCs w:val="22"/>
        </w:rPr>
        <w:t>. There is good justification therefore, to utilise CDS for this use case.</w:t>
      </w:r>
      <w:r w:rsidR="007F7EC1">
        <w:rPr>
          <w:rFonts w:asciiTheme="minorHAnsi" w:hAnsiTheme="minorHAnsi" w:cstheme="minorHAnsi"/>
          <w:sz w:val="22"/>
          <w:szCs w:val="22"/>
        </w:rPr>
        <w:t xml:space="preserve"> </w:t>
      </w:r>
    </w:p>
    <w:p w14:paraId="665AB4AF" w14:textId="77777777" w:rsidR="00B96436" w:rsidRDefault="00B96436" w:rsidP="00CD0D98">
      <w:pPr>
        <w:rPr>
          <w:rFonts w:asciiTheme="minorHAnsi" w:hAnsiTheme="minorHAnsi" w:cstheme="minorHAnsi"/>
          <w:i/>
          <w:iCs/>
          <w:sz w:val="22"/>
          <w:szCs w:val="22"/>
        </w:rPr>
      </w:pPr>
    </w:p>
    <w:p w14:paraId="70A6C688" w14:textId="1720CB4D" w:rsidR="007D648E" w:rsidRDefault="00887032" w:rsidP="00CD0D98">
      <w:pPr>
        <w:rPr>
          <w:rFonts w:asciiTheme="minorHAnsi" w:hAnsiTheme="minorHAnsi" w:cstheme="minorHAnsi"/>
          <w:sz w:val="22"/>
          <w:szCs w:val="22"/>
        </w:rPr>
      </w:pPr>
      <w:r>
        <w:rPr>
          <w:rFonts w:asciiTheme="minorHAnsi" w:hAnsiTheme="minorHAnsi" w:cstheme="minorHAnsi"/>
          <w:sz w:val="22"/>
          <w:szCs w:val="22"/>
        </w:rPr>
        <w:t xml:space="preserve">Stakeholder engagement and agreement to implement CDS in practice, will be a crucial initial step for a successful implementation. It is not thought that stakeholders locally, will be a significant barrier, given the scale of problematic polypharmacy and the negative impact it has on the </w:t>
      </w:r>
      <w:r>
        <w:rPr>
          <w:rFonts w:asciiTheme="minorHAnsi" w:hAnsiTheme="minorHAnsi" w:cstheme="minorHAnsi"/>
          <w:sz w:val="22"/>
          <w:szCs w:val="22"/>
        </w:rPr>
        <w:lastRenderedPageBreak/>
        <w:t>population. The royal pharmaceutical society regards the development and utilisation of technology to improve the ability to undertake annual detailed medicines reviews as a key priority for future improvement (RPS, 2023).</w:t>
      </w:r>
      <w:r w:rsidR="00E304CE">
        <w:rPr>
          <w:rFonts w:asciiTheme="minorHAnsi" w:hAnsiTheme="minorHAnsi" w:cstheme="minorHAnsi"/>
          <w:sz w:val="22"/>
          <w:szCs w:val="22"/>
        </w:rPr>
        <w:t xml:space="preserve"> From a conceptual standpoint, agreement from users and experts at the beginning of implementation, that CDS is worth implementing within this domain</w:t>
      </w:r>
      <w:r>
        <w:rPr>
          <w:rFonts w:asciiTheme="minorHAnsi" w:hAnsiTheme="minorHAnsi" w:cstheme="minorHAnsi"/>
          <w:sz w:val="22"/>
          <w:szCs w:val="22"/>
        </w:rPr>
        <w:t xml:space="preserve"> </w:t>
      </w:r>
      <w:r w:rsidR="00E304CE">
        <w:rPr>
          <w:rFonts w:asciiTheme="minorHAnsi" w:hAnsiTheme="minorHAnsi" w:cstheme="minorHAnsi"/>
          <w:sz w:val="22"/>
          <w:szCs w:val="22"/>
        </w:rPr>
        <w:t>is essential.</w:t>
      </w:r>
      <w:r w:rsidR="00D91250">
        <w:rPr>
          <w:rFonts w:asciiTheme="minorHAnsi" w:hAnsiTheme="minorHAnsi" w:cstheme="minorHAnsi"/>
          <w:sz w:val="22"/>
          <w:szCs w:val="22"/>
        </w:rPr>
        <w:t xml:space="preserve"> This will help co-design of the system, as well as improving confidence and trust users will have in the system (</w:t>
      </w:r>
      <w:proofErr w:type="spellStart"/>
      <w:r w:rsidR="00D91250">
        <w:rPr>
          <w:rFonts w:asciiTheme="minorHAnsi" w:hAnsiTheme="minorHAnsi" w:cstheme="minorHAnsi"/>
          <w:sz w:val="22"/>
          <w:szCs w:val="22"/>
        </w:rPr>
        <w:t>Petkus</w:t>
      </w:r>
      <w:proofErr w:type="spellEnd"/>
      <w:r w:rsidR="00D91250">
        <w:rPr>
          <w:rFonts w:asciiTheme="minorHAnsi" w:hAnsiTheme="minorHAnsi" w:cstheme="minorHAnsi"/>
          <w:sz w:val="22"/>
          <w:szCs w:val="22"/>
        </w:rPr>
        <w:t xml:space="preserve"> </w:t>
      </w:r>
      <w:r w:rsidR="00D91250">
        <w:rPr>
          <w:rFonts w:asciiTheme="minorHAnsi" w:hAnsiTheme="minorHAnsi" w:cstheme="minorHAnsi"/>
          <w:i/>
          <w:iCs/>
          <w:sz w:val="22"/>
          <w:szCs w:val="22"/>
        </w:rPr>
        <w:t xml:space="preserve">et al. </w:t>
      </w:r>
      <w:r w:rsidR="00D91250">
        <w:rPr>
          <w:rFonts w:asciiTheme="minorHAnsi" w:hAnsiTheme="minorHAnsi" w:cstheme="minorHAnsi"/>
          <w:sz w:val="22"/>
          <w:szCs w:val="22"/>
        </w:rPr>
        <w:t xml:space="preserve">2020). Stakeholder identification and analysis should be undertaken </w:t>
      </w:r>
      <w:r w:rsidR="00AC1096">
        <w:rPr>
          <w:rFonts w:asciiTheme="minorHAnsi" w:hAnsiTheme="minorHAnsi" w:cstheme="minorHAnsi"/>
          <w:sz w:val="22"/>
          <w:szCs w:val="22"/>
        </w:rPr>
        <w:t>to help strategies involvement of different individuals, groups and organisations according to power and influence (</w:t>
      </w:r>
      <w:proofErr w:type="spellStart"/>
      <w:r w:rsidR="00AC1096">
        <w:rPr>
          <w:rFonts w:asciiTheme="minorHAnsi" w:hAnsiTheme="minorHAnsi" w:cstheme="minorHAnsi"/>
          <w:sz w:val="22"/>
          <w:szCs w:val="22"/>
        </w:rPr>
        <w:t>Bourne</w:t>
      </w:r>
      <w:proofErr w:type="spellEnd"/>
      <w:r w:rsidR="00AC1096">
        <w:rPr>
          <w:rFonts w:asciiTheme="minorHAnsi" w:hAnsiTheme="minorHAnsi" w:cstheme="minorHAnsi"/>
          <w:sz w:val="22"/>
          <w:szCs w:val="22"/>
        </w:rPr>
        <w:t xml:space="preserve">, 2015). </w:t>
      </w:r>
    </w:p>
    <w:p w14:paraId="5D73975E" w14:textId="3682C931" w:rsidR="00E304CE" w:rsidRDefault="00E304CE" w:rsidP="00CD0D98">
      <w:pPr>
        <w:rPr>
          <w:rFonts w:asciiTheme="minorHAnsi" w:hAnsiTheme="minorHAnsi" w:cstheme="minorHAnsi"/>
          <w:sz w:val="22"/>
          <w:szCs w:val="22"/>
        </w:rPr>
      </w:pPr>
    </w:p>
    <w:p w14:paraId="526D20AF" w14:textId="3B5DE43E" w:rsidR="00E304CE" w:rsidRPr="00887032" w:rsidRDefault="004A402A" w:rsidP="00CD0D98">
      <w:pPr>
        <w:rPr>
          <w:rFonts w:asciiTheme="minorHAnsi" w:hAnsiTheme="minorHAnsi" w:cstheme="minorHAnsi"/>
          <w:sz w:val="22"/>
          <w:szCs w:val="22"/>
        </w:rPr>
      </w:pPr>
      <w:r>
        <w:rPr>
          <w:rFonts w:asciiTheme="minorHAnsi" w:hAnsiTheme="minorHAnsi" w:cstheme="minorHAnsi"/>
          <w:sz w:val="22"/>
          <w:szCs w:val="22"/>
        </w:rPr>
        <w:t xml:space="preserve">The addition of CDS as part of a detailed medicines review would </w:t>
      </w:r>
      <w:r w:rsidR="00F1736E">
        <w:rPr>
          <w:rFonts w:asciiTheme="minorHAnsi" w:hAnsiTheme="minorHAnsi" w:cstheme="minorHAnsi"/>
          <w:sz w:val="22"/>
          <w:szCs w:val="22"/>
        </w:rPr>
        <w:t>complement</w:t>
      </w:r>
      <w:r>
        <w:rPr>
          <w:rFonts w:asciiTheme="minorHAnsi" w:hAnsiTheme="minorHAnsi" w:cstheme="minorHAnsi"/>
          <w:sz w:val="22"/>
          <w:szCs w:val="22"/>
        </w:rPr>
        <w:t xml:space="preserve"> the existing process. Because information regarding a specific patient is already captured with the GP prescribing system, including medicine information, indications, allergies and start dates, CDS could plausibly function automatically as part of the </w:t>
      </w:r>
      <w:r w:rsidR="00F1736E">
        <w:rPr>
          <w:rFonts w:asciiTheme="minorHAnsi" w:hAnsiTheme="minorHAnsi" w:cstheme="minorHAnsi"/>
          <w:sz w:val="22"/>
          <w:szCs w:val="22"/>
        </w:rPr>
        <w:t xml:space="preserve">digital </w:t>
      </w:r>
      <w:r>
        <w:rPr>
          <w:rFonts w:asciiTheme="minorHAnsi" w:hAnsiTheme="minorHAnsi" w:cstheme="minorHAnsi"/>
          <w:sz w:val="22"/>
          <w:szCs w:val="22"/>
        </w:rPr>
        <w:t>review documentation process.</w:t>
      </w:r>
      <w:r w:rsidR="00F1736E">
        <w:rPr>
          <w:rFonts w:asciiTheme="minorHAnsi" w:hAnsiTheme="minorHAnsi" w:cstheme="minorHAnsi"/>
          <w:sz w:val="22"/>
          <w:szCs w:val="22"/>
        </w:rPr>
        <w:t xml:space="preserve"> It is expected that individuals undertaking the review currently, consider the guidance that would go into the CDS knowledge set, therefore the CDS will only be helping to aid a process and therefore should not disrupt or add any unnecessary steps. </w:t>
      </w:r>
    </w:p>
    <w:p w14:paraId="7C892EA0" w14:textId="35CEBB6B" w:rsidR="0077576C" w:rsidRDefault="0077576C" w:rsidP="00CD0D98">
      <w:pPr>
        <w:rPr>
          <w:rFonts w:asciiTheme="minorHAnsi" w:hAnsiTheme="minorHAnsi" w:cstheme="minorHAnsi"/>
          <w:i/>
          <w:iCs/>
          <w:sz w:val="22"/>
          <w:szCs w:val="22"/>
        </w:rPr>
      </w:pPr>
    </w:p>
    <w:p w14:paraId="56F8C51F" w14:textId="487B781E" w:rsidR="0077576C" w:rsidRDefault="0077576C" w:rsidP="00CD0D98">
      <w:pPr>
        <w:rPr>
          <w:rFonts w:asciiTheme="minorHAnsi" w:hAnsiTheme="minorHAnsi" w:cstheme="minorHAnsi"/>
          <w:b/>
          <w:bCs/>
          <w:i/>
          <w:iCs/>
          <w:sz w:val="22"/>
          <w:szCs w:val="22"/>
        </w:rPr>
      </w:pPr>
      <w:r w:rsidRPr="00144844">
        <w:rPr>
          <w:rFonts w:asciiTheme="minorHAnsi" w:hAnsiTheme="minorHAnsi" w:cstheme="minorHAnsi"/>
          <w:b/>
          <w:bCs/>
          <w:i/>
          <w:iCs/>
          <w:sz w:val="22"/>
          <w:szCs w:val="22"/>
        </w:rPr>
        <w:t>The content of the CDS system</w:t>
      </w:r>
    </w:p>
    <w:p w14:paraId="43BC0591" w14:textId="79DDC263" w:rsidR="006F434E" w:rsidRDefault="006F434E" w:rsidP="00CD0D98">
      <w:pPr>
        <w:rPr>
          <w:rFonts w:asciiTheme="minorHAnsi" w:hAnsiTheme="minorHAnsi" w:cstheme="minorHAnsi"/>
          <w:sz w:val="22"/>
          <w:szCs w:val="22"/>
        </w:rPr>
      </w:pPr>
      <w:r>
        <w:rPr>
          <w:rFonts w:asciiTheme="minorHAnsi" w:hAnsiTheme="minorHAnsi" w:cstheme="minorHAnsi"/>
          <w:sz w:val="22"/>
          <w:szCs w:val="22"/>
        </w:rPr>
        <w:t xml:space="preserve">Content of the polypharmacy CDS would come from already established expert consensus guidance that exists in Beers and STOPP/START tools and </w:t>
      </w:r>
      <w:proofErr w:type="spellStart"/>
      <w:r>
        <w:rPr>
          <w:rFonts w:asciiTheme="minorHAnsi" w:hAnsiTheme="minorHAnsi" w:cstheme="minorHAnsi"/>
          <w:sz w:val="22"/>
          <w:szCs w:val="22"/>
        </w:rPr>
        <w:t>thereofore</w:t>
      </w:r>
      <w:proofErr w:type="spellEnd"/>
      <w:r>
        <w:rPr>
          <w:rFonts w:asciiTheme="minorHAnsi" w:hAnsiTheme="minorHAnsi" w:cstheme="minorHAnsi"/>
          <w:sz w:val="22"/>
          <w:szCs w:val="22"/>
        </w:rPr>
        <w:t xml:space="preserve"> would be drawing on current best practice </w:t>
      </w:r>
      <w:r>
        <w:rPr>
          <w:rFonts w:asciiTheme="minorHAnsi" w:hAnsiTheme="minorHAnsi" w:cstheme="minorHAnsi"/>
          <w:sz w:val="22"/>
          <w:szCs w:val="22"/>
        </w:rPr>
        <w:t>(</w:t>
      </w:r>
      <w:proofErr w:type="spellStart"/>
      <w:r>
        <w:rPr>
          <w:rFonts w:asciiTheme="minorHAnsi" w:hAnsiTheme="minorHAnsi" w:cstheme="minorHAnsi"/>
          <w:sz w:val="22"/>
          <w:szCs w:val="22"/>
        </w:rPr>
        <w:t>Duerden</w:t>
      </w:r>
      <w:proofErr w:type="spellEnd"/>
      <w:r>
        <w:rPr>
          <w:rFonts w:asciiTheme="minorHAnsi" w:hAnsiTheme="minorHAnsi" w:cstheme="minorHAnsi"/>
          <w:sz w:val="22"/>
          <w:szCs w:val="22"/>
        </w:rPr>
        <w:t>, Avery and Payne, 2013)</w:t>
      </w:r>
      <w:r>
        <w:rPr>
          <w:rFonts w:asciiTheme="minorHAnsi" w:hAnsiTheme="minorHAnsi" w:cstheme="minorHAnsi"/>
          <w:sz w:val="22"/>
          <w:szCs w:val="22"/>
        </w:rPr>
        <w:t>. With active stakeholder engagement, there will also be the opportunity to utilise local guidance</w:t>
      </w:r>
      <w:r w:rsidR="005C43B8">
        <w:rPr>
          <w:rFonts w:asciiTheme="minorHAnsi" w:hAnsiTheme="minorHAnsi" w:cstheme="minorHAnsi"/>
          <w:sz w:val="22"/>
          <w:szCs w:val="22"/>
        </w:rPr>
        <w:t xml:space="preserve">, where written, to help optimise unnecessary medicines. </w:t>
      </w:r>
      <w:r w:rsidR="00C519B6">
        <w:rPr>
          <w:rFonts w:asciiTheme="minorHAnsi" w:hAnsiTheme="minorHAnsi" w:cstheme="minorHAnsi"/>
          <w:sz w:val="22"/>
          <w:szCs w:val="22"/>
        </w:rPr>
        <w:t xml:space="preserve">This would mean that information provided as part of the solution will be accurate and meaningful for users. </w:t>
      </w:r>
      <w:r>
        <w:rPr>
          <w:rFonts w:asciiTheme="minorHAnsi" w:hAnsiTheme="minorHAnsi" w:cstheme="minorHAnsi"/>
          <w:sz w:val="22"/>
          <w:szCs w:val="22"/>
        </w:rPr>
        <w:t xml:space="preserve">As discovered by </w:t>
      </w:r>
      <w:proofErr w:type="spellStart"/>
      <w:r>
        <w:rPr>
          <w:rFonts w:asciiTheme="minorHAnsi" w:hAnsiTheme="minorHAnsi" w:cstheme="minorHAnsi"/>
          <w:sz w:val="22"/>
          <w:szCs w:val="22"/>
        </w:rPr>
        <w:t>Sallevelt</w:t>
      </w:r>
      <w:proofErr w:type="spellEnd"/>
      <w:r>
        <w:rPr>
          <w:rFonts w:asciiTheme="minorHAnsi" w:hAnsiTheme="minorHAnsi" w:cstheme="minorHAnsi"/>
          <w:sz w:val="22"/>
          <w:szCs w:val="22"/>
        </w:rPr>
        <w:t xml:space="preserve"> </w:t>
      </w:r>
      <w:r>
        <w:rPr>
          <w:rFonts w:asciiTheme="minorHAnsi" w:hAnsiTheme="minorHAnsi" w:cstheme="minorHAnsi"/>
          <w:i/>
          <w:iCs/>
          <w:sz w:val="22"/>
          <w:szCs w:val="22"/>
        </w:rPr>
        <w:t>et al.</w:t>
      </w:r>
      <w:r>
        <w:rPr>
          <w:rFonts w:asciiTheme="minorHAnsi" w:hAnsiTheme="minorHAnsi" w:cstheme="minorHAnsi"/>
          <w:sz w:val="22"/>
          <w:szCs w:val="22"/>
        </w:rPr>
        <w:t xml:space="preserve"> there will be challenges in reverse engineering and coding the guidance into a computable format (</w:t>
      </w:r>
      <w:proofErr w:type="spellStart"/>
      <w:r>
        <w:rPr>
          <w:rFonts w:asciiTheme="minorHAnsi" w:hAnsiTheme="minorHAnsi" w:cstheme="minorHAnsi"/>
          <w:sz w:val="22"/>
          <w:szCs w:val="22"/>
        </w:rPr>
        <w:t>Sallevelt</w:t>
      </w:r>
      <w:proofErr w:type="spellEnd"/>
      <w:r>
        <w:rPr>
          <w:rFonts w:asciiTheme="minorHAnsi" w:hAnsiTheme="minorHAnsi" w:cstheme="minorHAnsi"/>
          <w:sz w:val="22"/>
          <w:szCs w:val="22"/>
        </w:rPr>
        <w:t xml:space="preserve">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2022). </w:t>
      </w:r>
      <w:r w:rsidR="005C43B8">
        <w:rPr>
          <w:rFonts w:asciiTheme="minorHAnsi" w:hAnsiTheme="minorHAnsi" w:cstheme="minorHAnsi"/>
          <w:sz w:val="22"/>
          <w:szCs w:val="22"/>
        </w:rPr>
        <w:t xml:space="preserve">If there as some aspects that cannot be coded, there will be an additional challenge in communicating this to users, which could take place as part of active user engagement or training. </w:t>
      </w:r>
    </w:p>
    <w:p w14:paraId="187FEB89" w14:textId="7E7B9C44" w:rsidR="005C43B8" w:rsidRDefault="005C43B8" w:rsidP="00CD0D98">
      <w:pPr>
        <w:rPr>
          <w:rFonts w:asciiTheme="minorHAnsi" w:hAnsiTheme="minorHAnsi" w:cstheme="minorHAnsi"/>
          <w:sz w:val="22"/>
          <w:szCs w:val="22"/>
        </w:rPr>
      </w:pPr>
    </w:p>
    <w:p w14:paraId="2AF051AB" w14:textId="5E91A773" w:rsidR="0077576C" w:rsidRPr="00790E96" w:rsidRDefault="00C519B6" w:rsidP="00CD0D98">
      <w:pPr>
        <w:rPr>
          <w:rFonts w:asciiTheme="minorHAnsi" w:hAnsiTheme="minorHAnsi" w:cstheme="minorHAnsi"/>
          <w:sz w:val="22"/>
          <w:szCs w:val="22"/>
        </w:rPr>
      </w:pPr>
      <w:r>
        <w:rPr>
          <w:rFonts w:asciiTheme="minorHAnsi" w:hAnsiTheme="minorHAnsi" w:cstheme="minorHAnsi"/>
          <w:sz w:val="22"/>
          <w:szCs w:val="22"/>
        </w:rPr>
        <w:t>The rationale and evidence base for clinical recommendations will vary, where some recommendations come from well-evidenced random</w:t>
      </w:r>
      <w:r w:rsidR="00C9650D">
        <w:rPr>
          <w:rFonts w:asciiTheme="minorHAnsi" w:hAnsiTheme="minorHAnsi" w:cstheme="minorHAnsi"/>
          <w:sz w:val="22"/>
          <w:szCs w:val="22"/>
        </w:rPr>
        <w:t>i</w:t>
      </w:r>
      <w:r>
        <w:rPr>
          <w:rFonts w:asciiTheme="minorHAnsi" w:hAnsiTheme="minorHAnsi" w:cstheme="minorHAnsi"/>
          <w:sz w:val="22"/>
          <w:szCs w:val="22"/>
        </w:rPr>
        <w:t xml:space="preserve">sed controlled trials or meta-analysis, and some could come only from theoretical or expert opinion guidance. It is important therefore, to explain the rationale for CDS guidance as part of an </w:t>
      </w:r>
      <w:r w:rsidRPr="003B2855">
        <w:rPr>
          <w:rFonts w:asciiTheme="minorHAnsi" w:hAnsiTheme="minorHAnsi" w:cstheme="minorHAnsi"/>
          <w:sz w:val="22"/>
          <w:szCs w:val="22"/>
        </w:rPr>
        <w:t>alert</w:t>
      </w:r>
      <w:r w:rsidR="00C9650D" w:rsidRPr="003B2855">
        <w:rPr>
          <w:rFonts w:asciiTheme="minorHAnsi" w:hAnsiTheme="minorHAnsi" w:cstheme="minorHAnsi"/>
          <w:sz w:val="22"/>
          <w:szCs w:val="22"/>
        </w:rPr>
        <w:t xml:space="preserve"> </w:t>
      </w:r>
      <w:r w:rsidR="003B2855" w:rsidRPr="003B2855">
        <w:rPr>
          <w:rFonts w:asciiTheme="minorHAnsi" w:hAnsiTheme="minorHAnsi" w:cstheme="minorHAnsi"/>
          <w:sz w:val="22"/>
          <w:szCs w:val="22"/>
        </w:rPr>
        <w:t xml:space="preserve">(Van de Velde </w:t>
      </w:r>
      <w:r w:rsidR="003B2855" w:rsidRPr="003B2855">
        <w:rPr>
          <w:rFonts w:asciiTheme="minorHAnsi" w:hAnsiTheme="minorHAnsi" w:cstheme="minorHAnsi"/>
          <w:i/>
          <w:iCs/>
          <w:sz w:val="22"/>
          <w:szCs w:val="22"/>
        </w:rPr>
        <w:t xml:space="preserve">et al. </w:t>
      </w:r>
      <w:r w:rsidR="003B2855" w:rsidRPr="003B2855">
        <w:rPr>
          <w:rFonts w:asciiTheme="minorHAnsi" w:hAnsiTheme="minorHAnsi" w:cstheme="minorHAnsi"/>
          <w:sz w:val="22"/>
          <w:szCs w:val="22"/>
        </w:rPr>
        <w:t>2018)</w:t>
      </w:r>
      <w:r w:rsidRPr="003B2855">
        <w:rPr>
          <w:rFonts w:asciiTheme="minorHAnsi" w:hAnsiTheme="minorHAnsi" w:cstheme="minorHAnsi"/>
          <w:sz w:val="22"/>
          <w:szCs w:val="22"/>
        </w:rPr>
        <w:t>.</w:t>
      </w:r>
      <w:r>
        <w:rPr>
          <w:rFonts w:asciiTheme="minorHAnsi" w:hAnsiTheme="minorHAnsi" w:cstheme="minorHAnsi"/>
          <w:sz w:val="22"/>
          <w:szCs w:val="22"/>
        </w:rPr>
        <w:t xml:space="preserve"> </w:t>
      </w:r>
      <w:r w:rsidR="00C9650D">
        <w:rPr>
          <w:rFonts w:asciiTheme="minorHAnsi" w:hAnsiTheme="minorHAnsi" w:cstheme="minorHAnsi"/>
          <w:sz w:val="22"/>
          <w:szCs w:val="22"/>
        </w:rPr>
        <w:t xml:space="preserve">Users can make an </w:t>
      </w:r>
      <w:r w:rsidR="00352C86">
        <w:rPr>
          <w:rFonts w:asciiTheme="minorHAnsi" w:hAnsiTheme="minorHAnsi" w:cstheme="minorHAnsi"/>
          <w:sz w:val="22"/>
          <w:szCs w:val="22"/>
        </w:rPr>
        <w:t>informed decision</w:t>
      </w:r>
      <w:r w:rsidR="00C9650D">
        <w:rPr>
          <w:rFonts w:asciiTheme="minorHAnsi" w:hAnsiTheme="minorHAnsi" w:cstheme="minorHAnsi"/>
          <w:sz w:val="22"/>
          <w:szCs w:val="22"/>
        </w:rPr>
        <w:t xml:space="preserve"> whether they want to adhere to the CDS guidance and will be more likely to trust the advice provided (</w:t>
      </w:r>
      <w:r w:rsidR="002E696B">
        <w:rPr>
          <w:rFonts w:asciiTheme="minorHAnsi" w:hAnsiTheme="minorHAnsi" w:cstheme="minorHAnsi"/>
          <w:sz w:val="22"/>
          <w:szCs w:val="22"/>
        </w:rPr>
        <w:t>Jones, Thornton and Wyatt, 2021)</w:t>
      </w:r>
      <w:r w:rsidR="00C9650D">
        <w:rPr>
          <w:rFonts w:asciiTheme="minorHAnsi" w:hAnsiTheme="minorHAnsi" w:cstheme="minorHAnsi"/>
          <w:sz w:val="22"/>
          <w:szCs w:val="22"/>
        </w:rPr>
        <w:t xml:space="preserve">. </w:t>
      </w:r>
      <w:r w:rsidR="002E696B">
        <w:rPr>
          <w:rFonts w:asciiTheme="minorHAnsi" w:hAnsiTheme="minorHAnsi" w:cstheme="minorHAnsi"/>
          <w:sz w:val="22"/>
          <w:szCs w:val="22"/>
        </w:rPr>
        <w:t xml:space="preserve">This needs to be balanced however, with the risk of providing the user with too much information, </w:t>
      </w:r>
      <w:r w:rsidR="00790E96">
        <w:rPr>
          <w:rFonts w:asciiTheme="minorHAnsi" w:hAnsiTheme="minorHAnsi" w:cstheme="minorHAnsi"/>
          <w:sz w:val="22"/>
          <w:szCs w:val="22"/>
        </w:rPr>
        <w:t>p</w:t>
      </w:r>
      <w:r w:rsidR="002E696B">
        <w:rPr>
          <w:rFonts w:asciiTheme="minorHAnsi" w:hAnsiTheme="minorHAnsi" w:cstheme="minorHAnsi"/>
          <w:sz w:val="22"/>
          <w:szCs w:val="22"/>
        </w:rPr>
        <w:t xml:space="preserve">otentially disrupting their ability to utilise the CDS advice effectively as part of a review (Van de Velde </w:t>
      </w:r>
      <w:r w:rsidR="002E696B">
        <w:rPr>
          <w:rFonts w:asciiTheme="minorHAnsi" w:hAnsiTheme="minorHAnsi" w:cstheme="minorHAnsi"/>
          <w:i/>
          <w:iCs/>
          <w:sz w:val="22"/>
          <w:szCs w:val="22"/>
        </w:rPr>
        <w:t xml:space="preserve">et al. </w:t>
      </w:r>
      <w:r w:rsidR="002E696B">
        <w:rPr>
          <w:rFonts w:asciiTheme="minorHAnsi" w:hAnsiTheme="minorHAnsi" w:cstheme="minorHAnsi"/>
          <w:sz w:val="22"/>
          <w:szCs w:val="22"/>
        </w:rPr>
        <w:t xml:space="preserve">2018). </w:t>
      </w:r>
      <w:r w:rsidR="00790E96">
        <w:rPr>
          <w:rFonts w:asciiTheme="minorHAnsi" w:hAnsiTheme="minorHAnsi" w:cstheme="minorHAnsi"/>
          <w:sz w:val="22"/>
          <w:szCs w:val="22"/>
        </w:rPr>
        <w:t xml:space="preserve">Involving stakeholders within an iterative design process should help mitigate this challenge. </w:t>
      </w:r>
    </w:p>
    <w:p w14:paraId="3BE3E7FA" w14:textId="31472E53" w:rsidR="0077576C" w:rsidRDefault="0077576C" w:rsidP="00CD0D98">
      <w:pPr>
        <w:rPr>
          <w:rFonts w:asciiTheme="minorHAnsi" w:hAnsiTheme="minorHAnsi" w:cstheme="minorHAnsi"/>
          <w:i/>
          <w:iCs/>
          <w:sz w:val="22"/>
          <w:szCs w:val="22"/>
        </w:rPr>
      </w:pPr>
    </w:p>
    <w:p w14:paraId="12C8EB17" w14:textId="40EF8907" w:rsidR="0077576C" w:rsidRDefault="0077576C" w:rsidP="00CD0D98">
      <w:pPr>
        <w:rPr>
          <w:rFonts w:asciiTheme="minorHAnsi" w:hAnsiTheme="minorHAnsi" w:cstheme="minorHAnsi"/>
          <w:i/>
          <w:iCs/>
          <w:sz w:val="22"/>
          <w:szCs w:val="22"/>
        </w:rPr>
      </w:pPr>
    </w:p>
    <w:p w14:paraId="4068A9CF" w14:textId="52B7091C" w:rsidR="0077576C" w:rsidRPr="00144844" w:rsidRDefault="0077576C" w:rsidP="00CD0D98">
      <w:pPr>
        <w:rPr>
          <w:rFonts w:asciiTheme="minorHAnsi" w:hAnsiTheme="minorHAnsi" w:cstheme="minorHAnsi"/>
          <w:b/>
          <w:bCs/>
          <w:i/>
          <w:iCs/>
          <w:sz w:val="22"/>
          <w:szCs w:val="22"/>
        </w:rPr>
      </w:pPr>
      <w:r w:rsidRPr="00144844">
        <w:rPr>
          <w:rFonts w:asciiTheme="minorHAnsi" w:hAnsiTheme="minorHAnsi" w:cstheme="minorHAnsi"/>
          <w:b/>
          <w:bCs/>
          <w:i/>
          <w:iCs/>
          <w:sz w:val="22"/>
          <w:szCs w:val="22"/>
        </w:rPr>
        <w:t>The CDS system</w:t>
      </w:r>
    </w:p>
    <w:p w14:paraId="397F751D" w14:textId="77777777" w:rsidR="00DF4CE8" w:rsidRDefault="00DF4CE8" w:rsidP="00CD0D98">
      <w:pPr>
        <w:rPr>
          <w:rFonts w:asciiTheme="minorHAnsi" w:hAnsiTheme="minorHAnsi" w:cstheme="minorHAnsi"/>
          <w:i/>
          <w:iCs/>
          <w:sz w:val="22"/>
          <w:szCs w:val="22"/>
        </w:rPr>
      </w:pPr>
    </w:p>
    <w:p w14:paraId="038B65F8" w14:textId="6291766E" w:rsidR="00DF4CE8" w:rsidRDefault="00DF4CE8" w:rsidP="00CD0D98">
      <w:pPr>
        <w:rPr>
          <w:rFonts w:asciiTheme="minorHAnsi" w:hAnsiTheme="minorHAnsi" w:cstheme="minorHAnsi"/>
          <w:color w:val="000000" w:themeColor="text1"/>
          <w:sz w:val="22"/>
          <w:szCs w:val="22"/>
          <w:shd w:val="clear" w:color="auto" w:fill="FFFFFF"/>
        </w:rPr>
      </w:pPr>
      <w:r>
        <w:rPr>
          <w:rFonts w:asciiTheme="minorHAnsi" w:hAnsiTheme="minorHAnsi" w:cstheme="minorHAnsi"/>
          <w:sz w:val="22"/>
          <w:szCs w:val="22"/>
        </w:rPr>
        <w:t xml:space="preserve">The CDS should be designed in a way that compliments the workflow associated with undertaking a detailed medicines review. The polypharmacy CDS </w:t>
      </w:r>
      <w:r w:rsidR="009B4B5F">
        <w:rPr>
          <w:rFonts w:asciiTheme="minorHAnsi" w:hAnsiTheme="minorHAnsi" w:cstheme="minorHAnsi"/>
          <w:sz w:val="22"/>
          <w:szCs w:val="22"/>
        </w:rPr>
        <w:t>tool,</w:t>
      </w:r>
      <w:r>
        <w:rPr>
          <w:rFonts w:asciiTheme="minorHAnsi" w:hAnsiTheme="minorHAnsi" w:cstheme="minorHAnsi"/>
          <w:sz w:val="22"/>
          <w:szCs w:val="22"/>
        </w:rPr>
        <w:t xml:space="preserve"> therefore, should not </w:t>
      </w:r>
      <w:r w:rsidR="001D53C0">
        <w:rPr>
          <w:rFonts w:asciiTheme="minorHAnsi" w:hAnsiTheme="minorHAnsi" w:cstheme="minorHAnsi"/>
          <w:sz w:val="22"/>
          <w:szCs w:val="22"/>
        </w:rPr>
        <w:t xml:space="preserve">be presented to users as part of other workflows, unless this </w:t>
      </w:r>
      <w:r w:rsidR="009B4B5F">
        <w:rPr>
          <w:rFonts w:asciiTheme="minorHAnsi" w:hAnsiTheme="minorHAnsi" w:cstheme="minorHAnsi"/>
          <w:sz w:val="22"/>
          <w:szCs w:val="22"/>
        </w:rPr>
        <w:t>has explicitly been</w:t>
      </w:r>
      <w:r w:rsidR="001D53C0">
        <w:rPr>
          <w:rFonts w:asciiTheme="minorHAnsi" w:hAnsiTheme="minorHAnsi" w:cstheme="minorHAnsi"/>
          <w:sz w:val="22"/>
          <w:szCs w:val="22"/>
        </w:rPr>
        <w:t xml:space="preserve"> agreed to by stakeholders. </w:t>
      </w:r>
      <w:r w:rsidR="00E163D2">
        <w:rPr>
          <w:rFonts w:asciiTheme="minorHAnsi" w:hAnsiTheme="minorHAnsi" w:cstheme="minorHAnsi"/>
          <w:sz w:val="22"/>
          <w:szCs w:val="22"/>
        </w:rPr>
        <w:t xml:space="preserve">Consideration should be given to “the five rights of clinical decision support”, first articulated by Sirajuddin and colleagues (Sirajuddin </w:t>
      </w:r>
      <w:r w:rsidR="00E163D2">
        <w:rPr>
          <w:rFonts w:asciiTheme="minorHAnsi" w:hAnsiTheme="minorHAnsi" w:cstheme="minorHAnsi"/>
          <w:i/>
          <w:iCs/>
          <w:sz w:val="22"/>
          <w:szCs w:val="22"/>
        </w:rPr>
        <w:t xml:space="preserve">et al. </w:t>
      </w:r>
      <w:r w:rsidR="00E163D2">
        <w:rPr>
          <w:rFonts w:asciiTheme="minorHAnsi" w:hAnsiTheme="minorHAnsi" w:cstheme="minorHAnsi"/>
          <w:sz w:val="22"/>
          <w:szCs w:val="22"/>
        </w:rPr>
        <w:t xml:space="preserve">2009). The right information needs to be given </w:t>
      </w:r>
      <w:r w:rsidR="00A05E9A">
        <w:rPr>
          <w:rFonts w:asciiTheme="minorHAnsi" w:hAnsiTheme="minorHAnsi" w:cstheme="minorHAnsi"/>
          <w:sz w:val="22"/>
          <w:szCs w:val="22"/>
        </w:rPr>
        <w:t xml:space="preserve">in the right context </w:t>
      </w:r>
      <w:r w:rsidR="00E163D2">
        <w:rPr>
          <w:rFonts w:asciiTheme="minorHAnsi" w:hAnsiTheme="minorHAnsi" w:cstheme="minorHAnsi"/>
          <w:sz w:val="22"/>
          <w:szCs w:val="22"/>
        </w:rPr>
        <w:t>to the right person at the right time</w:t>
      </w:r>
      <w:r w:rsidR="00A05E9A">
        <w:rPr>
          <w:rFonts w:asciiTheme="minorHAnsi" w:hAnsiTheme="minorHAnsi" w:cstheme="minorHAnsi"/>
          <w:sz w:val="22"/>
          <w:szCs w:val="22"/>
        </w:rPr>
        <w:t xml:space="preserve"> </w:t>
      </w:r>
      <w:r w:rsidR="00E163D2">
        <w:rPr>
          <w:rFonts w:asciiTheme="minorHAnsi" w:hAnsiTheme="minorHAnsi" w:cstheme="minorHAnsi"/>
          <w:sz w:val="22"/>
          <w:szCs w:val="22"/>
        </w:rPr>
        <w:t xml:space="preserve">and as part of the right process. </w:t>
      </w:r>
      <w:r w:rsidR="001D53C0">
        <w:rPr>
          <w:rFonts w:asciiTheme="minorHAnsi" w:hAnsiTheme="minorHAnsi" w:cstheme="minorHAnsi"/>
          <w:sz w:val="22"/>
          <w:szCs w:val="22"/>
        </w:rPr>
        <w:t>CDS currently exists with</w:t>
      </w:r>
      <w:r w:rsidR="009B4B5F">
        <w:rPr>
          <w:rFonts w:asciiTheme="minorHAnsi" w:hAnsiTheme="minorHAnsi" w:cstheme="minorHAnsi"/>
          <w:sz w:val="22"/>
          <w:szCs w:val="22"/>
        </w:rPr>
        <w:t>in</w:t>
      </w:r>
      <w:r w:rsidR="001D53C0">
        <w:rPr>
          <w:rFonts w:asciiTheme="minorHAnsi" w:hAnsiTheme="minorHAnsi" w:cstheme="minorHAnsi"/>
          <w:sz w:val="22"/>
          <w:szCs w:val="22"/>
        </w:rPr>
        <w:t xml:space="preserve"> primary care prescribing systems in Cardiff, to help inform prescribers of drug interactions, potential allergies as well as cost-saving advice. Providing additional unnecessary CDS </w:t>
      </w:r>
      <w:r w:rsidR="009B4B5F">
        <w:rPr>
          <w:rFonts w:asciiTheme="minorHAnsi" w:hAnsiTheme="minorHAnsi" w:cstheme="minorHAnsi"/>
          <w:sz w:val="22"/>
          <w:szCs w:val="22"/>
        </w:rPr>
        <w:t>functionality,</w:t>
      </w:r>
      <w:r w:rsidR="001D53C0">
        <w:rPr>
          <w:rFonts w:asciiTheme="minorHAnsi" w:hAnsiTheme="minorHAnsi" w:cstheme="minorHAnsi"/>
          <w:sz w:val="22"/>
          <w:szCs w:val="22"/>
        </w:rPr>
        <w:t xml:space="preserve"> therefore, would not be beneficial to </w:t>
      </w:r>
      <w:r w:rsidR="009B4B5F">
        <w:rPr>
          <w:rFonts w:asciiTheme="minorHAnsi" w:hAnsiTheme="minorHAnsi" w:cstheme="minorHAnsi"/>
          <w:sz w:val="22"/>
          <w:szCs w:val="22"/>
        </w:rPr>
        <w:t>users and</w:t>
      </w:r>
      <w:r w:rsidR="001D53C0">
        <w:rPr>
          <w:rFonts w:asciiTheme="minorHAnsi" w:hAnsiTheme="minorHAnsi" w:cstheme="minorHAnsi"/>
          <w:sz w:val="22"/>
          <w:szCs w:val="22"/>
        </w:rPr>
        <w:t xml:space="preserve"> may potentially add to alert fatigue. </w:t>
      </w:r>
      <w:r w:rsidR="009B4B5F">
        <w:rPr>
          <w:rFonts w:asciiTheme="minorHAnsi" w:hAnsiTheme="minorHAnsi" w:cstheme="minorHAnsi"/>
          <w:sz w:val="22"/>
          <w:szCs w:val="22"/>
        </w:rPr>
        <w:t>Information</w:t>
      </w:r>
      <w:r w:rsidR="001D53C0">
        <w:rPr>
          <w:rFonts w:asciiTheme="minorHAnsi" w:hAnsiTheme="minorHAnsi" w:cstheme="minorHAnsi"/>
          <w:sz w:val="22"/>
          <w:szCs w:val="22"/>
        </w:rPr>
        <w:t xml:space="preserve"> provided to users as art of CDS needs to be the right information for the workflow </w:t>
      </w:r>
      <w:r w:rsidR="009B4B5F" w:rsidRPr="009B4B5F">
        <w:rPr>
          <w:rFonts w:asciiTheme="minorHAnsi" w:hAnsiTheme="minorHAnsi" w:cstheme="minorHAnsi"/>
          <w:sz w:val="22"/>
          <w:szCs w:val="22"/>
        </w:rPr>
        <w:t>(</w:t>
      </w:r>
      <w:proofErr w:type="spellStart"/>
      <w:r w:rsidR="009B4B5F" w:rsidRPr="009B4B5F">
        <w:rPr>
          <w:rFonts w:asciiTheme="minorHAnsi" w:hAnsiTheme="minorHAnsi" w:cstheme="minorHAnsi"/>
          <w:color w:val="000000" w:themeColor="text1"/>
          <w:sz w:val="22"/>
          <w:szCs w:val="22"/>
          <w:shd w:val="clear" w:color="auto" w:fill="FFFFFF"/>
        </w:rPr>
        <w:t>Olakotan</w:t>
      </w:r>
      <w:proofErr w:type="spellEnd"/>
      <w:r w:rsidR="009B4B5F" w:rsidRPr="009B4B5F">
        <w:rPr>
          <w:rFonts w:asciiTheme="minorHAnsi" w:hAnsiTheme="minorHAnsi" w:cstheme="minorHAnsi"/>
          <w:color w:val="000000" w:themeColor="text1"/>
          <w:sz w:val="22"/>
          <w:szCs w:val="22"/>
          <w:shd w:val="clear" w:color="auto" w:fill="FFFFFF"/>
        </w:rPr>
        <w:t xml:space="preserve"> </w:t>
      </w:r>
      <w:r w:rsidR="009B4B5F" w:rsidRPr="009B4B5F">
        <w:rPr>
          <w:rFonts w:asciiTheme="minorHAnsi" w:hAnsiTheme="minorHAnsi" w:cstheme="minorHAnsi"/>
          <w:color w:val="000000" w:themeColor="text1"/>
          <w:sz w:val="22"/>
          <w:szCs w:val="22"/>
          <w:shd w:val="clear" w:color="auto" w:fill="FFFFFF"/>
        </w:rPr>
        <w:t>and Yusof, 2020)</w:t>
      </w:r>
      <w:r w:rsidR="009B4B5F">
        <w:rPr>
          <w:rFonts w:asciiTheme="minorHAnsi" w:hAnsiTheme="minorHAnsi" w:cstheme="minorHAnsi"/>
          <w:color w:val="000000" w:themeColor="text1"/>
          <w:sz w:val="22"/>
          <w:szCs w:val="22"/>
          <w:shd w:val="clear" w:color="auto" w:fill="FFFFFF"/>
        </w:rPr>
        <w:t xml:space="preserve">. </w:t>
      </w:r>
    </w:p>
    <w:p w14:paraId="7BE1660B" w14:textId="1114BB18" w:rsidR="009B4B5F" w:rsidRDefault="009B4B5F" w:rsidP="00CD0D98">
      <w:pPr>
        <w:rPr>
          <w:rFonts w:asciiTheme="minorHAnsi" w:hAnsiTheme="minorHAnsi" w:cstheme="minorHAnsi"/>
          <w:color w:val="000000" w:themeColor="text1"/>
          <w:sz w:val="22"/>
          <w:szCs w:val="22"/>
          <w:shd w:val="clear" w:color="auto" w:fill="FFFFFF"/>
        </w:rPr>
      </w:pPr>
    </w:p>
    <w:p w14:paraId="06C442AA" w14:textId="27F28850" w:rsidR="008F4D72" w:rsidRDefault="009B4B5F" w:rsidP="00CD0D98">
      <w:pPr>
        <w:rPr>
          <w:rFonts w:asciiTheme="minorHAnsi" w:hAnsiTheme="minorHAnsi" w:cstheme="minorHAnsi"/>
          <w:i/>
          <w:iCs/>
          <w:sz w:val="22"/>
          <w:szCs w:val="22"/>
        </w:rPr>
      </w:pPr>
      <w:r>
        <w:rPr>
          <w:rFonts w:asciiTheme="minorHAnsi" w:hAnsiTheme="minorHAnsi" w:cstheme="minorHAnsi"/>
          <w:sz w:val="22"/>
          <w:szCs w:val="22"/>
        </w:rPr>
        <w:t xml:space="preserve">User acceptability </w:t>
      </w:r>
      <w:r w:rsidR="007B0A41">
        <w:rPr>
          <w:rFonts w:asciiTheme="minorHAnsi" w:hAnsiTheme="minorHAnsi" w:cstheme="minorHAnsi"/>
          <w:sz w:val="22"/>
          <w:szCs w:val="22"/>
        </w:rPr>
        <w:t>must</w:t>
      </w:r>
      <w:r>
        <w:rPr>
          <w:rFonts w:asciiTheme="minorHAnsi" w:hAnsiTheme="minorHAnsi" w:cstheme="minorHAnsi"/>
          <w:sz w:val="22"/>
          <w:szCs w:val="22"/>
        </w:rPr>
        <w:t xml:space="preserve"> be an important consideration, especially at the point of designing the system. What is the </w:t>
      </w:r>
      <w:r w:rsidR="00C43F9C">
        <w:rPr>
          <w:rFonts w:asciiTheme="minorHAnsi" w:hAnsiTheme="minorHAnsi" w:cstheme="minorHAnsi"/>
          <w:sz w:val="22"/>
          <w:szCs w:val="22"/>
        </w:rPr>
        <w:t xml:space="preserve">exact correct time, within a process, to provide advice to the user? How should that information be presented, and should there be a difference in how clinically important information is presented compared to relatively less pertinent advice? </w:t>
      </w:r>
      <w:r w:rsidR="00C43F9C" w:rsidRPr="009B4B5F">
        <w:rPr>
          <w:rFonts w:asciiTheme="minorHAnsi" w:hAnsiTheme="minorHAnsi" w:cstheme="minorHAnsi"/>
          <w:sz w:val="22"/>
          <w:szCs w:val="22"/>
        </w:rPr>
        <w:t>(</w:t>
      </w:r>
      <w:proofErr w:type="spellStart"/>
      <w:r w:rsidR="00C43F9C" w:rsidRPr="009B4B5F">
        <w:rPr>
          <w:rFonts w:asciiTheme="minorHAnsi" w:hAnsiTheme="minorHAnsi" w:cstheme="minorHAnsi"/>
          <w:color w:val="000000" w:themeColor="text1"/>
          <w:sz w:val="22"/>
          <w:szCs w:val="22"/>
          <w:shd w:val="clear" w:color="auto" w:fill="FFFFFF"/>
        </w:rPr>
        <w:t>Olakotan</w:t>
      </w:r>
      <w:proofErr w:type="spellEnd"/>
      <w:r w:rsidR="00C43F9C" w:rsidRPr="009B4B5F">
        <w:rPr>
          <w:rFonts w:asciiTheme="minorHAnsi" w:hAnsiTheme="minorHAnsi" w:cstheme="minorHAnsi"/>
          <w:color w:val="000000" w:themeColor="text1"/>
          <w:sz w:val="22"/>
          <w:szCs w:val="22"/>
          <w:shd w:val="clear" w:color="auto" w:fill="FFFFFF"/>
        </w:rPr>
        <w:t xml:space="preserve"> and Yusof, 2020)</w:t>
      </w:r>
      <w:r w:rsidR="00C43F9C">
        <w:rPr>
          <w:rFonts w:asciiTheme="minorHAnsi" w:hAnsiTheme="minorHAnsi" w:cstheme="minorHAnsi"/>
          <w:color w:val="000000" w:themeColor="text1"/>
          <w:sz w:val="22"/>
          <w:szCs w:val="22"/>
          <w:shd w:val="clear" w:color="auto" w:fill="FFFFFF"/>
        </w:rPr>
        <w:t>.</w:t>
      </w:r>
      <w:r w:rsidR="00C43F9C">
        <w:rPr>
          <w:rFonts w:asciiTheme="minorHAnsi" w:hAnsiTheme="minorHAnsi" w:cstheme="minorHAnsi"/>
          <w:color w:val="000000" w:themeColor="text1"/>
          <w:sz w:val="22"/>
          <w:szCs w:val="22"/>
          <w:shd w:val="clear" w:color="auto" w:fill="FFFFFF"/>
        </w:rPr>
        <w:t xml:space="preserve"> Clinical stakeholders should be involved in answering these questions, and some may be </w:t>
      </w:r>
      <w:r w:rsidR="00B03217">
        <w:rPr>
          <w:rFonts w:asciiTheme="minorHAnsi" w:hAnsiTheme="minorHAnsi" w:cstheme="minorHAnsi"/>
          <w:color w:val="000000" w:themeColor="text1"/>
          <w:sz w:val="22"/>
          <w:szCs w:val="22"/>
          <w:shd w:val="clear" w:color="auto" w:fill="FFFFFF"/>
        </w:rPr>
        <w:t>easier</w:t>
      </w:r>
      <w:r w:rsidR="00C43F9C">
        <w:rPr>
          <w:rFonts w:asciiTheme="minorHAnsi" w:hAnsiTheme="minorHAnsi" w:cstheme="minorHAnsi"/>
          <w:color w:val="000000" w:themeColor="text1"/>
          <w:sz w:val="22"/>
          <w:szCs w:val="22"/>
          <w:shd w:val="clear" w:color="auto" w:fill="FFFFFF"/>
        </w:rPr>
        <w:t xml:space="preserve"> to answer than others, with an understanding that some decision may need to be tested in user acceptance testing or a pilot environment. </w:t>
      </w:r>
      <w:r w:rsidR="00F3171C">
        <w:rPr>
          <w:rFonts w:asciiTheme="minorHAnsi" w:hAnsiTheme="minorHAnsi" w:cstheme="minorHAnsi"/>
          <w:color w:val="000000" w:themeColor="text1"/>
          <w:sz w:val="22"/>
          <w:szCs w:val="22"/>
          <w:shd w:val="clear" w:color="auto" w:fill="FFFFFF"/>
        </w:rPr>
        <w:t xml:space="preserve">Having an iterative design </w:t>
      </w:r>
      <w:r w:rsidR="00B03217">
        <w:rPr>
          <w:rFonts w:asciiTheme="minorHAnsi" w:hAnsiTheme="minorHAnsi" w:cstheme="minorHAnsi"/>
          <w:color w:val="000000" w:themeColor="text1"/>
          <w:sz w:val="22"/>
          <w:szCs w:val="22"/>
          <w:shd w:val="clear" w:color="auto" w:fill="FFFFFF"/>
        </w:rPr>
        <w:t>process and</w:t>
      </w:r>
      <w:r w:rsidR="00F3171C">
        <w:rPr>
          <w:rFonts w:asciiTheme="minorHAnsi" w:hAnsiTheme="minorHAnsi" w:cstheme="minorHAnsi"/>
          <w:color w:val="000000" w:themeColor="text1"/>
          <w:sz w:val="22"/>
          <w:szCs w:val="22"/>
          <w:shd w:val="clear" w:color="auto" w:fill="FFFFFF"/>
        </w:rPr>
        <w:t xml:space="preserve"> utilising an agile project management methodology will help to deliver a CDS system that accurately delivers on the user needs </w:t>
      </w:r>
      <w:r w:rsidR="00F3171C" w:rsidRPr="00273354">
        <w:rPr>
          <w:rFonts w:asciiTheme="minorHAnsi" w:hAnsiTheme="minorHAnsi" w:cstheme="minorHAnsi"/>
          <w:color w:val="000000" w:themeColor="text1"/>
          <w:sz w:val="22"/>
          <w:szCs w:val="22"/>
          <w:shd w:val="clear" w:color="auto" w:fill="FFFFFF"/>
        </w:rPr>
        <w:t>(</w:t>
      </w:r>
      <w:r w:rsidR="00160993" w:rsidRPr="00273354">
        <w:rPr>
          <w:rFonts w:asciiTheme="minorHAnsi" w:hAnsiTheme="minorHAnsi" w:cstheme="minorHAnsi"/>
          <w:color w:val="000000" w:themeColor="text1"/>
          <w:sz w:val="22"/>
          <w:szCs w:val="22"/>
          <w:shd w:val="clear" w:color="auto" w:fill="FFFFFF"/>
        </w:rPr>
        <w:t>Fernande</w:t>
      </w:r>
      <w:r w:rsidR="00273354">
        <w:rPr>
          <w:rFonts w:asciiTheme="minorHAnsi" w:hAnsiTheme="minorHAnsi" w:cstheme="minorHAnsi"/>
          <w:color w:val="000000" w:themeColor="text1"/>
          <w:sz w:val="22"/>
          <w:szCs w:val="22"/>
          <w:shd w:val="clear" w:color="auto" w:fill="FFFFFF"/>
        </w:rPr>
        <w:t>z</w:t>
      </w:r>
      <w:r w:rsidR="00160993" w:rsidRPr="00273354">
        <w:rPr>
          <w:rFonts w:asciiTheme="minorHAnsi" w:hAnsiTheme="minorHAnsi" w:cstheme="minorHAnsi"/>
          <w:color w:val="000000" w:themeColor="text1"/>
          <w:sz w:val="22"/>
          <w:szCs w:val="22"/>
          <w:shd w:val="clear" w:color="auto" w:fill="FFFFFF"/>
        </w:rPr>
        <w:t xml:space="preserve"> and Fernandez</w:t>
      </w:r>
      <w:r w:rsidR="00273354" w:rsidRPr="00273354">
        <w:rPr>
          <w:rFonts w:asciiTheme="minorHAnsi" w:hAnsiTheme="minorHAnsi" w:cstheme="minorHAnsi"/>
          <w:color w:val="000000" w:themeColor="text1"/>
          <w:sz w:val="22"/>
          <w:szCs w:val="22"/>
          <w:shd w:val="clear" w:color="auto" w:fill="FFFFFF"/>
        </w:rPr>
        <w:t>, 2008</w:t>
      </w:r>
      <w:r w:rsidR="00F3171C" w:rsidRPr="00273354">
        <w:rPr>
          <w:rFonts w:asciiTheme="minorHAnsi" w:hAnsiTheme="minorHAnsi" w:cstheme="minorHAnsi"/>
          <w:color w:val="000000" w:themeColor="text1"/>
          <w:sz w:val="22"/>
          <w:szCs w:val="22"/>
          <w:shd w:val="clear" w:color="auto" w:fill="FFFFFF"/>
        </w:rPr>
        <w:t>).</w:t>
      </w:r>
      <w:r w:rsidR="00F3171C">
        <w:rPr>
          <w:rFonts w:asciiTheme="minorHAnsi" w:hAnsiTheme="minorHAnsi" w:cstheme="minorHAnsi"/>
          <w:color w:val="000000" w:themeColor="text1"/>
          <w:sz w:val="22"/>
          <w:szCs w:val="22"/>
          <w:shd w:val="clear" w:color="auto" w:fill="FFFFFF"/>
        </w:rPr>
        <w:t xml:space="preserve"> </w:t>
      </w:r>
    </w:p>
    <w:p w14:paraId="171A8776" w14:textId="77777777" w:rsidR="008F4D72" w:rsidRDefault="008F4D72" w:rsidP="00CD0D98">
      <w:pPr>
        <w:rPr>
          <w:rFonts w:asciiTheme="minorHAnsi" w:hAnsiTheme="minorHAnsi" w:cstheme="minorHAnsi"/>
          <w:i/>
          <w:iCs/>
          <w:sz w:val="22"/>
          <w:szCs w:val="22"/>
        </w:rPr>
      </w:pPr>
    </w:p>
    <w:p w14:paraId="3F9D4F49" w14:textId="5EAAE757" w:rsidR="0077576C" w:rsidRDefault="00F3171C" w:rsidP="00CD0D98">
      <w:pPr>
        <w:rPr>
          <w:rFonts w:asciiTheme="minorHAnsi" w:hAnsiTheme="minorHAnsi" w:cstheme="minorHAnsi"/>
          <w:sz w:val="22"/>
          <w:szCs w:val="22"/>
        </w:rPr>
      </w:pPr>
      <w:r>
        <w:rPr>
          <w:rFonts w:asciiTheme="minorHAnsi" w:hAnsiTheme="minorHAnsi" w:cstheme="minorHAnsi"/>
          <w:sz w:val="22"/>
          <w:szCs w:val="22"/>
        </w:rPr>
        <w:t xml:space="preserve">Detailed medicines reviews should be undertaken in consultation with the patient (RPS, 2023). This helps to encourage a balanced discussion, utilising a </w:t>
      </w:r>
      <w:proofErr w:type="gramStart"/>
      <w:r>
        <w:rPr>
          <w:rFonts w:asciiTheme="minorHAnsi" w:hAnsiTheme="minorHAnsi" w:cstheme="minorHAnsi"/>
          <w:sz w:val="22"/>
          <w:szCs w:val="22"/>
        </w:rPr>
        <w:t>patient’s</w:t>
      </w:r>
      <w:proofErr w:type="gramEnd"/>
      <w:r>
        <w:rPr>
          <w:rFonts w:asciiTheme="minorHAnsi" w:hAnsiTheme="minorHAnsi" w:cstheme="minorHAnsi"/>
          <w:sz w:val="22"/>
          <w:szCs w:val="22"/>
        </w:rPr>
        <w:t xml:space="preserve"> prioritise and wishes as part of the</w:t>
      </w:r>
      <w:r w:rsidR="00B2783E">
        <w:rPr>
          <w:rFonts w:asciiTheme="minorHAnsi" w:hAnsiTheme="minorHAnsi" w:cstheme="minorHAnsi"/>
          <w:sz w:val="22"/>
          <w:szCs w:val="22"/>
        </w:rPr>
        <w:t xml:space="preserve"> plan including helping to encouraged shared-decision making, which has been shown to improve medicine adherence</w:t>
      </w:r>
      <w:r w:rsidR="00273354">
        <w:rPr>
          <w:rFonts w:asciiTheme="minorHAnsi" w:hAnsiTheme="minorHAnsi" w:cstheme="minorHAnsi"/>
          <w:sz w:val="22"/>
          <w:szCs w:val="22"/>
        </w:rPr>
        <w:t xml:space="preserve"> (Elwyn </w:t>
      </w:r>
      <w:r w:rsidR="00273354">
        <w:rPr>
          <w:rFonts w:asciiTheme="minorHAnsi" w:hAnsiTheme="minorHAnsi" w:cstheme="minorHAnsi"/>
          <w:i/>
          <w:iCs/>
          <w:sz w:val="22"/>
          <w:szCs w:val="22"/>
        </w:rPr>
        <w:t xml:space="preserve">et al. </w:t>
      </w:r>
      <w:r w:rsidR="00273354">
        <w:rPr>
          <w:rFonts w:asciiTheme="minorHAnsi" w:hAnsiTheme="minorHAnsi" w:cstheme="minorHAnsi"/>
          <w:sz w:val="22"/>
          <w:szCs w:val="22"/>
        </w:rPr>
        <w:t xml:space="preserve">2012). </w:t>
      </w:r>
      <w:r w:rsidR="00B2783E">
        <w:rPr>
          <w:rFonts w:asciiTheme="minorHAnsi" w:hAnsiTheme="minorHAnsi" w:cstheme="minorHAnsi"/>
          <w:sz w:val="22"/>
          <w:szCs w:val="22"/>
        </w:rPr>
        <w:t>A potential future development, therefore, could be developing a patient interface to the same CDS advice. National developments in implementing an NHS Wales mobile application as well as the work undertaken as part of the national digital medicines transformation portfolio could provide a platform for this</w:t>
      </w:r>
      <w:r w:rsidR="00A426F0">
        <w:rPr>
          <w:rFonts w:asciiTheme="minorHAnsi" w:hAnsiTheme="minorHAnsi" w:cstheme="minorHAnsi"/>
          <w:sz w:val="22"/>
          <w:szCs w:val="22"/>
        </w:rPr>
        <w:t xml:space="preserve"> </w:t>
      </w:r>
      <w:r w:rsidR="00CB0D25">
        <w:rPr>
          <w:rFonts w:asciiTheme="minorHAnsi" w:hAnsiTheme="minorHAnsi" w:cstheme="minorHAnsi"/>
          <w:sz w:val="22"/>
          <w:szCs w:val="22"/>
        </w:rPr>
        <w:t>(DHCW, 2023)</w:t>
      </w:r>
      <w:r w:rsidR="00B2783E">
        <w:rPr>
          <w:rFonts w:asciiTheme="minorHAnsi" w:hAnsiTheme="minorHAnsi" w:cstheme="minorHAnsi"/>
          <w:sz w:val="22"/>
          <w:szCs w:val="22"/>
        </w:rPr>
        <w:t xml:space="preserve"> Patient decision tools have been shown to </w:t>
      </w:r>
      <w:r w:rsidR="00A426F0">
        <w:rPr>
          <w:rFonts w:asciiTheme="minorHAnsi" w:hAnsiTheme="minorHAnsi" w:cstheme="minorHAnsi"/>
          <w:sz w:val="22"/>
          <w:szCs w:val="22"/>
        </w:rPr>
        <w:t>effective in improving involvement and ownership of medicines (</w:t>
      </w:r>
      <w:r w:rsidR="00CB0D25">
        <w:rPr>
          <w:rFonts w:asciiTheme="minorHAnsi" w:hAnsiTheme="minorHAnsi" w:cstheme="minorHAnsi"/>
          <w:sz w:val="22"/>
          <w:szCs w:val="22"/>
        </w:rPr>
        <w:t xml:space="preserve">Austin </w:t>
      </w:r>
      <w:r w:rsidR="00CB0D25">
        <w:rPr>
          <w:rFonts w:asciiTheme="minorHAnsi" w:hAnsiTheme="minorHAnsi" w:cstheme="minorHAnsi"/>
          <w:i/>
          <w:iCs/>
          <w:sz w:val="22"/>
          <w:szCs w:val="22"/>
        </w:rPr>
        <w:t xml:space="preserve">et al. </w:t>
      </w:r>
      <w:r w:rsidR="00B03217">
        <w:rPr>
          <w:rFonts w:asciiTheme="minorHAnsi" w:hAnsiTheme="minorHAnsi" w:cstheme="minorHAnsi"/>
          <w:sz w:val="22"/>
          <w:szCs w:val="22"/>
        </w:rPr>
        <w:t>2015</w:t>
      </w:r>
      <w:r w:rsidR="00A426F0">
        <w:rPr>
          <w:rFonts w:asciiTheme="minorHAnsi" w:hAnsiTheme="minorHAnsi" w:cstheme="minorHAnsi"/>
          <w:sz w:val="22"/>
          <w:szCs w:val="22"/>
        </w:rPr>
        <w:t xml:space="preserve">), which is an additional factor highlighted by the royal pharmaceutical society for improving problematic polypharmacy </w:t>
      </w:r>
      <w:r w:rsidR="00CB0D25">
        <w:rPr>
          <w:rFonts w:asciiTheme="minorHAnsi" w:hAnsiTheme="minorHAnsi" w:cstheme="minorHAnsi"/>
          <w:sz w:val="22"/>
          <w:szCs w:val="22"/>
        </w:rPr>
        <w:t>(RPS, 2023).</w:t>
      </w:r>
      <w:r w:rsidR="00A426F0">
        <w:rPr>
          <w:rFonts w:asciiTheme="minorHAnsi" w:hAnsiTheme="minorHAnsi" w:cstheme="minorHAnsi"/>
          <w:sz w:val="22"/>
          <w:szCs w:val="22"/>
        </w:rPr>
        <w:t xml:space="preserve"> </w:t>
      </w:r>
    </w:p>
    <w:p w14:paraId="570BD64F" w14:textId="77777777" w:rsidR="00A426F0" w:rsidRPr="00F3171C" w:rsidRDefault="00A426F0" w:rsidP="00CD0D98">
      <w:pPr>
        <w:rPr>
          <w:rFonts w:asciiTheme="minorHAnsi" w:hAnsiTheme="minorHAnsi" w:cstheme="minorHAnsi"/>
          <w:sz w:val="22"/>
          <w:szCs w:val="22"/>
        </w:rPr>
      </w:pPr>
    </w:p>
    <w:p w14:paraId="04254DE9" w14:textId="7C2988FC" w:rsidR="0077576C" w:rsidRDefault="0077576C" w:rsidP="00CD0D98">
      <w:pPr>
        <w:rPr>
          <w:rFonts w:asciiTheme="minorHAnsi" w:hAnsiTheme="minorHAnsi" w:cstheme="minorHAnsi"/>
          <w:b/>
          <w:bCs/>
          <w:i/>
          <w:iCs/>
          <w:sz w:val="22"/>
          <w:szCs w:val="22"/>
        </w:rPr>
      </w:pPr>
      <w:r w:rsidRPr="00144844">
        <w:rPr>
          <w:rFonts w:asciiTheme="minorHAnsi" w:hAnsiTheme="minorHAnsi" w:cstheme="minorHAnsi"/>
          <w:b/>
          <w:bCs/>
          <w:i/>
          <w:iCs/>
          <w:sz w:val="22"/>
          <w:szCs w:val="22"/>
        </w:rPr>
        <w:t>Implementing the CDS system</w:t>
      </w:r>
    </w:p>
    <w:p w14:paraId="60792827" w14:textId="30855801" w:rsidR="00A426F0" w:rsidRDefault="00A426F0" w:rsidP="00CD0D98">
      <w:pPr>
        <w:rPr>
          <w:rFonts w:asciiTheme="minorHAnsi" w:hAnsiTheme="minorHAnsi" w:cstheme="minorHAnsi"/>
          <w:b/>
          <w:bCs/>
          <w:sz w:val="22"/>
          <w:szCs w:val="22"/>
        </w:rPr>
      </w:pPr>
    </w:p>
    <w:p w14:paraId="068DDEE1" w14:textId="4DBBA57A" w:rsidR="009E7A75" w:rsidRDefault="009E7A75" w:rsidP="00CD0D98">
      <w:pPr>
        <w:rPr>
          <w:rFonts w:asciiTheme="minorHAnsi" w:hAnsiTheme="minorHAnsi" w:cstheme="minorHAnsi"/>
          <w:sz w:val="22"/>
          <w:szCs w:val="22"/>
        </w:rPr>
      </w:pPr>
      <w:r w:rsidRPr="009E7A75">
        <w:rPr>
          <w:rFonts w:asciiTheme="minorHAnsi" w:hAnsiTheme="minorHAnsi" w:cstheme="minorHAnsi"/>
          <w:sz w:val="22"/>
          <w:szCs w:val="22"/>
        </w:rPr>
        <w:t>Creating a reliable and robust governance structure will be an important aspect to the implementation</w:t>
      </w:r>
      <w:r>
        <w:rPr>
          <w:rFonts w:asciiTheme="minorHAnsi" w:hAnsiTheme="minorHAnsi" w:cstheme="minorHAnsi"/>
          <w:sz w:val="22"/>
          <w:szCs w:val="22"/>
        </w:rPr>
        <w:t xml:space="preserve"> </w:t>
      </w:r>
      <w:r w:rsidR="00541CF3">
        <w:rPr>
          <w:rFonts w:asciiTheme="minorHAnsi" w:hAnsiTheme="minorHAnsi" w:cstheme="minorHAnsi"/>
          <w:sz w:val="22"/>
          <w:szCs w:val="22"/>
        </w:rPr>
        <w:t>(</w:t>
      </w:r>
      <w:proofErr w:type="spellStart"/>
      <w:r w:rsidR="00541CF3">
        <w:rPr>
          <w:rFonts w:asciiTheme="minorHAnsi" w:hAnsiTheme="minorHAnsi" w:cstheme="minorHAnsi"/>
          <w:sz w:val="22"/>
          <w:szCs w:val="22"/>
        </w:rPr>
        <w:t>Zwikael</w:t>
      </w:r>
      <w:proofErr w:type="spellEnd"/>
      <w:r w:rsidR="00541CF3">
        <w:rPr>
          <w:rFonts w:asciiTheme="minorHAnsi" w:hAnsiTheme="minorHAnsi" w:cstheme="minorHAnsi"/>
          <w:sz w:val="22"/>
          <w:szCs w:val="22"/>
        </w:rPr>
        <w:t xml:space="preserve"> and </w:t>
      </w:r>
      <w:proofErr w:type="spellStart"/>
      <w:r w:rsidR="00541CF3">
        <w:rPr>
          <w:rFonts w:asciiTheme="minorHAnsi" w:hAnsiTheme="minorHAnsi" w:cstheme="minorHAnsi"/>
          <w:sz w:val="22"/>
          <w:szCs w:val="22"/>
        </w:rPr>
        <w:t>Smvrk</w:t>
      </w:r>
      <w:proofErr w:type="spellEnd"/>
      <w:r w:rsidR="00541CF3">
        <w:rPr>
          <w:rFonts w:asciiTheme="minorHAnsi" w:hAnsiTheme="minorHAnsi" w:cstheme="minorHAnsi"/>
          <w:sz w:val="22"/>
          <w:szCs w:val="22"/>
        </w:rPr>
        <w:t xml:space="preserve">, 2015). </w:t>
      </w:r>
      <w:r>
        <w:rPr>
          <w:rFonts w:asciiTheme="minorHAnsi" w:hAnsiTheme="minorHAnsi" w:cstheme="minorHAnsi"/>
          <w:sz w:val="22"/>
          <w:szCs w:val="22"/>
        </w:rPr>
        <w:t>This will ensure that decisions made regarding the system</w:t>
      </w:r>
      <w:r w:rsidR="00D30019">
        <w:rPr>
          <w:rFonts w:asciiTheme="minorHAnsi" w:hAnsiTheme="minorHAnsi" w:cstheme="minorHAnsi"/>
          <w:sz w:val="22"/>
          <w:szCs w:val="22"/>
        </w:rPr>
        <w:t xml:space="preserve"> design,</w:t>
      </w:r>
      <w:r>
        <w:rPr>
          <w:rFonts w:asciiTheme="minorHAnsi" w:hAnsiTheme="minorHAnsi" w:cstheme="minorHAnsi"/>
          <w:sz w:val="22"/>
          <w:szCs w:val="22"/>
        </w:rPr>
        <w:t xml:space="preserve"> build and delivery has been considered carefully and in the best interest of </w:t>
      </w:r>
      <w:r w:rsidR="00D30019">
        <w:rPr>
          <w:rFonts w:asciiTheme="minorHAnsi" w:hAnsiTheme="minorHAnsi" w:cstheme="minorHAnsi"/>
          <w:sz w:val="22"/>
          <w:szCs w:val="22"/>
        </w:rPr>
        <w:t xml:space="preserve">the organisation, </w:t>
      </w:r>
      <w:r>
        <w:rPr>
          <w:rFonts w:asciiTheme="minorHAnsi" w:hAnsiTheme="minorHAnsi" w:cstheme="minorHAnsi"/>
          <w:sz w:val="22"/>
          <w:szCs w:val="22"/>
        </w:rPr>
        <w:t>clinical staff and patients. Strong governance has been shown to be an important factor in building trust among users (</w:t>
      </w:r>
      <w:proofErr w:type="spellStart"/>
      <w:r>
        <w:rPr>
          <w:rFonts w:asciiTheme="minorHAnsi" w:hAnsiTheme="minorHAnsi" w:cstheme="minorHAnsi"/>
          <w:sz w:val="22"/>
          <w:szCs w:val="22"/>
        </w:rPr>
        <w:t>Petkus</w:t>
      </w:r>
      <w:proofErr w:type="spellEnd"/>
      <w:r>
        <w:rPr>
          <w:rFonts w:asciiTheme="minorHAnsi" w:hAnsiTheme="minorHAnsi" w:cstheme="minorHAnsi"/>
          <w:sz w:val="22"/>
          <w:szCs w:val="22"/>
        </w:rPr>
        <w:t xml:space="preserve">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2020). </w:t>
      </w:r>
      <w:r w:rsidR="000A441F">
        <w:rPr>
          <w:rFonts w:asciiTheme="minorHAnsi" w:hAnsiTheme="minorHAnsi" w:cstheme="minorHAnsi"/>
          <w:sz w:val="22"/>
          <w:szCs w:val="22"/>
        </w:rPr>
        <w:t>Decisions made as part of implementation, need to be considered carefully, and made by the most appropriate people within the governance structure in a transparent way (</w:t>
      </w:r>
      <w:proofErr w:type="spellStart"/>
      <w:r w:rsidR="00D30019">
        <w:rPr>
          <w:rFonts w:asciiTheme="minorHAnsi" w:hAnsiTheme="minorHAnsi" w:cstheme="minorHAnsi"/>
          <w:sz w:val="22"/>
          <w:szCs w:val="22"/>
        </w:rPr>
        <w:t>Khairat</w:t>
      </w:r>
      <w:proofErr w:type="spellEnd"/>
      <w:r w:rsidR="00D30019">
        <w:rPr>
          <w:rFonts w:asciiTheme="minorHAnsi" w:hAnsiTheme="minorHAnsi" w:cstheme="minorHAnsi"/>
          <w:sz w:val="22"/>
          <w:szCs w:val="22"/>
        </w:rPr>
        <w:t xml:space="preserve"> </w:t>
      </w:r>
      <w:r w:rsidR="00D30019">
        <w:rPr>
          <w:rFonts w:asciiTheme="minorHAnsi" w:hAnsiTheme="minorHAnsi" w:cstheme="minorHAnsi"/>
          <w:i/>
          <w:iCs/>
          <w:sz w:val="22"/>
          <w:szCs w:val="22"/>
        </w:rPr>
        <w:t xml:space="preserve">et al. </w:t>
      </w:r>
      <w:r w:rsidR="00D30019">
        <w:rPr>
          <w:rFonts w:asciiTheme="minorHAnsi" w:hAnsiTheme="minorHAnsi" w:cstheme="minorHAnsi"/>
          <w:sz w:val="22"/>
          <w:szCs w:val="22"/>
        </w:rPr>
        <w:t>2018</w:t>
      </w:r>
      <w:r w:rsidR="000A441F">
        <w:rPr>
          <w:rFonts w:asciiTheme="minorHAnsi" w:hAnsiTheme="minorHAnsi" w:cstheme="minorHAnsi"/>
          <w:sz w:val="22"/>
          <w:szCs w:val="22"/>
        </w:rPr>
        <w:t xml:space="preserve">). </w:t>
      </w:r>
    </w:p>
    <w:p w14:paraId="41167A17" w14:textId="1656A577" w:rsidR="009E7A75" w:rsidRDefault="009E7A75" w:rsidP="00CD0D98">
      <w:pPr>
        <w:rPr>
          <w:rFonts w:asciiTheme="minorHAnsi" w:hAnsiTheme="minorHAnsi" w:cstheme="minorHAnsi"/>
          <w:sz w:val="22"/>
          <w:szCs w:val="22"/>
        </w:rPr>
      </w:pPr>
    </w:p>
    <w:p w14:paraId="1516894B" w14:textId="58DB6EF8" w:rsidR="009E7A75" w:rsidRDefault="009E7A75" w:rsidP="00CD0D98">
      <w:pPr>
        <w:rPr>
          <w:rFonts w:asciiTheme="minorHAnsi" w:hAnsiTheme="minorHAnsi" w:cstheme="minorHAnsi"/>
          <w:sz w:val="22"/>
          <w:szCs w:val="22"/>
        </w:rPr>
      </w:pPr>
      <w:r>
        <w:rPr>
          <w:rFonts w:asciiTheme="minorHAnsi" w:hAnsiTheme="minorHAnsi" w:cstheme="minorHAnsi"/>
          <w:sz w:val="22"/>
          <w:szCs w:val="22"/>
        </w:rPr>
        <w:t xml:space="preserve">Another key part of the decision making will be </w:t>
      </w:r>
      <w:r w:rsidR="001447C7">
        <w:rPr>
          <w:rFonts w:asciiTheme="minorHAnsi" w:hAnsiTheme="minorHAnsi" w:cstheme="minorHAnsi"/>
          <w:sz w:val="22"/>
          <w:szCs w:val="22"/>
        </w:rPr>
        <w:t xml:space="preserve">the degree to which the system is tested, prior to pilot and then further implementation. This will ensure the system works according to the development specification, but also works </w:t>
      </w:r>
      <w:r w:rsidR="000A5167">
        <w:rPr>
          <w:rFonts w:asciiTheme="minorHAnsi" w:hAnsiTheme="minorHAnsi" w:cstheme="minorHAnsi"/>
          <w:sz w:val="22"/>
          <w:szCs w:val="22"/>
        </w:rPr>
        <w:t>in a timely fashion without any stability issues</w:t>
      </w:r>
      <w:r w:rsidR="001447C7">
        <w:rPr>
          <w:rFonts w:asciiTheme="minorHAnsi" w:hAnsiTheme="minorHAnsi" w:cstheme="minorHAnsi"/>
          <w:sz w:val="22"/>
          <w:szCs w:val="22"/>
        </w:rPr>
        <w:t xml:space="preserve"> </w:t>
      </w:r>
      <w:r w:rsidR="000A5167">
        <w:rPr>
          <w:rFonts w:asciiTheme="minorHAnsi" w:hAnsiTheme="minorHAnsi" w:cstheme="minorHAnsi"/>
          <w:sz w:val="22"/>
          <w:szCs w:val="22"/>
        </w:rPr>
        <w:t>(Khan and Khan, 2014).</w:t>
      </w:r>
    </w:p>
    <w:p w14:paraId="0D909F8C" w14:textId="00457A6D" w:rsidR="001447C7" w:rsidRDefault="001447C7" w:rsidP="00CD0D98">
      <w:pPr>
        <w:rPr>
          <w:rFonts w:asciiTheme="minorHAnsi" w:hAnsiTheme="minorHAnsi" w:cstheme="minorHAnsi"/>
          <w:sz w:val="22"/>
          <w:szCs w:val="22"/>
        </w:rPr>
      </w:pPr>
    </w:p>
    <w:p w14:paraId="04764A3D" w14:textId="423B3DEA" w:rsidR="001447C7" w:rsidRDefault="001447C7" w:rsidP="00CD0D98">
      <w:pPr>
        <w:rPr>
          <w:rFonts w:asciiTheme="minorHAnsi" w:hAnsiTheme="minorHAnsi" w:cstheme="minorHAnsi"/>
          <w:sz w:val="22"/>
          <w:szCs w:val="22"/>
        </w:rPr>
      </w:pPr>
      <w:r>
        <w:rPr>
          <w:rFonts w:asciiTheme="minorHAnsi" w:hAnsiTheme="minorHAnsi" w:cstheme="minorHAnsi"/>
          <w:sz w:val="22"/>
          <w:szCs w:val="22"/>
        </w:rPr>
        <w:t xml:space="preserve">Before the CDS system is implemented and used by healthcare staff, users will need to receive sufficient testing in order to confidently know how to utilise the </w:t>
      </w:r>
      <w:proofErr w:type="gramStart"/>
      <w:r>
        <w:rPr>
          <w:rFonts w:asciiTheme="minorHAnsi" w:hAnsiTheme="minorHAnsi" w:cstheme="minorHAnsi"/>
          <w:sz w:val="22"/>
          <w:szCs w:val="22"/>
        </w:rPr>
        <w:t>system, and</w:t>
      </w:r>
      <w:proofErr w:type="gramEnd"/>
      <w:r>
        <w:rPr>
          <w:rFonts w:asciiTheme="minorHAnsi" w:hAnsiTheme="minorHAnsi" w:cstheme="minorHAnsi"/>
          <w:sz w:val="22"/>
          <w:szCs w:val="22"/>
        </w:rPr>
        <w:t xml:space="preserve"> prevent any inadvertent errors.  Delivery format of the training will need to be informed by the stakeholder group, so that </w:t>
      </w:r>
      <w:r w:rsidR="00EF63C8">
        <w:rPr>
          <w:rFonts w:asciiTheme="minorHAnsi" w:hAnsiTheme="minorHAnsi" w:cstheme="minorHAnsi"/>
          <w:sz w:val="22"/>
          <w:szCs w:val="22"/>
        </w:rPr>
        <w:t>it is delivered in the most time-efficient manner, with rising demands and pressure on health</w:t>
      </w:r>
      <w:r w:rsidR="00A82658">
        <w:rPr>
          <w:rFonts w:asciiTheme="minorHAnsi" w:hAnsiTheme="minorHAnsi" w:cstheme="minorHAnsi"/>
          <w:sz w:val="22"/>
          <w:szCs w:val="22"/>
        </w:rPr>
        <w:t>care staff and</w:t>
      </w:r>
      <w:r w:rsidR="00EF63C8">
        <w:rPr>
          <w:rFonts w:asciiTheme="minorHAnsi" w:hAnsiTheme="minorHAnsi" w:cstheme="minorHAnsi"/>
          <w:sz w:val="22"/>
          <w:szCs w:val="22"/>
        </w:rPr>
        <w:t xml:space="preserve"> services</w:t>
      </w:r>
      <w:r w:rsidR="00A82658">
        <w:rPr>
          <w:rFonts w:asciiTheme="minorHAnsi" w:hAnsiTheme="minorHAnsi" w:cstheme="minorHAnsi"/>
          <w:sz w:val="22"/>
          <w:szCs w:val="22"/>
        </w:rPr>
        <w:t xml:space="preserve"> (Bridgeman, Bridgeman and Barone, 2018). </w:t>
      </w:r>
    </w:p>
    <w:p w14:paraId="10DBA7D1" w14:textId="55C1C95A" w:rsidR="00EF63C8" w:rsidRDefault="00EF63C8" w:rsidP="00CD0D98">
      <w:pPr>
        <w:rPr>
          <w:rFonts w:asciiTheme="minorHAnsi" w:hAnsiTheme="minorHAnsi" w:cstheme="minorHAnsi"/>
          <w:sz w:val="22"/>
          <w:szCs w:val="22"/>
        </w:rPr>
      </w:pPr>
    </w:p>
    <w:p w14:paraId="1B8F6779" w14:textId="24DB9ADC" w:rsidR="00CD0D98" w:rsidRPr="002B27B3" w:rsidRDefault="00EF63C8" w:rsidP="00CD0D98">
      <w:pPr>
        <w:rPr>
          <w:rFonts w:asciiTheme="minorHAnsi" w:hAnsiTheme="minorHAnsi" w:cstheme="minorHAnsi"/>
          <w:sz w:val="22"/>
          <w:szCs w:val="22"/>
        </w:rPr>
      </w:pPr>
      <w:r>
        <w:rPr>
          <w:rFonts w:asciiTheme="minorHAnsi" w:hAnsiTheme="minorHAnsi" w:cstheme="minorHAnsi"/>
          <w:sz w:val="22"/>
          <w:szCs w:val="22"/>
        </w:rPr>
        <w:t xml:space="preserve">Implementation should be an iterative and gradual process, where once the product has passed sufficient testing and is deemed ready for release is piloted within one GP </w:t>
      </w:r>
      <w:proofErr w:type="gramStart"/>
      <w:r>
        <w:rPr>
          <w:rFonts w:asciiTheme="minorHAnsi" w:hAnsiTheme="minorHAnsi" w:cstheme="minorHAnsi"/>
          <w:sz w:val="22"/>
          <w:szCs w:val="22"/>
        </w:rPr>
        <w:t>practice, and</w:t>
      </w:r>
      <w:proofErr w:type="gramEnd"/>
      <w:r>
        <w:rPr>
          <w:rFonts w:asciiTheme="minorHAnsi" w:hAnsiTheme="minorHAnsi" w:cstheme="minorHAnsi"/>
          <w:sz w:val="22"/>
          <w:szCs w:val="22"/>
        </w:rPr>
        <w:t xml:space="preserve"> evaluated on. Lessons learnt from the evaluation, where possible should be incorporated for subsequent implementations. The timeline for the project should depend on the success of initial implementation phases, allowing any concerns raised to be addressed at each point. </w:t>
      </w:r>
    </w:p>
    <w:p w14:paraId="6781405B" w14:textId="77777777" w:rsidR="00CD0D98" w:rsidRPr="002B27B3" w:rsidRDefault="00CD0D98" w:rsidP="00CD0D98">
      <w:pPr>
        <w:rPr>
          <w:rFonts w:asciiTheme="minorHAnsi" w:hAnsiTheme="minorHAnsi" w:cstheme="minorHAnsi"/>
          <w:sz w:val="22"/>
          <w:szCs w:val="22"/>
        </w:rPr>
      </w:pPr>
    </w:p>
    <w:p w14:paraId="566CAD22" w14:textId="7A88BA4B" w:rsidR="00CD0D98" w:rsidRPr="00BB4D14" w:rsidRDefault="00CD0D98" w:rsidP="00BB4D14">
      <w:pPr>
        <w:rPr>
          <w:rFonts w:asciiTheme="minorHAnsi" w:hAnsiTheme="minorHAnsi" w:cstheme="minorHAnsi"/>
          <w:color w:val="FF0000"/>
          <w:sz w:val="22"/>
          <w:szCs w:val="22"/>
        </w:rPr>
      </w:pPr>
      <w:r w:rsidRPr="00BB4D14">
        <w:rPr>
          <w:rFonts w:asciiTheme="minorHAnsi" w:hAnsiTheme="minorHAnsi" w:cstheme="minorHAnsi"/>
          <w:b/>
          <w:bCs/>
          <w:sz w:val="22"/>
          <w:szCs w:val="22"/>
        </w:rPr>
        <w:t>Evaluation</w:t>
      </w:r>
    </w:p>
    <w:p w14:paraId="0D6A23C0" w14:textId="77777777" w:rsidR="00D823C8" w:rsidRDefault="00D823C8" w:rsidP="00D823C8">
      <w:pPr>
        <w:rPr>
          <w:rFonts w:asciiTheme="minorHAnsi" w:hAnsiTheme="minorHAnsi" w:cstheme="minorHAnsi"/>
          <w:i/>
          <w:iCs/>
          <w:color w:val="000000" w:themeColor="text1"/>
          <w:sz w:val="22"/>
          <w:szCs w:val="22"/>
        </w:rPr>
      </w:pPr>
    </w:p>
    <w:p w14:paraId="3BEA4249" w14:textId="77777777" w:rsidR="00D823C8" w:rsidRDefault="00D823C8" w:rsidP="00D823C8">
      <w:pPr>
        <w:rPr>
          <w:rFonts w:asciiTheme="minorHAnsi" w:hAnsiTheme="minorHAnsi" w:cstheme="minorHAnsi"/>
          <w:i/>
          <w:iCs/>
          <w:color w:val="000000" w:themeColor="text1"/>
          <w:sz w:val="22"/>
          <w:szCs w:val="22"/>
        </w:rPr>
      </w:pPr>
      <w:r w:rsidRPr="00186BA9">
        <w:rPr>
          <w:rFonts w:asciiTheme="minorHAnsi" w:hAnsiTheme="minorHAnsi" w:cstheme="minorHAnsi"/>
          <w:i/>
          <w:iCs/>
          <w:color w:val="000000" w:themeColor="text1"/>
          <w:sz w:val="22"/>
          <w:szCs w:val="22"/>
        </w:rPr>
        <w:lastRenderedPageBreak/>
        <w:t>User acceptance</w:t>
      </w:r>
    </w:p>
    <w:p w14:paraId="24FDB394" w14:textId="3F89348C" w:rsidR="00D823C8" w:rsidRDefault="00D823C8" w:rsidP="00D823C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CDS provides users with information </w:t>
      </w:r>
      <w:r w:rsidR="00E9606B">
        <w:rPr>
          <w:rFonts w:asciiTheme="minorHAnsi" w:hAnsiTheme="minorHAnsi" w:cstheme="minorHAnsi"/>
          <w:color w:val="000000" w:themeColor="text1"/>
          <w:sz w:val="22"/>
          <w:szCs w:val="22"/>
        </w:rPr>
        <w:t>to</w:t>
      </w:r>
      <w:r>
        <w:rPr>
          <w:rFonts w:asciiTheme="minorHAnsi" w:hAnsiTheme="minorHAnsi" w:cstheme="minorHAnsi"/>
          <w:color w:val="000000" w:themeColor="text1"/>
          <w:sz w:val="22"/>
          <w:szCs w:val="22"/>
        </w:rPr>
        <w:t xml:space="preserve"> aid completion of a task, and therefore it is vital that users</w:t>
      </w:r>
      <w:r w:rsidR="00E9606B">
        <w:rPr>
          <w:rFonts w:asciiTheme="minorHAnsi" w:hAnsiTheme="minorHAnsi" w:cstheme="minorHAnsi"/>
          <w:color w:val="000000" w:themeColor="text1"/>
          <w:sz w:val="22"/>
          <w:szCs w:val="22"/>
        </w:rPr>
        <w:t xml:space="preserve"> utilise this information when presented to them. </w:t>
      </w:r>
      <w:r w:rsidR="00077016">
        <w:rPr>
          <w:rFonts w:asciiTheme="minorHAnsi" w:hAnsiTheme="minorHAnsi" w:cstheme="minorHAnsi"/>
          <w:color w:val="000000" w:themeColor="text1"/>
          <w:sz w:val="22"/>
          <w:szCs w:val="22"/>
        </w:rPr>
        <w:t>For</w:t>
      </w:r>
      <w:r w:rsidR="00E9606B">
        <w:rPr>
          <w:rFonts w:asciiTheme="minorHAnsi" w:hAnsiTheme="minorHAnsi" w:cstheme="minorHAnsi"/>
          <w:color w:val="000000" w:themeColor="text1"/>
          <w:sz w:val="22"/>
          <w:szCs w:val="22"/>
        </w:rPr>
        <w:t xml:space="preserve"> the bridge between the CDS system and user to be seamless, the</w:t>
      </w:r>
      <w:r w:rsidR="00077016">
        <w:rPr>
          <w:rFonts w:asciiTheme="minorHAnsi" w:hAnsiTheme="minorHAnsi" w:cstheme="minorHAnsi"/>
          <w:color w:val="000000" w:themeColor="text1"/>
          <w:sz w:val="22"/>
          <w:szCs w:val="22"/>
        </w:rPr>
        <w:t xml:space="preserve"> relationship between human and CDS will need to be considered and optimised (</w:t>
      </w:r>
      <w:proofErr w:type="spellStart"/>
      <w:r w:rsidR="00077016">
        <w:rPr>
          <w:rFonts w:asciiTheme="minorHAnsi" w:hAnsiTheme="minorHAnsi" w:cstheme="minorHAnsi"/>
          <w:color w:val="000000" w:themeColor="text1"/>
          <w:sz w:val="22"/>
          <w:szCs w:val="22"/>
        </w:rPr>
        <w:t>Amershi</w:t>
      </w:r>
      <w:proofErr w:type="spellEnd"/>
      <w:r w:rsidR="00077016">
        <w:rPr>
          <w:rFonts w:asciiTheme="minorHAnsi" w:hAnsiTheme="minorHAnsi" w:cstheme="minorHAnsi"/>
          <w:color w:val="000000" w:themeColor="text1"/>
          <w:sz w:val="22"/>
          <w:szCs w:val="22"/>
        </w:rPr>
        <w:t xml:space="preserve"> </w:t>
      </w:r>
      <w:r w:rsidR="00077016">
        <w:rPr>
          <w:rFonts w:asciiTheme="minorHAnsi" w:hAnsiTheme="minorHAnsi" w:cstheme="minorHAnsi"/>
          <w:i/>
          <w:iCs/>
          <w:color w:val="000000" w:themeColor="text1"/>
          <w:sz w:val="22"/>
          <w:szCs w:val="22"/>
        </w:rPr>
        <w:t xml:space="preserve">et al. </w:t>
      </w:r>
      <w:r w:rsidR="00077016">
        <w:rPr>
          <w:rFonts w:asciiTheme="minorHAnsi" w:hAnsiTheme="minorHAnsi" w:cstheme="minorHAnsi"/>
          <w:color w:val="000000" w:themeColor="text1"/>
          <w:sz w:val="22"/>
          <w:szCs w:val="22"/>
        </w:rPr>
        <w:t>2019)</w:t>
      </w:r>
      <w:r w:rsidR="00E9606B">
        <w:rPr>
          <w:rFonts w:asciiTheme="minorHAnsi" w:hAnsiTheme="minorHAnsi" w:cstheme="minorHAnsi"/>
          <w:color w:val="000000" w:themeColor="text1"/>
          <w:sz w:val="22"/>
          <w:szCs w:val="22"/>
        </w:rPr>
        <w:t xml:space="preserve">. </w:t>
      </w:r>
      <w:r w:rsidR="00B562FA">
        <w:rPr>
          <w:rFonts w:asciiTheme="minorHAnsi" w:hAnsiTheme="minorHAnsi" w:cstheme="minorHAnsi"/>
          <w:color w:val="000000" w:themeColor="text1"/>
          <w:sz w:val="22"/>
          <w:szCs w:val="22"/>
        </w:rPr>
        <w:t xml:space="preserve">User acceptance will be evaluated using mixed methodologies. Views of healthcare professional users of the CDS system and implementation will be obtained from surveys, using an easily accessible online survey tool. </w:t>
      </w:r>
      <w:r w:rsidR="00515757">
        <w:rPr>
          <w:rFonts w:asciiTheme="minorHAnsi" w:hAnsiTheme="minorHAnsi" w:cstheme="minorHAnsi"/>
          <w:color w:val="000000" w:themeColor="text1"/>
          <w:sz w:val="22"/>
          <w:szCs w:val="22"/>
        </w:rPr>
        <w:t xml:space="preserve">A mixture of open and closed questioning, </w:t>
      </w:r>
      <w:proofErr w:type="gramStart"/>
      <w:r w:rsidR="00515757">
        <w:rPr>
          <w:rFonts w:asciiTheme="minorHAnsi" w:hAnsiTheme="minorHAnsi" w:cstheme="minorHAnsi"/>
          <w:color w:val="000000" w:themeColor="text1"/>
          <w:sz w:val="22"/>
          <w:szCs w:val="22"/>
        </w:rPr>
        <w:t>in order to</w:t>
      </w:r>
      <w:proofErr w:type="gramEnd"/>
      <w:r w:rsidR="00515757">
        <w:rPr>
          <w:rFonts w:asciiTheme="minorHAnsi" w:hAnsiTheme="minorHAnsi" w:cstheme="minorHAnsi"/>
          <w:color w:val="000000" w:themeColor="text1"/>
          <w:sz w:val="22"/>
          <w:szCs w:val="22"/>
        </w:rPr>
        <w:t xml:space="preserve"> gain a rich understanding of user views. </w:t>
      </w:r>
      <w:r w:rsidR="00B562FA">
        <w:rPr>
          <w:rFonts w:asciiTheme="minorHAnsi" w:hAnsiTheme="minorHAnsi" w:cstheme="minorHAnsi"/>
          <w:color w:val="000000" w:themeColor="text1"/>
          <w:sz w:val="22"/>
          <w:szCs w:val="22"/>
        </w:rPr>
        <w:t xml:space="preserve">Such qualitative methods have been utilised in other CDS evaluations (Jones </w:t>
      </w:r>
      <w:r w:rsidR="00B562FA">
        <w:rPr>
          <w:rFonts w:asciiTheme="minorHAnsi" w:hAnsiTheme="minorHAnsi" w:cstheme="minorHAnsi"/>
          <w:i/>
          <w:iCs/>
          <w:color w:val="000000" w:themeColor="text1"/>
          <w:sz w:val="22"/>
          <w:szCs w:val="22"/>
        </w:rPr>
        <w:t xml:space="preserve">et al. </w:t>
      </w:r>
      <w:r w:rsidR="00B562FA">
        <w:rPr>
          <w:rFonts w:asciiTheme="minorHAnsi" w:hAnsiTheme="minorHAnsi" w:cstheme="minorHAnsi"/>
          <w:color w:val="000000" w:themeColor="text1"/>
          <w:sz w:val="22"/>
          <w:szCs w:val="22"/>
        </w:rPr>
        <w:t>2022), (</w:t>
      </w:r>
      <w:proofErr w:type="spellStart"/>
      <w:r w:rsidR="00B562FA">
        <w:rPr>
          <w:rFonts w:asciiTheme="minorHAnsi" w:hAnsiTheme="minorHAnsi" w:cstheme="minorHAnsi"/>
          <w:color w:val="000000" w:themeColor="text1"/>
          <w:sz w:val="22"/>
          <w:szCs w:val="22"/>
        </w:rPr>
        <w:t>Petkus</w:t>
      </w:r>
      <w:proofErr w:type="spellEnd"/>
      <w:r w:rsidR="00B562FA">
        <w:rPr>
          <w:rFonts w:asciiTheme="minorHAnsi" w:hAnsiTheme="minorHAnsi" w:cstheme="minorHAnsi"/>
          <w:i/>
          <w:iCs/>
          <w:color w:val="000000" w:themeColor="text1"/>
          <w:sz w:val="22"/>
          <w:szCs w:val="22"/>
        </w:rPr>
        <w:t xml:space="preserve"> et al. </w:t>
      </w:r>
      <w:r w:rsidR="00B562FA">
        <w:rPr>
          <w:rFonts w:asciiTheme="minorHAnsi" w:hAnsiTheme="minorHAnsi" w:cstheme="minorHAnsi"/>
          <w:color w:val="000000" w:themeColor="text1"/>
          <w:sz w:val="22"/>
          <w:szCs w:val="22"/>
        </w:rPr>
        <w:t xml:space="preserve">2020). </w:t>
      </w:r>
      <w:r w:rsidR="00515757">
        <w:rPr>
          <w:rFonts w:asciiTheme="minorHAnsi" w:hAnsiTheme="minorHAnsi" w:cstheme="minorHAnsi"/>
          <w:color w:val="000000" w:themeColor="text1"/>
          <w:sz w:val="22"/>
          <w:szCs w:val="22"/>
        </w:rPr>
        <w:t xml:space="preserve">Survey results will be evaluated, and themes will be captured and explored. </w:t>
      </w:r>
    </w:p>
    <w:p w14:paraId="0DB1A96B" w14:textId="73BD1714" w:rsidR="00515757" w:rsidRDefault="00515757" w:rsidP="00D823C8">
      <w:pPr>
        <w:rPr>
          <w:rFonts w:asciiTheme="minorHAnsi" w:hAnsiTheme="minorHAnsi" w:cstheme="minorHAnsi"/>
          <w:color w:val="000000" w:themeColor="text1"/>
          <w:sz w:val="22"/>
          <w:szCs w:val="22"/>
        </w:rPr>
      </w:pPr>
    </w:p>
    <w:p w14:paraId="382B56B9" w14:textId="76768F3F" w:rsidR="00515757" w:rsidRPr="00B562FA" w:rsidRDefault="00515757" w:rsidP="00D823C8">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 addition, data will be pulled from the system </w:t>
      </w:r>
      <w:r w:rsidR="00774906">
        <w:rPr>
          <w:rFonts w:asciiTheme="minorHAnsi" w:hAnsiTheme="minorHAnsi" w:cstheme="minorHAnsi"/>
          <w:color w:val="000000" w:themeColor="text1"/>
          <w:sz w:val="22"/>
          <w:szCs w:val="22"/>
        </w:rPr>
        <w:t>to</w:t>
      </w:r>
      <w:r>
        <w:rPr>
          <w:rFonts w:asciiTheme="minorHAnsi" w:hAnsiTheme="minorHAnsi" w:cstheme="minorHAnsi"/>
          <w:color w:val="000000" w:themeColor="text1"/>
          <w:sz w:val="22"/>
          <w:szCs w:val="22"/>
        </w:rPr>
        <w:t xml:space="preserve"> assess the acceptance of CDS information as part of the medicines review. This will provide information on the dismissal and acknowledgement rate</w:t>
      </w:r>
      <w:r w:rsidR="00774906">
        <w:rPr>
          <w:rFonts w:asciiTheme="minorHAnsi" w:hAnsiTheme="minorHAnsi" w:cstheme="minorHAnsi"/>
          <w:color w:val="000000" w:themeColor="text1"/>
          <w:sz w:val="22"/>
          <w:szCs w:val="22"/>
        </w:rPr>
        <w:t xml:space="preserve"> of the CDS system. This quantitative measure, when combined with the qualitative survey should provide a rich understanding of user acceptance. </w:t>
      </w:r>
      <w:r w:rsidR="00BB4D14">
        <w:rPr>
          <w:rFonts w:asciiTheme="minorHAnsi" w:hAnsiTheme="minorHAnsi" w:cstheme="minorHAnsi"/>
          <w:color w:val="000000" w:themeColor="text1"/>
          <w:sz w:val="22"/>
          <w:szCs w:val="22"/>
        </w:rPr>
        <w:t>This evaluation will be undertaken throughout the implementation, allowing concerns identified to be addressed</w:t>
      </w:r>
      <w:r w:rsidR="00882B65">
        <w:rPr>
          <w:rFonts w:asciiTheme="minorHAnsi" w:hAnsiTheme="minorHAnsi" w:cstheme="minorHAnsi"/>
          <w:color w:val="000000" w:themeColor="text1"/>
          <w:sz w:val="22"/>
          <w:szCs w:val="22"/>
        </w:rPr>
        <w:t xml:space="preserve"> in an iterative way. </w:t>
      </w:r>
    </w:p>
    <w:p w14:paraId="1FFE9A07" w14:textId="51813DC5" w:rsidR="00186BA9" w:rsidRDefault="00186BA9" w:rsidP="00186BA9">
      <w:pPr>
        <w:rPr>
          <w:rFonts w:asciiTheme="minorHAnsi" w:hAnsiTheme="minorHAnsi" w:cstheme="minorHAnsi"/>
          <w:color w:val="FF0000"/>
          <w:sz w:val="22"/>
          <w:szCs w:val="22"/>
        </w:rPr>
      </w:pPr>
    </w:p>
    <w:p w14:paraId="31E88F41" w14:textId="504E41C1" w:rsidR="00882B65" w:rsidRDefault="001D08D9" w:rsidP="00882B65">
      <w:pPr>
        <w:rPr>
          <w:rFonts w:asciiTheme="minorHAnsi" w:hAnsiTheme="minorHAnsi" w:cstheme="minorHAnsi"/>
          <w:i/>
          <w:iCs/>
          <w:color w:val="000000" w:themeColor="text1"/>
          <w:sz w:val="22"/>
          <w:szCs w:val="22"/>
        </w:rPr>
      </w:pPr>
      <w:r>
        <w:rPr>
          <w:rFonts w:asciiTheme="minorHAnsi" w:hAnsiTheme="minorHAnsi" w:cstheme="minorHAnsi"/>
          <w:i/>
          <w:iCs/>
          <w:color w:val="000000" w:themeColor="text1"/>
          <w:sz w:val="22"/>
          <w:szCs w:val="22"/>
        </w:rPr>
        <w:t xml:space="preserve">Safety and </w:t>
      </w:r>
      <w:r w:rsidR="00882B65">
        <w:rPr>
          <w:rFonts w:asciiTheme="minorHAnsi" w:hAnsiTheme="minorHAnsi" w:cstheme="minorHAnsi"/>
          <w:i/>
          <w:iCs/>
          <w:color w:val="000000" w:themeColor="text1"/>
          <w:sz w:val="22"/>
          <w:szCs w:val="22"/>
        </w:rPr>
        <w:t>Quality Assurance</w:t>
      </w:r>
    </w:p>
    <w:p w14:paraId="662B9B10" w14:textId="5ECB7711" w:rsidR="00882B65" w:rsidRDefault="001D08D9" w:rsidP="00186BA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As a system that will </w:t>
      </w:r>
      <w:r w:rsidR="005C2B23">
        <w:rPr>
          <w:rFonts w:asciiTheme="minorHAnsi" w:hAnsiTheme="minorHAnsi" w:cstheme="minorHAnsi"/>
          <w:color w:val="000000" w:themeColor="text1"/>
          <w:sz w:val="22"/>
          <w:szCs w:val="22"/>
        </w:rPr>
        <w:t>affect</w:t>
      </w:r>
      <w:r>
        <w:rPr>
          <w:rFonts w:asciiTheme="minorHAnsi" w:hAnsiTheme="minorHAnsi" w:cstheme="minorHAnsi"/>
          <w:color w:val="000000" w:themeColor="text1"/>
          <w:sz w:val="22"/>
          <w:szCs w:val="22"/>
        </w:rPr>
        <w:t xml:space="preserve"> the medical management of the public, the CDS system will need to be registe</w:t>
      </w:r>
      <w:r w:rsidR="005C2B23">
        <w:rPr>
          <w:rFonts w:asciiTheme="minorHAnsi" w:hAnsiTheme="minorHAnsi" w:cstheme="minorHAnsi"/>
          <w:color w:val="000000" w:themeColor="text1"/>
          <w:sz w:val="22"/>
          <w:szCs w:val="22"/>
        </w:rPr>
        <w:t>re</w:t>
      </w:r>
      <w:r>
        <w:rPr>
          <w:rFonts w:asciiTheme="minorHAnsi" w:hAnsiTheme="minorHAnsi" w:cstheme="minorHAnsi"/>
          <w:color w:val="000000" w:themeColor="text1"/>
          <w:sz w:val="22"/>
          <w:szCs w:val="22"/>
        </w:rPr>
        <w:t xml:space="preserve">d as a medical device with the MHRA (MHRA, 2023). </w:t>
      </w:r>
      <w:r w:rsidR="005C2B23">
        <w:rPr>
          <w:rFonts w:asciiTheme="minorHAnsi" w:hAnsiTheme="minorHAnsi" w:cstheme="minorHAnsi"/>
          <w:color w:val="000000" w:themeColor="text1"/>
          <w:sz w:val="22"/>
          <w:szCs w:val="22"/>
        </w:rPr>
        <w:t xml:space="preserve">Safety testing will be undertaken </w:t>
      </w:r>
      <w:r w:rsidR="002A6693">
        <w:rPr>
          <w:rFonts w:asciiTheme="minorHAnsi" w:hAnsiTheme="minorHAnsi" w:cstheme="minorHAnsi"/>
          <w:color w:val="000000" w:themeColor="text1"/>
          <w:sz w:val="22"/>
          <w:szCs w:val="22"/>
        </w:rPr>
        <w:t xml:space="preserve">prior to implementation, </w:t>
      </w:r>
      <w:proofErr w:type="gramStart"/>
      <w:r w:rsidR="002A6693">
        <w:rPr>
          <w:rFonts w:asciiTheme="minorHAnsi" w:hAnsiTheme="minorHAnsi" w:cstheme="minorHAnsi"/>
          <w:color w:val="000000" w:themeColor="text1"/>
          <w:sz w:val="22"/>
          <w:szCs w:val="22"/>
        </w:rPr>
        <w:t>in order to</w:t>
      </w:r>
      <w:proofErr w:type="gramEnd"/>
      <w:r w:rsidR="002A6693">
        <w:rPr>
          <w:rFonts w:asciiTheme="minorHAnsi" w:hAnsiTheme="minorHAnsi" w:cstheme="minorHAnsi"/>
          <w:color w:val="000000" w:themeColor="text1"/>
          <w:sz w:val="22"/>
          <w:szCs w:val="22"/>
        </w:rPr>
        <w:t xml:space="preserve"> provide the necessary assurances to users and the public. As part of implementation, there will be an additional drop-down selection created within the national safety reporting tool. This will enable quick identification and escalation of safety concerns identified. Any identified risks will need documenting and escalated within the governance structure. </w:t>
      </w:r>
    </w:p>
    <w:p w14:paraId="106D74C2" w14:textId="77777777" w:rsidR="002A6693" w:rsidRPr="001D08D9" w:rsidRDefault="002A6693" w:rsidP="00186BA9">
      <w:pPr>
        <w:rPr>
          <w:rFonts w:asciiTheme="minorHAnsi" w:hAnsiTheme="minorHAnsi" w:cstheme="minorHAnsi"/>
          <w:color w:val="000000" w:themeColor="text1"/>
          <w:sz w:val="22"/>
          <w:szCs w:val="22"/>
        </w:rPr>
      </w:pPr>
    </w:p>
    <w:p w14:paraId="2DEAE4A8" w14:textId="5224EADA" w:rsidR="00BB4D14" w:rsidRDefault="00A85008" w:rsidP="00186BA9">
      <w:pPr>
        <w:rPr>
          <w:rFonts w:asciiTheme="minorHAnsi" w:hAnsiTheme="minorHAnsi" w:cstheme="minorHAnsi"/>
          <w:i/>
          <w:iCs/>
          <w:color w:val="000000" w:themeColor="text1"/>
          <w:sz w:val="22"/>
          <w:szCs w:val="22"/>
        </w:rPr>
      </w:pPr>
      <w:r>
        <w:rPr>
          <w:rFonts w:asciiTheme="minorHAnsi" w:hAnsiTheme="minorHAnsi" w:cstheme="minorHAnsi"/>
          <w:i/>
          <w:iCs/>
          <w:color w:val="000000" w:themeColor="text1"/>
          <w:sz w:val="22"/>
          <w:szCs w:val="22"/>
        </w:rPr>
        <w:t xml:space="preserve">Care </w:t>
      </w:r>
      <w:r w:rsidR="00186BA9">
        <w:rPr>
          <w:rFonts w:asciiTheme="minorHAnsi" w:hAnsiTheme="minorHAnsi" w:cstheme="minorHAnsi"/>
          <w:i/>
          <w:iCs/>
          <w:color w:val="000000" w:themeColor="text1"/>
          <w:sz w:val="22"/>
          <w:szCs w:val="22"/>
        </w:rPr>
        <w:t>Quality Improvement</w:t>
      </w:r>
    </w:p>
    <w:p w14:paraId="5F2B6238" w14:textId="7D8E5CF5" w:rsidR="00186BA9" w:rsidRDefault="00774906" w:rsidP="00186BA9">
      <w:pPr>
        <w:rPr>
          <w:rFonts w:asciiTheme="minorHAnsi" w:hAnsiTheme="minorHAnsi" w:cstheme="minorHAnsi"/>
          <w:color w:val="000000" w:themeColor="text1"/>
          <w:sz w:val="22"/>
          <w:szCs w:val="22"/>
        </w:rPr>
      </w:pPr>
      <w:proofErr w:type="gramStart"/>
      <w:r>
        <w:rPr>
          <w:rFonts w:asciiTheme="minorHAnsi" w:hAnsiTheme="minorHAnsi" w:cstheme="minorHAnsi"/>
          <w:color w:val="000000" w:themeColor="text1"/>
          <w:sz w:val="22"/>
          <w:szCs w:val="22"/>
        </w:rPr>
        <w:t>In order to</w:t>
      </w:r>
      <w:proofErr w:type="gramEnd"/>
      <w:r>
        <w:rPr>
          <w:rFonts w:asciiTheme="minorHAnsi" w:hAnsiTheme="minorHAnsi" w:cstheme="minorHAnsi"/>
          <w:color w:val="000000" w:themeColor="text1"/>
          <w:sz w:val="22"/>
          <w:szCs w:val="22"/>
        </w:rPr>
        <w:t xml:space="preserve"> know whether the CDS is effective we must understand whether CDS has impacted on problematic polypharmacy and patient care outcomes. </w:t>
      </w:r>
      <w:r w:rsidR="00A85008">
        <w:rPr>
          <w:rFonts w:asciiTheme="minorHAnsi" w:hAnsiTheme="minorHAnsi" w:cstheme="minorHAnsi"/>
          <w:color w:val="000000" w:themeColor="text1"/>
          <w:sz w:val="22"/>
          <w:szCs w:val="22"/>
        </w:rPr>
        <w:t xml:space="preserve">Previous trials involving CDS have managed to show modest improvements in clinical processes, however demonstrating improvements in patient outcomes has been more elusive, due to study size and variation in design (Kwan </w:t>
      </w:r>
      <w:r w:rsidR="00A85008">
        <w:rPr>
          <w:rFonts w:asciiTheme="minorHAnsi" w:hAnsiTheme="minorHAnsi" w:cstheme="minorHAnsi"/>
          <w:i/>
          <w:iCs/>
          <w:color w:val="000000" w:themeColor="text1"/>
          <w:sz w:val="22"/>
          <w:szCs w:val="22"/>
        </w:rPr>
        <w:t>et al.</w:t>
      </w:r>
      <w:r w:rsidR="00A85008">
        <w:rPr>
          <w:rFonts w:asciiTheme="minorHAnsi" w:hAnsiTheme="minorHAnsi" w:cstheme="minorHAnsi"/>
          <w:color w:val="000000" w:themeColor="text1"/>
          <w:sz w:val="22"/>
          <w:szCs w:val="22"/>
        </w:rPr>
        <w:t xml:space="preserve"> 2020). </w:t>
      </w:r>
    </w:p>
    <w:p w14:paraId="59912D78" w14:textId="318A4836" w:rsidR="00A85008" w:rsidRDefault="00A85008" w:rsidP="00186BA9">
      <w:pPr>
        <w:rPr>
          <w:rFonts w:asciiTheme="minorHAnsi" w:hAnsiTheme="minorHAnsi" w:cstheme="minorHAnsi"/>
          <w:color w:val="000000" w:themeColor="text1"/>
          <w:sz w:val="22"/>
          <w:szCs w:val="22"/>
        </w:rPr>
      </w:pPr>
    </w:p>
    <w:p w14:paraId="2100FD83" w14:textId="67839034" w:rsidR="00A85008" w:rsidRPr="00774906" w:rsidRDefault="00A85008" w:rsidP="00186BA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Improvements in problematic polypharmacy shall be evaluated by initially undertaking a baseline review of local problematic polypharmacy across the population of Cardiff and Vale UHB. </w:t>
      </w:r>
      <w:r w:rsidR="00D26140">
        <w:rPr>
          <w:rFonts w:asciiTheme="minorHAnsi" w:hAnsiTheme="minorHAnsi" w:cstheme="minorHAnsi"/>
          <w:color w:val="000000" w:themeColor="text1"/>
          <w:sz w:val="22"/>
          <w:szCs w:val="22"/>
        </w:rPr>
        <w:t xml:space="preserve">Due to there not being an agreed definition of polypharmacy and what constitutes appropriate and problematic polypharmacy across a population, defined measures need to be agreed locally, utilising the established governance structure and in engagement and consultation with local stakeholders. </w:t>
      </w:r>
      <w:r w:rsidR="00641175">
        <w:rPr>
          <w:rFonts w:asciiTheme="minorHAnsi" w:hAnsiTheme="minorHAnsi" w:cstheme="minorHAnsi"/>
          <w:color w:val="000000" w:themeColor="text1"/>
          <w:sz w:val="22"/>
          <w:szCs w:val="22"/>
        </w:rPr>
        <w:t xml:space="preserve">This is to minimise contention locally on evaluation methods used. </w:t>
      </w:r>
      <w:r w:rsidR="00641175">
        <w:rPr>
          <w:rFonts w:asciiTheme="minorHAnsi" w:hAnsiTheme="minorHAnsi" w:cstheme="minorHAnsi"/>
          <w:color w:val="000000" w:themeColor="text1"/>
          <w:sz w:val="22"/>
          <w:szCs w:val="22"/>
        </w:rPr>
        <w:t xml:space="preserve">Measures need to correlate with the CDS information and international and national guidelines used as part of the system. </w:t>
      </w:r>
      <w:r w:rsidR="004314DD">
        <w:rPr>
          <w:rFonts w:asciiTheme="minorHAnsi" w:hAnsiTheme="minorHAnsi" w:cstheme="minorHAnsi"/>
          <w:color w:val="000000" w:themeColor="text1"/>
          <w:sz w:val="22"/>
          <w:szCs w:val="22"/>
        </w:rPr>
        <w:t xml:space="preserve">In addition, agreement of measures with a key national stakeholder, the </w:t>
      </w:r>
      <w:proofErr w:type="gramStart"/>
      <w:r w:rsidR="004314DD">
        <w:rPr>
          <w:rFonts w:asciiTheme="minorHAnsi" w:hAnsiTheme="minorHAnsi" w:cstheme="minorHAnsi"/>
          <w:color w:val="000000" w:themeColor="text1"/>
          <w:sz w:val="22"/>
          <w:szCs w:val="22"/>
        </w:rPr>
        <w:t>All Wales</w:t>
      </w:r>
      <w:proofErr w:type="gramEnd"/>
      <w:r w:rsidR="004314DD">
        <w:rPr>
          <w:rFonts w:asciiTheme="minorHAnsi" w:hAnsiTheme="minorHAnsi" w:cstheme="minorHAnsi"/>
          <w:color w:val="000000" w:themeColor="text1"/>
          <w:sz w:val="22"/>
          <w:szCs w:val="22"/>
        </w:rPr>
        <w:t xml:space="preserve"> Therapeutics and Toxicology Centre</w:t>
      </w:r>
      <w:r w:rsidR="00900430">
        <w:rPr>
          <w:rFonts w:asciiTheme="minorHAnsi" w:hAnsiTheme="minorHAnsi" w:cstheme="minorHAnsi"/>
          <w:color w:val="000000" w:themeColor="text1"/>
          <w:sz w:val="22"/>
          <w:szCs w:val="22"/>
        </w:rPr>
        <w:t xml:space="preserve"> (AWTTC)</w:t>
      </w:r>
      <w:r w:rsidR="004314DD">
        <w:rPr>
          <w:rFonts w:asciiTheme="minorHAnsi" w:hAnsiTheme="minorHAnsi" w:cstheme="minorHAnsi"/>
          <w:color w:val="000000" w:themeColor="text1"/>
          <w:sz w:val="22"/>
          <w:szCs w:val="22"/>
        </w:rPr>
        <w:t xml:space="preserve"> will be significantly important, as the national body for medicines safety and efficiently, for both accessibility of information, but additionally scalability nationally, should the </w:t>
      </w:r>
      <w:r w:rsidR="00900430">
        <w:rPr>
          <w:rFonts w:asciiTheme="minorHAnsi" w:hAnsiTheme="minorHAnsi" w:cstheme="minorHAnsi"/>
          <w:color w:val="000000" w:themeColor="text1"/>
          <w:sz w:val="22"/>
          <w:szCs w:val="22"/>
        </w:rPr>
        <w:t>CDS project be successful.</w:t>
      </w:r>
    </w:p>
    <w:p w14:paraId="2C8B35B6" w14:textId="73984588" w:rsidR="00186BA9" w:rsidRPr="00774906" w:rsidRDefault="00186BA9" w:rsidP="00186BA9">
      <w:pPr>
        <w:rPr>
          <w:rFonts w:asciiTheme="minorHAnsi" w:hAnsiTheme="minorHAnsi" w:cstheme="minorHAnsi"/>
          <w:color w:val="000000" w:themeColor="text1"/>
          <w:sz w:val="22"/>
          <w:szCs w:val="22"/>
        </w:rPr>
      </w:pPr>
    </w:p>
    <w:p w14:paraId="33B05803" w14:textId="0C57CAE9" w:rsidR="00186BA9" w:rsidRPr="00A1041F" w:rsidRDefault="00A1041F" w:rsidP="00186BA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Information on current prescribing, </w:t>
      </w:r>
      <w:r w:rsidR="001E6E04">
        <w:rPr>
          <w:rFonts w:asciiTheme="minorHAnsi" w:hAnsiTheme="minorHAnsi" w:cstheme="minorHAnsi"/>
          <w:color w:val="000000" w:themeColor="text1"/>
          <w:sz w:val="22"/>
          <w:szCs w:val="22"/>
        </w:rPr>
        <w:t>indications, age and duration of treatment</w:t>
      </w:r>
      <w:r>
        <w:rPr>
          <w:rFonts w:asciiTheme="minorHAnsi" w:hAnsiTheme="minorHAnsi" w:cstheme="minorHAnsi"/>
          <w:color w:val="000000" w:themeColor="text1"/>
          <w:sz w:val="22"/>
          <w:szCs w:val="22"/>
        </w:rPr>
        <w:t xml:space="preserve"> is </w:t>
      </w:r>
      <w:r w:rsidR="004314DD">
        <w:rPr>
          <w:rFonts w:asciiTheme="minorHAnsi" w:hAnsiTheme="minorHAnsi" w:cstheme="minorHAnsi"/>
          <w:color w:val="000000" w:themeColor="text1"/>
          <w:sz w:val="22"/>
          <w:szCs w:val="22"/>
        </w:rPr>
        <w:t xml:space="preserve">populated within the </w:t>
      </w:r>
      <w:r>
        <w:rPr>
          <w:rFonts w:asciiTheme="minorHAnsi" w:hAnsiTheme="minorHAnsi" w:cstheme="minorHAnsi"/>
          <w:color w:val="000000" w:themeColor="text1"/>
          <w:sz w:val="22"/>
          <w:szCs w:val="22"/>
        </w:rPr>
        <w:t>two GP prescribing systems used locally.</w:t>
      </w:r>
      <w:r w:rsidR="00900430">
        <w:rPr>
          <w:rFonts w:asciiTheme="minorHAnsi" w:hAnsiTheme="minorHAnsi" w:cstheme="minorHAnsi"/>
          <w:color w:val="000000" w:themeColor="text1"/>
          <w:sz w:val="22"/>
          <w:szCs w:val="22"/>
        </w:rPr>
        <w:t xml:space="preserve"> There is an existing national server, used as part of national prescribing reports by AWTTC, that could be used </w:t>
      </w:r>
      <w:r w:rsidR="00BB4D14">
        <w:rPr>
          <w:rFonts w:asciiTheme="minorHAnsi" w:hAnsiTheme="minorHAnsi" w:cstheme="minorHAnsi"/>
          <w:color w:val="000000" w:themeColor="text1"/>
          <w:sz w:val="22"/>
          <w:szCs w:val="22"/>
        </w:rPr>
        <w:t xml:space="preserve">as this is available for NHS healthcare workers (AWTTC, 2023). Reporting will be undertaken on the </w:t>
      </w:r>
      <w:r w:rsidR="00882B65">
        <w:rPr>
          <w:rFonts w:asciiTheme="minorHAnsi" w:hAnsiTheme="minorHAnsi" w:cstheme="minorHAnsi"/>
          <w:color w:val="000000" w:themeColor="text1"/>
          <w:sz w:val="22"/>
          <w:szCs w:val="22"/>
        </w:rPr>
        <w:t xml:space="preserve">agreed measures only, with any changes to these being justified and agreed within the governance structure in a transparent manner. </w:t>
      </w:r>
    </w:p>
    <w:p w14:paraId="52BADE2C" w14:textId="17558F90" w:rsidR="00186BA9" w:rsidRDefault="00186BA9" w:rsidP="00186BA9">
      <w:pPr>
        <w:rPr>
          <w:rFonts w:asciiTheme="minorHAnsi" w:hAnsiTheme="minorHAnsi" w:cstheme="minorHAnsi"/>
          <w:i/>
          <w:iCs/>
          <w:color w:val="000000" w:themeColor="text1"/>
          <w:sz w:val="22"/>
          <w:szCs w:val="22"/>
        </w:rPr>
      </w:pPr>
    </w:p>
    <w:p w14:paraId="7877464A" w14:textId="77777777" w:rsidR="00641175" w:rsidRPr="00091274" w:rsidRDefault="00641175" w:rsidP="00186BA9">
      <w:pPr>
        <w:rPr>
          <w:rFonts w:asciiTheme="minorHAnsi" w:hAnsiTheme="minorHAnsi" w:cstheme="minorHAnsi"/>
          <w:color w:val="000000" w:themeColor="text1"/>
          <w:sz w:val="22"/>
          <w:szCs w:val="22"/>
        </w:rPr>
      </w:pPr>
    </w:p>
    <w:p w14:paraId="17EAF005" w14:textId="3EA39DDE" w:rsidR="00186BA9" w:rsidRDefault="00186BA9" w:rsidP="00186BA9">
      <w:pPr>
        <w:rPr>
          <w:rFonts w:asciiTheme="minorHAnsi" w:hAnsiTheme="minorHAnsi" w:cstheme="minorHAnsi"/>
          <w:i/>
          <w:iCs/>
          <w:color w:val="000000" w:themeColor="text1"/>
          <w:sz w:val="22"/>
          <w:szCs w:val="22"/>
        </w:rPr>
      </w:pPr>
      <w:r>
        <w:rPr>
          <w:rFonts w:asciiTheme="minorHAnsi" w:hAnsiTheme="minorHAnsi" w:cstheme="minorHAnsi"/>
          <w:i/>
          <w:iCs/>
          <w:color w:val="000000" w:themeColor="text1"/>
          <w:sz w:val="22"/>
          <w:szCs w:val="22"/>
        </w:rPr>
        <w:t>Clinical outcome measurements</w:t>
      </w:r>
    </w:p>
    <w:p w14:paraId="25EC2D8F" w14:textId="14D1C5B7" w:rsidR="002A6693" w:rsidRDefault="002A6693" w:rsidP="00186BA9">
      <w:pPr>
        <w:rPr>
          <w:rFonts w:asciiTheme="minorHAnsi" w:hAnsiTheme="minorHAnsi" w:cstheme="minorHAnsi"/>
          <w:color w:val="000000" w:themeColor="text1"/>
          <w:sz w:val="22"/>
          <w:szCs w:val="22"/>
        </w:rPr>
      </w:pPr>
    </w:p>
    <w:p w14:paraId="3E658E35" w14:textId="59527BC5" w:rsidR="00686625" w:rsidRPr="00091274" w:rsidRDefault="00352C86" w:rsidP="00091274">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 order to evaluate the impact that the CDS system has on patient outcomes, </w:t>
      </w:r>
      <w:r w:rsidR="00EB66AA">
        <w:rPr>
          <w:rFonts w:asciiTheme="minorHAnsi" w:hAnsiTheme="minorHAnsi" w:cstheme="minorHAnsi"/>
          <w:color w:val="000000" w:themeColor="text1"/>
          <w:sz w:val="22"/>
          <w:szCs w:val="22"/>
        </w:rPr>
        <w:t xml:space="preserve">such as morbidity and mortality, </w:t>
      </w:r>
      <w:r>
        <w:rPr>
          <w:rFonts w:asciiTheme="minorHAnsi" w:hAnsiTheme="minorHAnsi" w:cstheme="minorHAnsi"/>
          <w:color w:val="000000" w:themeColor="text1"/>
          <w:sz w:val="22"/>
          <w:szCs w:val="22"/>
        </w:rPr>
        <w:t xml:space="preserve">there will need to be </w:t>
      </w:r>
      <w:r w:rsidR="008878AB">
        <w:rPr>
          <w:rFonts w:asciiTheme="minorHAnsi" w:hAnsiTheme="minorHAnsi" w:cstheme="minorHAnsi"/>
          <w:color w:val="000000" w:themeColor="text1"/>
          <w:sz w:val="22"/>
          <w:szCs w:val="22"/>
        </w:rPr>
        <w:t xml:space="preserve">a </w:t>
      </w:r>
      <w:r>
        <w:rPr>
          <w:rFonts w:asciiTheme="minorHAnsi" w:hAnsiTheme="minorHAnsi" w:cstheme="minorHAnsi"/>
          <w:color w:val="000000" w:themeColor="text1"/>
          <w:sz w:val="22"/>
          <w:szCs w:val="22"/>
        </w:rPr>
        <w:t xml:space="preserve">sufficient </w:t>
      </w:r>
      <w:r w:rsidR="008878AB">
        <w:rPr>
          <w:rFonts w:asciiTheme="minorHAnsi" w:hAnsiTheme="minorHAnsi" w:cstheme="minorHAnsi"/>
          <w:color w:val="000000" w:themeColor="text1"/>
          <w:sz w:val="22"/>
          <w:szCs w:val="22"/>
        </w:rPr>
        <w:t xml:space="preserve">sample size to data </w:t>
      </w:r>
      <w:proofErr w:type="gramStart"/>
      <w:r w:rsidR="008878AB">
        <w:rPr>
          <w:rFonts w:asciiTheme="minorHAnsi" w:hAnsiTheme="minorHAnsi" w:cstheme="minorHAnsi"/>
          <w:color w:val="000000" w:themeColor="text1"/>
          <w:sz w:val="22"/>
          <w:szCs w:val="22"/>
        </w:rPr>
        <w:t>collection(</w:t>
      </w:r>
      <w:proofErr w:type="gramEnd"/>
      <w:r w:rsidR="008878AB">
        <w:rPr>
          <w:rFonts w:asciiTheme="minorHAnsi" w:hAnsiTheme="minorHAnsi" w:cstheme="minorHAnsi"/>
          <w:color w:val="000000" w:themeColor="text1"/>
          <w:sz w:val="22"/>
          <w:szCs w:val="22"/>
        </w:rPr>
        <w:t>Jones, Carly and Harrison, 2003). Previous trials have shown how variation within patient data</w:t>
      </w:r>
      <w:r w:rsidR="00EB66AA">
        <w:rPr>
          <w:rFonts w:asciiTheme="minorHAnsi" w:hAnsiTheme="minorHAnsi" w:cstheme="minorHAnsi"/>
          <w:color w:val="000000" w:themeColor="text1"/>
          <w:sz w:val="22"/>
          <w:szCs w:val="22"/>
        </w:rPr>
        <w:t xml:space="preserve"> and the relatively low magnitude of impact, requires a sufficient sample size (Kwan </w:t>
      </w:r>
      <w:r w:rsidR="00EB66AA">
        <w:rPr>
          <w:rFonts w:asciiTheme="minorHAnsi" w:hAnsiTheme="minorHAnsi" w:cstheme="minorHAnsi"/>
          <w:i/>
          <w:iCs/>
          <w:color w:val="000000" w:themeColor="text1"/>
          <w:sz w:val="22"/>
          <w:szCs w:val="22"/>
        </w:rPr>
        <w:t xml:space="preserve">et al. </w:t>
      </w:r>
      <w:r w:rsidR="00EB66AA">
        <w:rPr>
          <w:rFonts w:asciiTheme="minorHAnsi" w:hAnsiTheme="minorHAnsi" w:cstheme="minorHAnsi"/>
          <w:color w:val="000000" w:themeColor="text1"/>
          <w:sz w:val="22"/>
          <w:szCs w:val="22"/>
        </w:rPr>
        <w:t xml:space="preserve">2020). This may be problematic for local evaluation. </w:t>
      </w:r>
      <w:r w:rsidR="001852F1">
        <w:rPr>
          <w:rFonts w:asciiTheme="minorHAnsi" w:hAnsiTheme="minorHAnsi" w:cstheme="minorHAnsi"/>
          <w:color w:val="000000" w:themeColor="text1"/>
          <w:sz w:val="22"/>
          <w:szCs w:val="22"/>
        </w:rPr>
        <w:t xml:space="preserve">Standardisation of measures and CDS system nationally, across Wales, with sufficient involvement of AWTTC, will help mitigate this. </w:t>
      </w:r>
      <w:r w:rsidR="00091274">
        <w:rPr>
          <w:rFonts w:asciiTheme="minorHAnsi" w:hAnsiTheme="minorHAnsi" w:cstheme="minorHAnsi"/>
          <w:color w:val="000000" w:themeColor="text1"/>
          <w:sz w:val="22"/>
          <w:szCs w:val="22"/>
        </w:rPr>
        <w:t xml:space="preserve">Should the CDS implementation be successful locally, and there is adoption of this nationally, evaluating clinical outcomes will be paramount. Potential limitations regarding the ability to measure impact on patient outcomes should be made clear as a project risk and should be communicated effectively with stakeholders. There is sufficient evidence internationally on the impact that problematic polypharmacy, and therefore improvements in quality measures, should be regarded as sufficient quality of system efficacy in the absence of patient outcome data. </w:t>
      </w:r>
    </w:p>
    <w:p w14:paraId="728079CF" w14:textId="77777777" w:rsidR="00686625" w:rsidRDefault="00686625" w:rsidP="008C0D3E">
      <w:pPr>
        <w:ind w:left="360"/>
        <w:rPr>
          <w:rFonts w:asciiTheme="minorHAnsi" w:hAnsiTheme="minorHAnsi" w:cstheme="minorHAnsi"/>
          <w:sz w:val="22"/>
          <w:szCs w:val="22"/>
        </w:rPr>
      </w:pPr>
    </w:p>
    <w:p w14:paraId="325775DF" w14:textId="01793AB3" w:rsidR="008C0D3E" w:rsidRDefault="008C0D3E" w:rsidP="00091274">
      <w:pPr>
        <w:rPr>
          <w:rFonts w:asciiTheme="minorHAnsi" w:hAnsiTheme="minorHAnsi" w:cstheme="minorHAnsi"/>
          <w:b/>
          <w:bCs/>
          <w:sz w:val="22"/>
          <w:szCs w:val="22"/>
        </w:rPr>
      </w:pPr>
      <w:r w:rsidRPr="008C0D3E">
        <w:rPr>
          <w:rFonts w:asciiTheme="minorHAnsi" w:hAnsiTheme="minorHAnsi" w:cstheme="minorHAnsi"/>
          <w:b/>
          <w:bCs/>
          <w:sz w:val="22"/>
          <w:szCs w:val="22"/>
        </w:rPr>
        <w:t>Conclusion</w:t>
      </w:r>
    </w:p>
    <w:p w14:paraId="22CD8540" w14:textId="59BAF2AE" w:rsidR="00A05E9A" w:rsidRPr="00A05E9A" w:rsidRDefault="00A05E9A" w:rsidP="00091274">
      <w:pPr>
        <w:rPr>
          <w:rFonts w:asciiTheme="minorHAnsi" w:hAnsiTheme="minorHAnsi" w:cstheme="minorHAnsi"/>
          <w:sz w:val="22"/>
          <w:szCs w:val="22"/>
        </w:rPr>
      </w:pPr>
      <w:r>
        <w:rPr>
          <w:rFonts w:asciiTheme="minorHAnsi" w:hAnsiTheme="minorHAnsi" w:cstheme="minorHAnsi"/>
          <w:sz w:val="22"/>
          <w:szCs w:val="22"/>
        </w:rPr>
        <w:t>This essay demonstrates the potential application of CDS to improve the quality of detailed medicine reviews in reducing problematic polypharmacy within Cardiff and Vale UHB. Product design will need to involve stakeholders from an early stage, utilising a robust governance structure to reassure users and improve the efficacy of implementation. Evaluation of the product will need to in</w:t>
      </w:r>
      <w:r w:rsidR="001D10FC">
        <w:rPr>
          <w:rFonts w:asciiTheme="minorHAnsi" w:hAnsiTheme="minorHAnsi" w:cstheme="minorHAnsi"/>
          <w:sz w:val="22"/>
          <w:szCs w:val="22"/>
        </w:rPr>
        <w:t xml:space="preserve">clude both qualitative and quantitative measures assessing </w:t>
      </w:r>
      <w:r>
        <w:rPr>
          <w:rFonts w:asciiTheme="minorHAnsi" w:hAnsiTheme="minorHAnsi" w:cstheme="minorHAnsi"/>
          <w:sz w:val="22"/>
          <w:szCs w:val="22"/>
        </w:rPr>
        <w:t xml:space="preserve">user acceptability and </w:t>
      </w:r>
      <w:r w:rsidR="001D10FC">
        <w:rPr>
          <w:rFonts w:asciiTheme="minorHAnsi" w:hAnsiTheme="minorHAnsi" w:cstheme="minorHAnsi"/>
          <w:sz w:val="22"/>
          <w:szCs w:val="22"/>
        </w:rPr>
        <w:t xml:space="preserve">improvements to polypharmacy. Benefits from national working alongside AWTTC, may improve potential scalability and ease of evaluating impact of the system on morbidity and mortality. Problematic polypharmacy is a worsening healthcare problem internationally, and a CDS tool may hold a key to improving clinical strategies currently used to tackle it. </w:t>
      </w:r>
    </w:p>
    <w:p w14:paraId="33515E66" w14:textId="539F4AB1" w:rsidR="008C0D3E" w:rsidRDefault="008C0D3E" w:rsidP="007B3155">
      <w:pPr>
        <w:ind w:left="360"/>
        <w:jc w:val="right"/>
        <w:rPr>
          <w:rFonts w:asciiTheme="minorHAnsi" w:hAnsiTheme="minorHAnsi" w:cstheme="minorHAnsi"/>
          <w:b/>
          <w:bCs/>
          <w:sz w:val="22"/>
          <w:szCs w:val="22"/>
        </w:rPr>
      </w:pPr>
    </w:p>
    <w:p w14:paraId="210147C3" w14:textId="77777777" w:rsidR="008C0D3E" w:rsidRPr="008C0D3E" w:rsidRDefault="008C0D3E" w:rsidP="008C0D3E">
      <w:pPr>
        <w:ind w:left="360"/>
        <w:rPr>
          <w:rFonts w:asciiTheme="minorHAnsi" w:hAnsiTheme="minorHAnsi" w:cstheme="minorHAnsi"/>
          <w:b/>
          <w:bCs/>
          <w:sz w:val="22"/>
          <w:szCs w:val="22"/>
        </w:rPr>
      </w:pPr>
    </w:p>
    <w:p w14:paraId="4885BAF3" w14:textId="05636A97" w:rsidR="00A82FF3" w:rsidRPr="00431B2E" w:rsidRDefault="002B27B3" w:rsidP="00CD0D98">
      <w:pPr>
        <w:rPr>
          <w:rFonts w:asciiTheme="minorHAnsi" w:hAnsiTheme="minorHAnsi" w:cstheme="minorHAnsi"/>
          <w:b/>
          <w:bCs/>
          <w:color w:val="000000" w:themeColor="text1"/>
          <w:sz w:val="18"/>
          <w:szCs w:val="18"/>
        </w:rPr>
      </w:pPr>
      <w:r w:rsidRPr="00431B2E">
        <w:rPr>
          <w:rFonts w:asciiTheme="minorHAnsi" w:hAnsiTheme="minorHAnsi" w:cstheme="minorHAnsi"/>
          <w:b/>
          <w:bCs/>
          <w:color w:val="000000" w:themeColor="text1"/>
          <w:sz w:val="18"/>
          <w:szCs w:val="18"/>
        </w:rPr>
        <w:t>References</w:t>
      </w:r>
    </w:p>
    <w:p w14:paraId="5E7080C4" w14:textId="77777777" w:rsidR="002B27B3" w:rsidRPr="00431B2E" w:rsidRDefault="002B27B3" w:rsidP="002B27B3">
      <w:pPr>
        <w:rPr>
          <w:rFonts w:asciiTheme="minorHAnsi" w:hAnsiTheme="minorHAnsi" w:cstheme="minorHAnsi"/>
          <w:b/>
          <w:bCs/>
          <w:color w:val="000000" w:themeColor="text1"/>
          <w:sz w:val="18"/>
          <w:szCs w:val="18"/>
        </w:rPr>
      </w:pPr>
    </w:p>
    <w:p w14:paraId="1D08D811" w14:textId="4617C799" w:rsidR="002B27B3" w:rsidRDefault="002B27B3" w:rsidP="002B27B3">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 xml:space="preserve">All Wales Medicines Strategy Group. (2014) ‘Polypharmacy: Guidance for Prescribing’. </w:t>
      </w:r>
      <w:r w:rsidRPr="00431B2E">
        <w:rPr>
          <w:rFonts w:asciiTheme="minorHAnsi" w:hAnsiTheme="minorHAnsi" w:cstheme="minorHAnsi"/>
          <w:i/>
          <w:iCs/>
          <w:color w:val="000000" w:themeColor="text1"/>
          <w:sz w:val="18"/>
          <w:szCs w:val="18"/>
          <w:shd w:val="clear" w:color="auto" w:fill="FFFFFF"/>
        </w:rPr>
        <w:t>All Wales Therapeutics and Toxicology Centre</w:t>
      </w:r>
      <w:r w:rsidRPr="00431B2E">
        <w:rPr>
          <w:rFonts w:asciiTheme="minorHAnsi" w:hAnsiTheme="minorHAnsi" w:cstheme="minorHAnsi"/>
          <w:color w:val="000000" w:themeColor="text1"/>
          <w:sz w:val="18"/>
          <w:szCs w:val="18"/>
          <w:shd w:val="clear" w:color="auto" w:fill="FFFFFF"/>
        </w:rPr>
        <w:t xml:space="preserve">. </w:t>
      </w:r>
    </w:p>
    <w:p w14:paraId="195100E4" w14:textId="34CE3C5F" w:rsidR="00077016" w:rsidRDefault="00077016" w:rsidP="002B27B3">
      <w:pPr>
        <w:rPr>
          <w:rFonts w:asciiTheme="minorHAnsi" w:hAnsiTheme="minorHAnsi" w:cstheme="minorHAnsi"/>
          <w:color w:val="000000" w:themeColor="text1"/>
          <w:sz w:val="18"/>
          <w:szCs w:val="18"/>
          <w:shd w:val="clear" w:color="auto" w:fill="FFFFFF"/>
        </w:rPr>
      </w:pPr>
    </w:p>
    <w:p w14:paraId="66EEC966" w14:textId="02BEA0AB" w:rsidR="00BB4D14" w:rsidRDefault="00BB4D14" w:rsidP="002B27B3">
      <w:pPr>
        <w:rPr>
          <w:rFonts w:asciiTheme="minorHAnsi" w:hAnsiTheme="minorHAnsi" w:cstheme="minorHAnsi"/>
          <w:color w:val="000000" w:themeColor="text1"/>
          <w:sz w:val="18"/>
          <w:szCs w:val="18"/>
          <w:shd w:val="clear" w:color="auto" w:fill="FFFFFF"/>
        </w:rPr>
      </w:pPr>
      <w:r>
        <w:rPr>
          <w:rFonts w:asciiTheme="minorHAnsi" w:hAnsiTheme="minorHAnsi" w:cstheme="minorHAnsi"/>
          <w:color w:val="000000" w:themeColor="text1"/>
          <w:sz w:val="18"/>
          <w:szCs w:val="18"/>
          <w:shd w:val="clear" w:color="auto" w:fill="FFFFFF"/>
        </w:rPr>
        <w:t xml:space="preserve">All Wales Therapeutics and Toxicology Centre. (2023) ‘Server for Prescribing Information and Reporting Analysis (SPIRA)’. </w:t>
      </w:r>
      <w:r>
        <w:rPr>
          <w:rFonts w:asciiTheme="minorHAnsi" w:hAnsiTheme="minorHAnsi" w:cstheme="minorHAnsi"/>
          <w:i/>
          <w:iCs/>
          <w:color w:val="000000" w:themeColor="text1"/>
          <w:sz w:val="18"/>
          <w:szCs w:val="18"/>
          <w:shd w:val="clear" w:color="auto" w:fill="FFFFFF"/>
        </w:rPr>
        <w:t xml:space="preserve">All Wales Therapeutics and Toxicology Centre. </w:t>
      </w:r>
      <w:r>
        <w:rPr>
          <w:rFonts w:asciiTheme="minorHAnsi" w:hAnsiTheme="minorHAnsi" w:cstheme="minorHAnsi"/>
          <w:color w:val="000000" w:themeColor="text1"/>
          <w:sz w:val="18"/>
          <w:szCs w:val="18"/>
          <w:shd w:val="clear" w:color="auto" w:fill="FFFFFF"/>
        </w:rPr>
        <w:t xml:space="preserve">Available at: </w:t>
      </w:r>
      <w:hyperlink r:id="rId7" w:history="1">
        <w:r w:rsidRPr="00185E56">
          <w:rPr>
            <w:rStyle w:val="Hyperlink"/>
            <w:rFonts w:asciiTheme="minorHAnsi" w:hAnsiTheme="minorHAnsi" w:cstheme="minorHAnsi"/>
            <w:sz w:val="18"/>
            <w:szCs w:val="18"/>
            <w:shd w:val="clear" w:color="auto" w:fill="FFFFFF"/>
          </w:rPr>
          <w:t>https://awttc.nhs.wales/medicines-optimisation-and-safety/medicines-optimisation-guidance-resources-and-data/prescribing-analysis/server-for-prescribing-information-reporting-and-analysis-spira/</w:t>
        </w:r>
      </w:hyperlink>
    </w:p>
    <w:p w14:paraId="6E8E076A" w14:textId="77777777" w:rsidR="00BB4D14" w:rsidRPr="00BB4D14" w:rsidRDefault="00BB4D14" w:rsidP="002B27B3">
      <w:pPr>
        <w:rPr>
          <w:rFonts w:asciiTheme="minorHAnsi" w:hAnsiTheme="minorHAnsi" w:cstheme="minorHAnsi"/>
          <w:color w:val="000000" w:themeColor="text1"/>
          <w:sz w:val="18"/>
          <w:szCs w:val="18"/>
          <w:shd w:val="clear" w:color="auto" w:fill="FFFFFF"/>
        </w:rPr>
      </w:pPr>
    </w:p>
    <w:p w14:paraId="1F4CF542" w14:textId="234F09CD" w:rsidR="00077016" w:rsidRPr="00077016" w:rsidRDefault="00077016" w:rsidP="002B27B3">
      <w:pPr>
        <w:rPr>
          <w:rFonts w:asciiTheme="minorHAnsi" w:hAnsiTheme="minorHAnsi" w:cstheme="minorHAnsi"/>
          <w:color w:val="000000" w:themeColor="text1"/>
          <w:sz w:val="18"/>
          <w:szCs w:val="18"/>
        </w:rPr>
      </w:pPr>
      <w:proofErr w:type="spellStart"/>
      <w:r w:rsidRPr="00077016">
        <w:rPr>
          <w:rFonts w:asciiTheme="minorHAnsi" w:hAnsiTheme="minorHAnsi" w:cstheme="minorHAnsi"/>
          <w:color w:val="000000" w:themeColor="text1"/>
          <w:sz w:val="18"/>
          <w:szCs w:val="18"/>
          <w:shd w:val="clear" w:color="auto" w:fill="FFFFFF"/>
        </w:rPr>
        <w:t>Amershi</w:t>
      </w:r>
      <w:proofErr w:type="spellEnd"/>
      <w:r w:rsidRPr="00077016">
        <w:rPr>
          <w:rFonts w:asciiTheme="minorHAnsi" w:hAnsiTheme="minorHAnsi" w:cstheme="minorHAnsi"/>
          <w:color w:val="000000" w:themeColor="text1"/>
          <w:sz w:val="18"/>
          <w:szCs w:val="18"/>
          <w:shd w:val="clear" w:color="auto" w:fill="FFFFFF"/>
        </w:rPr>
        <w:t>, S.</w:t>
      </w:r>
      <w:r>
        <w:rPr>
          <w:rFonts w:asciiTheme="minorHAnsi" w:hAnsiTheme="minorHAnsi" w:cstheme="minorHAnsi"/>
          <w:color w:val="000000" w:themeColor="text1"/>
          <w:sz w:val="18"/>
          <w:szCs w:val="18"/>
          <w:shd w:val="clear" w:color="auto" w:fill="FFFFFF"/>
        </w:rPr>
        <w:t xml:space="preserve"> </w:t>
      </w:r>
      <w:r>
        <w:rPr>
          <w:rFonts w:asciiTheme="minorHAnsi" w:hAnsiTheme="minorHAnsi" w:cstheme="minorHAnsi"/>
          <w:i/>
          <w:iCs/>
          <w:color w:val="000000" w:themeColor="text1"/>
          <w:sz w:val="18"/>
          <w:szCs w:val="18"/>
          <w:shd w:val="clear" w:color="auto" w:fill="FFFFFF"/>
        </w:rPr>
        <w:t xml:space="preserve">et al. </w:t>
      </w:r>
      <w:r>
        <w:rPr>
          <w:rFonts w:asciiTheme="minorHAnsi" w:hAnsiTheme="minorHAnsi" w:cstheme="minorHAnsi"/>
          <w:color w:val="000000" w:themeColor="text1"/>
          <w:sz w:val="18"/>
          <w:szCs w:val="18"/>
          <w:shd w:val="clear" w:color="auto" w:fill="FFFFFF"/>
        </w:rPr>
        <w:t>(</w:t>
      </w:r>
      <w:r w:rsidRPr="00077016">
        <w:rPr>
          <w:rFonts w:asciiTheme="minorHAnsi" w:hAnsiTheme="minorHAnsi" w:cstheme="minorHAnsi"/>
          <w:color w:val="000000" w:themeColor="text1"/>
          <w:sz w:val="18"/>
          <w:szCs w:val="18"/>
          <w:shd w:val="clear" w:color="auto" w:fill="FFFFFF"/>
        </w:rPr>
        <w:t>2019</w:t>
      </w:r>
      <w:r>
        <w:rPr>
          <w:rFonts w:asciiTheme="minorHAnsi" w:hAnsiTheme="minorHAnsi" w:cstheme="minorHAnsi"/>
          <w:color w:val="000000" w:themeColor="text1"/>
          <w:sz w:val="18"/>
          <w:szCs w:val="18"/>
          <w:shd w:val="clear" w:color="auto" w:fill="FFFFFF"/>
        </w:rPr>
        <w:t>)</w:t>
      </w:r>
      <w:r w:rsidRPr="00077016">
        <w:rPr>
          <w:rFonts w:asciiTheme="minorHAnsi" w:hAnsiTheme="minorHAnsi" w:cstheme="minorHAnsi"/>
          <w:color w:val="000000" w:themeColor="text1"/>
          <w:sz w:val="18"/>
          <w:szCs w:val="18"/>
          <w:shd w:val="clear" w:color="auto" w:fill="FFFFFF"/>
        </w:rPr>
        <w:t xml:space="preserve"> </w:t>
      </w:r>
      <w:r>
        <w:rPr>
          <w:rFonts w:asciiTheme="minorHAnsi" w:hAnsiTheme="minorHAnsi" w:cstheme="minorHAnsi"/>
          <w:color w:val="000000" w:themeColor="text1"/>
          <w:sz w:val="18"/>
          <w:szCs w:val="18"/>
          <w:shd w:val="clear" w:color="auto" w:fill="FFFFFF"/>
        </w:rPr>
        <w:t>‘</w:t>
      </w:r>
      <w:r w:rsidRPr="00077016">
        <w:rPr>
          <w:rFonts w:asciiTheme="minorHAnsi" w:hAnsiTheme="minorHAnsi" w:cstheme="minorHAnsi"/>
          <w:color w:val="000000" w:themeColor="text1"/>
          <w:sz w:val="18"/>
          <w:szCs w:val="18"/>
          <w:shd w:val="clear" w:color="auto" w:fill="FFFFFF"/>
        </w:rPr>
        <w:t>Guidelines for human-AI interaction. In </w:t>
      </w:r>
      <w:r w:rsidRPr="00077016">
        <w:rPr>
          <w:rFonts w:asciiTheme="minorHAnsi" w:hAnsiTheme="minorHAnsi" w:cstheme="minorHAnsi"/>
          <w:i/>
          <w:iCs/>
          <w:color w:val="000000" w:themeColor="text1"/>
          <w:sz w:val="18"/>
          <w:szCs w:val="18"/>
          <w:shd w:val="clear" w:color="auto" w:fill="FFFFFF"/>
        </w:rPr>
        <w:t>Proceedings of the 2019 chi conference on human factors in computing systems</w:t>
      </w:r>
      <w:r>
        <w:rPr>
          <w:rFonts w:asciiTheme="minorHAnsi" w:hAnsiTheme="minorHAnsi" w:cstheme="minorHAnsi"/>
          <w:color w:val="000000" w:themeColor="text1"/>
          <w:sz w:val="18"/>
          <w:szCs w:val="18"/>
          <w:shd w:val="clear" w:color="auto" w:fill="FFFFFF"/>
        </w:rPr>
        <w:t xml:space="preserve">’, </w:t>
      </w:r>
      <w:r w:rsidRPr="00077016">
        <w:rPr>
          <w:rFonts w:asciiTheme="minorHAnsi" w:hAnsiTheme="minorHAnsi" w:cstheme="minorHAnsi"/>
          <w:color w:val="000000" w:themeColor="text1"/>
          <w:sz w:val="18"/>
          <w:szCs w:val="18"/>
          <w:shd w:val="clear" w:color="auto" w:fill="FFFFFF"/>
        </w:rPr>
        <w:t>pp. 1-13.</w:t>
      </w:r>
    </w:p>
    <w:p w14:paraId="7755B720" w14:textId="5D79DBEE" w:rsidR="002B27B3" w:rsidRPr="00431B2E" w:rsidRDefault="002B27B3" w:rsidP="002B27B3">
      <w:pPr>
        <w:rPr>
          <w:rFonts w:asciiTheme="minorHAnsi" w:hAnsiTheme="minorHAnsi" w:cstheme="minorHAnsi"/>
          <w:color w:val="000000" w:themeColor="text1"/>
          <w:sz w:val="18"/>
          <w:szCs w:val="18"/>
          <w:shd w:val="clear" w:color="auto" w:fill="FFFFFF"/>
        </w:rPr>
      </w:pPr>
    </w:p>
    <w:p w14:paraId="32C95DBB" w14:textId="269CC633" w:rsidR="00B03217" w:rsidRPr="00431B2E" w:rsidRDefault="00B03217" w:rsidP="00B03217">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Austin, C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(2015) ‘Tools to Promote Shared Decision Making in Serious Illness: A Systematic Review’.</w:t>
      </w:r>
      <w:r w:rsidRPr="00431B2E">
        <w:rPr>
          <w:rFonts w:asciiTheme="minorHAnsi" w:hAnsiTheme="minorHAnsi" w:cstheme="minorHAnsi"/>
          <w:color w:val="000000" w:themeColor="text1"/>
          <w:sz w:val="18"/>
          <w:szCs w:val="18"/>
        </w:rPr>
        <w:t xml:space="preserve"> </w:t>
      </w:r>
      <w:r w:rsidRPr="00431B2E">
        <w:rPr>
          <w:rStyle w:val="Emphasis"/>
          <w:rFonts w:asciiTheme="minorHAnsi" w:hAnsiTheme="minorHAnsi" w:cstheme="minorHAnsi"/>
          <w:color w:val="000000" w:themeColor="text1"/>
          <w:sz w:val="18"/>
          <w:szCs w:val="18"/>
          <w:shd w:val="clear" w:color="auto" w:fill="FFFFFF"/>
        </w:rPr>
        <w:t>JAMA Intern Med.</w:t>
      </w:r>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color w:val="000000" w:themeColor="text1"/>
          <w:sz w:val="18"/>
          <w:szCs w:val="18"/>
          <w:shd w:val="clear" w:color="auto" w:fill="FFFFFF"/>
        </w:rPr>
        <w:t>175(7)</w:t>
      </w:r>
      <w:r w:rsidRPr="00431B2E">
        <w:rPr>
          <w:rFonts w:asciiTheme="minorHAnsi" w:hAnsiTheme="minorHAnsi" w:cstheme="minorHAnsi"/>
          <w:color w:val="000000" w:themeColor="text1"/>
          <w:sz w:val="18"/>
          <w:szCs w:val="18"/>
          <w:shd w:val="clear" w:color="auto" w:fill="FFFFFF"/>
        </w:rPr>
        <w:t xml:space="preserve">, pp. </w:t>
      </w:r>
      <w:r w:rsidRPr="00431B2E">
        <w:rPr>
          <w:rFonts w:asciiTheme="minorHAnsi" w:hAnsiTheme="minorHAnsi" w:cstheme="minorHAnsi"/>
          <w:color w:val="000000" w:themeColor="text1"/>
          <w:sz w:val="18"/>
          <w:szCs w:val="18"/>
          <w:shd w:val="clear" w:color="auto" w:fill="FFFFFF"/>
        </w:rPr>
        <w:t>1213–1221.</w:t>
      </w:r>
    </w:p>
    <w:p w14:paraId="26F725CF" w14:textId="77777777" w:rsidR="00B03217" w:rsidRPr="00431B2E" w:rsidRDefault="00B03217" w:rsidP="002B27B3">
      <w:pPr>
        <w:rPr>
          <w:rFonts w:asciiTheme="minorHAnsi" w:hAnsiTheme="minorHAnsi" w:cstheme="minorHAnsi"/>
          <w:color w:val="000000" w:themeColor="text1"/>
          <w:sz w:val="18"/>
          <w:szCs w:val="18"/>
          <w:shd w:val="clear" w:color="auto" w:fill="FFFFFF"/>
        </w:rPr>
      </w:pPr>
    </w:p>
    <w:p w14:paraId="4907BA64" w14:textId="2BAFF5CC" w:rsidR="00CB67CF" w:rsidRPr="00431B2E" w:rsidRDefault="00CB67CF" w:rsidP="00CB67CF">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B</w:t>
      </w:r>
      <w:r w:rsidRPr="00431B2E">
        <w:rPr>
          <w:rFonts w:asciiTheme="minorHAnsi" w:hAnsiTheme="minorHAnsi" w:cstheme="minorHAnsi"/>
          <w:color w:val="000000" w:themeColor="text1"/>
          <w:sz w:val="18"/>
          <w:szCs w:val="18"/>
          <w:shd w:val="clear" w:color="auto" w:fill="FFFFFF"/>
        </w:rPr>
        <w:t>arenholtz</w:t>
      </w:r>
      <w:proofErr w:type="spellEnd"/>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color w:val="000000" w:themeColor="text1"/>
          <w:sz w:val="18"/>
          <w:szCs w:val="18"/>
          <w:shd w:val="clear" w:color="auto" w:fill="FFFFFF"/>
        </w:rPr>
        <w:t>H</w:t>
      </w:r>
      <w:r w:rsidRPr="00431B2E">
        <w:rPr>
          <w:rFonts w:asciiTheme="minorHAnsi" w:hAnsiTheme="minorHAnsi" w:cstheme="minorHAnsi"/>
          <w:color w:val="000000" w:themeColor="text1"/>
          <w:sz w:val="18"/>
          <w:szCs w:val="18"/>
          <w:shd w:val="clear" w:color="auto" w:fill="FFFFFF"/>
        </w:rPr>
        <w:t>., M</w:t>
      </w:r>
      <w:r w:rsidRPr="00431B2E">
        <w:rPr>
          <w:rFonts w:asciiTheme="minorHAnsi" w:hAnsiTheme="minorHAnsi" w:cstheme="minorHAnsi"/>
          <w:color w:val="000000" w:themeColor="text1"/>
          <w:sz w:val="18"/>
          <w:szCs w:val="18"/>
          <w:shd w:val="clear" w:color="auto" w:fill="FFFFFF"/>
        </w:rPr>
        <w:t>arcus</w:t>
      </w:r>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color w:val="000000" w:themeColor="text1"/>
          <w:sz w:val="18"/>
          <w:szCs w:val="18"/>
          <w:shd w:val="clear" w:color="auto" w:fill="FFFFFF"/>
        </w:rPr>
        <w:t>E</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C</w:t>
      </w:r>
      <w:r w:rsidRPr="00431B2E">
        <w:rPr>
          <w:rFonts w:asciiTheme="minorHAnsi" w:hAnsiTheme="minorHAnsi" w:cstheme="minorHAnsi"/>
          <w:color w:val="000000" w:themeColor="text1"/>
          <w:sz w:val="18"/>
          <w:szCs w:val="18"/>
          <w:shd w:val="clear" w:color="auto" w:fill="FFFFFF"/>
        </w:rPr>
        <w:t>risten</w:t>
      </w:r>
      <w:r w:rsidRPr="00431B2E">
        <w:rPr>
          <w:rFonts w:asciiTheme="minorHAnsi" w:hAnsiTheme="minorHAnsi" w:cstheme="minorHAnsi"/>
          <w:color w:val="000000" w:themeColor="text1"/>
          <w:sz w:val="18"/>
          <w:szCs w:val="18"/>
          <w:shd w:val="clear" w:color="auto" w:fill="FFFFFF"/>
        </w:rPr>
        <w:t>, C. (2010) ‘Beyond the Beers Criteria: A Comparative Overview of Explicit Criteria’, </w:t>
      </w:r>
      <w:r w:rsidRPr="00431B2E">
        <w:rPr>
          <w:rFonts w:asciiTheme="minorHAnsi" w:hAnsiTheme="minorHAnsi" w:cstheme="minorHAnsi"/>
          <w:i/>
          <w:iCs/>
          <w:color w:val="000000" w:themeColor="text1"/>
          <w:sz w:val="18"/>
          <w:szCs w:val="18"/>
          <w:shd w:val="clear" w:color="auto" w:fill="FFFFFF"/>
        </w:rPr>
        <w:t>The Annals of pharmacotherapy</w:t>
      </w:r>
      <w:r w:rsidRPr="00431B2E">
        <w:rPr>
          <w:rFonts w:asciiTheme="minorHAnsi" w:hAnsiTheme="minorHAnsi" w:cstheme="minorHAnsi"/>
          <w:color w:val="000000" w:themeColor="text1"/>
          <w:sz w:val="18"/>
          <w:szCs w:val="18"/>
          <w:shd w:val="clear" w:color="auto" w:fill="FFFFFF"/>
        </w:rPr>
        <w:t>, 44(12), pp. 1968–1975</w:t>
      </w:r>
    </w:p>
    <w:p w14:paraId="24DC557D" w14:textId="71E32E72" w:rsidR="00CB67CF" w:rsidRPr="00431B2E" w:rsidRDefault="00CB67CF" w:rsidP="002B27B3">
      <w:pPr>
        <w:rPr>
          <w:rFonts w:asciiTheme="minorHAnsi" w:hAnsiTheme="minorHAnsi" w:cstheme="minorHAnsi"/>
          <w:color w:val="000000" w:themeColor="text1"/>
          <w:sz w:val="18"/>
          <w:szCs w:val="18"/>
          <w:shd w:val="clear" w:color="auto" w:fill="FFFFFF"/>
        </w:rPr>
      </w:pPr>
    </w:p>
    <w:p w14:paraId="3379BA9C" w14:textId="53FA1863" w:rsidR="00A15DEF" w:rsidRPr="00431B2E" w:rsidRDefault="00A15DEF" w:rsidP="002B27B3">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Beers</w:t>
      </w:r>
      <w:r w:rsidRPr="00431B2E">
        <w:rPr>
          <w:rFonts w:asciiTheme="minorHAnsi" w:hAnsiTheme="minorHAnsi" w:cstheme="minorHAnsi"/>
          <w:color w:val="000000" w:themeColor="text1"/>
          <w:sz w:val="18"/>
          <w:szCs w:val="18"/>
          <w:shd w:val="clear" w:color="auto" w:fill="FFFFFF"/>
        </w:rPr>
        <w:t>, M.</w:t>
      </w:r>
      <w:r w:rsidRPr="00431B2E">
        <w:rPr>
          <w:rFonts w:asciiTheme="minorHAnsi" w:hAnsiTheme="minorHAnsi" w:cstheme="minorHAnsi"/>
          <w:color w:val="000000" w:themeColor="text1"/>
          <w:sz w:val="18"/>
          <w:szCs w:val="18"/>
          <w:shd w:val="clear" w:color="auto" w:fill="FFFFFF"/>
        </w:rPr>
        <w:t xml:space="preserve"> (2012). ‘The American Geriatrics Society Beers criteria update expert panel. American Geriatrics Society Updated Beers criteria for potentially inappropriate medication use in older </w:t>
      </w:r>
      <w:proofErr w:type="gramStart"/>
      <w:r w:rsidRPr="00431B2E">
        <w:rPr>
          <w:rFonts w:asciiTheme="minorHAnsi" w:hAnsiTheme="minorHAnsi" w:cstheme="minorHAnsi"/>
          <w:color w:val="000000" w:themeColor="text1"/>
          <w:sz w:val="18"/>
          <w:szCs w:val="18"/>
          <w:shd w:val="clear" w:color="auto" w:fill="FFFFFF"/>
        </w:rPr>
        <w:t>adults’</w:t>
      </w:r>
      <w:proofErr w:type="gramEnd"/>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i/>
          <w:iCs/>
          <w:color w:val="000000" w:themeColor="text1"/>
          <w:sz w:val="18"/>
          <w:szCs w:val="18"/>
          <w:shd w:val="clear" w:color="auto" w:fill="FFFFFF"/>
        </w:rPr>
        <w:t>Journal of the American Geriatrics Society</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color w:val="000000" w:themeColor="text1"/>
          <w:sz w:val="18"/>
          <w:szCs w:val="18"/>
          <w:shd w:val="clear" w:color="auto" w:fill="FFFFFF"/>
        </w:rPr>
        <w:t>60</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4</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pp</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616–31.</w:t>
      </w:r>
    </w:p>
    <w:p w14:paraId="475C2A84" w14:textId="6024170C" w:rsidR="00A15DEF" w:rsidRPr="00431B2E" w:rsidRDefault="00A15DEF" w:rsidP="002B27B3">
      <w:pPr>
        <w:rPr>
          <w:rFonts w:asciiTheme="minorHAnsi" w:hAnsiTheme="minorHAnsi" w:cstheme="minorHAnsi"/>
          <w:color w:val="000000" w:themeColor="text1"/>
          <w:sz w:val="18"/>
          <w:szCs w:val="18"/>
          <w:shd w:val="clear" w:color="auto" w:fill="FFFFFF"/>
        </w:rPr>
      </w:pPr>
    </w:p>
    <w:p w14:paraId="3B7B3AFA" w14:textId="62D72B1E" w:rsidR="00AC1096" w:rsidRPr="00431B2E" w:rsidRDefault="00AC1096" w:rsidP="00AC1096">
      <w:pPr>
        <w:rPr>
          <w:rFonts w:asciiTheme="minorHAnsi" w:hAnsiTheme="minorHAnsi" w:cstheme="minorHAnsi"/>
          <w:i/>
          <w:iCs/>
          <w:color w:val="000000" w:themeColor="text1"/>
          <w:sz w:val="18"/>
          <w:szCs w:val="18"/>
        </w:rPr>
      </w:pPr>
      <w:proofErr w:type="spellStart"/>
      <w:r w:rsidRPr="00431B2E">
        <w:rPr>
          <w:rFonts w:asciiTheme="minorHAnsi" w:hAnsiTheme="minorHAnsi" w:cstheme="minorHAnsi"/>
          <w:color w:val="000000" w:themeColor="text1"/>
          <w:sz w:val="18"/>
          <w:szCs w:val="18"/>
        </w:rPr>
        <w:t>Bourne</w:t>
      </w:r>
      <w:proofErr w:type="spellEnd"/>
      <w:r w:rsidRPr="00431B2E">
        <w:rPr>
          <w:rFonts w:asciiTheme="minorHAnsi" w:hAnsiTheme="minorHAnsi" w:cstheme="minorHAnsi"/>
          <w:color w:val="000000" w:themeColor="text1"/>
          <w:sz w:val="18"/>
          <w:szCs w:val="18"/>
        </w:rPr>
        <w:t>, L</w:t>
      </w:r>
      <w:r w:rsidRPr="00431B2E">
        <w:rPr>
          <w:rFonts w:asciiTheme="minorHAnsi" w:hAnsiTheme="minorHAnsi" w:cstheme="minorHAnsi"/>
          <w:color w:val="000000" w:themeColor="text1"/>
          <w:sz w:val="18"/>
          <w:szCs w:val="18"/>
        </w:rPr>
        <w:t>.</w:t>
      </w:r>
      <w:r w:rsidRPr="00431B2E">
        <w:rPr>
          <w:rFonts w:asciiTheme="minorHAnsi" w:hAnsiTheme="minorHAnsi" w:cstheme="minorHAnsi"/>
          <w:color w:val="000000" w:themeColor="text1"/>
          <w:sz w:val="18"/>
          <w:szCs w:val="18"/>
        </w:rPr>
        <w:t xml:space="preserve"> (2015) </w:t>
      </w:r>
      <w:r w:rsidRPr="00431B2E">
        <w:rPr>
          <w:rFonts w:asciiTheme="minorHAnsi" w:hAnsiTheme="minorHAnsi" w:cstheme="minorHAnsi"/>
          <w:color w:val="000000" w:themeColor="text1"/>
          <w:sz w:val="18"/>
          <w:szCs w:val="18"/>
        </w:rPr>
        <w:t>‘</w:t>
      </w:r>
      <w:r w:rsidRPr="00431B2E">
        <w:rPr>
          <w:rFonts w:asciiTheme="minorHAnsi" w:hAnsiTheme="minorHAnsi" w:cstheme="minorHAnsi"/>
          <w:color w:val="000000" w:themeColor="text1"/>
          <w:sz w:val="18"/>
          <w:szCs w:val="18"/>
        </w:rPr>
        <w:t>Making Projects Work: Effective Stakeholder and Communication Management</w:t>
      </w:r>
      <w:r w:rsidRPr="00431B2E">
        <w:rPr>
          <w:rFonts w:asciiTheme="minorHAnsi" w:hAnsiTheme="minorHAnsi" w:cstheme="minorHAnsi"/>
          <w:color w:val="000000" w:themeColor="text1"/>
          <w:sz w:val="18"/>
          <w:szCs w:val="18"/>
        </w:rPr>
        <w:t>’</w:t>
      </w:r>
      <w:r w:rsidRPr="00431B2E">
        <w:rPr>
          <w:rFonts w:asciiTheme="minorHAnsi" w:hAnsiTheme="minorHAnsi" w:cstheme="minorHAnsi"/>
          <w:color w:val="000000" w:themeColor="text1"/>
          <w:sz w:val="18"/>
          <w:szCs w:val="18"/>
        </w:rPr>
        <w:t xml:space="preserve">, </w:t>
      </w:r>
      <w:r w:rsidRPr="00431B2E">
        <w:rPr>
          <w:rFonts w:asciiTheme="minorHAnsi" w:hAnsiTheme="minorHAnsi" w:cstheme="minorHAnsi"/>
          <w:i/>
          <w:iCs/>
          <w:color w:val="000000" w:themeColor="text1"/>
          <w:sz w:val="18"/>
          <w:szCs w:val="18"/>
        </w:rPr>
        <w:t>CRC Press, Taylor and Francis Group</w:t>
      </w:r>
    </w:p>
    <w:p w14:paraId="63950B89" w14:textId="29982A85" w:rsidR="00AC1096" w:rsidRPr="00431B2E" w:rsidRDefault="00AC1096" w:rsidP="002B27B3">
      <w:pPr>
        <w:rPr>
          <w:rFonts w:asciiTheme="minorHAnsi" w:hAnsiTheme="minorHAnsi" w:cstheme="minorHAnsi"/>
          <w:color w:val="000000" w:themeColor="text1"/>
          <w:sz w:val="18"/>
          <w:szCs w:val="18"/>
          <w:shd w:val="clear" w:color="auto" w:fill="FFFFFF"/>
        </w:rPr>
      </w:pPr>
    </w:p>
    <w:p w14:paraId="01FE8B4F" w14:textId="4A201064" w:rsidR="00A82658" w:rsidRPr="00431B2E" w:rsidRDefault="00A82658" w:rsidP="00A82658">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Bridgeman, P., Bridgeman, M.</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Barone, J. (2018) ‘Burnout syndrome among healthcare professionals’, </w:t>
      </w:r>
      <w:r w:rsidRPr="00431B2E">
        <w:rPr>
          <w:rFonts w:asciiTheme="minorHAnsi" w:hAnsiTheme="minorHAnsi" w:cstheme="minorHAnsi"/>
          <w:i/>
          <w:iCs/>
          <w:color w:val="000000" w:themeColor="text1"/>
          <w:sz w:val="18"/>
          <w:szCs w:val="18"/>
          <w:shd w:val="clear" w:color="auto" w:fill="FFFFFF"/>
        </w:rPr>
        <w:t>American journal of health-system pharmacy</w:t>
      </w:r>
      <w:r w:rsidRPr="00431B2E">
        <w:rPr>
          <w:rFonts w:asciiTheme="minorHAnsi" w:hAnsiTheme="minorHAnsi" w:cstheme="minorHAnsi"/>
          <w:color w:val="000000" w:themeColor="text1"/>
          <w:sz w:val="18"/>
          <w:szCs w:val="18"/>
          <w:shd w:val="clear" w:color="auto" w:fill="FFFFFF"/>
        </w:rPr>
        <w:t>, 75(3), pp. 147–152</w:t>
      </w:r>
    </w:p>
    <w:p w14:paraId="4DA3ED9B" w14:textId="77777777" w:rsidR="00A82658" w:rsidRPr="00431B2E" w:rsidRDefault="00A82658" w:rsidP="002B27B3">
      <w:pPr>
        <w:rPr>
          <w:rFonts w:asciiTheme="minorHAnsi" w:hAnsiTheme="minorHAnsi" w:cstheme="minorHAnsi"/>
          <w:color w:val="000000" w:themeColor="text1"/>
          <w:sz w:val="18"/>
          <w:szCs w:val="18"/>
          <w:shd w:val="clear" w:color="auto" w:fill="FFFFFF"/>
        </w:rPr>
      </w:pPr>
    </w:p>
    <w:p w14:paraId="479BB0AB" w14:textId="78DEA600" w:rsidR="00AD11BF" w:rsidRPr="00431B2E" w:rsidRDefault="00AD11BF" w:rsidP="00AD11BF">
      <w:pPr>
        <w:rPr>
          <w:rFonts w:asciiTheme="minorHAnsi" w:hAnsiTheme="minorHAnsi" w:cstheme="minorHAnsi"/>
          <w:color w:val="000000" w:themeColor="text1"/>
          <w:sz w:val="18"/>
          <w:szCs w:val="18"/>
        </w:rPr>
      </w:pPr>
      <w:proofErr w:type="spellStart"/>
      <w:r w:rsidRPr="00431B2E">
        <w:rPr>
          <w:rStyle w:val="authors"/>
          <w:rFonts w:asciiTheme="minorHAnsi" w:hAnsiTheme="minorHAnsi" w:cstheme="minorHAnsi"/>
          <w:color w:val="000000" w:themeColor="text1"/>
          <w:sz w:val="18"/>
          <w:szCs w:val="18"/>
          <w:shd w:val="clear" w:color="auto" w:fill="FFFFFF"/>
        </w:rPr>
        <w:lastRenderedPageBreak/>
        <w:t>Brixner</w:t>
      </w:r>
      <w:proofErr w:type="spellEnd"/>
      <w:r w:rsidRPr="00431B2E">
        <w:rPr>
          <w:rStyle w:val="authors"/>
          <w:rFonts w:asciiTheme="minorHAnsi" w:hAnsiTheme="minorHAnsi" w:cstheme="minorHAnsi"/>
          <w:color w:val="000000" w:themeColor="text1"/>
          <w:sz w:val="18"/>
          <w:szCs w:val="18"/>
          <w:shd w:val="clear" w:color="auto" w:fill="FFFFFF"/>
        </w:rPr>
        <w:t xml:space="preserve">, </w:t>
      </w:r>
      <w:r w:rsidR="00622B6B" w:rsidRPr="00431B2E">
        <w:rPr>
          <w:rStyle w:val="authors"/>
          <w:rFonts w:asciiTheme="minorHAnsi" w:hAnsiTheme="minorHAnsi" w:cstheme="minorHAnsi"/>
          <w:color w:val="000000" w:themeColor="text1"/>
          <w:sz w:val="18"/>
          <w:szCs w:val="18"/>
          <w:shd w:val="clear" w:color="auto" w:fill="FFFFFF"/>
        </w:rPr>
        <w:t xml:space="preserve">D </w:t>
      </w:r>
      <w:r w:rsidR="00622B6B" w:rsidRPr="00431B2E">
        <w:rPr>
          <w:rStyle w:val="authors"/>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w:t>
      </w:r>
      <w:r w:rsidRPr="00431B2E">
        <w:rPr>
          <w:rStyle w:val="date"/>
          <w:rFonts w:asciiTheme="minorHAnsi" w:hAnsiTheme="minorHAnsi" w:cstheme="minorHAnsi"/>
          <w:color w:val="000000" w:themeColor="text1"/>
          <w:sz w:val="18"/>
          <w:szCs w:val="18"/>
          <w:shd w:val="clear" w:color="auto" w:fill="FFFFFF"/>
        </w:rPr>
        <w:t>(2016)</w:t>
      </w:r>
      <w:r w:rsidRPr="00431B2E">
        <w:rPr>
          <w:rFonts w:asciiTheme="minorHAnsi" w:hAnsiTheme="minorHAnsi" w:cstheme="minorHAnsi"/>
          <w:color w:val="000000" w:themeColor="text1"/>
          <w:sz w:val="18"/>
          <w:szCs w:val="18"/>
          <w:shd w:val="clear" w:color="auto" w:fill="FFFFFF"/>
        </w:rPr>
        <w:t> </w:t>
      </w:r>
      <w:r w:rsidR="00622B6B" w:rsidRPr="00431B2E">
        <w:rPr>
          <w:rFonts w:asciiTheme="minorHAnsi" w:hAnsiTheme="minorHAnsi" w:cstheme="minorHAnsi"/>
          <w:color w:val="000000" w:themeColor="text1"/>
          <w:sz w:val="18"/>
          <w:szCs w:val="18"/>
          <w:shd w:val="clear" w:color="auto" w:fill="FFFFFF"/>
        </w:rPr>
        <w:t>‘</w:t>
      </w:r>
      <w:r w:rsidRPr="00431B2E">
        <w:rPr>
          <w:rStyle w:val="arttitle"/>
          <w:rFonts w:asciiTheme="minorHAnsi" w:hAnsiTheme="minorHAnsi" w:cstheme="minorHAnsi"/>
          <w:color w:val="000000" w:themeColor="text1"/>
          <w:sz w:val="18"/>
          <w:szCs w:val="18"/>
          <w:shd w:val="clear" w:color="auto" w:fill="FFFFFF"/>
        </w:rPr>
        <w:t>The effect of pharmacogenetic profiling with a clinical decision support tool on healthcare resource utilization and estimated costs in the elderly exposed to polypharmacy</w:t>
      </w:r>
      <w:r w:rsidR="00622B6B" w:rsidRPr="00431B2E">
        <w:rPr>
          <w:rStyle w:val="arttitle"/>
          <w:rFonts w:asciiTheme="minorHAnsi" w:hAnsiTheme="minorHAnsi" w:cstheme="minorHAnsi"/>
          <w:color w:val="000000" w:themeColor="text1"/>
          <w:sz w:val="18"/>
          <w:szCs w:val="18"/>
          <w:shd w:val="clear" w:color="auto" w:fill="FFFFFF"/>
        </w:rPr>
        <w:t>’</w:t>
      </w:r>
      <w:r w:rsidRPr="00431B2E">
        <w:rPr>
          <w:rStyle w:val="arttitle"/>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w:t>
      </w:r>
      <w:r w:rsidRPr="00431B2E">
        <w:rPr>
          <w:rStyle w:val="serialtitle"/>
          <w:rFonts w:asciiTheme="minorHAnsi" w:hAnsiTheme="minorHAnsi" w:cstheme="minorHAnsi"/>
          <w:i/>
          <w:iCs/>
          <w:color w:val="000000" w:themeColor="text1"/>
          <w:sz w:val="18"/>
          <w:szCs w:val="18"/>
          <w:shd w:val="clear" w:color="auto" w:fill="FFFFFF"/>
        </w:rPr>
        <w:t>Journal of Medical Economics</w:t>
      </w:r>
      <w:r w:rsidRPr="00431B2E">
        <w:rPr>
          <w:rStyle w:val="serialtitle"/>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w:t>
      </w:r>
      <w:r w:rsidRPr="00431B2E">
        <w:rPr>
          <w:rStyle w:val="volumeissue"/>
          <w:rFonts w:asciiTheme="minorHAnsi" w:hAnsiTheme="minorHAnsi" w:cstheme="minorHAnsi"/>
          <w:color w:val="000000" w:themeColor="text1"/>
          <w:sz w:val="18"/>
          <w:szCs w:val="18"/>
          <w:shd w:val="clear" w:color="auto" w:fill="FFFFFF"/>
        </w:rPr>
        <w:t>19</w:t>
      </w:r>
      <w:r w:rsidR="00622B6B" w:rsidRPr="00431B2E">
        <w:rPr>
          <w:rStyle w:val="volumeissue"/>
          <w:rFonts w:asciiTheme="minorHAnsi" w:hAnsiTheme="minorHAnsi" w:cstheme="minorHAnsi"/>
          <w:color w:val="000000" w:themeColor="text1"/>
          <w:sz w:val="18"/>
          <w:szCs w:val="18"/>
          <w:shd w:val="clear" w:color="auto" w:fill="FFFFFF"/>
        </w:rPr>
        <w:t>(</w:t>
      </w:r>
      <w:r w:rsidRPr="00431B2E">
        <w:rPr>
          <w:rStyle w:val="volumeissue"/>
          <w:rFonts w:asciiTheme="minorHAnsi" w:hAnsiTheme="minorHAnsi" w:cstheme="minorHAnsi"/>
          <w:color w:val="000000" w:themeColor="text1"/>
          <w:sz w:val="18"/>
          <w:szCs w:val="18"/>
          <w:shd w:val="clear" w:color="auto" w:fill="FFFFFF"/>
        </w:rPr>
        <w:t>3</w:t>
      </w:r>
      <w:r w:rsidR="00622B6B" w:rsidRPr="00431B2E">
        <w:rPr>
          <w:rStyle w:val="volumeissue"/>
          <w:rFonts w:asciiTheme="minorHAnsi" w:hAnsiTheme="minorHAnsi" w:cstheme="minorHAnsi"/>
          <w:color w:val="000000" w:themeColor="text1"/>
          <w:sz w:val="18"/>
          <w:szCs w:val="18"/>
          <w:shd w:val="clear" w:color="auto" w:fill="FFFFFF"/>
        </w:rPr>
        <w:t>), pp.</w:t>
      </w:r>
      <w:r w:rsidRPr="00431B2E">
        <w:rPr>
          <w:rFonts w:asciiTheme="minorHAnsi" w:hAnsiTheme="minorHAnsi" w:cstheme="minorHAnsi"/>
          <w:color w:val="000000" w:themeColor="text1"/>
          <w:sz w:val="18"/>
          <w:szCs w:val="18"/>
          <w:shd w:val="clear" w:color="auto" w:fill="FFFFFF"/>
        </w:rPr>
        <w:t> </w:t>
      </w:r>
      <w:r w:rsidRPr="00431B2E">
        <w:rPr>
          <w:rStyle w:val="pagerange"/>
          <w:rFonts w:asciiTheme="minorHAnsi" w:hAnsiTheme="minorHAnsi" w:cstheme="minorHAnsi"/>
          <w:color w:val="000000" w:themeColor="text1"/>
          <w:sz w:val="18"/>
          <w:szCs w:val="18"/>
          <w:shd w:val="clear" w:color="auto" w:fill="FFFFFF"/>
        </w:rPr>
        <w:t>213-228</w:t>
      </w:r>
      <w:r w:rsidR="00622B6B" w:rsidRPr="00431B2E">
        <w:rPr>
          <w:rStyle w:val="pagerange"/>
          <w:rFonts w:asciiTheme="minorHAnsi" w:hAnsiTheme="minorHAnsi" w:cstheme="minorHAnsi"/>
          <w:color w:val="000000" w:themeColor="text1"/>
          <w:sz w:val="18"/>
          <w:szCs w:val="18"/>
          <w:shd w:val="clear" w:color="auto" w:fill="FFFFFF"/>
        </w:rPr>
        <w:t>.</w:t>
      </w:r>
    </w:p>
    <w:p w14:paraId="5C7988F7" w14:textId="77777777" w:rsidR="00AD11BF" w:rsidRPr="00431B2E" w:rsidRDefault="00AD11BF" w:rsidP="002B27B3">
      <w:pPr>
        <w:rPr>
          <w:rFonts w:asciiTheme="minorHAnsi" w:hAnsiTheme="minorHAnsi" w:cstheme="minorHAnsi"/>
          <w:color w:val="000000" w:themeColor="text1"/>
          <w:sz w:val="18"/>
          <w:szCs w:val="18"/>
          <w:shd w:val="clear" w:color="auto" w:fill="FFFFFF"/>
        </w:rPr>
      </w:pPr>
    </w:p>
    <w:p w14:paraId="6AE0B60E" w14:textId="0A2C9F9C" w:rsidR="00EA5621" w:rsidRPr="00431B2E" w:rsidRDefault="00EA5621" w:rsidP="00EA5621">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Cadogan, C.., Ryan, C. and Hughes, C. (2016) ‘Appropriate Polypharmacy and Medicine Safety: When Many is not Too Many’, </w:t>
      </w:r>
      <w:r w:rsidRPr="00431B2E">
        <w:rPr>
          <w:rFonts w:asciiTheme="minorHAnsi" w:hAnsiTheme="minorHAnsi" w:cstheme="minorHAnsi"/>
          <w:i/>
          <w:iCs/>
          <w:color w:val="000000" w:themeColor="text1"/>
          <w:sz w:val="18"/>
          <w:szCs w:val="18"/>
          <w:shd w:val="clear" w:color="auto" w:fill="FFFFFF"/>
        </w:rPr>
        <w:t>Drug safety</w:t>
      </w:r>
      <w:r w:rsidRPr="00431B2E">
        <w:rPr>
          <w:rFonts w:asciiTheme="minorHAnsi" w:hAnsiTheme="minorHAnsi" w:cstheme="minorHAnsi"/>
          <w:color w:val="000000" w:themeColor="text1"/>
          <w:sz w:val="18"/>
          <w:szCs w:val="18"/>
          <w:shd w:val="clear" w:color="auto" w:fill="FFFFFF"/>
        </w:rPr>
        <w:t>, 39(2), pp. 109–116.</w:t>
      </w:r>
    </w:p>
    <w:p w14:paraId="7E487C88" w14:textId="16160C3B" w:rsidR="00EA5621" w:rsidRPr="00431B2E" w:rsidRDefault="00EA5621" w:rsidP="002B27B3">
      <w:pPr>
        <w:rPr>
          <w:rFonts w:asciiTheme="minorHAnsi" w:hAnsiTheme="minorHAnsi" w:cstheme="minorHAnsi"/>
          <w:color w:val="000000" w:themeColor="text1"/>
          <w:sz w:val="18"/>
          <w:szCs w:val="18"/>
          <w:shd w:val="clear" w:color="auto" w:fill="FFFFFF"/>
        </w:rPr>
      </w:pPr>
    </w:p>
    <w:p w14:paraId="17735D86" w14:textId="158D3879" w:rsidR="003C5DDB" w:rsidRPr="00431B2E" w:rsidRDefault="003C5DDB" w:rsidP="003C5DDB">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Dagliati</w:t>
      </w:r>
      <w:proofErr w:type="spellEnd"/>
      <w:r w:rsidRPr="00431B2E">
        <w:rPr>
          <w:rFonts w:asciiTheme="minorHAnsi" w:hAnsiTheme="minorHAnsi" w:cstheme="minorHAnsi"/>
          <w:color w:val="000000" w:themeColor="text1"/>
          <w:sz w:val="18"/>
          <w:szCs w:val="18"/>
          <w:shd w:val="clear" w:color="auto" w:fill="FFFFFF"/>
        </w:rPr>
        <w:t>, A.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(2018) ‘Big Data as a Driver for Clinical Decision Support Systems: A Learning Health Systems Perspective’, </w:t>
      </w:r>
      <w:r w:rsidRPr="00431B2E">
        <w:rPr>
          <w:rFonts w:asciiTheme="minorHAnsi" w:hAnsiTheme="minorHAnsi" w:cstheme="minorHAnsi"/>
          <w:i/>
          <w:iCs/>
          <w:color w:val="000000" w:themeColor="text1"/>
          <w:sz w:val="18"/>
          <w:szCs w:val="18"/>
          <w:shd w:val="clear" w:color="auto" w:fill="FFFFFF"/>
        </w:rPr>
        <w:t>Frontiers in digital humanities</w:t>
      </w:r>
      <w:r w:rsidRPr="00431B2E">
        <w:rPr>
          <w:rFonts w:asciiTheme="minorHAnsi" w:hAnsiTheme="minorHAnsi" w:cstheme="minorHAnsi"/>
          <w:color w:val="000000" w:themeColor="text1"/>
          <w:sz w:val="18"/>
          <w:szCs w:val="18"/>
          <w:shd w:val="clear" w:color="auto" w:fill="FFFFFF"/>
        </w:rPr>
        <w:t>, 5</w:t>
      </w:r>
      <w:r w:rsidRPr="00431B2E">
        <w:rPr>
          <w:rFonts w:asciiTheme="minorHAnsi" w:hAnsiTheme="minorHAnsi" w:cstheme="minorHAnsi"/>
          <w:color w:val="000000" w:themeColor="text1"/>
          <w:sz w:val="18"/>
          <w:szCs w:val="18"/>
          <w:shd w:val="clear" w:color="auto" w:fill="FFFFFF"/>
        </w:rPr>
        <w:t>, pp. 8.</w:t>
      </w:r>
    </w:p>
    <w:p w14:paraId="66DFE9D4" w14:textId="5DB1EE8A" w:rsidR="003C5DDB" w:rsidRPr="00431B2E" w:rsidRDefault="003C5DDB" w:rsidP="002B27B3">
      <w:pPr>
        <w:rPr>
          <w:rFonts w:asciiTheme="minorHAnsi" w:hAnsiTheme="minorHAnsi" w:cstheme="minorHAnsi"/>
          <w:color w:val="000000" w:themeColor="text1"/>
          <w:sz w:val="18"/>
          <w:szCs w:val="18"/>
          <w:shd w:val="clear" w:color="auto" w:fill="FFFFFF"/>
        </w:rPr>
      </w:pPr>
    </w:p>
    <w:p w14:paraId="0E190CA9" w14:textId="0F0BC99E" w:rsidR="00CB0D25" w:rsidRPr="00431B2E" w:rsidRDefault="00CB0D25" w:rsidP="002B27B3">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 xml:space="preserve">Digital Health and Care Wales. (2023) ‘Digital Services for Patients and Public (DSPP)’, </w:t>
      </w:r>
      <w:r w:rsidRPr="00431B2E">
        <w:rPr>
          <w:rFonts w:asciiTheme="minorHAnsi" w:hAnsiTheme="minorHAnsi" w:cstheme="minorHAnsi"/>
          <w:i/>
          <w:iCs/>
          <w:color w:val="000000" w:themeColor="text1"/>
          <w:sz w:val="18"/>
          <w:szCs w:val="18"/>
          <w:shd w:val="clear" w:color="auto" w:fill="FFFFFF"/>
        </w:rPr>
        <w:t xml:space="preserve">Digital Health and Care Wales. </w:t>
      </w:r>
      <w:r w:rsidRPr="00431B2E">
        <w:rPr>
          <w:rFonts w:asciiTheme="minorHAnsi" w:hAnsiTheme="minorHAnsi" w:cstheme="minorHAnsi"/>
          <w:color w:val="000000" w:themeColor="text1"/>
          <w:sz w:val="18"/>
          <w:szCs w:val="18"/>
          <w:shd w:val="clear" w:color="auto" w:fill="FFFFFF"/>
        </w:rPr>
        <w:t xml:space="preserve">Available at: </w:t>
      </w:r>
      <w:hyperlink r:id="rId8" w:history="1">
        <w:r w:rsidRPr="00431B2E">
          <w:rPr>
            <w:rStyle w:val="Hyperlink"/>
            <w:rFonts w:asciiTheme="minorHAnsi" w:hAnsiTheme="minorHAnsi" w:cstheme="minorHAnsi"/>
            <w:color w:val="000000" w:themeColor="text1"/>
            <w:sz w:val="18"/>
            <w:szCs w:val="18"/>
            <w:shd w:val="clear" w:color="auto" w:fill="FFFFFF"/>
          </w:rPr>
          <w:t>https://dhcw.nhs.wales/systems-and-services/for-patients-and-citizens-of-wales/digital-services-for-patients-and-public/</w:t>
        </w:r>
      </w:hyperlink>
    </w:p>
    <w:p w14:paraId="460F0AC9" w14:textId="77777777" w:rsidR="00CB0D25" w:rsidRPr="00431B2E" w:rsidRDefault="00CB0D25" w:rsidP="002B27B3">
      <w:pPr>
        <w:rPr>
          <w:rFonts w:asciiTheme="minorHAnsi" w:hAnsiTheme="minorHAnsi" w:cstheme="minorHAnsi"/>
          <w:color w:val="000000" w:themeColor="text1"/>
          <w:sz w:val="18"/>
          <w:szCs w:val="18"/>
          <w:shd w:val="clear" w:color="auto" w:fill="FFFFFF"/>
        </w:rPr>
      </w:pPr>
    </w:p>
    <w:p w14:paraId="1DC45DC0" w14:textId="6E1EB438" w:rsidR="008E7682" w:rsidRPr="00431B2E" w:rsidRDefault="008E7682" w:rsidP="002B27B3">
      <w:pPr>
        <w:rPr>
          <w:rFonts w:asciiTheme="minorHAnsi" w:hAnsiTheme="minorHAnsi" w:cstheme="minorHAnsi"/>
          <w:i/>
          <w:iCs/>
          <w:color w:val="000000" w:themeColor="text1"/>
          <w:sz w:val="18"/>
          <w:szCs w:val="18"/>
          <w:shd w:val="clear" w:color="auto" w:fill="FFFFFF"/>
        </w:rPr>
      </w:pPr>
      <w:proofErr w:type="spellStart"/>
      <w:r w:rsidRPr="00431B2E">
        <w:rPr>
          <w:rFonts w:asciiTheme="minorHAnsi" w:hAnsiTheme="minorHAnsi" w:cstheme="minorHAnsi"/>
          <w:color w:val="000000" w:themeColor="text1"/>
          <w:sz w:val="18"/>
          <w:szCs w:val="18"/>
          <w:shd w:val="clear" w:color="auto" w:fill="FFFFFF"/>
        </w:rPr>
        <w:t>Duerden</w:t>
      </w:r>
      <w:proofErr w:type="spellEnd"/>
      <w:r w:rsidRPr="00431B2E">
        <w:rPr>
          <w:rFonts w:asciiTheme="minorHAnsi" w:hAnsiTheme="minorHAnsi" w:cstheme="minorHAnsi"/>
          <w:color w:val="000000" w:themeColor="text1"/>
          <w:sz w:val="18"/>
          <w:szCs w:val="18"/>
          <w:shd w:val="clear" w:color="auto" w:fill="FFFFFF"/>
        </w:rPr>
        <w:t xml:space="preserve">, M., Avery, T., Payne, R. (2013) ‘Polypharmacy and Medicines Optimisation – Making it Safe and </w:t>
      </w:r>
      <w:proofErr w:type="spellStart"/>
      <w:r w:rsidRPr="00431B2E">
        <w:rPr>
          <w:rFonts w:asciiTheme="minorHAnsi" w:hAnsiTheme="minorHAnsi" w:cstheme="minorHAnsi"/>
          <w:color w:val="000000" w:themeColor="text1"/>
          <w:sz w:val="18"/>
          <w:szCs w:val="18"/>
          <w:shd w:val="clear" w:color="auto" w:fill="FFFFFF"/>
        </w:rPr>
        <w:t>Soud</w:t>
      </w:r>
      <w:proofErr w:type="spellEnd"/>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i/>
          <w:iCs/>
          <w:color w:val="000000" w:themeColor="text1"/>
          <w:sz w:val="18"/>
          <w:szCs w:val="18"/>
          <w:shd w:val="clear" w:color="auto" w:fill="FFFFFF"/>
        </w:rPr>
        <w:t>The King’s Fund.</w:t>
      </w:r>
    </w:p>
    <w:p w14:paraId="2AF4C46D" w14:textId="2218790A" w:rsidR="00CC0C3F" w:rsidRPr="00431B2E" w:rsidRDefault="00CC0C3F" w:rsidP="002B27B3">
      <w:pPr>
        <w:rPr>
          <w:rFonts w:asciiTheme="minorHAnsi" w:hAnsiTheme="minorHAnsi" w:cstheme="minorHAnsi"/>
          <w:color w:val="000000" w:themeColor="text1"/>
          <w:sz w:val="18"/>
          <w:szCs w:val="18"/>
          <w:shd w:val="clear" w:color="auto" w:fill="FFFFFF"/>
        </w:rPr>
      </w:pPr>
    </w:p>
    <w:p w14:paraId="55ED40E1" w14:textId="26910D0D" w:rsidR="00403D19" w:rsidRPr="00431B2E" w:rsidRDefault="00403D19" w:rsidP="00403D19">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Elliott, L.S.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(2017) ‘Clinical impact of pharmacogenetic profiling with a clinical decision support tool in polypharmacy home health patients: A prospective pilot randomized controlled trial’, </w:t>
      </w:r>
      <w:proofErr w:type="spellStart"/>
      <w:r w:rsidRPr="00431B2E">
        <w:rPr>
          <w:rFonts w:asciiTheme="minorHAnsi" w:hAnsiTheme="minorHAnsi" w:cstheme="minorHAnsi"/>
          <w:i/>
          <w:iCs/>
          <w:color w:val="000000" w:themeColor="text1"/>
          <w:sz w:val="18"/>
          <w:szCs w:val="18"/>
          <w:shd w:val="clear" w:color="auto" w:fill="FFFFFF"/>
        </w:rPr>
        <w:t>PloS</w:t>
      </w:r>
      <w:proofErr w:type="spellEnd"/>
      <w:r w:rsidRPr="00431B2E">
        <w:rPr>
          <w:rFonts w:asciiTheme="minorHAnsi" w:hAnsiTheme="minorHAnsi" w:cstheme="minorHAnsi"/>
          <w:i/>
          <w:iCs/>
          <w:color w:val="000000" w:themeColor="text1"/>
          <w:sz w:val="18"/>
          <w:szCs w:val="18"/>
          <w:shd w:val="clear" w:color="auto" w:fill="FFFFFF"/>
        </w:rPr>
        <w:t xml:space="preserve"> one</w:t>
      </w:r>
      <w:r w:rsidRPr="00431B2E">
        <w:rPr>
          <w:rFonts w:asciiTheme="minorHAnsi" w:hAnsiTheme="minorHAnsi" w:cstheme="minorHAnsi"/>
          <w:color w:val="000000" w:themeColor="text1"/>
          <w:sz w:val="18"/>
          <w:szCs w:val="18"/>
          <w:shd w:val="clear" w:color="auto" w:fill="FFFFFF"/>
        </w:rPr>
        <w:t>, 12(2), pp. e0170905–e0170905.</w:t>
      </w:r>
    </w:p>
    <w:p w14:paraId="25AE66FE" w14:textId="77777777" w:rsidR="00273354" w:rsidRPr="00431B2E" w:rsidRDefault="00273354" w:rsidP="00403D19">
      <w:pPr>
        <w:rPr>
          <w:rFonts w:asciiTheme="minorHAnsi" w:hAnsiTheme="minorHAnsi" w:cstheme="minorHAnsi"/>
          <w:color w:val="000000" w:themeColor="text1"/>
          <w:sz w:val="18"/>
          <w:szCs w:val="18"/>
          <w:shd w:val="clear" w:color="auto" w:fill="FFFFFF"/>
        </w:rPr>
      </w:pPr>
    </w:p>
    <w:p w14:paraId="750A48A0" w14:textId="45E6C740" w:rsidR="00273354" w:rsidRPr="00431B2E" w:rsidRDefault="00273354" w:rsidP="00273354">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Elwyn, G.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(2012) ‘Shared decision making: a model for clinical practice’, </w:t>
      </w:r>
      <w:r w:rsidRPr="00431B2E">
        <w:rPr>
          <w:rFonts w:asciiTheme="minorHAnsi" w:hAnsiTheme="minorHAnsi" w:cstheme="minorHAnsi"/>
          <w:i/>
          <w:iCs/>
          <w:color w:val="000000" w:themeColor="text1"/>
          <w:sz w:val="18"/>
          <w:szCs w:val="18"/>
          <w:shd w:val="clear" w:color="auto" w:fill="FFFFFF"/>
        </w:rPr>
        <w:t>Journal of general internal medicine</w:t>
      </w:r>
      <w:r w:rsidRPr="00431B2E">
        <w:rPr>
          <w:rFonts w:asciiTheme="minorHAnsi" w:hAnsiTheme="minorHAnsi" w:cstheme="minorHAnsi"/>
          <w:color w:val="000000" w:themeColor="text1"/>
          <w:sz w:val="18"/>
          <w:szCs w:val="18"/>
          <w:shd w:val="clear" w:color="auto" w:fill="FFFFFF"/>
        </w:rPr>
        <w:t>, 27(10), pp. 1361–</w:t>
      </w:r>
      <w:r w:rsidRPr="00431B2E">
        <w:rPr>
          <w:rFonts w:asciiTheme="minorHAnsi" w:hAnsiTheme="minorHAnsi" w:cstheme="minorHAnsi"/>
          <w:color w:val="000000" w:themeColor="text1"/>
          <w:sz w:val="18"/>
          <w:szCs w:val="18"/>
          <w:shd w:val="clear" w:color="auto" w:fill="FFFFFF"/>
        </w:rPr>
        <w:t>136</w:t>
      </w:r>
      <w:r w:rsidRPr="00431B2E">
        <w:rPr>
          <w:rFonts w:asciiTheme="minorHAnsi" w:hAnsiTheme="minorHAnsi" w:cstheme="minorHAnsi"/>
          <w:color w:val="000000" w:themeColor="text1"/>
          <w:sz w:val="18"/>
          <w:szCs w:val="18"/>
          <w:shd w:val="clear" w:color="auto" w:fill="FFFFFF"/>
        </w:rPr>
        <w:t>7.</w:t>
      </w:r>
    </w:p>
    <w:p w14:paraId="1A8435F9" w14:textId="77777777" w:rsidR="00273354" w:rsidRPr="00431B2E" w:rsidRDefault="00273354" w:rsidP="00403D19">
      <w:pPr>
        <w:rPr>
          <w:rFonts w:asciiTheme="minorHAnsi" w:hAnsiTheme="minorHAnsi" w:cstheme="minorHAnsi"/>
          <w:color w:val="000000" w:themeColor="text1"/>
          <w:sz w:val="18"/>
          <w:szCs w:val="18"/>
        </w:rPr>
      </w:pPr>
    </w:p>
    <w:p w14:paraId="6910CB28" w14:textId="37D866C0" w:rsidR="00273354" w:rsidRPr="00431B2E" w:rsidRDefault="00273354" w:rsidP="00273354">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 xml:space="preserve">Fernandez, </w:t>
      </w:r>
      <w:r w:rsidRPr="00431B2E">
        <w:rPr>
          <w:rFonts w:asciiTheme="minorHAnsi" w:hAnsiTheme="minorHAnsi" w:cstheme="minorHAnsi"/>
          <w:color w:val="000000" w:themeColor="text1"/>
          <w:sz w:val="18"/>
          <w:szCs w:val="18"/>
          <w:shd w:val="clear" w:color="auto" w:fill="FFFFFF"/>
        </w:rPr>
        <w:t>J</w:t>
      </w:r>
      <w:r w:rsidRPr="00431B2E">
        <w:rPr>
          <w:rFonts w:asciiTheme="minorHAnsi" w:hAnsiTheme="minorHAnsi" w:cstheme="minorHAnsi"/>
          <w:color w:val="000000" w:themeColor="text1"/>
          <w:sz w:val="18"/>
          <w:szCs w:val="18"/>
          <w:shd w:val="clear" w:color="auto" w:fill="FFFFFF"/>
        </w:rPr>
        <w:t>. and Fernandez, J. (2008) ‘Agile Project Management -</w:t>
      </w:r>
      <w:proofErr w:type="spellStart"/>
      <w:r w:rsidRPr="00431B2E">
        <w:rPr>
          <w:rFonts w:asciiTheme="minorHAnsi" w:hAnsiTheme="minorHAnsi" w:cstheme="minorHAnsi"/>
          <w:color w:val="000000" w:themeColor="text1"/>
          <w:sz w:val="18"/>
          <w:szCs w:val="18"/>
          <w:shd w:val="clear" w:color="auto" w:fill="FFFFFF"/>
        </w:rPr>
        <w:t>Agilism</w:t>
      </w:r>
      <w:proofErr w:type="spellEnd"/>
      <w:r w:rsidRPr="00431B2E">
        <w:rPr>
          <w:rFonts w:asciiTheme="minorHAnsi" w:hAnsiTheme="minorHAnsi" w:cstheme="minorHAnsi"/>
          <w:color w:val="000000" w:themeColor="text1"/>
          <w:sz w:val="18"/>
          <w:szCs w:val="18"/>
          <w:shd w:val="clear" w:color="auto" w:fill="FFFFFF"/>
        </w:rPr>
        <w:t xml:space="preserve"> versus Traditional Approaches’, </w:t>
      </w:r>
      <w:r w:rsidRPr="00431B2E">
        <w:rPr>
          <w:rFonts w:asciiTheme="minorHAnsi" w:hAnsiTheme="minorHAnsi" w:cstheme="minorHAnsi"/>
          <w:i/>
          <w:iCs/>
          <w:color w:val="000000" w:themeColor="text1"/>
          <w:sz w:val="18"/>
          <w:szCs w:val="18"/>
          <w:shd w:val="clear" w:color="auto" w:fill="FFFFFF"/>
        </w:rPr>
        <w:t>The Journal of computer information systems</w:t>
      </w:r>
      <w:r w:rsidRPr="00431B2E">
        <w:rPr>
          <w:rFonts w:asciiTheme="minorHAnsi" w:hAnsiTheme="minorHAnsi" w:cstheme="minorHAnsi"/>
          <w:color w:val="000000" w:themeColor="text1"/>
          <w:sz w:val="18"/>
          <w:szCs w:val="18"/>
          <w:shd w:val="clear" w:color="auto" w:fill="FFFFFF"/>
        </w:rPr>
        <w:t>, 49(2), pp. 10–17.</w:t>
      </w:r>
    </w:p>
    <w:p w14:paraId="1FE82EDB" w14:textId="45FB9990" w:rsidR="00403D19" w:rsidRPr="00431B2E" w:rsidRDefault="00403D19" w:rsidP="002B27B3">
      <w:pPr>
        <w:rPr>
          <w:rFonts w:asciiTheme="minorHAnsi" w:hAnsiTheme="minorHAnsi" w:cstheme="minorHAnsi"/>
          <w:color w:val="000000" w:themeColor="text1"/>
          <w:sz w:val="18"/>
          <w:szCs w:val="18"/>
          <w:shd w:val="clear" w:color="auto" w:fill="FFFFFF"/>
        </w:rPr>
      </w:pPr>
    </w:p>
    <w:p w14:paraId="621A8A6D" w14:textId="6D91A81D" w:rsidR="00A15DEF" w:rsidRPr="00431B2E" w:rsidRDefault="00A15DEF" w:rsidP="00A15DEF">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Gallagher, P</w:t>
      </w:r>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xml:space="preserve"> (2008). </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STOPP (Screening Tool of Older Person's Prescriptions) and START (Screening Tool to Alert doctors to Right Treatment). Consensus validation.</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w:t>
      </w:r>
      <w:r w:rsidRPr="00431B2E">
        <w:rPr>
          <w:rFonts w:asciiTheme="minorHAnsi" w:hAnsiTheme="minorHAnsi" w:cstheme="minorHAnsi"/>
          <w:i/>
          <w:iCs/>
          <w:color w:val="000000" w:themeColor="text1"/>
          <w:sz w:val="18"/>
          <w:szCs w:val="18"/>
          <w:shd w:val="clear" w:color="auto" w:fill="FFFFFF"/>
        </w:rPr>
        <w:t>International journal of clinical pharmacology and therapeutics</w:t>
      </w:r>
      <w:r w:rsidRPr="00431B2E">
        <w:rPr>
          <w:rFonts w:asciiTheme="minorHAnsi" w:hAnsiTheme="minorHAnsi" w:cstheme="minorHAnsi"/>
          <w:color w:val="000000" w:themeColor="text1"/>
          <w:sz w:val="18"/>
          <w:szCs w:val="18"/>
          <w:shd w:val="clear" w:color="auto" w:fill="FFFFFF"/>
        </w:rPr>
        <w:t>, </w:t>
      </w:r>
      <w:r w:rsidRPr="00431B2E">
        <w:rPr>
          <w:rFonts w:asciiTheme="minorHAnsi" w:hAnsiTheme="minorHAnsi" w:cstheme="minorHAnsi"/>
          <w:i/>
          <w:iCs/>
          <w:color w:val="000000" w:themeColor="text1"/>
          <w:sz w:val="18"/>
          <w:szCs w:val="18"/>
          <w:shd w:val="clear" w:color="auto" w:fill="FFFFFF"/>
        </w:rPr>
        <w:t>46</w:t>
      </w:r>
      <w:r w:rsidRPr="00431B2E">
        <w:rPr>
          <w:rFonts w:asciiTheme="minorHAnsi" w:hAnsiTheme="minorHAnsi" w:cstheme="minorHAnsi"/>
          <w:color w:val="000000" w:themeColor="text1"/>
          <w:sz w:val="18"/>
          <w:szCs w:val="18"/>
          <w:shd w:val="clear" w:color="auto" w:fill="FFFFFF"/>
        </w:rPr>
        <w:t xml:space="preserve">(2), </w:t>
      </w:r>
      <w:r w:rsidRPr="00431B2E">
        <w:rPr>
          <w:rFonts w:asciiTheme="minorHAnsi" w:hAnsiTheme="minorHAnsi" w:cstheme="minorHAnsi"/>
          <w:color w:val="000000" w:themeColor="text1"/>
          <w:sz w:val="18"/>
          <w:szCs w:val="18"/>
          <w:shd w:val="clear" w:color="auto" w:fill="FFFFFF"/>
        </w:rPr>
        <w:t>pp.</w:t>
      </w:r>
      <w:r w:rsidRPr="00431B2E">
        <w:rPr>
          <w:rFonts w:asciiTheme="minorHAnsi" w:hAnsiTheme="minorHAnsi" w:cstheme="minorHAnsi"/>
          <w:color w:val="000000" w:themeColor="text1"/>
          <w:sz w:val="18"/>
          <w:szCs w:val="18"/>
          <w:shd w:val="clear" w:color="auto" w:fill="FFFFFF"/>
        </w:rPr>
        <w:t>72–83.</w:t>
      </w:r>
    </w:p>
    <w:p w14:paraId="603F149C" w14:textId="77777777" w:rsidR="00A15DEF" w:rsidRPr="00431B2E" w:rsidRDefault="00A15DEF" w:rsidP="002B27B3">
      <w:pPr>
        <w:rPr>
          <w:rFonts w:asciiTheme="minorHAnsi" w:hAnsiTheme="minorHAnsi" w:cstheme="minorHAnsi"/>
          <w:color w:val="000000" w:themeColor="text1"/>
          <w:sz w:val="18"/>
          <w:szCs w:val="18"/>
          <w:shd w:val="clear" w:color="auto" w:fill="FFFFFF"/>
        </w:rPr>
      </w:pPr>
    </w:p>
    <w:p w14:paraId="2E5F343F" w14:textId="693D8784" w:rsidR="002B27B3" w:rsidRPr="00431B2E" w:rsidRDefault="002B27B3" w:rsidP="002B27B3">
      <w:pPr>
        <w:rPr>
          <w:rFonts w:asciiTheme="minorHAnsi" w:hAnsiTheme="minorHAnsi" w:cstheme="minorHAnsi"/>
          <w:i/>
          <w:iCs/>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Greater Manchester Medicines Management Group. (2021) ‘Inappropriate Polypharmacy Review and Treatment Optim</w:t>
      </w:r>
      <w:r w:rsidR="00D80C16" w:rsidRPr="00431B2E">
        <w:rPr>
          <w:rFonts w:asciiTheme="minorHAnsi" w:hAnsiTheme="minorHAnsi" w:cstheme="minorHAnsi"/>
          <w:color w:val="000000" w:themeColor="text1"/>
          <w:sz w:val="18"/>
          <w:szCs w:val="18"/>
          <w:shd w:val="clear" w:color="auto" w:fill="FFFFFF"/>
        </w:rPr>
        <w:t>i</w:t>
      </w:r>
      <w:r w:rsidRPr="00431B2E">
        <w:rPr>
          <w:rFonts w:asciiTheme="minorHAnsi" w:hAnsiTheme="minorHAnsi" w:cstheme="minorHAnsi"/>
          <w:color w:val="000000" w:themeColor="text1"/>
          <w:sz w:val="18"/>
          <w:szCs w:val="18"/>
          <w:shd w:val="clear" w:color="auto" w:fill="FFFFFF"/>
        </w:rPr>
        <w:t xml:space="preserve">sation: Resource Pack. </w:t>
      </w:r>
      <w:r w:rsidRPr="00431B2E">
        <w:rPr>
          <w:rFonts w:asciiTheme="minorHAnsi" w:hAnsiTheme="minorHAnsi" w:cstheme="minorHAnsi"/>
          <w:i/>
          <w:iCs/>
          <w:color w:val="000000" w:themeColor="text1"/>
          <w:sz w:val="18"/>
          <w:szCs w:val="18"/>
          <w:shd w:val="clear" w:color="auto" w:fill="FFFFFF"/>
        </w:rPr>
        <w:t xml:space="preserve">GMMMG. </w:t>
      </w:r>
    </w:p>
    <w:p w14:paraId="7884B0C3" w14:textId="157E1291" w:rsidR="00666C56" w:rsidRPr="00431B2E" w:rsidRDefault="00666C56" w:rsidP="002B27B3">
      <w:pPr>
        <w:rPr>
          <w:rFonts w:asciiTheme="minorHAnsi" w:hAnsiTheme="minorHAnsi" w:cstheme="minorHAnsi"/>
          <w:i/>
          <w:iCs/>
          <w:color w:val="000000" w:themeColor="text1"/>
          <w:sz w:val="18"/>
          <w:szCs w:val="18"/>
          <w:shd w:val="clear" w:color="auto" w:fill="FFFFFF"/>
        </w:rPr>
      </w:pPr>
    </w:p>
    <w:p w14:paraId="209B038B" w14:textId="69019762" w:rsidR="00666C56" w:rsidRPr="00431B2E" w:rsidRDefault="00666C56" w:rsidP="002B27B3">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Gurwitz</w:t>
      </w:r>
      <w:proofErr w:type="spellEnd"/>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J.</w:t>
      </w:r>
      <w:r w:rsidRPr="00431B2E">
        <w:rPr>
          <w:rFonts w:asciiTheme="minorHAnsi" w:hAnsiTheme="minorHAnsi" w:cstheme="minorHAnsi"/>
          <w:color w:val="000000" w:themeColor="text1"/>
          <w:sz w:val="18"/>
          <w:szCs w:val="18"/>
          <w:shd w:val="clear" w:color="auto" w:fill="FFFFFF"/>
        </w:rPr>
        <w:t xml:space="preserve"> (2004)</w:t>
      </w:r>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Polypharmacy</w:t>
      </w:r>
      <w:r w:rsidRPr="00431B2E">
        <w:rPr>
          <w:rStyle w:val="colon-for-citation-subtitle"/>
          <w:rFonts w:asciiTheme="minorHAnsi" w:hAnsiTheme="minorHAnsi" w:cstheme="minorHAnsi"/>
          <w:color w:val="000000" w:themeColor="text1"/>
          <w:sz w:val="18"/>
          <w:szCs w:val="18"/>
          <w:shd w:val="clear" w:color="auto" w:fill="FFFFFF"/>
        </w:rPr>
        <w:t>: </w:t>
      </w:r>
      <w:r w:rsidRPr="00431B2E">
        <w:rPr>
          <w:rStyle w:val="subtitle"/>
          <w:rFonts w:asciiTheme="minorHAnsi" w:hAnsiTheme="minorHAnsi" w:cstheme="minorHAnsi"/>
          <w:color w:val="000000" w:themeColor="text1"/>
          <w:sz w:val="18"/>
          <w:szCs w:val="18"/>
          <w:shd w:val="clear" w:color="auto" w:fill="FFFFFF"/>
        </w:rPr>
        <w:t>A New Paradigm for Quality Drug Therapy in the Elderly?</w:t>
      </w:r>
      <w:r w:rsidRPr="00431B2E">
        <w:rPr>
          <w:rStyle w:val="subtitle"/>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w:t>
      </w:r>
      <w:r w:rsidRPr="00431B2E">
        <w:rPr>
          <w:rStyle w:val="Emphasis"/>
          <w:rFonts w:asciiTheme="minorHAnsi" w:hAnsiTheme="minorHAnsi" w:cstheme="minorHAnsi"/>
          <w:color w:val="000000" w:themeColor="text1"/>
          <w:sz w:val="18"/>
          <w:szCs w:val="18"/>
          <w:shd w:val="clear" w:color="auto" w:fill="FFFFFF"/>
        </w:rPr>
        <w:t>Arch Intern Med.</w:t>
      </w:r>
      <w:r w:rsidRPr="00431B2E">
        <w:rPr>
          <w:rFonts w:asciiTheme="minorHAnsi" w:hAnsiTheme="minorHAnsi" w:cstheme="minorHAnsi"/>
          <w:color w:val="000000" w:themeColor="text1"/>
          <w:sz w:val="18"/>
          <w:szCs w:val="18"/>
          <w:shd w:val="clear" w:color="auto" w:fill="FFFFFF"/>
        </w:rPr>
        <w:t>164(18)</w:t>
      </w:r>
      <w:r w:rsidRPr="00431B2E">
        <w:rPr>
          <w:rFonts w:asciiTheme="minorHAnsi" w:hAnsiTheme="minorHAnsi" w:cstheme="minorHAnsi"/>
          <w:color w:val="000000" w:themeColor="text1"/>
          <w:sz w:val="18"/>
          <w:szCs w:val="18"/>
          <w:shd w:val="clear" w:color="auto" w:fill="FFFFFF"/>
        </w:rPr>
        <w:t>, pp</w:t>
      </w:r>
      <w:r w:rsidR="00732D3A"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color w:val="000000" w:themeColor="text1"/>
          <w:sz w:val="18"/>
          <w:szCs w:val="18"/>
          <w:shd w:val="clear" w:color="auto" w:fill="FFFFFF"/>
        </w:rPr>
        <w:t>1957–1959.</w:t>
      </w:r>
    </w:p>
    <w:p w14:paraId="28BD2F71" w14:textId="7CD1BF1D" w:rsidR="00153E3F" w:rsidRPr="00431B2E" w:rsidRDefault="00153E3F" w:rsidP="002B27B3">
      <w:pPr>
        <w:rPr>
          <w:rFonts w:asciiTheme="minorHAnsi" w:hAnsiTheme="minorHAnsi" w:cstheme="minorHAnsi"/>
          <w:i/>
          <w:iCs/>
          <w:color w:val="000000" w:themeColor="text1"/>
          <w:sz w:val="18"/>
          <w:szCs w:val="18"/>
          <w:shd w:val="clear" w:color="auto" w:fill="FFFFFF"/>
        </w:rPr>
      </w:pPr>
    </w:p>
    <w:p w14:paraId="494BB673" w14:textId="7398EFD7" w:rsidR="00153E3F" w:rsidRPr="00431B2E" w:rsidRDefault="00153E3F" w:rsidP="00153E3F">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Gutiérrez‐Valencia, M.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(2018) ‘The relationship between frailty and polypharmacy in older people: A systematic review’, </w:t>
      </w:r>
      <w:r w:rsidRPr="00431B2E">
        <w:rPr>
          <w:rFonts w:asciiTheme="minorHAnsi" w:hAnsiTheme="minorHAnsi" w:cstheme="minorHAnsi"/>
          <w:i/>
          <w:iCs/>
          <w:color w:val="000000" w:themeColor="text1"/>
          <w:sz w:val="18"/>
          <w:szCs w:val="18"/>
          <w:shd w:val="clear" w:color="auto" w:fill="FFFFFF"/>
        </w:rPr>
        <w:t>British journal of clinical pharmacology</w:t>
      </w:r>
      <w:r w:rsidRPr="00431B2E">
        <w:rPr>
          <w:rFonts w:asciiTheme="minorHAnsi" w:hAnsiTheme="minorHAnsi" w:cstheme="minorHAnsi"/>
          <w:color w:val="000000" w:themeColor="text1"/>
          <w:sz w:val="18"/>
          <w:szCs w:val="18"/>
          <w:shd w:val="clear" w:color="auto" w:fill="FFFFFF"/>
        </w:rPr>
        <w:t>, 84(7), pp. 1432–1444.</w:t>
      </w:r>
    </w:p>
    <w:p w14:paraId="4D35F282" w14:textId="29A5322E" w:rsidR="00CD5891" w:rsidRPr="00431B2E" w:rsidRDefault="00CD5891" w:rsidP="00153E3F">
      <w:pPr>
        <w:rPr>
          <w:rFonts w:asciiTheme="minorHAnsi" w:hAnsiTheme="minorHAnsi" w:cstheme="minorHAnsi"/>
          <w:color w:val="000000" w:themeColor="text1"/>
          <w:sz w:val="18"/>
          <w:szCs w:val="18"/>
          <w:shd w:val="clear" w:color="auto" w:fill="FFFFFF"/>
        </w:rPr>
      </w:pPr>
    </w:p>
    <w:p w14:paraId="15EC6A08" w14:textId="2C8FA1A8" w:rsidR="00CD5891" w:rsidRPr="00431B2E" w:rsidRDefault="00CD5891" w:rsidP="00CD5891">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Hire</w:t>
      </w:r>
      <w:r w:rsidRPr="00431B2E">
        <w:rPr>
          <w:rFonts w:asciiTheme="minorHAnsi" w:hAnsiTheme="minorHAnsi" w:cstheme="minorHAnsi"/>
          <w:color w:val="000000" w:themeColor="text1"/>
          <w:sz w:val="18"/>
          <w:szCs w:val="18"/>
          <w:shd w:val="clear" w:color="auto" w:fill="FFFFFF"/>
        </w:rPr>
        <w:t>, C.,</w:t>
      </w:r>
      <w:r w:rsidRPr="00431B2E">
        <w:rPr>
          <w:rFonts w:asciiTheme="minorHAnsi" w:hAnsiTheme="minorHAnsi" w:cstheme="minorHAnsi"/>
          <w:color w:val="000000" w:themeColor="text1"/>
          <w:sz w:val="18"/>
          <w:szCs w:val="18"/>
          <w:shd w:val="clear" w:color="auto" w:fill="FFFFFF"/>
        </w:rPr>
        <w:t xml:space="preserve"> </w:t>
      </w:r>
      <w:proofErr w:type="spellStart"/>
      <w:r w:rsidRPr="00431B2E">
        <w:rPr>
          <w:rFonts w:asciiTheme="minorHAnsi" w:hAnsiTheme="minorHAnsi" w:cstheme="minorHAnsi"/>
          <w:color w:val="000000" w:themeColor="text1"/>
          <w:sz w:val="18"/>
          <w:szCs w:val="18"/>
          <w:shd w:val="clear" w:color="auto" w:fill="FFFFFF"/>
        </w:rPr>
        <w:t>Rushforth</w:t>
      </w:r>
      <w:proofErr w:type="spellEnd"/>
      <w:r w:rsidRPr="00431B2E">
        <w:rPr>
          <w:rFonts w:asciiTheme="minorHAnsi" w:hAnsiTheme="minorHAnsi" w:cstheme="minorHAnsi"/>
          <w:color w:val="000000" w:themeColor="text1"/>
          <w:sz w:val="18"/>
          <w:szCs w:val="18"/>
          <w:shd w:val="clear" w:color="auto" w:fill="FFFFFF"/>
        </w:rPr>
        <w:t>, B.</w:t>
      </w:r>
      <w:r w:rsidRPr="00431B2E">
        <w:rPr>
          <w:rFonts w:asciiTheme="minorHAnsi" w:hAnsiTheme="minorHAnsi" w:cstheme="minorHAnsi"/>
          <w:color w:val="000000" w:themeColor="text1"/>
          <w:sz w:val="18"/>
          <w:szCs w:val="18"/>
          <w:shd w:val="clear" w:color="auto" w:fill="FFFFFF"/>
        </w:rPr>
        <w:t xml:space="preserve"> (2013) ‘General practitioners’ views on using a prescribing substitution application (</w:t>
      </w:r>
      <w:proofErr w:type="spellStart"/>
      <w:r w:rsidRPr="00431B2E">
        <w:rPr>
          <w:rFonts w:asciiTheme="minorHAnsi" w:hAnsiTheme="minorHAnsi" w:cstheme="minorHAnsi"/>
          <w:color w:val="000000" w:themeColor="text1"/>
          <w:sz w:val="18"/>
          <w:szCs w:val="18"/>
          <w:shd w:val="clear" w:color="auto" w:fill="FFFFFF"/>
        </w:rPr>
        <w:t>ScriptSwitch</w:t>
      </w:r>
      <w:proofErr w:type="spellEnd"/>
      <w:r w:rsidRPr="00431B2E">
        <w:rPr>
          <w:rFonts w:asciiTheme="minorHAnsi" w:hAnsiTheme="minorHAnsi" w:cstheme="minorHAnsi"/>
          <w:color w:val="000000" w:themeColor="text1"/>
          <w:sz w:val="18"/>
          <w:szCs w:val="18"/>
          <w:shd w:val="clear" w:color="auto" w:fill="FFFFFF"/>
        </w:rPr>
        <w:t>®)’, </w:t>
      </w:r>
      <w:r w:rsidRPr="00431B2E">
        <w:rPr>
          <w:rFonts w:asciiTheme="minorHAnsi" w:hAnsiTheme="minorHAnsi" w:cstheme="minorHAnsi"/>
          <w:i/>
          <w:iCs/>
          <w:color w:val="000000" w:themeColor="text1"/>
          <w:sz w:val="18"/>
          <w:szCs w:val="18"/>
          <w:shd w:val="clear" w:color="auto" w:fill="FFFFFF"/>
        </w:rPr>
        <w:t>Journal of innovation in health informatics</w:t>
      </w:r>
      <w:r w:rsidRPr="00431B2E">
        <w:rPr>
          <w:rFonts w:asciiTheme="minorHAnsi" w:hAnsiTheme="minorHAnsi" w:cstheme="minorHAnsi"/>
          <w:color w:val="000000" w:themeColor="text1"/>
          <w:sz w:val="18"/>
          <w:szCs w:val="18"/>
          <w:shd w:val="clear" w:color="auto" w:fill="FFFFFF"/>
        </w:rPr>
        <w:t>, 21(1), pp. 1–11.</w:t>
      </w:r>
    </w:p>
    <w:p w14:paraId="159DBD2A" w14:textId="77777777" w:rsidR="00153E3F" w:rsidRPr="00431B2E" w:rsidRDefault="00153E3F" w:rsidP="002B27B3">
      <w:pPr>
        <w:rPr>
          <w:rFonts w:asciiTheme="minorHAnsi" w:hAnsiTheme="minorHAnsi" w:cstheme="minorHAnsi"/>
          <w:i/>
          <w:iCs/>
          <w:color w:val="000000" w:themeColor="text1"/>
          <w:sz w:val="18"/>
          <w:szCs w:val="18"/>
          <w:shd w:val="clear" w:color="auto" w:fill="FFFFFF"/>
        </w:rPr>
      </w:pPr>
    </w:p>
    <w:p w14:paraId="156424D7" w14:textId="1291BCDE" w:rsidR="002B27B3" w:rsidRPr="00431B2E" w:rsidRDefault="00F920D2" w:rsidP="002B27B3">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 xml:space="preserve">Hughes, C. (2021) ‘Appropriate and inappropriate polypharmacy – Choosing the right strategy’, </w:t>
      </w:r>
      <w:r w:rsidRPr="00431B2E">
        <w:rPr>
          <w:rFonts w:asciiTheme="minorHAnsi" w:hAnsiTheme="minorHAnsi" w:cstheme="minorHAnsi"/>
          <w:i/>
          <w:iCs/>
          <w:color w:val="000000" w:themeColor="text1"/>
          <w:sz w:val="18"/>
          <w:szCs w:val="18"/>
          <w:shd w:val="clear" w:color="auto" w:fill="FFFFFF"/>
        </w:rPr>
        <w:t>British journal of clinical pharmacology</w:t>
      </w:r>
      <w:r w:rsidRPr="00431B2E">
        <w:rPr>
          <w:rFonts w:asciiTheme="minorHAnsi" w:hAnsiTheme="minorHAnsi" w:cstheme="minorHAnsi"/>
          <w:color w:val="000000" w:themeColor="text1"/>
          <w:sz w:val="18"/>
          <w:szCs w:val="18"/>
          <w:shd w:val="clear" w:color="auto" w:fill="FFFFFF"/>
        </w:rPr>
        <w:t xml:space="preserve">, 87(1), pp. 84-86. </w:t>
      </w:r>
    </w:p>
    <w:p w14:paraId="467B6AA3" w14:textId="20C109DE" w:rsidR="001261E1" w:rsidRPr="00431B2E" w:rsidRDefault="001261E1" w:rsidP="002B27B3">
      <w:pPr>
        <w:rPr>
          <w:rFonts w:asciiTheme="minorHAnsi" w:hAnsiTheme="minorHAnsi" w:cstheme="minorHAnsi"/>
          <w:color w:val="000000" w:themeColor="text1"/>
          <w:sz w:val="18"/>
          <w:szCs w:val="18"/>
          <w:shd w:val="clear" w:color="auto" w:fill="FFFFFF"/>
        </w:rPr>
      </w:pPr>
    </w:p>
    <w:p w14:paraId="042CDB18" w14:textId="77777777" w:rsidR="00472023" w:rsidRPr="00431B2E" w:rsidRDefault="00472023" w:rsidP="00472023">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Jia, P.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(2016) ‘The Effects of Clinical Decision Support Systems on Medication Safety: An Overview’, </w:t>
      </w:r>
      <w:proofErr w:type="spellStart"/>
      <w:r w:rsidRPr="00431B2E">
        <w:rPr>
          <w:rFonts w:asciiTheme="minorHAnsi" w:hAnsiTheme="minorHAnsi" w:cstheme="minorHAnsi"/>
          <w:i/>
          <w:iCs/>
          <w:color w:val="000000" w:themeColor="text1"/>
          <w:sz w:val="18"/>
          <w:szCs w:val="18"/>
          <w:shd w:val="clear" w:color="auto" w:fill="FFFFFF"/>
        </w:rPr>
        <w:t>PloS</w:t>
      </w:r>
      <w:proofErr w:type="spellEnd"/>
      <w:r w:rsidRPr="00431B2E">
        <w:rPr>
          <w:rFonts w:asciiTheme="minorHAnsi" w:hAnsiTheme="minorHAnsi" w:cstheme="minorHAnsi"/>
          <w:i/>
          <w:iCs/>
          <w:color w:val="000000" w:themeColor="text1"/>
          <w:sz w:val="18"/>
          <w:szCs w:val="18"/>
          <w:shd w:val="clear" w:color="auto" w:fill="FFFFFF"/>
        </w:rPr>
        <w:t xml:space="preserve"> one</w:t>
      </w:r>
      <w:r w:rsidRPr="00431B2E">
        <w:rPr>
          <w:rFonts w:asciiTheme="minorHAnsi" w:hAnsiTheme="minorHAnsi" w:cstheme="minorHAnsi"/>
          <w:color w:val="000000" w:themeColor="text1"/>
          <w:sz w:val="18"/>
          <w:szCs w:val="18"/>
          <w:shd w:val="clear" w:color="auto" w:fill="FFFFFF"/>
        </w:rPr>
        <w:t>, 11(12), pp. e0167683–e0167683.</w:t>
      </w:r>
    </w:p>
    <w:p w14:paraId="28A44A17" w14:textId="22BAC6B8" w:rsidR="00472023" w:rsidRPr="00431B2E" w:rsidRDefault="00472023" w:rsidP="002B27B3">
      <w:pPr>
        <w:rPr>
          <w:rFonts w:asciiTheme="minorHAnsi" w:hAnsiTheme="minorHAnsi" w:cstheme="minorHAnsi"/>
          <w:color w:val="000000" w:themeColor="text1"/>
          <w:sz w:val="18"/>
          <w:szCs w:val="18"/>
          <w:shd w:val="clear" w:color="auto" w:fill="FFFFFF"/>
        </w:rPr>
      </w:pPr>
    </w:p>
    <w:p w14:paraId="30789D41" w14:textId="018A0B44" w:rsidR="00C9650D" w:rsidRPr="00431B2E" w:rsidRDefault="00C9650D" w:rsidP="00C9650D">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Jones, C., Thornton, J. and Wyatt, J.C. (2021) ‘Enhancing trust in clinical decision support systems: a framework for developers’, </w:t>
      </w:r>
      <w:r w:rsidRPr="00431B2E">
        <w:rPr>
          <w:rFonts w:asciiTheme="minorHAnsi" w:hAnsiTheme="minorHAnsi" w:cstheme="minorHAnsi"/>
          <w:i/>
          <w:iCs/>
          <w:color w:val="000000" w:themeColor="text1"/>
          <w:sz w:val="18"/>
          <w:szCs w:val="18"/>
          <w:shd w:val="clear" w:color="auto" w:fill="FFFFFF"/>
        </w:rPr>
        <w:t>BMJ health &amp; care informatics</w:t>
      </w:r>
      <w:r w:rsidRPr="00431B2E">
        <w:rPr>
          <w:rFonts w:asciiTheme="minorHAnsi" w:hAnsiTheme="minorHAnsi" w:cstheme="minorHAnsi"/>
          <w:color w:val="000000" w:themeColor="text1"/>
          <w:sz w:val="18"/>
          <w:szCs w:val="18"/>
          <w:shd w:val="clear" w:color="auto" w:fill="FFFFFF"/>
        </w:rPr>
        <w:t>, 28(1), p</w:t>
      </w:r>
      <w:r w:rsidR="002E696B" w:rsidRPr="00431B2E">
        <w:rPr>
          <w:rFonts w:asciiTheme="minorHAnsi" w:hAnsiTheme="minorHAnsi" w:cstheme="minorHAnsi"/>
          <w:color w:val="000000" w:themeColor="text1"/>
          <w:sz w:val="18"/>
          <w:szCs w:val="18"/>
          <w:shd w:val="clear" w:color="auto" w:fill="FFFFFF"/>
        </w:rPr>
        <w:t>p</w:t>
      </w:r>
      <w:r w:rsidRPr="00431B2E">
        <w:rPr>
          <w:rFonts w:asciiTheme="minorHAnsi" w:hAnsiTheme="minorHAnsi" w:cstheme="minorHAnsi"/>
          <w:color w:val="000000" w:themeColor="text1"/>
          <w:sz w:val="18"/>
          <w:szCs w:val="18"/>
          <w:shd w:val="clear" w:color="auto" w:fill="FFFFFF"/>
        </w:rPr>
        <w:t>. e100247</w:t>
      </w:r>
    </w:p>
    <w:p w14:paraId="72663704" w14:textId="62256301" w:rsidR="00C9650D" w:rsidRPr="00431B2E" w:rsidRDefault="00C9650D" w:rsidP="002B27B3">
      <w:pPr>
        <w:rPr>
          <w:rFonts w:asciiTheme="minorHAnsi" w:hAnsiTheme="minorHAnsi" w:cstheme="minorHAnsi"/>
          <w:color w:val="000000" w:themeColor="text1"/>
          <w:sz w:val="18"/>
          <w:szCs w:val="18"/>
          <w:shd w:val="clear" w:color="auto" w:fill="FFFFFF"/>
        </w:rPr>
      </w:pPr>
    </w:p>
    <w:p w14:paraId="4F54115A" w14:textId="26BA4598" w:rsidR="007B0A41" w:rsidRPr="00431B2E" w:rsidRDefault="007B0A41" w:rsidP="002B27B3">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Jones, E.K.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xml:space="preserve"> (2022) ‘Barriers to and Facilitators for Acceptance of Comprehensive Clinical Decision Support System-Driven Care Maps for Patients </w:t>
      </w:r>
      <w:r w:rsidRPr="00431B2E">
        <w:rPr>
          <w:rFonts w:asciiTheme="minorHAnsi" w:hAnsiTheme="minorHAnsi" w:cstheme="minorHAnsi"/>
          <w:color w:val="000000" w:themeColor="text1"/>
          <w:sz w:val="18"/>
          <w:szCs w:val="18"/>
          <w:shd w:val="clear" w:color="auto" w:fill="FFFFFF"/>
        </w:rPr>
        <w:t>with</w:t>
      </w:r>
      <w:r w:rsidRPr="00431B2E">
        <w:rPr>
          <w:rFonts w:asciiTheme="minorHAnsi" w:hAnsiTheme="minorHAnsi" w:cstheme="minorHAnsi"/>
          <w:color w:val="000000" w:themeColor="text1"/>
          <w:sz w:val="18"/>
          <w:szCs w:val="18"/>
          <w:shd w:val="clear" w:color="auto" w:fill="FFFFFF"/>
        </w:rPr>
        <w:t xml:space="preserve"> Thoracic Trauma: Interview Study Among Health Care Providers and Nurses’, </w:t>
      </w:r>
      <w:r w:rsidRPr="00431B2E">
        <w:rPr>
          <w:rFonts w:asciiTheme="minorHAnsi" w:hAnsiTheme="minorHAnsi" w:cstheme="minorHAnsi"/>
          <w:i/>
          <w:iCs/>
          <w:color w:val="000000" w:themeColor="text1"/>
          <w:sz w:val="18"/>
          <w:szCs w:val="18"/>
          <w:shd w:val="clear" w:color="auto" w:fill="FFFFFF"/>
        </w:rPr>
        <w:t>JMIR human factors</w:t>
      </w:r>
      <w:r w:rsidRPr="00431B2E">
        <w:rPr>
          <w:rFonts w:asciiTheme="minorHAnsi" w:hAnsiTheme="minorHAnsi" w:cstheme="minorHAnsi"/>
          <w:color w:val="000000" w:themeColor="text1"/>
          <w:sz w:val="18"/>
          <w:szCs w:val="18"/>
          <w:shd w:val="clear" w:color="auto" w:fill="FFFFFF"/>
        </w:rPr>
        <w:t>, 9(1), pp. e29019–e29019. </w:t>
      </w:r>
    </w:p>
    <w:p w14:paraId="10CFA20B" w14:textId="65EEC6D8" w:rsidR="000A5167" w:rsidRDefault="000A5167" w:rsidP="002B27B3">
      <w:pPr>
        <w:rPr>
          <w:rFonts w:asciiTheme="minorHAnsi" w:hAnsiTheme="minorHAnsi" w:cstheme="minorHAnsi"/>
          <w:color w:val="000000" w:themeColor="text1"/>
          <w:sz w:val="18"/>
          <w:szCs w:val="18"/>
          <w:shd w:val="clear" w:color="auto" w:fill="FFFFFF"/>
        </w:rPr>
      </w:pPr>
    </w:p>
    <w:p w14:paraId="3F1F1EBD" w14:textId="77777777" w:rsidR="008878AB" w:rsidRPr="008878AB" w:rsidRDefault="008878AB" w:rsidP="008878AB">
      <w:pPr>
        <w:rPr>
          <w:rFonts w:asciiTheme="minorHAnsi" w:hAnsiTheme="minorHAnsi" w:cstheme="minorHAnsi"/>
          <w:color w:val="000000" w:themeColor="text1"/>
          <w:sz w:val="18"/>
          <w:szCs w:val="18"/>
        </w:rPr>
      </w:pPr>
      <w:r w:rsidRPr="008878AB">
        <w:rPr>
          <w:rFonts w:asciiTheme="minorHAnsi" w:hAnsiTheme="minorHAnsi" w:cstheme="minorHAnsi"/>
          <w:color w:val="000000" w:themeColor="text1"/>
          <w:sz w:val="18"/>
          <w:szCs w:val="18"/>
          <w:shd w:val="clear" w:color="auto" w:fill="FFFFFF"/>
        </w:rPr>
        <w:t>Jones, S.R., Carley, S. and Harrison, M. (2003) ‘An introduction to power and sample size estimation’, </w:t>
      </w:r>
      <w:r w:rsidRPr="008878AB">
        <w:rPr>
          <w:rFonts w:asciiTheme="minorHAnsi" w:hAnsiTheme="minorHAnsi" w:cstheme="minorHAnsi"/>
          <w:i/>
          <w:iCs/>
          <w:color w:val="000000" w:themeColor="text1"/>
          <w:sz w:val="18"/>
          <w:szCs w:val="18"/>
          <w:shd w:val="clear" w:color="auto" w:fill="FFFFFF"/>
        </w:rPr>
        <w:t xml:space="preserve">Emergency medicine </w:t>
      </w:r>
      <w:proofErr w:type="gramStart"/>
      <w:r w:rsidRPr="008878AB">
        <w:rPr>
          <w:rFonts w:asciiTheme="minorHAnsi" w:hAnsiTheme="minorHAnsi" w:cstheme="minorHAnsi"/>
          <w:i/>
          <w:iCs/>
          <w:color w:val="000000" w:themeColor="text1"/>
          <w:sz w:val="18"/>
          <w:szCs w:val="18"/>
          <w:shd w:val="clear" w:color="auto" w:fill="FFFFFF"/>
        </w:rPr>
        <w:t>journal :</w:t>
      </w:r>
      <w:proofErr w:type="gramEnd"/>
      <w:r w:rsidRPr="008878AB">
        <w:rPr>
          <w:rFonts w:asciiTheme="minorHAnsi" w:hAnsiTheme="minorHAnsi" w:cstheme="minorHAnsi"/>
          <w:i/>
          <w:iCs/>
          <w:color w:val="000000" w:themeColor="text1"/>
          <w:sz w:val="18"/>
          <w:szCs w:val="18"/>
          <w:shd w:val="clear" w:color="auto" w:fill="FFFFFF"/>
        </w:rPr>
        <w:t xml:space="preserve"> EMJ</w:t>
      </w:r>
      <w:r w:rsidRPr="008878AB">
        <w:rPr>
          <w:rFonts w:asciiTheme="minorHAnsi" w:hAnsiTheme="minorHAnsi" w:cstheme="minorHAnsi"/>
          <w:color w:val="000000" w:themeColor="text1"/>
          <w:sz w:val="18"/>
          <w:szCs w:val="18"/>
          <w:shd w:val="clear" w:color="auto" w:fill="FFFFFF"/>
        </w:rPr>
        <w:t>, 20(5), pp. 453–458.</w:t>
      </w:r>
    </w:p>
    <w:p w14:paraId="144F3A18" w14:textId="77777777" w:rsidR="008878AB" w:rsidRPr="00431B2E" w:rsidRDefault="008878AB" w:rsidP="002B27B3">
      <w:pPr>
        <w:rPr>
          <w:rFonts w:asciiTheme="minorHAnsi" w:hAnsiTheme="minorHAnsi" w:cstheme="minorHAnsi"/>
          <w:color w:val="000000" w:themeColor="text1"/>
          <w:sz w:val="18"/>
          <w:szCs w:val="18"/>
          <w:shd w:val="clear" w:color="auto" w:fill="FFFFFF"/>
        </w:rPr>
      </w:pPr>
    </w:p>
    <w:p w14:paraId="2C681520" w14:textId="77777777" w:rsidR="006A7C62" w:rsidRPr="00431B2E" w:rsidRDefault="006A7C62" w:rsidP="006A7C62">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Kalfon</w:t>
      </w:r>
      <w:proofErr w:type="spellEnd"/>
      <w:r w:rsidRPr="00431B2E">
        <w:rPr>
          <w:rFonts w:asciiTheme="minorHAnsi" w:hAnsiTheme="minorHAnsi" w:cstheme="minorHAnsi"/>
          <w:color w:val="000000" w:themeColor="text1"/>
          <w:sz w:val="18"/>
          <w:szCs w:val="18"/>
          <w:shd w:val="clear" w:color="auto" w:fill="FFFFFF"/>
        </w:rPr>
        <w:t>, P.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(2014) ‘Tight computerized versus conventional glucose control in the ICU: a randomized controlled trial’, </w:t>
      </w:r>
      <w:r w:rsidRPr="00431B2E">
        <w:rPr>
          <w:rFonts w:asciiTheme="minorHAnsi" w:hAnsiTheme="minorHAnsi" w:cstheme="minorHAnsi"/>
          <w:i/>
          <w:iCs/>
          <w:color w:val="000000" w:themeColor="text1"/>
          <w:sz w:val="18"/>
          <w:szCs w:val="18"/>
          <w:shd w:val="clear" w:color="auto" w:fill="FFFFFF"/>
        </w:rPr>
        <w:t>Intensive care medicine</w:t>
      </w:r>
      <w:r w:rsidRPr="00431B2E">
        <w:rPr>
          <w:rFonts w:asciiTheme="minorHAnsi" w:hAnsiTheme="minorHAnsi" w:cstheme="minorHAnsi"/>
          <w:color w:val="000000" w:themeColor="text1"/>
          <w:sz w:val="18"/>
          <w:szCs w:val="18"/>
          <w:shd w:val="clear" w:color="auto" w:fill="FFFFFF"/>
        </w:rPr>
        <w:t>, 40(2), pp. 171–181.</w:t>
      </w:r>
    </w:p>
    <w:p w14:paraId="549C223B" w14:textId="65FB5ECA" w:rsidR="000A5167" w:rsidRDefault="000A5167" w:rsidP="000A5167">
      <w:pPr>
        <w:rPr>
          <w:rFonts w:asciiTheme="minorHAnsi" w:hAnsiTheme="minorHAnsi" w:cstheme="minorHAnsi"/>
          <w:color w:val="000000" w:themeColor="text1"/>
          <w:sz w:val="18"/>
          <w:szCs w:val="18"/>
          <w:shd w:val="clear" w:color="auto" w:fill="FFFFFF"/>
        </w:rPr>
      </w:pPr>
    </w:p>
    <w:p w14:paraId="45D48268" w14:textId="77777777" w:rsidR="00D823C8" w:rsidRPr="00D823C8" w:rsidRDefault="00D823C8" w:rsidP="00D823C8">
      <w:pPr>
        <w:rPr>
          <w:rFonts w:asciiTheme="minorHAnsi" w:hAnsiTheme="minorHAnsi" w:cstheme="minorHAnsi"/>
          <w:color w:val="000000" w:themeColor="text1"/>
          <w:sz w:val="18"/>
          <w:szCs w:val="18"/>
        </w:rPr>
      </w:pPr>
      <w:proofErr w:type="spellStart"/>
      <w:r w:rsidRPr="00D823C8">
        <w:rPr>
          <w:rFonts w:asciiTheme="minorHAnsi" w:hAnsiTheme="minorHAnsi" w:cstheme="minorHAnsi"/>
          <w:color w:val="000000" w:themeColor="text1"/>
          <w:sz w:val="18"/>
          <w:szCs w:val="18"/>
          <w:shd w:val="clear" w:color="auto" w:fill="FFFFFF"/>
        </w:rPr>
        <w:t>Khairat</w:t>
      </w:r>
      <w:proofErr w:type="spellEnd"/>
      <w:r w:rsidRPr="00D823C8">
        <w:rPr>
          <w:rFonts w:asciiTheme="minorHAnsi" w:hAnsiTheme="minorHAnsi" w:cstheme="minorHAnsi"/>
          <w:color w:val="000000" w:themeColor="text1"/>
          <w:sz w:val="18"/>
          <w:szCs w:val="18"/>
          <w:shd w:val="clear" w:color="auto" w:fill="FFFFFF"/>
        </w:rPr>
        <w:t>, S. </w:t>
      </w:r>
      <w:r w:rsidRPr="00D823C8">
        <w:rPr>
          <w:rFonts w:asciiTheme="minorHAnsi" w:hAnsiTheme="minorHAnsi" w:cstheme="minorHAnsi"/>
          <w:i/>
          <w:iCs/>
          <w:color w:val="000000" w:themeColor="text1"/>
          <w:sz w:val="18"/>
          <w:szCs w:val="18"/>
          <w:shd w:val="clear" w:color="auto" w:fill="FFFFFF"/>
        </w:rPr>
        <w:t>et al.</w:t>
      </w:r>
      <w:r w:rsidRPr="00D823C8">
        <w:rPr>
          <w:rFonts w:asciiTheme="minorHAnsi" w:hAnsiTheme="minorHAnsi" w:cstheme="minorHAnsi"/>
          <w:color w:val="000000" w:themeColor="text1"/>
          <w:sz w:val="18"/>
          <w:szCs w:val="18"/>
          <w:shd w:val="clear" w:color="auto" w:fill="FFFFFF"/>
        </w:rPr>
        <w:t xml:space="preserve"> (2018) ‘Reasons </w:t>
      </w:r>
      <w:proofErr w:type="gramStart"/>
      <w:r w:rsidRPr="00D823C8">
        <w:rPr>
          <w:rFonts w:asciiTheme="minorHAnsi" w:hAnsiTheme="minorHAnsi" w:cstheme="minorHAnsi"/>
          <w:color w:val="000000" w:themeColor="text1"/>
          <w:sz w:val="18"/>
          <w:szCs w:val="18"/>
          <w:shd w:val="clear" w:color="auto" w:fill="FFFFFF"/>
        </w:rPr>
        <w:t>For</w:t>
      </w:r>
      <w:proofErr w:type="gramEnd"/>
      <w:r w:rsidRPr="00D823C8">
        <w:rPr>
          <w:rFonts w:asciiTheme="minorHAnsi" w:hAnsiTheme="minorHAnsi" w:cstheme="minorHAnsi"/>
          <w:color w:val="000000" w:themeColor="text1"/>
          <w:sz w:val="18"/>
          <w:szCs w:val="18"/>
          <w:shd w:val="clear" w:color="auto" w:fill="FFFFFF"/>
        </w:rPr>
        <w:t xml:space="preserve"> Physicians Not Adopting Clinical Decision Support Systems: Critical Analysis’, </w:t>
      </w:r>
      <w:r w:rsidRPr="00D823C8">
        <w:rPr>
          <w:rFonts w:asciiTheme="minorHAnsi" w:hAnsiTheme="minorHAnsi" w:cstheme="minorHAnsi"/>
          <w:i/>
          <w:iCs/>
          <w:color w:val="000000" w:themeColor="text1"/>
          <w:sz w:val="18"/>
          <w:szCs w:val="18"/>
          <w:shd w:val="clear" w:color="auto" w:fill="FFFFFF"/>
        </w:rPr>
        <w:t>JMIR medical informatics</w:t>
      </w:r>
      <w:r w:rsidRPr="00D823C8">
        <w:rPr>
          <w:rFonts w:asciiTheme="minorHAnsi" w:hAnsiTheme="minorHAnsi" w:cstheme="minorHAnsi"/>
          <w:color w:val="000000" w:themeColor="text1"/>
          <w:sz w:val="18"/>
          <w:szCs w:val="18"/>
          <w:shd w:val="clear" w:color="auto" w:fill="FFFFFF"/>
        </w:rPr>
        <w:t>, 6(2), pp. e24–e24.</w:t>
      </w:r>
    </w:p>
    <w:p w14:paraId="77705315" w14:textId="77777777" w:rsidR="00D823C8" w:rsidRPr="00431B2E" w:rsidRDefault="00D823C8" w:rsidP="000A5167">
      <w:pPr>
        <w:rPr>
          <w:rFonts w:asciiTheme="minorHAnsi" w:hAnsiTheme="minorHAnsi" w:cstheme="minorHAnsi"/>
          <w:color w:val="000000" w:themeColor="text1"/>
          <w:sz w:val="18"/>
          <w:szCs w:val="18"/>
          <w:shd w:val="clear" w:color="auto" w:fill="FFFFFF"/>
        </w:rPr>
      </w:pPr>
    </w:p>
    <w:p w14:paraId="600A0062" w14:textId="61F59DBC" w:rsidR="000A5167" w:rsidRPr="00431B2E" w:rsidRDefault="000A5167" w:rsidP="000A5167">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lastRenderedPageBreak/>
        <w:t>Khan, M.</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Khan, F. (2014) ‘Importance of Software Testing in Software Development Life Cycle’, </w:t>
      </w:r>
      <w:r w:rsidRPr="00431B2E">
        <w:rPr>
          <w:rFonts w:asciiTheme="minorHAnsi" w:hAnsiTheme="minorHAnsi" w:cstheme="minorHAnsi"/>
          <w:i/>
          <w:iCs/>
          <w:color w:val="000000" w:themeColor="text1"/>
          <w:sz w:val="18"/>
          <w:szCs w:val="18"/>
          <w:shd w:val="clear" w:color="auto" w:fill="FFFFFF"/>
        </w:rPr>
        <w:t>International journal of computer science issues</w:t>
      </w:r>
      <w:r w:rsidRPr="00431B2E">
        <w:rPr>
          <w:rFonts w:asciiTheme="minorHAnsi" w:hAnsiTheme="minorHAnsi" w:cstheme="minorHAnsi"/>
          <w:color w:val="000000" w:themeColor="text1"/>
          <w:sz w:val="18"/>
          <w:szCs w:val="18"/>
          <w:shd w:val="clear" w:color="auto" w:fill="FFFFFF"/>
        </w:rPr>
        <w:t>, 11(2), pp. 120–120.</w:t>
      </w:r>
    </w:p>
    <w:p w14:paraId="620FC3E8" w14:textId="109340CB" w:rsidR="006A7C62" w:rsidRPr="00431B2E" w:rsidRDefault="006A7C62" w:rsidP="002B27B3">
      <w:pPr>
        <w:rPr>
          <w:rFonts w:asciiTheme="minorHAnsi" w:hAnsiTheme="minorHAnsi" w:cstheme="minorHAnsi"/>
          <w:color w:val="000000" w:themeColor="text1"/>
          <w:sz w:val="18"/>
          <w:szCs w:val="18"/>
          <w:shd w:val="clear" w:color="auto" w:fill="FFFFFF"/>
        </w:rPr>
      </w:pPr>
    </w:p>
    <w:p w14:paraId="2A73692D" w14:textId="1293F269" w:rsidR="00622B6B" w:rsidRPr="00431B2E" w:rsidRDefault="00622B6B" w:rsidP="00622B6B">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Kim, K</w:t>
      </w:r>
      <w:r w:rsidRPr="00431B2E">
        <w:rPr>
          <w:rFonts w:asciiTheme="minorHAnsi" w:hAnsiTheme="minorHAnsi" w:cstheme="minorHAnsi"/>
          <w:color w:val="000000" w:themeColor="text1"/>
          <w:sz w:val="18"/>
          <w:szCs w:val="18"/>
          <w:shd w:val="clear" w:color="auto" w:fill="FFFFFF"/>
        </w:rPr>
        <w:t xml:space="preserve">. </w:t>
      </w:r>
      <w:r w:rsidRPr="00431B2E">
        <w:rPr>
          <w:rFonts w:asciiTheme="minorHAnsi" w:hAnsiTheme="minorHAnsi" w:cstheme="minorHAnsi"/>
          <w:i/>
          <w:iCs/>
          <w:color w:val="000000" w:themeColor="text1"/>
          <w:sz w:val="18"/>
          <w:szCs w:val="18"/>
          <w:shd w:val="clear" w:color="auto" w:fill="FFFFFF"/>
        </w:rPr>
        <w:t xml:space="preserve">et al. </w:t>
      </w:r>
      <w:r w:rsidRPr="00431B2E">
        <w:rPr>
          <w:rFonts w:asciiTheme="minorHAnsi" w:hAnsiTheme="minorHAnsi" w:cstheme="minorHAnsi"/>
          <w:color w:val="000000" w:themeColor="text1"/>
          <w:sz w:val="18"/>
          <w:szCs w:val="18"/>
          <w:shd w:val="clear" w:color="auto" w:fill="FFFFFF"/>
        </w:rPr>
        <w:t xml:space="preserve">(2018). </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Clinical Utility of Pharmacogenetic Testing and a Clinical Decision Support Tool to Enhance the Identification of Drug Therapy Problems Through Medication Therapy Management in Polypharmacy Patients</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w:t>
      </w:r>
      <w:r w:rsidRPr="00431B2E">
        <w:rPr>
          <w:rFonts w:asciiTheme="minorHAnsi" w:hAnsiTheme="minorHAnsi" w:cstheme="minorHAnsi"/>
          <w:i/>
          <w:iCs/>
          <w:color w:val="000000" w:themeColor="text1"/>
          <w:sz w:val="18"/>
          <w:szCs w:val="18"/>
          <w:shd w:val="clear" w:color="auto" w:fill="FFFFFF"/>
        </w:rPr>
        <w:t>Journal of managed care &amp; specialty pharmacy</w:t>
      </w:r>
      <w:r w:rsidRPr="00431B2E">
        <w:rPr>
          <w:rFonts w:asciiTheme="minorHAnsi" w:hAnsiTheme="minorHAnsi" w:cstheme="minorHAnsi"/>
          <w:color w:val="000000" w:themeColor="text1"/>
          <w:sz w:val="18"/>
          <w:szCs w:val="18"/>
          <w:shd w:val="clear" w:color="auto" w:fill="FFFFFF"/>
        </w:rPr>
        <w:t>, </w:t>
      </w:r>
      <w:r w:rsidRPr="00431B2E">
        <w:rPr>
          <w:rFonts w:asciiTheme="minorHAnsi" w:hAnsiTheme="minorHAnsi" w:cstheme="minorHAnsi"/>
          <w:i/>
          <w:iCs/>
          <w:color w:val="000000" w:themeColor="text1"/>
          <w:sz w:val="18"/>
          <w:szCs w:val="18"/>
          <w:shd w:val="clear" w:color="auto" w:fill="FFFFFF"/>
        </w:rPr>
        <w:t>24</w:t>
      </w:r>
      <w:r w:rsidRPr="00431B2E">
        <w:rPr>
          <w:rFonts w:asciiTheme="minorHAnsi" w:hAnsiTheme="minorHAnsi" w:cstheme="minorHAnsi"/>
          <w:color w:val="000000" w:themeColor="text1"/>
          <w:sz w:val="18"/>
          <w:szCs w:val="18"/>
          <w:shd w:val="clear" w:color="auto" w:fill="FFFFFF"/>
        </w:rPr>
        <w:t xml:space="preserve">(12), </w:t>
      </w:r>
      <w:r w:rsidRPr="00431B2E">
        <w:rPr>
          <w:rFonts w:asciiTheme="minorHAnsi" w:hAnsiTheme="minorHAnsi" w:cstheme="minorHAnsi"/>
          <w:color w:val="000000" w:themeColor="text1"/>
          <w:sz w:val="18"/>
          <w:szCs w:val="18"/>
          <w:shd w:val="clear" w:color="auto" w:fill="FFFFFF"/>
        </w:rPr>
        <w:t xml:space="preserve">pp. </w:t>
      </w:r>
      <w:r w:rsidRPr="00431B2E">
        <w:rPr>
          <w:rFonts w:asciiTheme="minorHAnsi" w:hAnsiTheme="minorHAnsi" w:cstheme="minorHAnsi"/>
          <w:color w:val="000000" w:themeColor="text1"/>
          <w:sz w:val="18"/>
          <w:szCs w:val="18"/>
          <w:shd w:val="clear" w:color="auto" w:fill="FFFFFF"/>
        </w:rPr>
        <w:t>1250–1259.</w:t>
      </w:r>
    </w:p>
    <w:p w14:paraId="7C2969B5" w14:textId="77777777" w:rsidR="00622B6B" w:rsidRPr="00431B2E" w:rsidRDefault="00622B6B" w:rsidP="002B27B3">
      <w:pPr>
        <w:rPr>
          <w:rFonts w:asciiTheme="minorHAnsi" w:hAnsiTheme="minorHAnsi" w:cstheme="minorHAnsi"/>
          <w:color w:val="000000" w:themeColor="text1"/>
          <w:sz w:val="18"/>
          <w:szCs w:val="18"/>
          <w:shd w:val="clear" w:color="auto" w:fill="FFFFFF"/>
        </w:rPr>
      </w:pPr>
    </w:p>
    <w:p w14:paraId="21C0F941" w14:textId="7E069B4E" w:rsidR="001261E1" w:rsidRPr="00431B2E" w:rsidRDefault="001261E1" w:rsidP="001261E1">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Kwan, J.L.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(2020) ‘Computerised clinical decision support systems and absolute improvements in care: meta-analysis of controlled clinical trials’, </w:t>
      </w:r>
      <w:r w:rsidRPr="00431B2E">
        <w:rPr>
          <w:rFonts w:asciiTheme="minorHAnsi" w:hAnsiTheme="minorHAnsi" w:cstheme="minorHAnsi"/>
          <w:i/>
          <w:iCs/>
          <w:color w:val="000000" w:themeColor="text1"/>
          <w:sz w:val="18"/>
          <w:szCs w:val="18"/>
          <w:shd w:val="clear" w:color="auto" w:fill="FFFFFF"/>
        </w:rPr>
        <w:t>BMJ (Online)</w:t>
      </w:r>
      <w:r w:rsidRPr="00431B2E">
        <w:rPr>
          <w:rFonts w:asciiTheme="minorHAnsi" w:hAnsiTheme="minorHAnsi" w:cstheme="minorHAnsi"/>
          <w:color w:val="000000" w:themeColor="text1"/>
          <w:sz w:val="18"/>
          <w:szCs w:val="18"/>
          <w:shd w:val="clear" w:color="auto" w:fill="FFFFFF"/>
        </w:rPr>
        <w:t xml:space="preserve">, 370, pp. </w:t>
      </w:r>
      <w:r w:rsidRPr="00431B2E">
        <w:rPr>
          <w:rFonts w:asciiTheme="minorHAnsi" w:hAnsiTheme="minorHAnsi" w:cstheme="minorHAnsi"/>
          <w:color w:val="000000" w:themeColor="text1"/>
          <w:sz w:val="18"/>
          <w:szCs w:val="18"/>
          <w:shd w:val="clear" w:color="auto" w:fill="FFFFFF"/>
        </w:rPr>
        <w:t>m</w:t>
      </w:r>
      <w:r w:rsidRPr="00431B2E">
        <w:rPr>
          <w:rFonts w:asciiTheme="minorHAnsi" w:hAnsiTheme="minorHAnsi" w:cstheme="minorHAnsi"/>
          <w:color w:val="000000" w:themeColor="text1"/>
          <w:sz w:val="18"/>
          <w:szCs w:val="18"/>
          <w:shd w:val="clear" w:color="auto" w:fill="FFFFFF"/>
        </w:rPr>
        <w:t>321</w:t>
      </w:r>
      <w:r w:rsidRPr="00431B2E">
        <w:rPr>
          <w:rFonts w:asciiTheme="minorHAnsi" w:hAnsiTheme="minorHAnsi" w:cstheme="minorHAnsi"/>
          <w:color w:val="000000" w:themeColor="text1"/>
          <w:sz w:val="18"/>
          <w:szCs w:val="18"/>
          <w:shd w:val="clear" w:color="auto" w:fill="FFFFFF"/>
        </w:rPr>
        <w:t>6</w:t>
      </w:r>
      <w:r w:rsidRPr="00431B2E">
        <w:rPr>
          <w:rFonts w:asciiTheme="minorHAnsi" w:hAnsiTheme="minorHAnsi" w:cstheme="minorHAnsi"/>
          <w:color w:val="000000" w:themeColor="text1"/>
          <w:sz w:val="18"/>
          <w:szCs w:val="18"/>
          <w:shd w:val="clear" w:color="auto" w:fill="FFFFFF"/>
        </w:rPr>
        <w:t>. </w:t>
      </w:r>
    </w:p>
    <w:p w14:paraId="0CD2B2AA" w14:textId="18AA22CD" w:rsidR="001261E1" w:rsidRPr="00431B2E" w:rsidRDefault="001261E1" w:rsidP="002B27B3">
      <w:pPr>
        <w:rPr>
          <w:rFonts w:asciiTheme="minorHAnsi" w:hAnsiTheme="minorHAnsi" w:cstheme="minorHAnsi"/>
          <w:color w:val="000000" w:themeColor="text1"/>
          <w:sz w:val="18"/>
          <w:szCs w:val="18"/>
          <w:shd w:val="clear" w:color="auto" w:fill="FFFFFF"/>
        </w:rPr>
      </w:pPr>
    </w:p>
    <w:p w14:paraId="2EBC2273" w14:textId="77777777" w:rsidR="00375106" w:rsidRPr="00431B2E" w:rsidRDefault="00375106" w:rsidP="00375106">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Lyell, D.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(2017) ‘Automation bias in electronic prescribing’, </w:t>
      </w:r>
      <w:r w:rsidRPr="00431B2E">
        <w:rPr>
          <w:rFonts w:asciiTheme="minorHAnsi" w:hAnsiTheme="minorHAnsi" w:cstheme="minorHAnsi"/>
          <w:i/>
          <w:iCs/>
          <w:color w:val="000000" w:themeColor="text1"/>
          <w:sz w:val="18"/>
          <w:szCs w:val="18"/>
          <w:shd w:val="clear" w:color="auto" w:fill="FFFFFF"/>
        </w:rPr>
        <w:t>BMC medical informatics and decision making</w:t>
      </w:r>
      <w:r w:rsidRPr="00431B2E">
        <w:rPr>
          <w:rFonts w:asciiTheme="minorHAnsi" w:hAnsiTheme="minorHAnsi" w:cstheme="minorHAnsi"/>
          <w:color w:val="000000" w:themeColor="text1"/>
          <w:sz w:val="18"/>
          <w:szCs w:val="18"/>
          <w:shd w:val="clear" w:color="auto" w:fill="FFFFFF"/>
        </w:rPr>
        <w:t>, 17(1), pp. 28–28. </w:t>
      </w:r>
    </w:p>
    <w:p w14:paraId="5205D05D" w14:textId="77777777" w:rsidR="00375106" w:rsidRPr="00431B2E" w:rsidRDefault="00375106" w:rsidP="002B27B3">
      <w:pPr>
        <w:rPr>
          <w:rFonts w:asciiTheme="minorHAnsi" w:hAnsiTheme="minorHAnsi" w:cstheme="minorHAnsi"/>
          <w:color w:val="000000" w:themeColor="text1"/>
          <w:sz w:val="18"/>
          <w:szCs w:val="18"/>
          <w:shd w:val="clear" w:color="auto" w:fill="FFFFFF"/>
        </w:rPr>
      </w:pPr>
    </w:p>
    <w:p w14:paraId="3DE5F850" w14:textId="4BD50707" w:rsidR="002B27B3" w:rsidRPr="00431B2E" w:rsidRDefault="002B27B3" w:rsidP="002B27B3">
      <w:pPr>
        <w:rPr>
          <w:rFonts w:asciiTheme="minorHAnsi" w:hAnsiTheme="minorHAnsi" w:cstheme="minorHAnsi"/>
          <w:color w:val="000000" w:themeColor="text1"/>
          <w:sz w:val="18"/>
          <w:szCs w:val="18"/>
          <w:shd w:val="clear" w:color="auto" w:fill="FFFFFF"/>
        </w:rPr>
      </w:pPr>
      <w:proofErr w:type="spellStart"/>
      <w:r w:rsidRPr="00431B2E">
        <w:rPr>
          <w:rFonts w:asciiTheme="minorHAnsi" w:hAnsiTheme="minorHAnsi" w:cstheme="minorHAnsi"/>
          <w:color w:val="000000" w:themeColor="text1"/>
          <w:sz w:val="18"/>
          <w:szCs w:val="18"/>
          <w:shd w:val="clear" w:color="auto" w:fill="FFFFFF"/>
        </w:rPr>
        <w:t>Masnoon</w:t>
      </w:r>
      <w:proofErr w:type="spellEnd"/>
      <w:r w:rsidRPr="00431B2E">
        <w:rPr>
          <w:rFonts w:asciiTheme="minorHAnsi" w:hAnsiTheme="minorHAnsi" w:cstheme="minorHAnsi"/>
          <w:color w:val="000000" w:themeColor="text1"/>
          <w:sz w:val="18"/>
          <w:szCs w:val="18"/>
          <w:shd w:val="clear" w:color="auto" w:fill="FFFFFF"/>
        </w:rPr>
        <w:t>, N.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(2017) ‘What is polypharmacy? A systematic review of definitions’, </w:t>
      </w:r>
      <w:r w:rsidRPr="00431B2E">
        <w:rPr>
          <w:rFonts w:asciiTheme="minorHAnsi" w:hAnsiTheme="minorHAnsi" w:cstheme="minorHAnsi"/>
          <w:i/>
          <w:iCs/>
          <w:color w:val="000000" w:themeColor="text1"/>
          <w:sz w:val="18"/>
          <w:szCs w:val="18"/>
          <w:shd w:val="clear" w:color="auto" w:fill="FFFFFF"/>
        </w:rPr>
        <w:t>BMC geriatrics</w:t>
      </w:r>
      <w:r w:rsidRPr="00431B2E">
        <w:rPr>
          <w:rFonts w:asciiTheme="minorHAnsi" w:hAnsiTheme="minorHAnsi" w:cstheme="minorHAnsi"/>
          <w:color w:val="000000" w:themeColor="text1"/>
          <w:sz w:val="18"/>
          <w:szCs w:val="18"/>
          <w:shd w:val="clear" w:color="auto" w:fill="FFFFFF"/>
        </w:rPr>
        <w:t>, 17(1), pp. 230–230.</w:t>
      </w:r>
    </w:p>
    <w:p w14:paraId="3A9F9792" w14:textId="4CDC968E" w:rsidR="00FD5ADD" w:rsidRDefault="00FD5ADD" w:rsidP="002B27B3">
      <w:pPr>
        <w:rPr>
          <w:rFonts w:asciiTheme="minorHAnsi" w:hAnsiTheme="minorHAnsi" w:cstheme="minorHAnsi"/>
          <w:color w:val="000000" w:themeColor="text1"/>
          <w:sz w:val="18"/>
          <w:szCs w:val="18"/>
          <w:shd w:val="clear" w:color="auto" w:fill="FFFFFF"/>
        </w:rPr>
      </w:pPr>
    </w:p>
    <w:p w14:paraId="458899F5" w14:textId="3D4BF7EE" w:rsidR="001D08D9" w:rsidRPr="001D08D9" w:rsidRDefault="001D08D9" w:rsidP="002B27B3">
      <w:pPr>
        <w:rPr>
          <w:rFonts w:asciiTheme="minorHAnsi" w:hAnsiTheme="minorHAnsi" w:cstheme="minorHAnsi"/>
          <w:color w:val="000000" w:themeColor="text1"/>
          <w:sz w:val="18"/>
          <w:szCs w:val="18"/>
          <w:shd w:val="clear" w:color="auto" w:fill="FFFFFF"/>
        </w:rPr>
      </w:pPr>
      <w:r>
        <w:rPr>
          <w:rFonts w:asciiTheme="minorHAnsi" w:hAnsiTheme="minorHAnsi" w:cstheme="minorHAnsi"/>
          <w:color w:val="000000" w:themeColor="text1"/>
          <w:sz w:val="18"/>
          <w:szCs w:val="18"/>
          <w:shd w:val="clear" w:color="auto" w:fill="FFFFFF"/>
        </w:rPr>
        <w:t xml:space="preserve">Medicines &amp; Health Regulatory Agency. (2022) ‘Guidance: Medical Device Stand-Alone Software Including Apps’. </w:t>
      </w:r>
      <w:r w:rsidRPr="001D08D9">
        <w:rPr>
          <w:rFonts w:asciiTheme="minorHAnsi" w:hAnsiTheme="minorHAnsi" w:cstheme="minorHAnsi"/>
          <w:i/>
          <w:iCs/>
          <w:color w:val="000000" w:themeColor="text1"/>
          <w:sz w:val="18"/>
          <w:szCs w:val="18"/>
          <w:shd w:val="clear" w:color="auto" w:fill="FFFFFF"/>
        </w:rPr>
        <w:t>Medicines &amp; Health Regulatory Agency</w:t>
      </w:r>
      <w:r>
        <w:rPr>
          <w:rFonts w:asciiTheme="minorHAnsi" w:hAnsiTheme="minorHAnsi" w:cstheme="minorHAnsi"/>
          <w:i/>
          <w:iCs/>
          <w:color w:val="000000" w:themeColor="text1"/>
          <w:sz w:val="18"/>
          <w:szCs w:val="18"/>
          <w:shd w:val="clear" w:color="auto" w:fill="FFFFFF"/>
        </w:rPr>
        <w:t xml:space="preserve">. </w:t>
      </w:r>
      <w:r>
        <w:rPr>
          <w:rFonts w:asciiTheme="minorHAnsi" w:hAnsiTheme="minorHAnsi" w:cstheme="minorHAnsi"/>
          <w:color w:val="000000" w:themeColor="text1"/>
          <w:sz w:val="18"/>
          <w:szCs w:val="18"/>
          <w:shd w:val="clear" w:color="auto" w:fill="FFFFFF"/>
        </w:rPr>
        <w:t>Available at:</w:t>
      </w:r>
    </w:p>
    <w:p w14:paraId="5C5021C6" w14:textId="1658951B" w:rsidR="00FD5ADD" w:rsidRPr="00431B2E" w:rsidRDefault="00FD5ADD" w:rsidP="00FD5ADD">
      <w:pPr>
        <w:rPr>
          <w:rFonts w:asciiTheme="minorHAnsi" w:hAnsiTheme="minorHAnsi" w:cstheme="minorHAnsi"/>
          <w:color w:val="000000" w:themeColor="text1"/>
          <w:sz w:val="18"/>
          <w:szCs w:val="18"/>
          <w:shd w:val="clear" w:color="auto" w:fill="FFFFFF"/>
        </w:rPr>
      </w:pPr>
      <w:proofErr w:type="spellStart"/>
      <w:r w:rsidRPr="00431B2E">
        <w:rPr>
          <w:rFonts w:asciiTheme="minorHAnsi" w:hAnsiTheme="minorHAnsi" w:cstheme="minorHAnsi"/>
          <w:color w:val="000000" w:themeColor="text1"/>
          <w:sz w:val="18"/>
          <w:szCs w:val="18"/>
          <w:shd w:val="clear" w:color="auto" w:fill="FFFFFF"/>
        </w:rPr>
        <w:t>Midão</w:t>
      </w:r>
      <w:proofErr w:type="spellEnd"/>
      <w:r w:rsidRPr="00431B2E">
        <w:rPr>
          <w:rFonts w:asciiTheme="minorHAnsi" w:hAnsiTheme="minorHAnsi" w:cstheme="minorHAnsi"/>
          <w:color w:val="000000" w:themeColor="text1"/>
          <w:sz w:val="18"/>
          <w:szCs w:val="18"/>
          <w:shd w:val="clear" w:color="auto" w:fill="FFFFFF"/>
        </w:rPr>
        <w:t>, L.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(2018) ‘Polypharmacy prevalence among older adults based on the survey of health, ageing and retirement in Europe’, </w:t>
      </w:r>
      <w:r w:rsidRPr="00431B2E">
        <w:rPr>
          <w:rFonts w:asciiTheme="minorHAnsi" w:hAnsiTheme="minorHAnsi" w:cstheme="minorHAnsi"/>
          <w:i/>
          <w:iCs/>
          <w:color w:val="000000" w:themeColor="text1"/>
          <w:sz w:val="18"/>
          <w:szCs w:val="18"/>
          <w:shd w:val="clear" w:color="auto" w:fill="FFFFFF"/>
        </w:rPr>
        <w:t>Archives of gerontology and geriatrics</w:t>
      </w:r>
      <w:r w:rsidRPr="00431B2E">
        <w:rPr>
          <w:rFonts w:asciiTheme="minorHAnsi" w:hAnsiTheme="minorHAnsi" w:cstheme="minorHAnsi"/>
          <w:color w:val="000000" w:themeColor="text1"/>
          <w:sz w:val="18"/>
          <w:szCs w:val="18"/>
          <w:shd w:val="clear" w:color="auto" w:fill="FFFFFF"/>
        </w:rPr>
        <w:t>, 78(78), pp. 213–220.</w:t>
      </w:r>
    </w:p>
    <w:p w14:paraId="2CF13ACD" w14:textId="23C71B7D" w:rsidR="001B4D51" w:rsidRPr="00431B2E" w:rsidRDefault="001B4D51" w:rsidP="00FD5ADD">
      <w:pPr>
        <w:rPr>
          <w:rFonts w:asciiTheme="minorHAnsi" w:hAnsiTheme="minorHAnsi" w:cstheme="minorHAnsi"/>
          <w:color w:val="000000" w:themeColor="text1"/>
          <w:sz w:val="18"/>
          <w:szCs w:val="18"/>
          <w:shd w:val="clear" w:color="auto" w:fill="FFFFFF"/>
        </w:rPr>
      </w:pPr>
    </w:p>
    <w:p w14:paraId="345CBFF6" w14:textId="77777777" w:rsidR="00265262" w:rsidRPr="00431B2E" w:rsidRDefault="00265262" w:rsidP="00265262">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Moja, L.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(2014) ‘Effectiveness of computerized decision support systems linked to electronic health records: a systematic review and meta-analysis’, </w:t>
      </w:r>
      <w:r w:rsidRPr="00431B2E">
        <w:rPr>
          <w:rFonts w:asciiTheme="minorHAnsi" w:hAnsiTheme="minorHAnsi" w:cstheme="minorHAnsi"/>
          <w:i/>
          <w:iCs/>
          <w:color w:val="000000" w:themeColor="text1"/>
          <w:sz w:val="18"/>
          <w:szCs w:val="18"/>
          <w:shd w:val="clear" w:color="auto" w:fill="FFFFFF"/>
        </w:rPr>
        <w:t>American journal of public health (1971)</w:t>
      </w:r>
      <w:r w:rsidRPr="00431B2E">
        <w:rPr>
          <w:rFonts w:asciiTheme="minorHAnsi" w:hAnsiTheme="minorHAnsi" w:cstheme="minorHAnsi"/>
          <w:color w:val="000000" w:themeColor="text1"/>
          <w:sz w:val="18"/>
          <w:szCs w:val="18"/>
          <w:shd w:val="clear" w:color="auto" w:fill="FFFFFF"/>
        </w:rPr>
        <w:t>, 104(12), pp. e12–e22.</w:t>
      </w:r>
    </w:p>
    <w:p w14:paraId="28765B42" w14:textId="77777777" w:rsidR="00265262" w:rsidRPr="00431B2E" w:rsidRDefault="00265262" w:rsidP="00FD5ADD">
      <w:pPr>
        <w:rPr>
          <w:rFonts w:asciiTheme="minorHAnsi" w:hAnsiTheme="minorHAnsi" w:cstheme="minorHAnsi"/>
          <w:color w:val="000000" w:themeColor="text1"/>
          <w:sz w:val="18"/>
          <w:szCs w:val="18"/>
          <w:shd w:val="clear" w:color="auto" w:fill="FFFFFF"/>
        </w:rPr>
      </w:pPr>
    </w:p>
    <w:p w14:paraId="157A04DB" w14:textId="631ED251" w:rsidR="00362F6B" w:rsidRPr="00431B2E" w:rsidRDefault="00362F6B" w:rsidP="00FD5ADD">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Monteiro, L.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(2019) ‘Reducing Potentially Inappropriate Prescriptions for Older Patients Using Computerized Decision Support Tools: Systematic Review’, </w:t>
      </w:r>
      <w:r w:rsidRPr="00431B2E">
        <w:rPr>
          <w:rFonts w:asciiTheme="minorHAnsi" w:hAnsiTheme="minorHAnsi" w:cstheme="minorHAnsi"/>
          <w:i/>
          <w:iCs/>
          <w:color w:val="000000" w:themeColor="text1"/>
          <w:sz w:val="18"/>
          <w:szCs w:val="18"/>
          <w:shd w:val="clear" w:color="auto" w:fill="FFFFFF"/>
        </w:rPr>
        <w:t>Journal of medical Internet research</w:t>
      </w:r>
      <w:r w:rsidRPr="00431B2E">
        <w:rPr>
          <w:rFonts w:asciiTheme="minorHAnsi" w:hAnsiTheme="minorHAnsi" w:cstheme="minorHAnsi"/>
          <w:color w:val="000000" w:themeColor="text1"/>
          <w:sz w:val="18"/>
          <w:szCs w:val="18"/>
          <w:shd w:val="clear" w:color="auto" w:fill="FFFFFF"/>
        </w:rPr>
        <w:t>, 21(11), pp. e15385–e15385.</w:t>
      </w:r>
    </w:p>
    <w:p w14:paraId="231476D0" w14:textId="77777777" w:rsidR="00362F6B" w:rsidRPr="00431B2E" w:rsidRDefault="00362F6B" w:rsidP="00FD5ADD">
      <w:pPr>
        <w:rPr>
          <w:rFonts w:asciiTheme="minorHAnsi" w:hAnsiTheme="minorHAnsi" w:cstheme="minorHAnsi"/>
          <w:color w:val="000000" w:themeColor="text1"/>
          <w:sz w:val="18"/>
          <w:szCs w:val="18"/>
          <w:shd w:val="clear" w:color="auto" w:fill="FFFFFF"/>
        </w:rPr>
      </w:pPr>
    </w:p>
    <w:p w14:paraId="4348B8AD" w14:textId="7697FD16" w:rsidR="001B796D" w:rsidRPr="00431B2E" w:rsidRDefault="001B796D" w:rsidP="001B796D">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Murad, D.A.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xml:space="preserve"> (2022) ‘Distinct components of alert fatigue in physicians’ responses to a </w:t>
      </w:r>
      <w:proofErr w:type="spellStart"/>
      <w:r w:rsidRPr="00431B2E">
        <w:rPr>
          <w:rFonts w:asciiTheme="minorHAnsi" w:hAnsiTheme="minorHAnsi" w:cstheme="minorHAnsi"/>
          <w:color w:val="000000" w:themeColor="text1"/>
          <w:sz w:val="18"/>
          <w:szCs w:val="18"/>
          <w:shd w:val="clear" w:color="auto" w:fill="FFFFFF"/>
        </w:rPr>
        <w:t>noninterruptive</w:t>
      </w:r>
      <w:proofErr w:type="spellEnd"/>
      <w:r w:rsidRPr="00431B2E">
        <w:rPr>
          <w:rFonts w:asciiTheme="minorHAnsi" w:hAnsiTheme="minorHAnsi" w:cstheme="minorHAnsi"/>
          <w:color w:val="000000" w:themeColor="text1"/>
          <w:sz w:val="18"/>
          <w:szCs w:val="18"/>
          <w:shd w:val="clear" w:color="auto" w:fill="FFFFFF"/>
        </w:rPr>
        <w:t xml:space="preserve"> clinical decision support alert’, </w:t>
      </w:r>
      <w:r w:rsidRPr="00431B2E">
        <w:rPr>
          <w:rFonts w:asciiTheme="minorHAnsi" w:hAnsiTheme="minorHAnsi" w:cstheme="minorHAnsi"/>
          <w:i/>
          <w:iCs/>
          <w:color w:val="000000" w:themeColor="text1"/>
          <w:sz w:val="18"/>
          <w:szCs w:val="18"/>
          <w:shd w:val="clear" w:color="auto" w:fill="FFFFFF"/>
        </w:rPr>
        <w:t xml:space="preserve">Journal of the American Medical Informatics </w:t>
      </w:r>
      <w:proofErr w:type="gramStart"/>
      <w:r w:rsidRPr="00431B2E">
        <w:rPr>
          <w:rFonts w:asciiTheme="minorHAnsi" w:hAnsiTheme="minorHAnsi" w:cstheme="minorHAnsi"/>
          <w:i/>
          <w:iCs/>
          <w:color w:val="000000" w:themeColor="text1"/>
          <w:sz w:val="18"/>
          <w:szCs w:val="18"/>
          <w:shd w:val="clear" w:color="auto" w:fill="FFFFFF"/>
        </w:rPr>
        <w:t>Association :</w:t>
      </w:r>
      <w:proofErr w:type="gramEnd"/>
      <w:r w:rsidRPr="00431B2E">
        <w:rPr>
          <w:rFonts w:asciiTheme="minorHAnsi" w:hAnsiTheme="minorHAnsi" w:cstheme="minorHAnsi"/>
          <w:i/>
          <w:iCs/>
          <w:color w:val="000000" w:themeColor="text1"/>
          <w:sz w:val="18"/>
          <w:szCs w:val="18"/>
          <w:shd w:val="clear" w:color="auto" w:fill="FFFFFF"/>
        </w:rPr>
        <w:t xml:space="preserve"> JAMIA</w:t>
      </w:r>
      <w:r w:rsidRPr="00431B2E">
        <w:rPr>
          <w:rFonts w:asciiTheme="minorHAnsi" w:hAnsiTheme="minorHAnsi" w:cstheme="minorHAnsi"/>
          <w:color w:val="000000" w:themeColor="text1"/>
          <w:sz w:val="18"/>
          <w:szCs w:val="18"/>
          <w:shd w:val="clear" w:color="auto" w:fill="FFFFFF"/>
        </w:rPr>
        <w:t>, 30(1), pp. 64–72.</w:t>
      </w:r>
    </w:p>
    <w:p w14:paraId="3FD52F0D" w14:textId="707ADB83" w:rsidR="001B796D" w:rsidRPr="00431B2E" w:rsidRDefault="001B796D" w:rsidP="001B796D">
      <w:pPr>
        <w:rPr>
          <w:rFonts w:asciiTheme="minorHAnsi" w:hAnsiTheme="minorHAnsi" w:cstheme="minorHAnsi"/>
          <w:color w:val="000000" w:themeColor="text1"/>
          <w:sz w:val="18"/>
          <w:szCs w:val="18"/>
          <w:shd w:val="clear" w:color="auto" w:fill="FFFFFF"/>
        </w:rPr>
      </w:pPr>
    </w:p>
    <w:p w14:paraId="176CB079" w14:textId="1CFFF995" w:rsidR="001B796D" w:rsidRPr="00431B2E" w:rsidRDefault="001B796D" w:rsidP="001B796D">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 xml:space="preserve">National Health Service England. (2023) ‘Structured Medication Reviews </w:t>
      </w:r>
      <w:proofErr w:type="gramStart"/>
      <w:r w:rsidRPr="00431B2E">
        <w:rPr>
          <w:rFonts w:asciiTheme="minorHAnsi" w:hAnsiTheme="minorHAnsi" w:cstheme="minorHAnsi"/>
          <w:color w:val="000000" w:themeColor="text1"/>
          <w:sz w:val="18"/>
          <w:szCs w:val="18"/>
          <w:shd w:val="clear" w:color="auto" w:fill="FFFFFF"/>
        </w:rPr>
        <w:t>an</w:t>
      </w:r>
      <w:proofErr w:type="gramEnd"/>
      <w:r w:rsidRPr="00431B2E">
        <w:rPr>
          <w:rFonts w:asciiTheme="minorHAnsi" w:hAnsiTheme="minorHAnsi" w:cstheme="minorHAnsi"/>
          <w:color w:val="000000" w:themeColor="text1"/>
          <w:sz w:val="18"/>
          <w:szCs w:val="18"/>
          <w:shd w:val="clear" w:color="auto" w:fill="FFFFFF"/>
        </w:rPr>
        <w:t xml:space="preserve"> Medicines Optimisation’ </w:t>
      </w:r>
      <w:r w:rsidRPr="00431B2E">
        <w:rPr>
          <w:rFonts w:asciiTheme="minorHAnsi" w:hAnsiTheme="minorHAnsi" w:cstheme="minorHAnsi"/>
          <w:i/>
          <w:iCs/>
          <w:color w:val="000000" w:themeColor="text1"/>
          <w:sz w:val="18"/>
          <w:szCs w:val="18"/>
          <w:shd w:val="clear" w:color="auto" w:fill="FFFFFF"/>
        </w:rPr>
        <w:t xml:space="preserve">National Health Service England. </w:t>
      </w:r>
      <w:r w:rsidRPr="00431B2E">
        <w:rPr>
          <w:rFonts w:asciiTheme="minorHAnsi" w:hAnsiTheme="minorHAnsi" w:cstheme="minorHAnsi"/>
          <w:color w:val="000000" w:themeColor="text1"/>
          <w:sz w:val="18"/>
          <w:szCs w:val="18"/>
          <w:shd w:val="clear" w:color="auto" w:fill="FFFFFF"/>
        </w:rPr>
        <w:t xml:space="preserve">Available at: </w:t>
      </w:r>
      <w:hyperlink r:id="rId9" w:history="1">
        <w:r w:rsidR="00C41FD4" w:rsidRPr="00431B2E">
          <w:rPr>
            <w:rStyle w:val="Hyperlink"/>
            <w:rFonts w:asciiTheme="minorHAnsi" w:hAnsiTheme="minorHAnsi" w:cstheme="minorHAnsi"/>
            <w:color w:val="000000" w:themeColor="text1"/>
            <w:sz w:val="18"/>
            <w:szCs w:val="18"/>
            <w:shd w:val="clear" w:color="auto" w:fill="FFFFFF"/>
          </w:rPr>
          <w:t>https://www.england.nhs.uk/primary-care/pharmacy/smr/</w:t>
        </w:r>
      </w:hyperlink>
    </w:p>
    <w:p w14:paraId="35CD0BA7" w14:textId="4A6FE5C8" w:rsidR="001B796D" w:rsidRPr="00431B2E" w:rsidRDefault="001B796D" w:rsidP="00FD5ADD">
      <w:pPr>
        <w:rPr>
          <w:rFonts w:asciiTheme="minorHAnsi" w:hAnsiTheme="minorHAnsi" w:cstheme="minorHAnsi"/>
          <w:color w:val="000000" w:themeColor="text1"/>
          <w:sz w:val="18"/>
          <w:szCs w:val="18"/>
          <w:shd w:val="clear" w:color="auto" w:fill="FFFFFF"/>
        </w:rPr>
      </w:pPr>
    </w:p>
    <w:p w14:paraId="7DFDEE62" w14:textId="77777777" w:rsidR="009B4B5F" w:rsidRPr="00431B2E" w:rsidRDefault="009B4B5F" w:rsidP="009B4B5F">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Olakotan</w:t>
      </w:r>
      <w:proofErr w:type="spellEnd"/>
      <w:r w:rsidRPr="00431B2E">
        <w:rPr>
          <w:rFonts w:asciiTheme="minorHAnsi" w:hAnsiTheme="minorHAnsi" w:cstheme="minorHAnsi"/>
          <w:color w:val="000000" w:themeColor="text1"/>
          <w:sz w:val="18"/>
          <w:szCs w:val="18"/>
          <w:shd w:val="clear" w:color="auto" w:fill="FFFFFF"/>
        </w:rPr>
        <w:t>, O.O. and Yusof, M.M. (2020) ‘Evaluating the alert appropriateness of clinical decision support systems in supporting clinical workflow’, </w:t>
      </w:r>
      <w:r w:rsidRPr="00431B2E">
        <w:rPr>
          <w:rFonts w:asciiTheme="minorHAnsi" w:hAnsiTheme="minorHAnsi" w:cstheme="minorHAnsi"/>
          <w:i/>
          <w:iCs/>
          <w:color w:val="000000" w:themeColor="text1"/>
          <w:sz w:val="18"/>
          <w:szCs w:val="18"/>
          <w:shd w:val="clear" w:color="auto" w:fill="FFFFFF"/>
        </w:rPr>
        <w:t>Journal of biomedical informatics</w:t>
      </w:r>
      <w:r w:rsidRPr="00431B2E">
        <w:rPr>
          <w:rFonts w:asciiTheme="minorHAnsi" w:hAnsiTheme="minorHAnsi" w:cstheme="minorHAnsi"/>
          <w:color w:val="000000" w:themeColor="text1"/>
          <w:sz w:val="18"/>
          <w:szCs w:val="18"/>
          <w:shd w:val="clear" w:color="auto" w:fill="FFFFFF"/>
        </w:rPr>
        <w:t>, 106, pp. 103453–103453.</w:t>
      </w:r>
    </w:p>
    <w:p w14:paraId="41CF1268" w14:textId="77777777" w:rsidR="009B4B5F" w:rsidRPr="00431B2E" w:rsidRDefault="009B4B5F" w:rsidP="00FD5ADD">
      <w:pPr>
        <w:rPr>
          <w:rFonts w:asciiTheme="minorHAnsi" w:hAnsiTheme="minorHAnsi" w:cstheme="minorHAnsi"/>
          <w:color w:val="000000" w:themeColor="text1"/>
          <w:sz w:val="18"/>
          <w:szCs w:val="18"/>
          <w:shd w:val="clear" w:color="auto" w:fill="FFFFFF"/>
        </w:rPr>
      </w:pPr>
    </w:p>
    <w:p w14:paraId="47EA2169" w14:textId="5FA51A32" w:rsidR="00691800" w:rsidRPr="00431B2E" w:rsidRDefault="00691800" w:rsidP="00691800">
      <w:pPr>
        <w:rPr>
          <w:rFonts w:asciiTheme="minorHAnsi" w:hAnsiTheme="minorHAnsi" w:cstheme="minorHAnsi"/>
          <w:color w:val="000000" w:themeColor="text1"/>
          <w:sz w:val="18"/>
          <w:szCs w:val="18"/>
          <w:shd w:val="clear" w:color="auto" w:fill="FFFFFF"/>
        </w:rPr>
      </w:pPr>
      <w:proofErr w:type="spellStart"/>
      <w:r w:rsidRPr="00431B2E">
        <w:rPr>
          <w:rFonts w:asciiTheme="minorHAnsi" w:hAnsiTheme="minorHAnsi" w:cstheme="minorHAnsi"/>
          <w:color w:val="000000" w:themeColor="text1"/>
          <w:sz w:val="18"/>
          <w:szCs w:val="18"/>
          <w:shd w:val="clear" w:color="auto" w:fill="FFFFFF"/>
        </w:rPr>
        <w:t>Pazan</w:t>
      </w:r>
      <w:proofErr w:type="spellEnd"/>
      <w:r w:rsidRPr="00431B2E">
        <w:rPr>
          <w:rFonts w:asciiTheme="minorHAnsi" w:hAnsiTheme="minorHAnsi" w:cstheme="minorHAnsi"/>
          <w:color w:val="000000" w:themeColor="text1"/>
          <w:sz w:val="18"/>
          <w:szCs w:val="18"/>
          <w:shd w:val="clear" w:color="auto" w:fill="FFFFFF"/>
        </w:rPr>
        <w:t xml:space="preserve">, F. and </w:t>
      </w:r>
      <w:proofErr w:type="spellStart"/>
      <w:r w:rsidRPr="00431B2E">
        <w:rPr>
          <w:rFonts w:asciiTheme="minorHAnsi" w:hAnsiTheme="minorHAnsi" w:cstheme="minorHAnsi"/>
          <w:color w:val="000000" w:themeColor="text1"/>
          <w:sz w:val="18"/>
          <w:szCs w:val="18"/>
          <w:shd w:val="clear" w:color="auto" w:fill="FFFFFF"/>
        </w:rPr>
        <w:t>Wehling</w:t>
      </w:r>
      <w:proofErr w:type="spellEnd"/>
      <w:r w:rsidRPr="00431B2E">
        <w:rPr>
          <w:rFonts w:asciiTheme="minorHAnsi" w:hAnsiTheme="minorHAnsi" w:cstheme="minorHAnsi"/>
          <w:color w:val="000000" w:themeColor="text1"/>
          <w:sz w:val="18"/>
          <w:szCs w:val="18"/>
          <w:shd w:val="clear" w:color="auto" w:fill="FFFFFF"/>
        </w:rPr>
        <w:t>, M. (2021) ‘Polypharmacy in older adults: a narrative review of definitions, epidemiology and consequences’, </w:t>
      </w:r>
      <w:r w:rsidRPr="00431B2E">
        <w:rPr>
          <w:rFonts w:asciiTheme="minorHAnsi" w:hAnsiTheme="minorHAnsi" w:cstheme="minorHAnsi"/>
          <w:i/>
          <w:iCs/>
          <w:color w:val="000000" w:themeColor="text1"/>
          <w:sz w:val="18"/>
          <w:szCs w:val="18"/>
          <w:shd w:val="clear" w:color="auto" w:fill="FFFFFF"/>
        </w:rPr>
        <w:t>European geriatric medicine</w:t>
      </w:r>
      <w:r w:rsidRPr="00431B2E">
        <w:rPr>
          <w:rFonts w:asciiTheme="minorHAnsi" w:hAnsiTheme="minorHAnsi" w:cstheme="minorHAnsi"/>
          <w:color w:val="000000" w:themeColor="text1"/>
          <w:sz w:val="18"/>
          <w:szCs w:val="18"/>
          <w:shd w:val="clear" w:color="auto" w:fill="FFFFFF"/>
        </w:rPr>
        <w:t>, 12(3), pp. 443–452.</w:t>
      </w:r>
    </w:p>
    <w:p w14:paraId="5BEADC6F" w14:textId="47193B9C" w:rsidR="006B0F06" w:rsidRPr="00431B2E" w:rsidRDefault="006B0F06" w:rsidP="00691800">
      <w:pPr>
        <w:rPr>
          <w:rFonts w:asciiTheme="minorHAnsi" w:hAnsiTheme="minorHAnsi" w:cstheme="minorHAnsi"/>
          <w:color w:val="000000" w:themeColor="text1"/>
          <w:sz w:val="18"/>
          <w:szCs w:val="18"/>
        </w:rPr>
      </w:pPr>
    </w:p>
    <w:p w14:paraId="056C0CBC" w14:textId="77777777" w:rsidR="00C6006B" w:rsidRPr="00431B2E" w:rsidRDefault="00C6006B" w:rsidP="00C6006B">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Pearson, S.-A.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(2009) ‘Do computerised clinical decision support systems for prescribing change practice? A systematic review of the literature (1990-2007)’, </w:t>
      </w:r>
      <w:r w:rsidRPr="00431B2E">
        <w:rPr>
          <w:rFonts w:asciiTheme="minorHAnsi" w:hAnsiTheme="minorHAnsi" w:cstheme="minorHAnsi"/>
          <w:i/>
          <w:iCs/>
          <w:color w:val="000000" w:themeColor="text1"/>
          <w:sz w:val="18"/>
          <w:szCs w:val="18"/>
          <w:shd w:val="clear" w:color="auto" w:fill="FFFFFF"/>
        </w:rPr>
        <w:t>BMC health services research</w:t>
      </w:r>
      <w:r w:rsidRPr="00431B2E">
        <w:rPr>
          <w:rFonts w:asciiTheme="minorHAnsi" w:hAnsiTheme="minorHAnsi" w:cstheme="minorHAnsi"/>
          <w:color w:val="000000" w:themeColor="text1"/>
          <w:sz w:val="18"/>
          <w:szCs w:val="18"/>
          <w:shd w:val="clear" w:color="auto" w:fill="FFFFFF"/>
        </w:rPr>
        <w:t>, 9(1), pp. 154–154.</w:t>
      </w:r>
    </w:p>
    <w:p w14:paraId="2E10BCF0" w14:textId="6276D87A" w:rsidR="00C6006B" w:rsidRPr="00431B2E" w:rsidRDefault="00C6006B" w:rsidP="00691800">
      <w:pPr>
        <w:rPr>
          <w:rFonts w:asciiTheme="minorHAnsi" w:hAnsiTheme="minorHAnsi" w:cstheme="minorHAnsi"/>
          <w:color w:val="000000" w:themeColor="text1"/>
          <w:sz w:val="18"/>
          <w:szCs w:val="18"/>
        </w:rPr>
      </w:pPr>
    </w:p>
    <w:p w14:paraId="342FC885" w14:textId="576A36DD" w:rsidR="00431B2E" w:rsidRPr="00431B2E" w:rsidRDefault="00431B2E" w:rsidP="00431B2E">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Petkus</w:t>
      </w:r>
      <w:proofErr w:type="spellEnd"/>
      <w:r w:rsidRPr="00431B2E">
        <w:rPr>
          <w:rFonts w:asciiTheme="minorHAnsi" w:hAnsiTheme="minorHAnsi" w:cstheme="minorHAnsi"/>
          <w:color w:val="000000" w:themeColor="text1"/>
          <w:sz w:val="18"/>
          <w:szCs w:val="18"/>
          <w:shd w:val="clear" w:color="auto" w:fill="FFFFFF"/>
        </w:rPr>
        <w:t xml:space="preserve">, H., </w:t>
      </w:r>
      <w:proofErr w:type="spellStart"/>
      <w:r w:rsidRPr="00431B2E">
        <w:rPr>
          <w:rFonts w:asciiTheme="minorHAnsi" w:hAnsiTheme="minorHAnsi" w:cstheme="minorHAnsi"/>
          <w:color w:val="000000" w:themeColor="text1"/>
          <w:sz w:val="18"/>
          <w:szCs w:val="18"/>
          <w:shd w:val="clear" w:color="auto" w:fill="FFFFFF"/>
        </w:rPr>
        <w:t>Hoogewerf</w:t>
      </w:r>
      <w:proofErr w:type="spellEnd"/>
      <w:r w:rsidRPr="00431B2E">
        <w:rPr>
          <w:rFonts w:asciiTheme="minorHAnsi" w:hAnsiTheme="minorHAnsi" w:cstheme="minorHAnsi"/>
          <w:color w:val="000000" w:themeColor="text1"/>
          <w:sz w:val="18"/>
          <w:szCs w:val="18"/>
          <w:shd w:val="clear" w:color="auto" w:fill="FFFFFF"/>
        </w:rPr>
        <w:t>, J.</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Wyatt, J. (2020) ‘What do senior physicians think about AI and clinical decision support systems: Quantitative and qualitative analysis of data from specialty societies’, </w:t>
      </w:r>
      <w:r w:rsidRPr="00431B2E">
        <w:rPr>
          <w:rFonts w:asciiTheme="minorHAnsi" w:hAnsiTheme="minorHAnsi" w:cstheme="minorHAnsi"/>
          <w:i/>
          <w:iCs/>
          <w:color w:val="000000" w:themeColor="text1"/>
          <w:sz w:val="18"/>
          <w:szCs w:val="18"/>
          <w:shd w:val="clear" w:color="auto" w:fill="FFFFFF"/>
        </w:rPr>
        <w:t>Clinical medicine (London, England)</w:t>
      </w:r>
      <w:r w:rsidRPr="00431B2E">
        <w:rPr>
          <w:rFonts w:asciiTheme="minorHAnsi" w:hAnsiTheme="minorHAnsi" w:cstheme="minorHAnsi"/>
          <w:color w:val="000000" w:themeColor="text1"/>
          <w:sz w:val="18"/>
          <w:szCs w:val="18"/>
          <w:shd w:val="clear" w:color="auto" w:fill="FFFFFF"/>
        </w:rPr>
        <w:t>, 20(3), pp. 324–328.</w:t>
      </w:r>
    </w:p>
    <w:p w14:paraId="045BB583" w14:textId="77777777" w:rsidR="00431B2E" w:rsidRPr="00431B2E" w:rsidRDefault="00431B2E" w:rsidP="00691800">
      <w:pPr>
        <w:rPr>
          <w:rFonts w:asciiTheme="minorHAnsi" w:hAnsiTheme="minorHAnsi" w:cstheme="minorHAnsi"/>
          <w:color w:val="000000" w:themeColor="text1"/>
          <w:sz w:val="18"/>
          <w:szCs w:val="18"/>
        </w:rPr>
      </w:pPr>
    </w:p>
    <w:p w14:paraId="6968417C" w14:textId="77777777" w:rsidR="006B0F06" w:rsidRPr="00431B2E" w:rsidRDefault="006B0F06" w:rsidP="006B0F06">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Rankin, A.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(2018) ‘Interventions to improve the appropriate use of polypharmacy for older people’, </w:t>
      </w:r>
      <w:r w:rsidRPr="00431B2E">
        <w:rPr>
          <w:rFonts w:asciiTheme="minorHAnsi" w:hAnsiTheme="minorHAnsi" w:cstheme="minorHAnsi"/>
          <w:i/>
          <w:iCs/>
          <w:color w:val="000000" w:themeColor="text1"/>
          <w:sz w:val="18"/>
          <w:szCs w:val="18"/>
          <w:shd w:val="clear" w:color="auto" w:fill="FFFFFF"/>
        </w:rPr>
        <w:t>Cochrane database of systematic reviews</w:t>
      </w:r>
      <w:r w:rsidRPr="00431B2E">
        <w:rPr>
          <w:rFonts w:asciiTheme="minorHAnsi" w:hAnsiTheme="minorHAnsi" w:cstheme="minorHAnsi"/>
          <w:color w:val="000000" w:themeColor="text1"/>
          <w:sz w:val="18"/>
          <w:szCs w:val="18"/>
          <w:shd w:val="clear" w:color="auto" w:fill="FFFFFF"/>
        </w:rPr>
        <w:t>, 2018(9)</w:t>
      </w:r>
    </w:p>
    <w:p w14:paraId="58E19762" w14:textId="77777777" w:rsidR="00691800" w:rsidRPr="00431B2E" w:rsidRDefault="00691800" w:rsidP="00FD5ADD">
      <w:pPr>
        <w:rPr>
          <w:rFonts w:asciiTheme="minorHAnsi" w:hAnsiTheme="minorHAnsi" w:cstheme="minorHAnsi"/>
          <w:color w:val="000000" w:themeColor="text1"/>
          <w:sz w:val="18"/>
          <w:szCs w:val="18"/>
          <w:shd w:val="clear" w:color="auto" w:fill="FFFFFF"/>
        </w:rPr>
      </w:pPr>
    </w:p>
    <w:p w14:paraId="0CD38C5D" w14:textId="18C02383" w:rsidR="001B4D51" w:rsidRPr="00431B2E" w:rsidRDefault="001B4D51" w:rsidP="00FD5ADD">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 xml:space="preserve">Rochon, </w:t>
      </w:r>
      <w:r w:rsidRPr="00431B2E">
        <w:rPr>
          <w:rFonts w:asciiTheme="minorHAnsi" w:hAnsiTheme="minorHAnsi" w:cstheme="minorHAnsi"/>
          <w:color w:val="000000" w:themeColor="text1"/>
          <w:sz w:val="18"/>
          <w:szCs w:val="18"/>
          <w:shd w:val="clear" w:color="auto" w:fill="FFFFFF"/>
        </w:rPr>
        <w:t>P</w:t>
      </w:r>
      <w:r w:rsidRPr="00431B2E">
        <w:rPr>
          <w:rFonts w:asciiTheme="minorHAnsi" w:hAnsiTheme="minorHAnsi" w:cstheme="minorHAnsi"/>
          <w:color w:val="000000" w:themeColor="text1"/>
          <w:sz w:val="18"/>
          <w:szCs w:val="18"/>
          <w:shd w:val="clear" w:color="auto" w:fill="FFFFFF"/>
        </w:rPr>
        <w:t>.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(2021) ‘Polypharmacy, inappropriate prescribing, and deprescribing in older people: through a sex and gender lens’, </w:t>
      </w:r>
      <w:r w:rsidRPr="00431B2E">
        <w:rPr>
          <w:rFonts w:asciiTheme="minorHAnsi" w:hAnsiTheme="minorHAnsi" w:cstheme="minorHAnsi"/>
          <w:i/>
          <w:iCs/>
          <w:color w:val="000000" w:themeColor="text1"/>
          <w:sz w:val="18"/>
          <w:szCs w:val="18"/>
          <w:shd w:val="clear" w:color="auto" w:fill="FFFFFF"/>
        </w:rPr>
        <w:t>The Lancet. Healthy longevity</w:t>
      </w:r>
      <w:r w:rsidRPr="00431B2E">
        <w:rPr>
          <w:rFonts w:asciiTheme="minorHAnsi" w:hAnsiTheme="minorHAnsi" w:cstheme="minorHAnsi"/>
          <w:color w:val="000000" w:themeColor="text1"/>
          <w:sz w:val="18"/>
          <w:szCs w:val="18"/>
          <w:shd w:val="clear" w:color="auto" w:fill="FFFFFF"/>
        </w:rPr>
        <w:t>, 2(5), pp.290–e300.</w:t>
      </w:r>
    </w:p>
    <w:p w14:paraId="3A73F559" w14:textId="7A3A67A4" w:rsidR="002B27B3" w:rsidRPr="00431B2E" w:rsidRDefault="002B27B3" w:rsidP="002B27B3">
      <w:pPr>
        <w:rPr>
          <w:rFonts w:asciiTheme="minorHAnsi" w:hAnsiTheme="minorHAnsi" w:cstheme="minorHAnsi"/>
          <w:color w:val="000000" w:themeColor="text1"/>
          <w:sz w:val="18"/>
          <w:szCs w:val="18"/>
        </w:rPr>
      </w:pPr>
    </w:p>
    <w:p w14:paraId="2DA701A1" w14:textId="359FD4BB" w:rsidR="001B796D" w:rsidRPr="00431B2E" w:rsidRDefault="001B796D" w:rsidP="002B27B3">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rPr>
        <w:t xml:space="preserve">Royal Pharmaceutical Society. (2023) ‘Polypharmacy: Getting Our Medicines Right’. </w:t>
      </w:r>
      <w:r w:rsidRPr="00431B2E">
        <w:rPr>
          <w:rFonts w:asciiTheme="minorHAnsi" w:hAnsiTheme="minorHAnsi" w:cstheme="minorHAnsi"/>
          <w:i/>
          <w:iCs/>
          <w:color w:val="000000" w:themeColor="text1"/>
          <w:sz w:val="18"/>
          <w:szCs w:val="18"/>
        </w:rPr>
        <w:t>Royal Pharmaceutical Society,</w:t>
      </w:r>
      <w:r w:rsidRPr="00431B2E">
        <w:rPr>
          <w:rFonts w:asciiTheme="minorHAnsi" w:hAnsiTheme="minorHAnsi" w:cstheme="minorHAnsi"/>
          <w:color w:val="000000" w:themeColor="text1"/>
          <w:sz w:val="18"/>
          <w:szCs w:val="18"/>
        </w:rPr>
        <w:t xml:space="preserve"> London. Available at: </w:t>
      </w:r>
      <w:hyperlink r:id="rId10" w:history="1">
        <w:r w:rsidRPr="00431B2E">
          <w:rPr>
            <w:rStyle w:val="Hyperlink"/>
            <w:rFonts w:asciiTheme="minorHAnsi" w:hAnsiTheme="minorHAnsi" w:cstheme="minorHAnsi"/>
            <w:color w:val="000000" w:themeColor="text1"/>
            <w:sz w:val="18"/>
            <w:szCs w:val="18"/>
          </w:rPr>
          <w:t>https://www.rpharms.com/recognition/setting-professional-standards/polypharmacy-getting-our-medicines-right</w:t>
        </w:r>
      </w:hyperlink>
    </w:p>
    <w:p w14:paraId="3249CD93" w14:textId="30775594" w:rsidR="001B796D" w:rsidRPr="00431B2E" w:rsidRDefault="001B796D" w:rsidP="002B27B3">
      <w:pPr>
        <w:rPr>
          <w:rFonts w:asciiTheme="minorHAnsi" w:hAnsiTheme="minorHAnsi" w:cstheme="minorHAnsi"/>
          <w:color w:val="000000" w:themeColor="text1"/>
          <w:sz w:val="18"/>
          <w:szCs w:val="18"/>
        </w:rPr>
      </w:pPr>
    </w:p>
    <w:p w14:paraId="2969064C" w14:textId="77777777" w:rsidR="00362F6B" w:rsidRPr="00431B2E" w:rsidRDefault="00362F6B" w:rsidP="00362F6B">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Sallevelt</w:t>
      </w:r>
      <w:proofErr w:type="spellEnd"/>
      <w:r w:rsidRPr="00431B2E">
        <w:rPr>
          <w:rFonts w:asciiTheme="minorHAnsi" w:hAnsiTheme="minorHAnsi" w:cstheme="minorHAnsi"/>
          <w:color w:val="000000" w:themeColor="text1"/>
          <w:sz w:val="18"/>
          <w:szCs w:val="18"/>
          <w:shd w:val="clear" w:color="auto" w:fill="FFFFFF"/>
        </w:rPr>
        <w:t>, B.T.G.M.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(2022) ‘Frequency and Acceptance of Clinical Decision Support System-Generated STOPP/START Signals for Hospitalised Older Patients with Polypharmacy and Multimorbidity’, </w:t>
      </w:r>
      <w:r w:rsidRPr="00431B2E">
        <w:rPr>
          <w:rFonts w:asciiTheme="minorHAnsi" w:hAnsiTheme="minorHAnsi" w:cstheme="minorHAnsi"/>
          <w:i/>
          <w:iCs/>
          <w:color w:val="000000" w:themeColor="text1"/>
          <w:sz w:val="18"/>
          <w:szCs w:val="18"/>
          <w:shd w:val="clear" w:color="auto" w:fill="FFFFFF"/>
        </w:rPr>
        <w:t>Drugs &amp; aging</w:t>
      </w:r>
      <w:r w:rsidRPr="00431B2E">
        <w:rPr>
          <w:rFonts w:asciiTheme="minorHAnsi" w:hAnsiTheme="minorHAnsi" w:cstheme="minorHAnsi"/>
          <w:color w:val="000000" w:themeColor="text1"/>
          <w:sz w:val="18"/>
          <w:szCs w:val="18"/>
          <w:shd w:val="clear" w:color="auto" w:fill="FFFFFF"/>
        </w:rPr>
        <w:t>, 39(1), pp. 59–73</w:t>
      </w:r>
    </w:p>
    <w:p w14:paraId="6D1AD4AC" w14:textId="77777777" w:rsidR="00362F6B" w:rsidRPr="00431B2E" w:rsidRDefault="00362F6B" w:rsidP="002B27B3">
      <w:pPr>
        <w:rPr>
          <w:rFonts w:asciiTheme="minorHAnsi" w:hAnsiTheme="minorHAnsi" w:cstheme="minorHAnsi"/>
          <w:color w:val="000000" w:themeColor="text1"/>
          <w:sz w:val="18"/>
          <w:szCs w:val="18"/>
        </w:rPr>
      </w:pPr>
    </w:p>
    <w:p w14:paraId="753753AE" w14:textId="7FDA3D3F" w:rsidR="002311F4" w:rsidRPr="00431B2E" w:rsidRDefault="002311F4" w:rsidP="002311F4">
      <w:pPr>
        <w:rPr>
          <w:rFonts w:asciiTheme="minorHAnsi" w:hAnsiTheme="minorHAnsi" w:cstheme="minorHAnsi"/>
          <w:color w:val="000000" w:themeColor="text1"/>
          <w:sz w:val="18"/>
          <w:szCs w:val="18"/>
          <w:shd w:val="clear" w:color="auto" w:fill="FFFFFF"/>
        </w:rPr>
      </w:pPr>
      <w:r w:rsidRPr="00431B2E">
        <w:rPr>
          <w:rFonts w:asciiTheme="minorHAnsi" w:hAnsiTheme="minorHAnsi" w:cstheme="minorHAnsi"/>
          <w:color w:val="000000" w:themeColor="text1"/>
          <w:sz w:val="18"/>
          <w:szCs w:val="18"/>
          <w:shd w:val="clear" w:color="auto" w:fill="FFFFFF"/>
        </w:rPr>
        <w:t xml:space="preserve">Shenoy, P. and </w:t>
      </w:r>
      <w:proofErr w:type="spellStart"/>
      <w:r w:rsidRPr="00431B2E">
        <w:rPr>
          <w:rFonts w:asciiTheme="minorHAnsi" w:hAnsiTheme="minorHAnsi" w:cstheme="minorHAnsi"/>
          <w:color w:val="000000" w:themeColor="text1"/>
          <w:sz w:val="18"/>
          <w:szCs w:val="18"/>
          <w:shd w:val="clear" w:color="auto" w:fill="FFFFFF"/>
        </w:rPr>
        <w:t>Harugeri</w:t>
      </w:r>
      <w:proofErr w:type="spellEnd"/>
      <w:r w:rsidRPr="00431B2E">
        <w:rPr>
          <w:rFonts w:asciiTheme="minorHAnsi" w:hAnsiTheme="minorHAnsi" w:cstheme="minorHAnsi"/>
          <w:color w:val="000000" w:themeColor="text1"/>
          <w:sz w:val="18"/>
          <w:szCs w:val="18"/>
          <w:shd w:val="clear" w:color="auto" w:fill="FFFFFF"/>
        </w:rPr>
        <w:t>, A. (2015) ‘Elderly patients’ participation in clinical trials’, </w:t>
      </w:r>
      <w:r w:rsidRPr="00431B2E">
        <w:rPr>
          <w:rFonts w:asciiTheme="minorHAnsi" w:hAnsiTheme="minorHAnsi" w:cstheme="minorHAnsi"/>
          <w:i/>
          <w:iCs/>
          <w:color w:val="000000" w:themeColor="text1"/>
          <w:sz w:val="18"/>
          <w:szCs w:val="18"/>
          <w:shd w:val="clear" w:color="auto" w:fill="FFFFFF"/>
        </w:rPr>
        <w:t>Perspectives in clinical research</w:t>
      </w:r>
      <w:r w:rsidRPr="00431B2E">
        <w:rPr>
          <w:rFonts w:asciiTheme="minorHAnsi" w:hAnsiTheme="minorHAnsi" w:cstheme="minorHAnsi"/>
          <w:color w:val="000000" w:themeColor="text1"/>
          <w:sz w:val="18"/>
          <w:szCs w:val="18"/>
          <w:shd w:val="clear" w:color="auto" w:fill="FFFFFF"/>
        </w:rPr>
        <w:t>, 6(4), pp. 184–189. </w:t>
      </w:r>
    </w:p>
    <w:p w14:paraId="726C9404" w14:textId="4A7760A7" w:rsidR="007B0A41" w:rsidRPr="00431B2E" w:rsidRDefault="007B0A41" w:rsidP="002311F4">
      <w:pPr>
        <w:rPr>
          <w:rFonts w:asciiTheme="minorHAnsi" w:hAnsiTheme="minorHAnsi" w:cstheme="minorHAnsi"/>
          <w:color w:val="000000" w:themeColor="text1"/>
          <w:sz w:val="18"/>
          <w:szCs w:val="18"/>
          <w:shd w:val="clear" w:color="auto" w:fill="FFFFFF"/>
        </w:rPr>
      </w:pPr>
    </w:p>
    <w:p w14:paraId="60C3C29A" w14:textId="4DD792BE" w:rsidR="007B0A41" w:rsidRPr="00431B2E" w:rsidRDefault="007B0A41" w:rsidP="002311F4">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lastRenderedPageBreak/>
        <w:t>Sirajuddin</w:t>
      </w:r>
      <w:r w:rsidRPr="00431B2E">
        <w:rPr>
          <w:rFonts w:asciiTheme="minorHAnsi" w:hAnsiTheme="minorHAnsi" w:cstheme="minorHAnsi"/>
          <w:color w:val="000000" w:themeColor="text1"/>
          <w:sz w:val="18"/>
          <w:szCs w:val="18"/>
          <w:shd w:val="clear" w:color="auto" w:fill="FFFFFF"/>
        </w:rPr>
        <w:t xml:space="preserve">, A </w:t>
      </w:r>
      <w:proofErr w:type="gramStart"/>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w:t>
      </w:r>
      <w:proofErr w:type="gramEnd"/>
      <w:r w:rsidRPr="00431B2E">
        <w:rPr>
          <w:rFonts w:asciiTheme="minorHAnsi" w:hAnsiTheme="minorHAnsi" w:cstheme="minorHAnsi"/>
          <w:color w:val="000000" w:themeColor="text1"/>
          <w:sz w:val="18"/>
          <w:szCs w:val="18"/>
          <w:shd w:val="clear" w:color="auto" w:fill="FFFFFF"/>
        </w:rPr>
        <w:t>2009)</w:t>
      </w:r>
      <w:r w:rsidRPr="00431B2E">
        <w:rPr>
          <w:rFonts w:asciiTheme="minorHAnsi" w:hAnsiTheme="minorHAnsi" w:cstheme="minorHAnsi"/>
          <w:i/>
          <w:iCs/>
          <w:color w:val="000000" w:themeColor="text1"/>
          <w:sz w:val="18"/>
          <w:szCs w:val="18"/>
          <w:shd w:val="clear" w:color="auto" w:fill="FFFFFF"/>
        </w:rPr>
        <w:t xml:space="preserve"> ‘</w:t>
      </w:r>
      <w:r w:rsidRPr="00431B2E">
        <w:rPr>
          <w:rFonts w:asciiTheme="minorHAnsi" w:hAnsiTheme="minorHAnsi" w:cstheme="minorHAnsi"/>
          <w:color w:val="000000" w:themeColor="text1"/>
          <w:sz w:val="18"/>
          <w:szCs w:val="18"/>
          <w:shd w:val="clear" w:color="auto" w:fill="FFFFFF"/>
        </w:rPr>
        <w:t>Implementation pearls from a new guidebook on improving medication use and outcomes with clinical decision support. Effective CDS is essential for addressing healthcare performance improvement imperatives.</w:t>
      </w:r>
      <w:r w:rsidRPr="00431B2E">
        <w:rPr>
          <w:rFonts w:asciiTheme="minorHAnsi" w:hAnsiTheme="minorHAnsi" w:cstheme="minorHAnsi"/>
          <w:color w:val="000000" w:themeColor="text1"/>
          <w:sz w:val="18"/>
          <w:szCs w:val="18"/>
          <w:shd w:val="clear" w:color="auto" w:fill="FFFFFF"/>
        </w:rPr>
        <w:t>’</w:t>
      </w:r>
      <w:r w:rsidRPr="00431B2E">
        <w:rPr>
          <w:rFonts w:asciiTheme="minorHAnsi" w:hAnsiTheme="minorHAnsi" w:cstheme="minorHAnsi"/>
          <w:color w:val="000000" w:themeColor="text1"/>
          <w:sz w:val="18"/>
          <w:szCs w:val="18"/>
          <w:shd w:val="clear" w:color="auto" w:fill="FFFFFF"/>
        </w:rPr>
        <w:t xml:space="preserve"> J </w:t>
      </w:r>
      <w:proofErr w:type="spellStart"/>
      <w:r w:rsidRPr="00431B2E">
        <w:rPr>
          <w:rFonts w:asciiTheme="minorHAnsi" w:hAnsiTheme="minorHAnsi" w:cstheme="minorHAnsi"/>
          <w:color w:val="000000" w:themeColor="text1"/>
          <w:sz w:val="18"/>
          <w:szCs w:val="18"/>
          <w:shd w:val="clear" w:color="auto" w:fill="FFFFFF"/>
        </w:rPr>
        <w:t>Healthc</w:t>
      </w:r>
      <w:proofErr w:type="spellEnd"/>
      <w:r w:rsidRPr="00431B2E">
        <w:rPr>
          <w:rFonts w:asciiTheme="minorHAnsi" w:hAnsiTheme="minorHAnsi" w:cstheme="minorHAnsi"/>
          <w:color w:val="000000" w:themeColor="text1"/>
          <w:sz w:val="18"/>
          <w:szCs w:val="18"/>
          <w:shd w:val="clear" w:color="auto" w:fill="FFFFFF"/>
        </w:rPr>
        <w:t xml:space="preserve"> Inf </w:t>
      </w:r>
      <w:proofErr w:type="spellStart"/>
      <w:r w:rsidRPr="00431B2E">
        <w:rPr>
          <w:rFonts w:asciiTheme="minorHAnsi" w:hAnsiTheme="minorHAnsi" w:cstheme="minorHAnsi"/>
          <w:color w:val="000000" w:themeColor="text1"/>
          <w:sz w:val="18"/>
          <w:szCs w:val="18"/>
          <w:shd w:val="clear" w:color="auto" w:fill="FFFFFF"/>
        </w:rPr>
        <w:t>Manag</w:t>
      </w:r>
      <w:proofErr w:type="spellEnd"/>
      <w:r w:rsidRPr="00431B2E">
        <w:rPr>
          <w:rFonts w:asciiTheme="minorHAnsi" w:hAnsiTheme="minorHAnsi" w:cstheme="minorHAnsi"/>
          <w:color w:val="000000" w:themeColor="text1"/>
          <w:sz w:val="18"/>
          <w:szCs w:val="18"/>
          <w:shd w:val="clear" w:color="auto" w:fill="FFFFFF"/>
        </w:rPr>
        <w:t>. 23(4</w:t>
      </w:r>
      <w:r w:rsidRPr="00431B2E">
        <w:rPr>
          <w:rFonts w:asciiTheme="minorHAnsi" w:hAnsiTheme="minorHAnsi" w:cstheme="minorHAnsi"/>
          <w:color w:val="000000" w:themeColor="text1"/>
          <w:sz w:val="18"/>
          <w:szCs w:val="18"/>
          <w:shd w:val="clear" w:color="auto" w:fill="FFFFFF"/>
        </w:rPr>
        <w:t xml:space="preserve">), pp. </w:t>
      </w:r>
      <w:r w:rsidRPr="00431B2E">
        <w:rPr>
          <w:rFonts w:asciiTheme="minorHAnsi" w:hAnsiTheme="minorHAnsi" w:cstheme="minorHAnsi"/>
          <w:color w:val="000000" w:themeColor="text1"/>
          <w:sz w:val="18"/>
          <w:szCs w:val="18"/>
          <w:shd w:val="clear" w:color="auto" w:fill="FFFFFF"/>
        </w:rPr>
        <w:t>38-45. </w:t>
      </w:r>
    </w:p>
    <w:p w14:paraId="16A44519" w14:textId="77777777" w:rsidR="00BB4732" w:rsidRPr="00431B2E" w:rsidRDefault="00BB4732" w:rsidP="002311F4">
      <w:pPr>
        <w:rPr>
          <w:rFonts w:asciiTheme="minorHAnsi" w:hAnsiTheme="minorHAnsi" w:cstheme="minorHAnsi"/>
          <w:color w:val="000000" w:themeColor="text1"/>
          <w:sz w:val="18"/>
          <w:szCs w:val="18"/>
          <w:shd w:val="clear" w:color="auto" w:fill="FFFFFF"/>
        </w:rPr>
      </w:pPr>
    </w:p>
    <w:p w14:paraId="5CA5DA91" w14:textId="1CA29CC2" w:rsidR="00DF6A02" w:rsidRPr="00431B2E" w:rsidRDefault="00DF6A02" w:rsidP="002311F4">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Spinewine</w:t>
      </w:r>
      <w:proofErr w:type="spellEnd"/>
      <w:r w:rsidRPr="00431B2E">
        <w:rPr>
          <w:rFonts w:asciiTheme="minorHAnsi" w:hAnsiTheme="minorHAnsi" w:cstheme="minorHAnsi"/>
          <w:color w:val="000000" w:themeColor="text1"/>
          <w:sz w:val="18"/>
          <w:szCs w:val="18"/>
          <w:shd w:val="clear" w:color="auto" w:fill="FFFFFF"/>
        </w:rPr>
        <w:t>, A.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(2007) ‘Appropriate prescribing in elderly people: how well can it be measured and optimised?’, </w:t>
      </w:r>
      <w:r w:rsidRPr="00431B2E">
        <w:rPr>
          <w:rFonts w:asciiTheme="minorHAnsi" w:hAnsiTheme="minorHAnsi" w:cstheme="minorHAnsi"/>
          <w:i/>
          <w:iCs/>
          <w:color w:val="000000" w:themeColor="text1"/>
          <w:sz w:val="18"/>
          <w:szCs w:val="18"/>
          <w:shd w:val="clear" w:color="auto" w:fill="FFFFFF"/>
        </w:rPr>
        <w:t>The Lancet (British edition)</w:t>
      </w:r>
      <w:r w:rsidRPr="00431B2E">
        <w:rPr>
          <w:rFonts w:asciiTheme="minorHAnsi" w:hAnsiTheme="minorHAnsi" w:cstheme="minorHAnsi"/>
          <w:color w:val="000000" w:themeColor="text1"/>
          <w:sz w:val="18"/>
          <w:szCs w:val="18"/>
          <w:shd w:val="clear" w:color="auto" w:fill="FFFFFF"/>
        </w:rPr>
        <w:t>, 370(9582), pp. 173–184.</w:t>
      </w:r>
    </w:p>
    <w:p w14:paraId="556DA1B7" w14:textId="36FB9FCE" w:rsidR="002311F4" w:rsidRPr="00431B2E" w:rsidRDefault="002311F4" w:rsidP="002B27B3">
      <w:pPr>
        <w:rPr>
          <w:rFonts w:asciiTheme="minorHAnsi" w:hAnsiTheme="minorHAnsi" w:cstheme="minorHAnsi"/>
          <w:color w:val="000000" w:themeColor="text1"/>
          <w:sz w:val="18"/>
          <w:szCs w:val="18"/>
        </w:rPr>
      </w:pPr>
    </w:p>
    <w:p w14:paraId="40026FE2" w14:textId="77777777" w:rsidR="00BB4732" w:rsidRPr="00431B2E" w:rsidRDefault="00BB4732" w:rsidP="00BB4732">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Sutton, R.T.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(2020) ‘An overview of clinical decision support systems: benefits, risks, and strategies for success’, </w:t>
      </w:r>
      <w:r w:rsidRPr="00431B2E">
        <w:rPr>
          <w:rFonts w:asciiTheme="minorHAnsi" w:hAnsiTheme="minorHAnsi" w:cstheme="minorHAnsi"/>
          <w:i/>
          <w:iCs/>
          <w:color w:val="000000" w:themeColor="text1"/>
          <w:sz w:val="18"/>
          <w:szCs w:val="18"/>
          <w:shd w:val="clear" w:color="auto" w:fill="FFFFFF"/>
        </w:rPr>
        <w:t>NPJ digital medicine</w:t>
      </w:r>
      <w:r w:rsidRPr="00431B2E">
        <w:rPr>
          <w:rFonts w:asciiTheme="minorHAnsi" w:hAnsiTheme="minorHAnsi" w:cstheme="minorHAnsi"/>
          <w:color w:val="000000" w:themeColor="text1"/>
          <w:sz w:val="18"/>
          <w:szCs w:val="18"/>
          <w:shd w:val="clear" w:color="auto" w:fill="FFFFFF"/>
        </w:rPr>
        <w:t>, 3(1), pp. 17–17. </w:t>
      </w:r>
    </w:p>
    <w:p w14:paraId="6E2E85DD" w14:textId="73EB53E0" w:rsidR="00BB4732" w:rsidRPr="00431B2E" w:rsidRDefault="00BB4732" w:rsidP="002B27B3">
      <w:pPr>
        <w:rPr>
          <w:rFonts w:asciiTheme="minorHAnsi" w:hAnsiTheme="minorHAnsi" w:cstheme="minorHAnsi"/>
          <w:color w:val="000000" w:themeColor="text1"/>
          <w:sz w:val="18"/>
          <w:szCs w:val="18"/>
        </w:rPr>
      </w:pPr>
    </w:p>
    <w:p w14:paraId="73DFE1D3" w14:textId="298B5A87" w:rsidR="006F1D3D" w:rsidRPr="00431B2E" w:rsidRDefault="006F1D3D" w:rsidP="006F1D3D">
      <w:pPr>
        <w:rPr>
          <w:rFonts w:asciiTheme="minorHAnsi" w:hAnsiTheme="minorHAnsi" w:cstheme="minorHAnsi"/>
          <w:color w:val="000000" w:themeColor="text1"/>
          <w:sz w:val="18"/>
          <w:szCs w:val="18"/>
        </w:rPr>
      </w:pPr>
      <w:r w:rsidRPr="00431B2E">
        <w:rPr>
          <w:rStyle w:val="artauthors"/>
          <w:rFonts w:asciiTheme="minorHAnsi" w:hAnsiTheme="minorHAnsi" w:cstheme="minorHAnsi"/>
          <w:color w:val="000000" w:themeColor="text1"/>
          <w:sz w:val="18"/>
          <w:szCs w:val="18"/>
          <w:shd w:val="clear" w:color="auto" w:fill="FFFFFF"/>
        </w:rPr>
        <w:t>Tiffani</w:t>
      </w:r>
      <w:r w:rsidRPr="00431B2E">
        <w:rPr>
          <w:rStyle w:val="artauthors"/>
          <w:rFonts w:asciiTheme="minorHAnsi" w:hAnsiTheme="minorHAnsi" w:cstheme="minorHAnsi"/>
          <w:color w:val="000000" w:themeColor="text1"/>
          <w:sz w:val="18"/>
          <w:szCs w:val="18"/>
          <w:shd w:val="clear" w:color="auto" w:fill="FFFFFF"/>
        </w:rPr>
        <w:t>,</w:t>
      </w:r>
      <w:r w:rsidRPr="00431B2E">
        <w:rPr>
          <w:rStyle w:val="artauthors"/>
          <w:rFonts w:asciiTheme="minorHAnsi" w:hAnsiTheme="minorHAnsi" w:cstheme="minorHAnsi"/>
          <w:color w:val="000000" w:themeColor="text1"/>
          <w:sz w:val="18"/>
          <w:szCs w:val="18"/>
          <w:shd w:val="clear" w:color="auto" w:fill="FFFFFF"/>
        </w:rPr>
        <w:t xml:space="preserve"> J. </w:t>
      </w:r>
      <w:r w:rsidRPr="00431B2E">
        <w:rPr>
          <w:rStyle w:val="artauthors"/>
          <w:rFonts w:asciiTheme="minorHAnsi" w:hAnsiTheme="minorHAnsi" w:cstheme="minorHAnsi"/>
          <w:i/>
          <w:iCs/>
          <w:color w:val="000000" w:themeColor="text1"/>
          <w:sz w:val="18"/>
          <w:szCs w:val="18"/>
          <w:shd w:val="clear" w:color="auto" w:fill="FFFFFF"/>
        </w:rPr>
        <w:t>et al.</w:t>
      </w:r>
      <w:r w:rsidRPr="00431B2E">
        <w:rPr>
          <w:rStyle w:val="artauthors"/>
          <w:rFonts w:asciiTheme="minorHAnsi" w:hAnsiTheme="minorHAnsi" w:cstheme="minorHAnsi"/>
          <w:color w:val="000000" w:themeColor="text1"/>
          <w:sz w:val="18"/>
          <w:szCs w:val="18"/>
          <w:shd w:val="clear" w:color="auto" w:fill="FFFFFF"/>
        </w:rPr>
        <w:t> </w:t>
      </w:r>
      <w:r w:rsidRPr="00431B2E">
        <w:rPr>
          <w:rStyle w:val="artauthors"/>
          <w:rFonts w:asciiTheme="minorHAnsi" w:hAnsiTheme="minorHAnsi" w:cstheme="minorHAnsi"/>
          <w:color w:val="000000" w:themeColor="text1"/>
          <w:sz w:val="18"/>
          <w:szCs w:val="18"/>
          <w:shd w:val="clear" w:color="auto" w:fill="FFFFFF"/>
        </w:rPr>
        <w:t xml:space="preserve">(2012) </w:t>
      </w:r>
      <w:proofErr w:type="gramStart"/>
      <w:r w:rsidRPr="00431B2E">
        <w:rPr>
          <w:rStyle w:val="artauthors"/>
          <w:rFonts w:asciiTheme="minorHAnsi" w:hAnsiTheme="minorHAnsi" w:cstheme="minorHAnsi"/>
          <w:color w:val="000000" w:themeColor="text1"/>
          <w:sz w:val="18"/>
          <w:szCs w:val="18"/>
          <w:shd w:val="clear" w:color="auto" w:fill="FFFFFF"/>
        </w:rPr>
        <w:t>‘ Effect</w:t>
      </w:r>
      <w:proofErr w:type="gramEnd"/>
      <w:r w:rsidRPr="00431B2E">
        <w:rPr>
          <w:rStyle w:val="artauthors"/>
          <w:rFonts w:asciiTheme="minorHAnsi" w:hAnsiTheme="minorHAnsi" w:cstheme="minorHAnsi"/>
          <w:color w:val="000000" w:themeColor="text1"/>
          <w:sz w:val="18"/>
          <w:szCs w:val="18"/>
          <w:shd w:val="clear" w:color="auto" w:fill="FFFFFF"/>
        </w:rPr>
        <w:t xml:space="preserve"> of Clinical Decision Support Systems: A Systematic Review’ </w:t>
      </w:r>
      <w:r w:rsidRPr="00431B2E">
        <w:rPr>
          <w:rStyle w:val="journalname"/>
          <w:rFonts w:asciiTheme="minorHAnsi" w:hAnsiTheme="minorHAnsi" w:cstheme="minorHAnsi"/>
          <w:i/>
          <w:iCs/>
          <w:color w:val="000000" w:themeColor="text1"/>
          <w:sz w:val="18"/>
          <w:szCs w:val="18"/>
          <w:shd w:val="clear" w:color="auto" w:fill="FFFFFF"/>
        </w:rPr>
        <w:t>Ann Intern Med.</w:t>
      </w:r>
      <w:r w:rsidRPr="00431B2E">
        <w:rPr>
          <w:rStyle w:val="volume"/>
          <w:rFonts w:asciiTheme="minorHAnsi" w:hAnsiTheme="minorHAnsi" w:cstheme="minorHAnsi"/>
          <w:color w:val="000000" w:themeColor="text1"/>
          <w:sz w:val="18"/>
          <w:szCs w:val="18"/>
          <w:shd w:val="clear" w:color="auto" w:fill="FFFFFF"/>
        </w:rPr>
        <w:t>157</w:t>
      </w:r>
      <w:r w:rsidRPr="00431B2E">
        <w:rPr>
          <w:rFonts w:asciiTheme="minorHAnsi" w:hAnsiTheme="minorHAnsi" w:cstheme="minorHAnsi"/>
          <w:color w:val="000000" w:themeColor="text1"/>
          <w:sz w:val="18"/>
          <w:szCs w:val="18"/>
          <w:shd w:val="clear" w:color="auto" w:fill="FFFFFF"/>
        </w:rPr>
        <w:t xml:space="preserve"> (1), pp. </w:t>
      </w:r>
      <w:r w:rsidRPr="00431B2E">
        <w:rPr>
          <w:rStyle w:val="page"/>
          <w:rFonts w:asciiTheme="minorHAnsi" w:hAnsiTheme="minorHAnsi" w:cstheme="minorHAnsi"/>
          <w:color w:val="000000" w:themeColor="text1"/>
          <w:sz w:val="18"/>
          <w:szCs w:val="18"/>
          <w:shd w:val="clear" w:color="auto" w:fill="FFFFFF"/>
        </w:rPr>
        <w:t>29-43</w:t>
      </w:r>
      <w:r w:rsidRPr="00431B2E">
        <w:rPr>
          <w:rFonts w:asciiTheme="minorHAnsi" w:hAnsiTheme="minorHAnsi" w:cstheme="minorHAnsi"/>
          <w:color w:val="000000" w:themeColor="text1"/>
          <w:sz w:val="18"/>
          <w:szCs w:val="18"/>
          <w:shd w:val="clear" w:color="auto" w:fill="FFFFFF"/>
        </w:rPr>
        <w:t>.</w:t>
      </w:r>
    </w:p>
    <w:p w14:paraId="119B97ED" w14:textId="0236A872" w:rsidR="006A7C62" w:rsidRPr="00431B2E" w:rsidRDefault="006A7C62" w:rsidP="00046733">
      <w:pPr>
        <w:rPr>
          <w:rFonts w:asciiTheme="minorHAnsi" w:hAnsiTheme="minorHAnsi" w:cstheme="minorHAnsi"/>
          <w:color w:val="000000" w:themeColor="text1"/>
          <w:sz w:val="18"/>
          <w:szCs w:val="18"/>
          <w:shd w:val="clear" w:color="auto" w:fill="FFFFFF"/>
        </w:rPr>
      </w:pPr>
    </w:p>
    <w:p w14:paraId="752FE119" w14:textId="77777777" w:rsidR="00EB72CE" w:rsidRPr="00431B2E" w:rsidRDefault="00EB72CE" w:rsidP="00EB72CE">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Van de Velde, S.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(2018) ‘A systematic review of trials evaluating success factors of interventions with computerised clinical decision support’, </w:t>
      </w:r>
      <w:r w:rsidRPr="00431B2E">
        <w:rPr>
          <w:rFonts w:asciiTheme="minorHAnsi" w:hAnsiTheme="minorHAnsi" w:cstheme="minorHAnsi"/>
          <w:i/>
          <w:iCs/>
          <w:color w:val="000000" w:themeColor="text1"/>
          <w:sz w:val="18"/>
          <w:szCs w:val="18"/>
          <w:shd w:val="clear" w:color="auto" w:fill="FFFFFF"/>
        </w:rPr>
        <w:t xml:space="preserve">Implementation </w:t>
      </w:r>
      <w:proofErr w:type="gramStart"/>
      <w:r w:rsidRPr="00431B2E">
        <w:rPr>
          <w:rFonts w:asciiTheme="minorHAnsi" w:hAnsiTheme="minorHAnsi" w:cstheme="minorHAnsi"/>
          <w:i/>
          <w:iCs/>
          <w:color w:val="000000" w:themeColor="text1"/>
          <w:sz w:val="18"/>
          <w:szCs w:val="18"/>
          <w:shd w:val="clear" w:color="auto" w:fill="FFFFFF"/>
        </w:rPr>
        <w:t>science :</w:t>
      </w:r>
      <w:proofErr w:type="gramEnd"/>
      <w:r w:rsidRPr="00431B2E">
        <w:rPr>
          <w:rFonts w:asciiTheme="minorHAnsi" w:hAnsiTheme="minorHAnsi" w:cstheme="minorHAnsi"/>
          <w:i/>
          <w:iCs/>
          <w:color w:val="000000" w:themeColor="text1"/>
          <w:sz w:val="18"/>
          <w:szCs w:val="18"/>
          <w:shd w:val="clear" w:color="auto" w:fill="FFFFFF"/>
        </w:rPr>
        <w:t xml:space="preserve"> IS</w:t>
      </w:r>
      <w:r w:rsidRPr="00431B2E">
        <w:rPr>
          <w:rFonts w:asciiTheme="minorHAnsi" w:hAnsiTheme="minorHAnsi" w:cstheme="minorHAnsi"/>
          <w:color w:val="000000" w:themeColor="text1"/>
          <w:sz w:val="18"/>
          <w:szCs w:val="18"/>
          <w:shd w:val="clear" w:color="auto" w:fill="FFFFFF"/>
        </w:rPr>
        <w:t>, 13(1), pp. 114–114.</w:t>
      </w:r>
    </w:p>
    <w:p w14:paraId="05E8C07C" w14:textId="07717551" w:rsidR="00EB72CE" w:rsidRPr="00431B2E" w:rsidRDefault="00EB72CE" w:rsidP="00046733">
      <w:pPr>
        <w:rPr>
          <w:rFonts w:asciiTheme="minorHAnsi" w:hAnsiTheme="minorHAnsi" w:cstheme="minorHAnsi"/>
          <w:color w:val="000000" w:themeColor="text1"/>
          <w:sz w:val="18"/>
          <w:szCs w:val="18"/>
          <w:shd w:val="clear" w:color="auto" w:fill="FFFFFF"/>
        </w:rPr>
      </w:pPr>
    </w:p>
    <w:p w14:paraId="5FF28A82" w14:textId="22D75337" w:rsidR="00C20338" w:rsidRPr="00431B2E" w:rsidRDefault="00C20338" w:rsidP="00C20338">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V</w:t>
      </w:r>
      <w:r w:rsidRPr="00431B2E">
        <w:rPr>
          <w:rFonts w:asciiTheme="minorHAnsi" w:hAnsiTheme="minorHAnsi" w:cstheme="minorHAnsi"/>
          <w:color w:val="000000" w:themeColor="text1"/>
          <w:sz w:val="18"/>
          <w:szCs w:val="18"/>
          <w:shd w:val="clear" w:color="auto" w:fill="FFFFFF"/>
        </w:rPr>
        <w:t>an de Velde, S.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(2018) ‘The GUIDES checklist: development of a tool to improve the successful use of guideline-based computerised clinical decision support’, </w:t>
      </w:r>
      <w:r w:rsidRPr="00431B2E">
        <w:rPr>
          <w:rFonts w:asciiTheme="minorHAnsi" w:hAnsiTheme="minorHAnsi" w:cstheme="minorHAnsi"/>
          <w:i/>
          <w:iCs/>
          <w:color w:val="000000" w:themeColor="text1"/>
          <w:sz w:val="18"/>
          <w:szCs w:val="18"/>
          <w:shd w:val="clear" w:color="auto" w:fill="FFFFFF"/>
        </w:rPr>
        <w:t xml:space="preserve">Implementation </w:t>
      </w:r>
      <w:r w:rsidR="00402629" w:rsidRPr="00431B2E">
        <w:rPr>
          <w:rFonts w:asciiTheme="minorHAnsi" w:hAnsiTheme="minorHAnsi" w:cstheme="minorHAnsi"/>
          <w:i/>
          <w:iCs/>
          <w:color w:val="000000" w:themeColor="text1"/>
          <w:sz w:val="18"/>
          <w:szCs w:val="18"/>
          <w:shd w:val="clear" w:color="auto" w:fill="FFFFFF"/>
        </w:rPr>
        <w:t>science:</w:t>
      </w:r>
      <w:r w:rsidRPr="00431B2E">
        <w:rPr>
          <w:rFonts w:asciiTheme="minorHAnsi" w:hAnsiTheme="minorHAnsi" w:cstheme="minorHAnsi"/>
          <w:i/>
          <w:iCs/>
          <w:color w:val="000000" w:themeColor="text1"/>
          <w:sz w:val="18"/>
          <w:szCs w:val="18"/>
          <w:shd w:val="clear" w:color="auto" w:fill="FFFFFF"/>
        </w:rPr>
        <w:t xml:space="preserve"> IS</w:t>
      </w:r>
      <w:r w:rsidRPr="00431B2E">
        <w:rPr>
          <w:rFonts w:asciiTheme="minorHAnsi" w:hAnsiTheme="minorHAnsi" w:cstheme="minorHAnsi"/>
          <w:color w:val="000000" w:themeColor="text1"/>
          <w:sz w:val="18"/>
          <w:szCs w:val="18"/>
          <w:shd w:val="clear" w:color="auto" w:fill="FFFFFF"/>
        </w:rPr>
        <w:t>, 13(1).</w:t>
      </w:r>
    </w:p>
    <w:p w14:paraId="26AE56C8" w14:textId="77777777" w:rsidR="00C20338" w:rsidRPr="00431B2E" w:rsidRDefault="00C20338" w:rsidP="00046733">
      <w:pPr>
        <w:rPr>
          <w:rFonts w:asciiTheme="minorHAnsi" w:hAnsiTheme="minorHAnsi" w:cstheme="minorHAnsi"/>
          <w:color w:val="000000" w:themeColor="text1"/>
          <w:sz w:val="18"/>
          <w:szCs w:val="18"/>
          <w:shd w:val="clear" w:color="auto" w:fill="FFFFFF"/>
        </w:rPr>
      </w:pPr>
    </w:p>
    <w:p w14:paraId="2153D534" w14:textId="6861F908" w:rsidR="00046733" w:rsidRPr="00431B2E" w:rsidRDefault="00046733" w:rsidP="00046733">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Varghese, J.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(2018) ‘Effects of computerized decision support system implementations on patient outcomes in inpatient care: a systematic review’, </w:t>
      </w:r>
      <w:r w:rsidRPr="00431B2E">
        <w:rPr>
          <w:rFonts w:asciiTheme="minorHAnsi" w:hAnsiTheme="minorHAnsi" w:cstheme="minorHAnsi"/>
          <w:i/>
          <w:iCs/>
          <w:color w:val="000000" w:themeColor="text1"/>
          <w:sz w:val="18"/>
          <w:szCs w:val="18"/>
          <w:shd w:val="clear" w:color="auto" w:fill="FFFFFF"/>
        </w:rPr>
        <w:t xml:space="preserve">Journal of the American Medical Informatics </w:t>
      </w:r>
      <w:proofErr w:type="gramStart"/>
      <w:r w:rsidRPr="00431B2E">
        <w:rPr>
          <w:rFonts w:asciiTheme="minorHAnsi" w:hAnsiTheme="minorHAnsi" w:cstheme="minorHAnsi"/>
          <w:i/>
          <w:iCs/>
          <w:color w:val="000000" w:themeColor="text1"/>
          <w:sz w:val="18"/>
          <w:szCs w:val="18"/>
          <w:shd w:val="clear" w:color="auto" w:fill="FFFFFF"/>
        </w:rPr>
        <w:t>Association :</w:t>
      </w:r>
      <w:proofErr w:type="gramEnd"/>
      <w:r w:rsidRPr="00431B2E">
        <w:rPr>
          <w:rFonts w:asciiTheme="minorHAnsi" w:hAnsiTheme="minorHAnsi" w:cstheme="minorHAnsi"/>
          <w:i/>
          <w:iCs/>
          <w:color w:val="000000" w:themeColor="text1"/>
          <w:sz w:val="18"/>
          <w:szCs w:val="18"/>
          <w:shd w:val="clear" w:color="auto" w:fill="FFFFFF"/>
        </w:rPr>
        <w:t xml:space="preserve"> JAMIA</w:t>
      </w:r>
      <w:r w:rsidRPr="00431B2E">
        <w:rPr>
          <w:rFonts w:asciiTheme="minorHAnsi" w:hAnsiTheme="minorHAnsi" w:cstheme="minorHAnsi"/>
          <w:color w:val="000000" w:themeColor="text1"/>
          <w:sz w:val="18"/>
          <w:szCs w:val="18"/>
          <w:shd w:val="clear" w:color="auto" w:fill="FFFFFF"/>
        </w:rPr>
        <w:t>, 25(5), pp. 593–602. </w:t>
      </w:r>
    </w:p>
    <w:p w14:paraId="73689ECE" w14:textId="77777777" w:rsidR="00CC0C3F" w:rsidRPr="00431B2E" w:rsidRDefault="00CC0C3F" w:rsidP="002B27B3">
      <w:pPr>
        <w:rPr>
          <w:rFonts w:asciiTheme="minorHAnsi" w:hAnsiTheme="minorHAnsi" w:cstheme="minorHAnsi"/>
          <w:color w:val="000000" w:themeColor="text1"/>
          <w:sz w:val="18"/>
          <w:szCs w:val="18"/>
        </w:rPr>
      </w:pPr>
    </w:p>
    <w:p w14:paraId="0D981A79" w14:textId="77777777" w:rsidR="002B27B3" w:rsidRPr="00431B2E" w:rsidRDefault="002B27B3" w:rsidP="002B27B3">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Wastesson</w:t>
      </w:r>
      <w:proofErr w:type="spellEnd"/>
      <w:r w:rsidRPr="00431B2E">
        <w:rPr>
          <w:rFonts w:asciiTheme="minorHAnsi" w:hAnsiTheme="minorHAnsi" w:cstheme="minorHAnsi"/>
          <w:color w:val="000000" w:themeColor="text1"/>
          <w:sz w:val="18"/>
          <w:szCs w:val="18"/>
          <w:shd w:val="clear" w:color="auto" w:fill="FFFFFF"/>
        </w:rPr>
        <w:t>, J.W.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(2018) ‘An update on the clinical consequences of polypharmacy in older adults: a narrative review’, </w:t>
      </w:r>
      <w:r w:rsidRPr="00431B2E">
        <w:rPr>
          <w:rFonts w:asciiTheme="minorHAnsi" w:hAnsiTheme="minorHAnsi" w:cstheme="minorHAnsi"/>
          <w:i/>
          <w:iCs/>
          <w:color w:val="000000" w:themeColor="text1"/>
          <w:sz w:val="18"/>
          <w:szCs w:val="18"/>
          <w:shd w:val="clear" w:color="auto" w:fill="FFFFFF"/>
        </w:rPr>
        <w:t>Expert opinion on drug safety</w:t>
      </w:r>
      <w:r w:rsidRPr="00431B2E">
        <w:rPr>
          <w:rFonts w:asciiTheme="minorHAnsi" w:hAnsiTheme="minorHAnsi" w:cstheme="minorHAnsi"/>
          <w:color w:val="000000" w:themeColor="text1"/>
          <w:sz w:val="18"/>
          <w:szCs w:val="18"/>
          <w:shd w:val="clear" w:color="auto" w:fill="FFFFFF"/>
        </w:rPr>
        <w:t>, 17(12), p. 1185-1196.</w:t>
      </w:r>
    </w:p>
    <w:p w14:paraId="1F3C3DD8" w14:textId="77777777" w:rsidR="002B27B3" w:rsidRPr="00431B2E" w:rsidRDefault="002B27B3" w:rsidP="002B27B3">
      <w:pPr>
        <w:rPr>
          <w:rFonts w:asciiTheme="minorHAnsi" w:hAnsiTheme="minorHAnsi" w:cstheme="minorHAnsi"/>
          <w:color w:val="000000" w:themeColor="text1"/>
          <w:sz w:val="18"/>
          <w:szCs w:val="18"/>
        </w:rPr>
      </w:pPr>
    </w:p>
    <w:p w14:paraId="651D4F8C" w14:textId="6C9DD838" w:rsidR="002B27B3" w:rsidRPr="00431B2E" w:rsidRDefault="002B27B3" w:rsidP="002B27B3">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rPr>
        <w:t xml:space="preserve">World Health Organisation. (2019) ‘Medication safety in polypharmacy’, WHO. </w:t>
      </w:r>
    </w:p>
    <w:p w14:paraId="7E7CBB6D" w14:textId="274704D5" w:rsidR="000857F0" w:rsidRPr="00431B2E" w:rsidRDefault="000857F0" w:rsidP="002B27B3">
      <w:pPr>
        <w:rPr>
          <w:rFonts w:asciiTheme="minorHAnsi" w:hAnsiTheme="minorHAnsi" w:cstheme="minorHAnsi"/>
          <w:color w:val="000000" w:themeColor="text1"/>
          <w:sz w:val="18"/>
          <w:szCs w:val="18"/>
        </w:rPr>
      </w:pPr>
    </w:p>
    <w:p w14:paraId="453D1FF3" w14:textId="77777777" w:rsidR="00F52031" w:rsidRPr="00431B2E" w:rsidRDefault="00F52031" w:rsidP="00F52031">
      <w:pPr>
        <w:rPr>
          <w:rFonts w:asciiTheme="minorHAnsi" w:hAnsiTheme="minorHAnsi" w:cstheme="minorHAnsi"/>
          <w:color w:val="000000" w:themeColor="text1"/>
          <w:sz w:val="18"/>
          <w:szCs w:val="18"/>
        </w:rPr>
      </w:pPr>
      <w:r w:rsidRPr="00431B2E">
        <w:rPr>
          <w:rFonts w:asciiTheme="minorHAnsi" w:hAnsiTheme="minorHAnsi" w:cstheme="minorHAnsi"/>
          <w:color w:val="000000" w:themeColor="text1"/>
          <w:sz w:val="18"/>
          <w:szCs w:val="18"/>
          <w:shd w:val="clear" w:color="auto" w:fill="FFFFFF"/>
        </w:rPr>
        <w:t>Wyatt, J. (1995) ‘Nervous about artificial neural networks?’, </w:t>
      </w:r>
      <w:r w:rsidRPr="00431B2E">
        <w:rPr>
          <w:rFonts w:asciiTheme="minorHAnsi" w:hAnsiTheme="minorHAnsi" w:cstheme="minorHAnsi"/>
          <w:i/>
          <w:iCs/>
          <w:color w:val="000000" w:themeColor="text1"/>
          <w:sz w:val="18"/>
          <w:szCs w:val="18"/>
          <w:shd w:val="clear" w:color="auto" w:fill="FFFFFF"/>
        </w:rPr>
        <w:t>The Lancet (British edition)</w:t>
      </w:r>
      <w:r w:rsidRPr="00431B2E">
        <w:rPr>
          <w:rFonts w:asciiTheme="minorHAnsi" w:hAnsiTheme="minorHAnsi" w:cstheme="minorHAnsi"/>
          <w:color w:val="000000" w:themeColor="text1"/>
          <w:sz w:val="18"/>
          <w:szCs w:val="18"/>
          <w:shd w:val="clear" w:color="auto" w:fill="FFFFFF"/>
        </w:rPr>
        <w:t>, 346(8984), pp. 1175–1177. </w:t>
      </w:r>
    </w:p>
    <w:p w14:paraId="6A9139D1" w14:textId="77777777" w:rsidR="00F52031" w:rsidRPr="00431B2E" w:rsidRDefault="00F52031" w:rsidP="002B27B3">
      <w:pPr>
        <w:rPr>
          <w:rFonts w:asciiTheme="minorHAnsi" w:hAnsiTheme="minorHAnsi" w:cstheme="minorHAnsi"/>
          <w:color w:val="000000" w:themeColor="text1"/>
          <w:sz w:val="18"/>
          <w:szCs w:val="18"/>
        </w:rPr>
      </w:pPr>
    </w:p>
    <w:p w14:paraId="3117EF16" w14:textId="77777777" w:rsidR="000857F0" w:rsidRPr="00431B2E" w:rsidRDefault="000857F0" w:rsidP="000857F0">
      <w:pPr>
        <w:rPr>
          <w:rFonts w:asciiTheme="minorHAnsi" w:hAnsiTheme="minorHAnsi" w:cstheme="minorHAnsi"/>
          <w:color w:val="000000" w:themeColor="text1"/>
          <w:sz w:val="18"/>
          <w:szCs w:val="18"/>
        </w:rPr>
      </w:pPr>
      <w:proofErr w:type="spellStart"/>
      <w:r w:rsidRPr="00431B2E">
        <w:rPr>
          <w:rFonts w:asciiTheme="minorHAnsi" w:hAnsiTheme="minorHAnsi" w:cstheme="minorHAnsi"/>
          <w:color w:val="000000" w:themeColor="text1"/>
          <w:sz w:val="18"/>
          <w:szCs w:val="18"/>
          <w:shd w:val="clear" w:color="auto" w:fill="FFFFFF"/>
        </w:rPr>
        <w:t>Zaninotto</w:t>
      </w:r>
      <w:proofErr w:type="spellEnd"/>
      <w:r w:rsidRPr="00431B2E">
        <w:rPr>
          <w:rFonts w:asciiTheme="minorHAnsi" w:hAnsiTheme="minorHAnsi" w:cstheme="minorHAnsi"/>
          <w:color w:val="000000" w:themeColor="text1"/>
          <w:sz w:val="18"/>
          <w:szCs w:val="18"/>
          <w:shd w:val="clear" w:color="auto" w:fill="FFFFFF"/>
        </w:rPr>
        <w:t>, P. </w:t>
      </w:r>
      <w:r w:rsidRPr="00431B2E">
        <w:rPr>
          <w:rFonts w:asciiTheme="minorHAnsi" w:hAnsiTheme="minorHAnsi" w:cstheme="minorHAnsi"/>
          <w:i/>
          <w:iCs/>
          <w:color w:val="000000" w:themeColor="text1"/>
          <w:sz w:val="18"/>
          <w:szCs w:val="18"/>
          <w:shd w:val="clear" w:color="auto" w:fill="FFFFFF"/>
        </w:rPr>
        <w:t>et al.</w:t>
      </w:r>
      <w:r w:rsidRPr="00431B2E">
        <w:rPr>
          <w:rFonts w:asciiTheme="minorHAnsi" w:hAnsiTheme="minorHAnsi" w:cstheme="minorHAnsi"/>
          <w:color w:val="000000" w:themeColor="text1"/>
          <w:sz w:val="18"/>
          <w:szCs w:val="18"/>
          <w:shd w:val="clear" w:color="auto" w:fill="FFFFFF"/>
        </w:rPr>
        <w:t> (2020) ‘Polypharmacy is a risk factor for hospital admission due to a fall: evidence from the English Longitudinal Study of Ageing’, </w:t>
      </w:r>
      <w:r w:rsidRPr="00431B2E">
        <w:rPr>
          <w:rFonts w:asciiTheme="minorHAnsi" w:hAnsiTheme="minorHAnsi" w:cstheme="minorHAnsi"/>
          <w:i/>
          <w:iCs/>
          <w:color w:val="000000" w:themeColor="text1"/>
          <w:sz w:val="18"/>
          <w:szCs w:val="18"/>
          <w:shd w:val="clear" w:color="auto" w:fill="FFFFFF"/>
        </w:rPr>
        <w:t>BMC public health</w:t>
      </w:r>
      <w:r w:rsidRPr="00431B2E">
        <w:rPr>
          <w:rFonts w:asciiTheme="minorHAnsi" w:hAnsiTheme="minorHAnsi" w:cstheme="minorHAnsi"/>
          <w:color w:val="000000" w:themeColor="text1"/>
          <w:sz w:val="18"/>
          <w:szCs w:val="18"/>
          <w:shd w:val="clear" w:color="auto" w:fill="FFFFFF"/>
        </w:rPr>
        <w:t>, 20(1), pp. 1804–1804</w:t>
      </w:r>
    </w:p>
    <w:p w14:paraId="37951F12" w14:textId="77777777" w:rsidR="000857F0" w:rsidRPr="00431B2E" w:rsidRDefault="000857F0" w:rsidP="002B27B3">
      <w:pPr>
        <w:rPr>
          <w:rFonts w:asciiTheme="minorHAnsi" w:hAnsiTheme="minorHAnsi" w:cstheme="minorHAnsi"/>
          <w:color w:val="000000" w:themeColor="text1"/>
          <w:sz w:val="18"/>
          <w:szCs w:val="18"/>
        </w:rPr>
      </w:pPr>
    </w:p>
    <w:p w14:paraId="7AE20830" w14:textId="77777777" w:rsidR="00541CF3" w:rsidRPr="00541CF3" w:rsidRDefault="00541CF3" w:rsidP="00541CF3">
      <w:pPr>
        <w:rPr>
          <w:rFonts w:asciiTheme="minorHAnsi" w:hAnsiTheme="minorHAnsi" w:cstheme="minorHAnsi"/>
          <w:sz w:val="18"/>
          <w:szCs w:val="18"/>
        </w:rPr>
      </w:pPr>
      <w:proofErr w:type="spellStart"/>
      <w:r w:rsidRPr="00541CF3">
        <w:rPr>
          <w:rFonts w:asciiTheme="minorHAnsi" w:hAnsiTheme="minorHAnsi" w:cstheme="minorHAnsi"/>
          <w:color w:val="3A3A3A"/>
          <w:sz w:val="18"/>
          <w:szCs w:val="18"/>
          <w:shd w:val="clear" w:color="auto" w:fill="FFFFFF"/>
        </w:rPr>
        <w:t>Zwikael</w:t>
      </w:r>
      <w:proofErr w:type="spellEnd"/>
      <w:r w:rsidRPr="00541CF3">
        <w:rPr>
          <w:rFonts w:asciiTheme="minorHAnsi" w:hAnsiTheme="minorHAnsi" w:cstheme="minorHAnsi"/>
          <w:color w:val="3A3A3A"/>
          <w:sz w:val="18"/>
          <w:szCs w:val="18"/>
          <w:shd w:val="clear" w:color="auto" w:fill="FFFFFF"/>
        </w:rPr>
        <w:t xml:space="preserve">, O. and </w:t>
      </w:r>
      <w:proofErr w:type="spellStart"/>
      <w:r w:rsidRPr="00541CF3">
        <w:rPr>
          <w:rFonts w:asciiTheme="minorHAnsi" w:hAnsiTheme="minorHAnsi" w:cstheme="minorHAnsi"/>
          <w:color w:val="3A3A3A"/>
          <w:sz w:val="18"/>
          <w:szCs w:val="18"/>
          <w:shd w:val="clear" w:color="auto" w:fill="FFFFFF"/>
        </w:rPr>
        <w:t>Smyrk</w:t>
      </w:r>
      <w:proofErr w:type="spellEnd"/>
      <w:r w:rsidRPr="00541CF3">
        <w:rPr>
          <w:rFonts w:asciiTheme="minorHAnsi" w:hAnsiTheme="minorHAnsi" w:cstheme="minorHAnsi"/>
          <w:color w:val="3A3A3A"/>
          <w:sz w:val="18"/>
          <w:szCs w:val="18"/>
          <w:shd w:val="clear" w:color="auto" w:fill="FFFFFF"/>
        </w:rPr>
        <w:t>, J. (2015) ‘Project governance: Balancing control and trust in dealing with risk’, </w:t>
      </w:r>
      <w:r w:rsidRPr="00541CF3">
        <w:rPr>
          <w:rFonts w:asciiTheme="minorHAnsi" w:hAnsiTheme="minorHAnsi" w:cstheme="minorHAnsi"/>
          <w:i/>
          <w:iCs/>
          <w:color w:val="3A3A3A"/>
          <w:sz w:val="18"/>
          <w:szCs w:val="18"/>
          <w:shd w:val="clear" w:color="auto" w:fill="FFFFFF"/>
        </w:rPr>
        <w:t>International journal of project management</w:t>
      </w:r>
      <w:r w:rsidRPr="00541CF3">
        <w:rPr>
          <w:rFonts w:asciiTheme="minorHAnsi" w:hAnsiTheme="minorHAnsi" w:cstheme="minorHAnsi"/>
          <w:color w:val="3A3A3A"/>
          <w:sz w:val="18"/>
          <w:szCs w:val="18"/>
          <w:shd w:val="clear" w:color="auto" w:fill="FFFFFF"/>
        </w:rPr>
        <w:t>, 33(4), pp. 852–862. </w:t>
      </w:r>
    </w:p>
    <w:p w14:paraId="51FCC745" w14:textId="77777777" w:rsidR="002B27B3" w:rsidRPr="00431B2E" w:rsidRDefault="002B27B3" w:rsidP="00CD0D98">
      <w:pPr>
        <w:rPr>
          <w:rFonts w:asciiTheme="minorHAnsi" w:hAnsiTheme="minorHAnsi" w:cstheme="minorHAnsi"/>
          <w:color w:val="000000" w:themeColor="text1"/>
          <w:sz w:val="18"/>
          <w:szCs w:val="18"/>
        </w:rPr>
      </w:pPr>
    </w:p>
    <w:sectPr w:rsidR="002B27B3" w:rsidRPr="00431B2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94A83" w14:textId="77777777" w:rsidR="00F60921" w:rsidRDefault="00F60921" w:rsidP="00B930C3">
      <w:r>
        <w:separator/>
      </w:r>
    </w:p>
  </w:endnote>
  <w:endnote w:type="continuationSeparator" w:id="0">
    <w:p w14:paraId="6469B41E" w14:textId="77777777" w:rsidR="00F60921" w:rsidRDefault="00F60921" w:rsidP="00B930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FAD05" w14:textId="58D19D09" w:rsidR="00B930C3" w:rsidRDefault="00B930C3">
    <w:pPr>
      <w:pStyle w:val="Footer"/>
    </w:pPr>
  </w:p>
  <w:p w14:paraId="7C8252A9" w14:textId="77777777" w:rsidR="00B930C3" w:rsidRDefault="00B93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3417F" w14:textId="77777777" w:rsidR="00F60921" w:rsidRDefault="00F60921" w:rsidP="00B930C3">
      <w:r>
        <w:separator/>
      </w:r>
    </w:p>
  </w:footnote>
  <w:footnote w:type="continuationSeparator" w:id="0">
    <w:p w14:paraId="014B03AA" w14:textId="77777777" w:rsidR="00F60921" w:rsidRDefault="00F60921" w:rsidP="00B930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0850"/>
    <w:multiLevelType w:val="hybridMultilevel"/>
    <w:tmpl w:val="7A66198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12087C48"/>
    <w:multiLevelType w:val="hybridMultilevel"/>
    <w:tmpl w:val="8E60781E"/>
    <w:lvl w:ilvl="0" w:tplc="A88EF95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95E9A"/>
    <w:multiLevelType w:val="hybridMultilevel"/>
    <w:tmpl w:val="02F8361C"/>
    <w:lvl w:ilvl="0" w:tplc="A88EF95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06379"/>
    <w:multiLevelType w:val="hybridMultilevel"/>
    <w:tmpl w:val="E61E8C7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65FC3CA2"/>
    <w:multiLevelType w:val="hybridMultilevel"/>
    <w:tmpl w:val="AA8EB9C2"/>
    <w:lvl w:ilvl="0" w:tplc="A88EF95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0"/>
  </w:num>
  <w:num w:numId="4">
    <w:abstractNumId w:val="3"/>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D98"/>
    <w:rsid w:val="0000514E"/>
    <w:rsid w:val="00046733"/>
    <w:rsid w:val="00077016"/>
    <w:rsid w:val="00084FD1"/>
    <w:rsid w:val="000857F0"/>
    <w:rsid w:val="00091274"/>
    <w:rsid w:val="000A441F"/>
    <w:rsid w:val="000A5167"/>
    <w:rsid w:val="000C5451"/>
    <w:rsid w:val="000D642B"/>
    <w:rsid w:val="00104421"/>
    <w:rsid w:val="00105505"/>
    <w:rsid w:val="00114BA3"/>
    <w:rsid w:val="001261E1"/>
    <w:rsid w:val="001447C7"/>
    <w:rsid w:val="00144844"/>
    <w:rsid w:val="00153E3F"/>
    <w:rsid w:val="00160993"/>
    <w:rsid w:val="001852F1"/>
    <w:rsid w:val="00186BA9"/>
    <w:rsid w:val="001B4D51"/>
    <w:rsid w:val="001B796D"/>
    <w:rsid w:val="001D08D9"/>
    <w:rsid w:val="001D10FC"/>
    <w:rsid w:val="001D53C0"/>
    <w:rsid w:val="001E6E04"/>
    <w:rsid w:val="00227E77"/>
    <w:rsid w:val="002311F4"/>
    <w:rsid w:val="00253F63"/>
    <w:rsid w:val="00254209"/>
    <w:rsid w:val="00265262"/>
    <w:rsid w:val="00273354"/>
    <w:rsid w:val="00275EF6"/>
    <w:rsid w:val="002A6693"/>
    <w:rsid w:val="002B27B3"/>
    <w:rsid w:val="002E696B"/>
    <w:rsid w:val="002F7552"/>
    <w:rsid w:val="00315645"/>
    <w:rsid w:val="00332893"/>
    <w:rsid w:val="00352C86"/>
    <w:rsid w:val="00362F6B"/>
    <w:rsid w:val="00375106"/>
    <w:rsid w:val="003A3275"/>
    <w:rsid w:val="003B2855"/>
    <w:rsid w:val="003B3A94"/>
    <w:rsid w:val="003B63AC"/>
    <w:rsid w:val="003C5DDB"/>
    <w:rsid w:val="004000D2"/>
    <w:rsid w:val="00402629"/>
    <w:rsid w:val="00403D19"/>
    <w:rsid w:val="0041785C"/>
    <w:rsid w:val="004314DD"/>
    <w:rsid w:val="00431B2E"/>
    <w:rsid w:val="00457A6C"/>
    <w:rsid w:val="00472023"/>
    <w:rsid w:val="00477E3E"/>
    <w:rsid w:val="0049269E"/>
    <w:rsid w:val="004954B1"/>
    <w:rsid w:val="004A402A"/>
    <w:rsid w:val="004B7404"/>
    <w:rsid w:val="004E5AC5"/>
    <w:rsid w:val="004F5C76"/>
    <w:rsid w:val="00515757"/>
    <w:rsid w:val="00541CF3"/>
    <w:rsid w:val="005460DF"/>
    <w:rsid w:val="00556953"/>
    <w:rsid w:val="005632B9"/>
    <w:rsid w:val="00563815"/>
    <w:rsid w:val="005A27E7"/>
    <w:rsid w:val="005A2992"/>
    <w:rsid w:val="005B5476"/>
    <w:rsid w:val="005C2B23"/>
    <w:rsid w:val="005C43B8"/>
    <w:rsid w:val="005D06F8"/>
    <w:rsid w:val="005F28DE"/>
    <w:rsid w:val="00603339"/>
    <w:rsid w:val="00622B6B"/>
    <w:rsid w:val="00624030"/>
    <w:rsid w:val="00641175"/>
    <w:rsid w:val="00666C56"/>
    <w:rsid w:val="00686625"/>
    <w:rsid w:val="00691800"/>
    <w:rsid w:val="006A2EFC"/>
    <w:rsid w:val="006A7B5D"/>
    <w:rsid w:val="006A7C62"/>
    <w:rsid w:val="006B0F06"/>
    <w:rsid w:val="006F1D3D"/>
    <w:rsid w:val="006F434E"/>
    <w:rsid w:val="00713278"/>
    <w:rsid w:val="00715898"/>
    <w:rsid w:val="00723810"/>
    <w:rsid w:val="00732D3A"/>
    <w:rsid w:val="00774906"/>
    <w:rsid w:val="0077576C"/>
    <w:rsid w:val="007801A9"/>
    <w:rsid w:val="00781BF8"/>
    <w:rsid w:val="00790E96"/>
    <w:rsid w:val="007A121C"/>
    <w:rsid w:val="007A3D67"/>
    <w:rsid w:val="007B09A3"/>
    <w:rsid w:val="007B0A41"/>
    <w:rsid w:val="007B3155"/>
    <w:rsid w:val="007C55DC"/>
    <w:rsid w:val="007C55E8"/>
    <w:rsid w:val="007D141A"/>
    <w:rsid w:val="007D1C1E"/>
    <w:rsid w:val="007D648E"/>
    <w:rsid w:val="007F7EC1"/>
    <w:rsid w:val="008405E4"/>
    <w:rsid w:val="00882B65"/>
    <w:rsid w:val="00887032"/>
    <w:rsid w:val="008878AB"/>
    <w:rsid w:val="008C0D3E"/>
    <w:rsid w:val="008C470D"/>
    <w:rsid w:val="008E1816"/>
    <w:rsid w:val="008E7682"/>
    <w:rsid w:val="008F4D72"/>
    <w:rsid w:val="00900430"/>
    <w:rsid w:val="00955165"/>
    <w:rsid w:val="009B4B5F"/>
    <w:rsid w:val="009C275E"/>
    <w:rsid w:val="009E738A"/>
    <w:rsid w:val="009E7A75"/>
    <w:rsid w:val="00A0075B"/>
    <w:rsid w:val="00A05E9A"/>
    <w:rsid w:val="00A07563"/>
    <w:rsid w:val="00A1041F"/>
    <w:rsid w:val="00A15DEF"/>
    <w:rsid w:val="00A426F0"/>
    <w:rsid w:val="00A53FB6"/>
    <w:rsid w:val="00A57476"/>
    <w:rsid w:val="00A772A1"/>
    <w:rsid w:val="00A82658"/>
    <w:rsid w:val="00A85008"/>
    <w:rsid w:val="00A902A6"/>
    <w:rsid w:val="00A97366"/>
    <w:rsid w:val="00AA08DF"/>
    <w:rsid w:val="00AA6009"/>
    <w:rsid w:val="00AC1096"/>
    <w:rsid w:val="00AD11BF"/>
    <w:rsid w:val="00AE116C"/>
    <w:rsid w:val="00AF6254"/>
    <w:rsid w:val="00B03217"/>
    <w:rsid w:val="00B2783E"/>
    <w:rsid w:val="00B562FA"/>
    <w:rsid w:val="00B930C3"/>
    <w:rsid w:val="00B96436"/>
    <w:rsid w:val="00BA2FA0"/>
    <w:rsid w:val="00BA4C13"/>
    <w:rsid w:val="00BB4732"/>
    <w:rsid w:val="00BB4D14"/>
    <w:rsid w:val="00BB7AB2"/>
    <w:rsid w:val="00BC46CD"/>
    <w:rsid w:val="00BF76A2"/>
    <w:rsid w:val="00C02CAC"/>
    <w:rsid w:val="00C172FD"/>
    <w:rsid w:val="00C20338"/>
    <w:rsid w:val="00C33595"/>
    <w:rsid w:val="00C41FD4"/>
    <w:rsid w:val="00C43F9C"/>
    <w:rsid w:val="00C519B6"/>
    <w:rsid w:val="00C6006B"/>
    <w:rsid w:val="00C76B2C"/>
    <w:rsid w:val="00C879E3"/>
    <w:rsid w:val="00C9650D"/>
    <w:rsid w:val="00CB0D25"/>
    <w:rsid w:val="00CB67CF"/>
    <w:rsid w:val="00CC0C3F"/>
    <w:rsid w:val="00CD0D98"/>
    <w:rsid w:val="00CD1A0C"/>
    <w:rsid w:val="00CD5891"/>
    <w:rsid w:val="00CD5EC4"/>
    <w:rsid w:val="00CF4998"/>
    <w:rsid w:val="00D061A2"/>
    <w:rsid w:val="00D26140"/>
    <w:rsid w:val="00D30019"/>
    <w:rsid w:val="00D33584"/>
    <w:rsid w:val="00D54C33"/>
    <w:rsid w:val="00D80C16"/>
    <w:rsid w:val="00D823C8"/>
    <w:rsid w:val="00D91250"/>
    <w:rsid w:val="00DA1945"/>
    <w:rsid w:val="00DB507D"/>
    <w:rsid w:val="00DF4CE8"/>
    <w:rsid w:val="00DF6A02"/>
    <w:rsid w:val="00E163D2"/>
    <w:rsid w:val="00E304CE"/>
    <w:rsid w:val="00E75ED5"/>
    <w:rsid w:val="00E769E3"/>
    <w:rsid w:val="00E9606B"/>
    <w:rsid w:val="00EA5621"/>
    <w:rsid w:val="00EB2800"/>
    <w:rsid w:val="00EB66AA"/>
    <w:rsid w:val="00EB7206"/>
    <w:rsid w:val="00EB72CE"/>
    <w:rsid w:val="00EC123D"/>
    <w:rsid w:val="00EC1F6D"/>
    <w:rsid w:val="00EF5508"/>
    <w:rsid w:val="00EF63C8"/>
    <w:rsid w:val="00F02287"/>
    <w:rsid w:val="00F1736E"/>
    <w:rsid w:val="00F3171C"/>
    <w:rsid w:val="00F52031"/>
    <w:rsid w:val="00F60921"/>
    <w:rsid w:val="00F663C2"/>
    <w:rsid w:val="00F75138"/>
    <w:rsid w:val="00F920D2"/>
    <w:rsid w:val="00FD5ADD"/>
    <w:rsid w:val="00FF3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2C2EE"/>
  <w15:chartTrackingRefBased/>
  <w15:docId w15:val="{25719B49-A077-4EC5-AE91-2F26B24CC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16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0D98"/>
    <w:pPr>
      <w:ind w:left="720"/>
      <w:contextualSpacing/>
    </w:pPr>
  </w:style>
  <w:style w:type="paragraph" w:styleId="Header">
    <w:name w:val="header"/>
    <w:basedOn w:val="Normal"/>
    <w:link w:val="HeaderChar"/>
    <w:uiPriority w:val="99"/>
    <w:unhideWhenUsed/>
    <w:rsid w:val="00B930C3"/>
    <w:pPr>
      <w:tabs>
        <w:tab w:val="center" w:pos="4513"/>
        <w:tab w:val="right" w:pos="9026"/>
      </w:tabs>
    </w:pPr>
  </w:style>
  <w:style w:type="character" w:customStyle="1" w:styleId="HeaderChar">
    <w:name w:val="Header Char"/>
    <w:basedOn w:val="DefaultParagraphFont"/>
    <w:link w:val="Header"/>
    <w:uiPriority w:val="99"/>
    <w:rsid w:val="00B930C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930C3"/>
    <w:pPr>
      <w:tabs>
        <w:tab w:val="center" w:pos="4513"/>
        <w:tab w:val="right" w:pos="9026"/>
      </w:tabs>
    </w:pPr>
  </w:style>
  <w:style w:type="character" w:customStyle="1" w:styleId="FooterChar">
    <w:name w:val="Footer Char"/>
    <w:basedOn w:val="DefaultParagraphFont"/>
    <w:link w:val="Footer"/>
    <w:uiPriority w:val="99"/>
    <w:rsid w:val="00B930C3"/>
    <w:rPr>
      <w:rFonts w:ascii="Times New Roman" w:eastAsia="Times New Roman" w:hAnsi="Times New Roman" w:cs="Times New Roman"/>
      <w:sz w:val="20"/>
      <w:szCs w:val="20"/>
      <w:lang w:eastAsia="en-GB"/>
    </w:rPr>
  </w:style>
  <w:style w:type="character" w:customStyle="1" w:styleId="subtitle">
    <w:name w:val="subtitle"/>
    <w:basedOn w:val="DefaultParagraphFont"/>
    <w:rsid w:val="00666C56"/>
  </w:style>
  <w:style w:type="character" w:customStyle="1" w:styleId="colon-for-citation-subtitle">
    <w:name w:val="colon-for-citation-subtitle"/>
    <w:basedOn w:val="DefaultParagraphFont"/>
    <w:rsid w:val="00666C56"/>
  </w:style>
  <w:style w:type="character" w:styleId="Emphasis">
    <w:name w:val="Emphasis"/>
    <w:basedOn w:val="DefaultParagraphFont"/>
    <w:uiPriority w:val="20"/>
    <w:qFormat/>
    <w:rsid w:val="00666C56"/>
    <w:rPr>
      <w:i/>
      <w:iCs/>
    </w:rPr>
  </w:style>
  <w:style w:type="character" w:customStyle="1" w:styleId="artauthors">
    <w:name w:val="art_authors"/>
    <w:basedOn w:val="DefaultParagraphFont"/>
    <w:rsid w:val="006F1D3D"/>
  </w:style>
  <w:style w:type="character" w:customStyle="1" w:styleId="arttitle">
    <w:name w:val="art_title"/>
    <w:basedOn w:val="DefaultParagraphFont"/>
    <w:rsid w:val="006F1D3D"/>
  </w:style>
  <w:style w:type="character" w:styleId="Hyperlink">
    <w:name w:val="Hyperlink"/>
    <w:basedOn w:val="DefaultParagraphFont"/>
    <w:uiPriority w:val="99"/>
    <w:unhideWhenUsed/>
    <w:rsid w:val="006F1D3D"/>
    <w:rPr>
      <w:color w:val="0000FF"/>
      <w:u w:val="single"/>
    </w:rPr>
  </w:style>
  <w:style w:type="character" w:customStyle="1" w:styleId="artsubtitle">
    <w:name w:val="art_subtitle"/>
    <w:basedOn w:val="DefaultParagraphFont"/>
    <w:rsid w:val="006F1D3D"/>
  </w:style>
  <w:style w:type="character" w:customStyle="1" w:styleId="journalname">
    <w:name w:val="journalname"/>
    <w:basedOn w:val="DefaultParagraphFont"/>
    <w:rsid w:val="006F1D3D"/>
  </w:style>
  <w:style w:type="character" w:customStyle="1" w:styleId="year">
    <w:name w:val="year"/>
    <w:basedOn w:val="DefaultParagraphFont"/>
    <w:rsid w:val="006F1D3D"/>
  </w:style>
  <w:style w:type="character" w:customStyle="1" w:styleId="volume">
    <w:name w:val="volume"/>
    <w:basedOn w:val="DefaultParagraphFont"/>
    <w:rsid w:val="006F1D3D"/>
  </w:style>
  <w:style w:type="character" w:customStyle="1" w:styleId="page">
    <w:name w:val="page"/>
    <w:basedOn w:val="DefaultParagraphFont"/>
    <w:rsid w:val="006F1D3D"/>
  </w:style>
  <w:style w:type="character" w:styleId="FollowedHyperlink">
    <w:name w:val="FollowedHyperlink"/>
    <w:basedOn w:val="DefaultParagraphFont"/>
    <w:uiPriority w:val="99"/>
    <w:semiHidden/>
    <w:unhideWhenUsed/>
    <w:rsid w:val="006F1D3D"/>
    <w:rPr>
      <w:color w:val="954F72" w:themeColor="followedHyperlink"/>
      <w:u w:val="single"/>
    </w:rPr>
  </w:style>
  <w:style w:type="character" w:styleId="UnresolvedMention">
    <w:name w:val="Unresolved Mention"/>
    <w:basedOn w:val="DefaultParagraphFont"/>
    <w:uiPriority w:val="99"/>
    <w:semiHidden/>
    <w:unhideWhenUsed/>
    <w:rsid w:val="001B796D"/>
    <w:rPr>
      <w:color w:val="605E5C"/>
      <w:shd w:val="clear" w:color="auto" w:fill="E1DFDD"/>
    </w:rPr>
  </w:style>
  <w:style w:type="character" w:customStyle="1" w:styleId="authors">
    <w:name w:val="authors"/>
    <w:basedOn w:val="DefaultParagraphFont"/>
    <w:rsid w:val="00AD11BF"/>
  </w:style>
  <w:style w:type="character" w:customStyle="1" w:styleId="date">
    <w:name w:val="date"/>
    <w:basedOn w:val="DefaultParagraphFont"/>
    <w:rsid w:val="00AD11BF"/>
  </w:style>
  <w:style w:type="character" w:customStyle="1" w:styleId="serialtitle">
    <w:name w:val="serial_title"/>
    <w:basedOn w:val="DefaultParagraphFont"/>
    <w:rsid w:val="00AD11BF"/>
  </w:style>
  <w:style w:type="character" w:customStyle="1" w:styleId="volumeissue">
    <w:name w:val="volume_issue"/>
    <w:basedOn w:val="DefaultParagraphFont"/>
    <w:rsid w:val="00AD11BF"/>
  </w:style>
  <w:style w:type="character" w:customStyle="1" w:styleId="pagerange">
    <w:name w:val="page_range"/>
    <w:basedOn w:val="DefaultParagraphFont"/>
    <w:rsid w:val="00AD1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45160">
      <w:bodyDiv w:val="1"/>
      <w:marLeft w:val="0"/>
      <w:marRight w:val="0"/>
      <w:marTop w:val="0"/>
      <w:marBottom w:val="0"/>
      <w:divBdr>
        <w:top w:val="none" w:sz="0" w:space="0" w:color="auto"/>
        <w:left w:val="none" w:sz="0" w:space="0" w:color="auto"/>
        <w:bottom w:val="none" w:sz="0" w:space="0" w:color="auto"/>
        <w:right w:val="none" w:sz="0" w:space="0" w:color="auto"/>
      </w:divBdr>
    </w:div>
    <w:div w:id="186481549">
      <w:bodyDiv w:val="1"/>
      <w:marLeft w:val="0"/>
      <w:marRight w:val="0"/>
      <w:marTop w:val="0"/>
      <w:marBottom w:val="0"/>
      <w:divBdr>
        <w:top w:val="none" w:sz="0" w:space="0" w:color="auto"/>
        <w:left w:val="none" w:sz="0" w:space="0" w:color="auto"/>
        <w:bottom w:val="none" w:sz="0" w:space="0" w:color="auto"/>
        <w:right w:val="none" w:sz="0" w:space="0" w:color="auto"/>
      </w:divBdr>
    </w:div>
    <w:div w:id="199363747">
      <w:bodyDiv w:val="1"/>
      <w:marLeft w:val="0"/>
      <w:marRight w:val="0"/>
      <w:marTop w:val="0"/>
      <w:marBottom w:val="0"/>
      <w:divBdr>
        <w:top w:val="none" w:sz="0" w:space="0" w:color="auto"/>
        <w:left w:val="none" w:sz="0" w:space="0" w:color="auto"/>
        <w:bottom w:val="none" w:sz="0" w:space="0" w:color="auto"/>
        <w:right w:val="none" w:sz="0" w:space="0" w:color="auto"/>
      </w:divBdr>
    </w:div>
    <w:div w:id="219484596">
      <w:bodyDiv w:val="1"/>
      <w:marLeft w:val="0"/>
      <w:marRight w:val="0"/>
      <w:marTop w:val="0"/>
      <w:marBottom w:val="0"/>
      <w:divBdr>
        <w:top w:val="none" w:sz="0" w:space="0" w:color="auto"/>
        <w:left w:val="none" w:sz="0" w:space="0" w:color="auto"/>
        <w:bottom w:val="none" w:sz="0" w:space="0" w:color="auto"/>
        <w:right w:val="none" w:sz="0" w:space="0" w:color="auto"/>
      </w:divBdr>
    </w:div>
    <w:div w:id="403261843">
      <w:bodyDiv w:val="1"/>
      <w:marLeft w:val="0"/>
      <w:marRight w:val="0"/>
      <w:marTop w:val="0"/>
      <w:marBottom w:val="0"/>
      <w:divBdr>
        <w:top w:val="none" w:sz="0" w:space="0" w:color="auto"/>
        <w:left w:val="none" w:sz="0" w:space="0" w:color="auto"/>
        <w:bottom w:val="none" w:sz="0" w:space="0" w:color="auto"/>
        <w:right w:val="none" w:sz="0" w:space="0" w:color="auto"/>
      </w:divBdr>
    </w:div>
    <w:div w:id="413474362">
      <w:bodyDiv w:val="1"/>
      <w:marLeft w:val="0"/>
      <w:marRight w:val="0"/>
      <w:marTop w:val="0"/>
      <w:marBottom w:val="0"/>
      <w:divBdr>
        <w:top w:val="none" w:sz="0" w:space="0" w:color="auto"/>
        <w:left w:val="none" w:sz="0" w:space="0" w:color="auto"/>
        <w:bottom w:val="none" w:sz="0" w:space="0" w:color="auto"/>
        <w:right w:val="none" w:sz="0" w:space="0" w:color="auto"/>
      </w:divBdr>
    </w:div>
    <w:div w:id="414981230">
      <w:bodyDiv w:val="1"/>
      <w:marLeft w:val="0"/>
      <w:marRight w:val="0"/>
      <w:marTop w:val="0"/>
      <w:marBottom w:val="0"/>
      <w:divBdr>
        <w:top w:val="none" w:sz="0" w:space="0" w:color="auto"/>
        <w:left w:val="none" w:sz="0" w:space="0" w:color="auto"/>
        <w:bottom w:val="none" w:sz="0" w:space="0" w:color="auto"/>
        <w:right w:val="none" w:sz="0" w:space="0" w:color="auto"/>
      </w:divBdr>
    </w:div>
    <w:div w:id="433794601">
      <w:bodyDiv w:val="1"/>
      <w:marLeft w:val="0"/>
      <w:marRight w:val="0"/>
      <w:marTop w:val="0"/>
      <w:marBottom w:val="0"/>
      <w:divBdr>
        <w:top w:val="none" w:sz="0" w:space="0" w:color="auto"/>
        <w:left w:val="none" w:sz="0" w:space="0" w:color="auto"/>
        <w:bottom w:val="none" w:sz="0" w:space="0" w:color="auto"/>
        <w:right w:val="none" w:sz="0" w:space="0" w:color="auto"/>
      </w:divBdr>
    </w:div>
    <w:div w:id="450831578">
      <w:bodyDiv w:val="1"/>
      <w:marLeft w:val="0"/>
      <w:marRight w:val="0"/>
      <w:marTop w:val="0"/>
      <w:marBottom w:val="0"/>
      <w:divBdr>
        <w:top w:val="none" w:sz="0" w:space="0" w:color="auto"/>
        <w:left w:val="none" w:sz="0" w:space="0" w:color="auto"/>
        <w:bottom w:val="none" w:sz="0" w:space="0" w:color="auto"/>
        <w:right w:val="none" w:sz="0" w:space="0" w:color="auto"/>
      </w:divBdr>
    </w:div>
    <w:div w:id="495611690">
      <w:bodyDiv w:val="1"/>
      <w:marLeft w:val="0"/>
      <w:marRight w:val="0"/>
      <w:marTop w:val="0"/>
      <w:marBottom w:val="0"/>
      <w:divBdr>
        <w:top w:val="none" w:sz="0" w:space="0" w:color="auto"/>
        <w:left w:val="none" w:sz="0" w:space="0" w:color="auto"/>
        <w:bottom w:val="none" w:sz="0" w:space="0" w:color="auto"/>
        <w:right w:val="none" w:sz="0" w:space="0" w:color="auto"/>
      </w:divBdr>
    </w:div>
    <w:div w:id="512912742">
      <w:bodyDiv w:val="1"/>
      <w:marLeft w:val="0"/>
      <w:marRight w:val="0"/>
      <w:marTop w:val="0"/>
      <w:marBottom w:val="0"/>
      <w:divBdr>
        <w:top w:val="none" w:sz="0" w:space="0" w:color="auto"/>
        <w:left w:val="none" w:sz="0" w:space="0" w:color="auto"/>
        <w:bottom w:val="none" w:sz="0" w:space="0" w:color="auto"/>
        <w:right w:val="none" w:sz="0" w:space="0" w:color="auto"/>
      </w:divBdr>
    </w:div>
    <w:div w:id="571814580">
      <w:bodyDiv w:val="1"/>
      <w:marLeft w:val="0"/>
      <w:marRight w:val="0"/>
      <w:marTop w:val="0"/>
      <w:marBottom w:val="0"/>
      <w:divBdr>
        <w:top w:val="none" w:sz="0" w:space="0" w:color="auto"/>
        <w:left w:val="none" w:sz="0" w:space="0" w:color="auto"/>
        <w:bottom w:val="none" w:sz="0" w:space="0" w:color="auto"/>
        <w:right w:val="none" w:sz="0" w:space="0" w:color="auto"/>
      </w:divBdr>
    </w:div>
    <w:div w:id="628124456">
      <w:bodyDiv w:val="1"/>
      <w:marLeft w:val="0"/>
      <w:marRight w:val="0"/>
      <w:marTop w:val="0"/>
      <w:marBottom w:val="0"/>
      <w:divBdr>
        <w:top w:val="none" w:sz="0" w:space="0" w:color="auto"/>
        <w:left w:val="none" w:sz="0" w:space="0" w:color="auto"/>
        <w:bottom w:val="none" w:sz="0" w:space="0" w:color="auto"/>
        <w:right w:val="none" w:sz="0" w:space="0" w:color="auto"/>
      </w:divBdr>
    </w:div>
    <w:div w:id="662466677">
      <w:bodyDiv w:val="1"/>
      <w:marLeft w:val="0"/>
      <w:marRight w:val="0"/>
      <w:marTop w:val="0"/>
      <w:marBottom w:val="0"/>
      <w:divBdr>
        <w:top w:val="none" w:sz="0" w:space="0" w:color="auto"/>
        <w:left w:val="none" w:sz="0" w:space="0" w:color="auto"/>
        <w:bottom w:val="none" w:sz="0" w:space="0" w:color="auto"/>
        <w:right w:val="none" w:sz="0" w:space="0" w:color="auto"/>
      </w:divBdr>
    </w:div>
    <w:div w:id="717897433">
      <w:bodyDiv w:val="1"/>
      <w:marLeft w:val="0"/>
      <w:marRight w:val="0"/>
      <w:marTop w:val="0"/>
      <w:marBottom w:val="0"/>
      <w:divBdr>
        <w:top w:val="none" w:sz="0" w:space="0" w:color="auto"/>
        <w:left w:val="none" w:sz="0" w:space="0" w:color="auto"/>
        <w:bottom w:val="none" w:sz="0" w:space="0" w:color="auto"/>
        <w:right w:val="none" w:sz="0" w:space="0" w:color="auto"/>
      </w:divBdr>
    </w:div>
    <w:div w:id="718673437">
      <w:bodyDiv w:val="1"/>
      <w:marLeft w:val="0"/>
      <w:marRight w:val="0"/>
      <w:marTop w:val="0"/>
      <w:marBottom w:val="0"/>
      <w:divBdr>
        <w:top w:val="none" w:sz="0" w:space="0" w:color="auto"/>
        <w:left w:val="none" w:sz="0" w:space="0" w:color="auto"/>
        <w:bottom w:val="none" w:sz="0" w:space="0" w:color="auto"/>
        <w:right w:val="none" w:sz="0" w:space="0" w:color="auto"/>
      </w:divBdr>
    </w:div>
    <w:div w:id="724258689">
      <w:bodyDiv w:val="1"/>
      <w:marLeft w:val="0"/>
      <w:marRight w:val="0"/>
      <w:marTop w:val="0"/>
      <w:marBottom w:val="0"/>
      <w:divBdr>
        <w:top w:val="none" w:sz="0" w:space="0" w:color="auto"/>
        <w:left w:val="none" w:sz="0" w:space="0" w:color="auto"/>
        <w:bottom w:val="none" w:sz="0" w:space="0" w:color="auto"/>
        <w:right w:val="none" w:sz="0" w:space="0" w:color="auto"/>
      </w:divBdr>
    </w:div>
    <w:div w:id="738209559">
      <w:bodyDiv w:val="1"/>
      <w:marLeft w:val="0"/>
      <w:marRight w:val="0"/>
      <w:marTop w:val="0"/>
      <w:marBottom w:val="0"/>
      <w:divBdr>
        <w:top w:val="none" w:sz="0" w:space="0" w:color="auto"/>
        <w:left w:val="none" w:sz="0" w:space="0" w:color="auto"/>
        <w:bottom w:val="none" w:sz="0" w:space="0" w:color="auto"/>
        <w:right w:val="none" w:sz="0" w:space="0" w:color="auto"/>
      </w:divBdr>
    </w:div>
    <w:div w:id="782457537">
      <w:bodyDiv w:val="1"/>
      <w:marLeft w:val="0"/>
      <w:marRight w:val="0"/>
      <w:marTop w:val="0"/>
      <w:marBottom w:val="0"/>
      <w:divBdr>
        <w:top w:val="none" w:sz="0" w:space="0" w:color="auto"/>
        <w:left w:val="none" w:sz="0" w:space="0" w:color="auto"/>
        <w:bottom w:val="none" w:sz="0" w:space="0" w:color="auto"/>
        <w:right w:val="none" w:sz="0" w:space="0" w:color="auto"/>
      </w:divBdr>
    </w:div>
    <w:div w:id="820662092">
      <w:bodyDiv w:val="1"/>
      <w:marLeft w:val="0"/>
      <w:marRight w:val="0"/>
      <w:marTop w:val="0"/>
      <w:marBottom w:val="0"/>
      <w:divBdr>
        <w:top w:val="none" w:sz="0" w:space="0" w:color="auto"/>
        <w:left w:val="none" w:sz="0" w:space="0" w:color="auto"/>
        <w:bottom w:val="none" w:sz="0" w:space="0" w:color="auto"/>
        <w:right w:val="none" w:sz="0" w:space="0" w:color="auto"/>
      </w:divBdr>
    </w:div>
    <w:div w:id="846364217">
      <w:bodyDiv w:val="1"/>
      <w:marLeft w:val="0"/>
      <w:marRight w:val="0"/>
      <w:marTop w:val="0"/>
      <w:marBottom w:val="0"/>
      <w:divBdr>
        <w:top w:val="none" w:sz="0" w:space="0" w:color="auto"/>
        <w:left w:val="none" w:sz="0" w:space="0" w:color="auto"/>
        <w:bottom w:val="none" w:sz="0" w:space="0" w:color="auto"/>
        <w:right w:val="none" w:sz="0" w:space="0" w:color="auto"/>
      </w:divBdr>
    </w:div>
    <w:div w:id="848181695">
      <w:bodyDiv w:val="1"/>
      <w:marLeft w:val="0"/>
      <w:marRight w:val="0"/>
      <w:marTop w:val="0"/>
      <w:marBottom w:val="0"/>
      <w:divBdr>
        <w:top w:val="none" w:sz="0" w:space="0" w:color="auto"/>
        <w:left w:val="none" w:sz="0" w:space="0" w:color="auto"/>
        <w:bottom w:val="none" w:sz="0" w:space="0" w:color="auto"/>
        <w:right w:val="none" w:sz="0" w:space="0" w:color="auto"/>
      </w:divBdr>
    </w:div>
    <w:div w:id="868833261">
      <w:bodyDiv w:val="1"/>
      <w:marLeft w:val="0"/>
      <w:marRight w:val="0"/>
      <w:marTop w:val="0"/>
      <w:marBottom w:val="0"/>
      <w:divBdr>
        <w:top w:val="none" w:sz="0" w:space="0" w:color="auto"/>
        <w:left w:val="none" w:sz="0" w:space="0" w:color="auto"/>
        <w:bottom w:val="none" w:sz="0" w:space="0" w:color="auto"/>
        <w:right w:val="none" w:sz="0" w:space="0" w:color="auto"/>
      </w:divBdr>
    </w:div>
    <w:div w:id="937716954">
      <w:bodyDiv w:val="1"/>
      <w:marLeft w:val="0"/>
      <w:marRight w:val="0"/>
      <w:marTop w:val="0"/>
      <w:marBottom w:val="0"/>
      <w:divBdr>
        <w:top w:val="none" w:sz="0" w:space="0" w:color="auto"/>
        <w:left w:val="none" w:sz="0" w:space="0" w:color="auto"/>
        <w:bottom w:val="none" w:sz="0" w:space="0" w:color="auto"/>
        <w:right w:val="none" w:sz="0" w:space="0" w:color="auto"/>
      </w:divBdr>
    </w:div>
    <w:div w:id="957302331">
      <w:bodyDiv w:val="1"/>
      <w:marLeft w:val="0"/>
      <w:marRight w:val="0"/>
      <w:marTop w:val="0"/>
      <w:marBottom w:val="0"/>
      <w:divBdr>
        <w:top w:val="none" w:sz="0" w:space="0" w:color="auto"/>
        <w:left w:val="none" w:sz="0" w:space="0" w:color="auto"/>
        <w:bottom w:val="none" w:sz="0" w:space="0" w:color="auto"/>
        <w:right w:val="none" w:sz="0" w:space="0" w:color="auto"/>
      </w:divBdr>
    </w:div>
    <w:div w:id="964238444">
      <w:bodyDiv w:val="1"/>
      <w:marLeft w:val="0"/>
      <w:marRight w:val="0"/>
      <w:marTop w:val="0"/>
      <w:marBottom w:val="0"/>
      <w:divBdr>
        <w:top w:val="none" w:sz="0" w:space="0" w:color="auto"/>
        <w:left w:val="none" w:sz="0" w:space="0" w:color="auto"/>
        <w:bottom w:val="none" w:sz="0" w:space="0" w:color="auto"/>
        <w:right w:val="none" w:sz="0" w:space="0" w:color="auto"/>
      </w:divBdr>
    </w:div>
    <w:div w:id="981227014">
      <w:bodyDiv w:val="1"/>
      <w:marLeft w:val="0"/>
      <w:marRight w:val="0"/>
      <w:marTop w:val="0"/>
      <w:marBottom w:val="0"/>
      <w:divBdr>
        <w:top w:val="none" w:sz="0" w:space="0" w:color="auto"/>
        <w:left w:val="none" w:sz="0" w:space="0" w:color="auto"/>
        <w:bottom w:val="none" w:sz="0" w:space="0" w:color="auto"/>
        <w:right w:val="none" w:sz="0" w:space="0" w:color="auto"/>
      </w:divBdr>
    </w:div>
    <w:div w:id="1018199477">
      <w:bodyDiv w:val="1"/>
      <w:marLeft w:val="0"/>
      <w:marRight w:val="0"/>
      <w:marTop w:val="0"/>
      <w:marBottom w:val="0"/>
      <w:divBdr>
        <w:top w:val="none" w:sz="0" w:space="0" w:color="auto"/>
        <w:left w:val="none" w:sz="0" w:space="0" w:color="auto"/>
        <w:bottom w:val="none" w:sz="0" w:space="0" w:color="auto"/>
        <w:right w:val="none" w:sz="0" w:space="0" w:color="auto"/>
      </w:divBdr>
    </w:div>
    <w:div w:id="1064647834">
      <w:bodyDiv w:val="1"/>
      <w:marLeft w:val="0"/>
      <w:marRight w:val="0"/>
      <w:marTop w:val="0"/>
      <w:marBottom w:val="0"/>
      <w:divBdr>
        <w:top w:val="none" w:sz="0" w:space="0" w:color="auto"/>
        <w:left w:val="none" w:sz="0" w:space="0" w:color="auto"/>
        <w:bottom w:val="none" w:sz="0" w:space="0" w:color="auto"/>
        <w:right w:val="none" w:sz="0" w:space="0" w:color="auto"/>
      </w:divBdr>
    </w:div>
    <w:div w:id="1072849701">
      <w:bodyDiv w:val="1"/>
      <w:marLeft w:val="0"/>
      <w:marRight w:val="0"/>
      <w:marTop w:val="0"/>
      <w:marBottom w:val="0"/>
      <w:divBdr>
        <w:top w:val="none" w:sz="0" w:space="0" w:color="auto"/>
        <w:left w:val="none" w:sz="0" w:space="0" w:color="auto"/>
        <w:bottom w:val="none" w:sz="0" w:space="0" w:color="auto"/>
        <w:right w:val="none" w:sz="0" w:space="0" w:color="auto"/>
      </w:divBdr>
    </w:div>
    <w:div w:id="1105660272">
      <w:bodyDiv w:val="1"/>
      <w:marLeft w:val="0"/>
      <w:marRight w:val="0"/>
      <w:marTop w:val="0"/>
      <w:marBottom w:val="0"/>
      <w:divBdr>
        <w:top w:val="none" w:sz="0" w:space="0" w:color="auto"/>
        <w:left w:val="none" w:sz="0" w:space="0" w:color="auto"/>
        <w:bottom w:val="none" w:sz="0" w:space="0" w:color="auto"/>
        <w:right w:val="none" w:sz="0" w:space="0" w:color="auto"/>
      </w:divBdr>
    </w:div>
    <w:div w:id="1128351472">
      <w:bodyDiv w:val="1"/>
      <w:marLeft w:val="0"/>
      <w:marRight w:val="0"/>
      <w:marTop w:val="0"/>
      <w:marBottom w:val="0"/>
      <w:divBdr>
        <w:top w:val="none" w:sz="0" w:space="0" w:color="auto"/>
        <w:left w:val="none" w:sz="0" w:space="0" w:color="auto"/>
        <w:bottom w:val="none" w:sz="0" w:space="0" w:color="auto"/>
        <w:right w:val="none" w:sz="0" w:space="0" w:color="auto"/>
      </w:divBdr>
    </w:div>
    <w:div w:id="1133450400">
      <w:bodyDiv w:val="1"/>
      <w:marLeft w:val="0"/>
      <w:marRight w:val="0"/>
      <w:marTop w:val="0"/>
      <w:marBottom w:val="0"/>
      <w:divBdr>
        <w:top w:val="none" w:sz="0" w:space="0" w:color="auto"/>
        <w:left w:val="none" w:sz="0" w:space="0" w:color="auto"/>
        <w:bottom w:val="none" w:sz="0" w:space="0" w:color="auto"/>
        <w:right w:val="none" w:sz="0" w:space="0" w:color="auto"/>
      </w:divBdr>
    </w:div>
    <w:div w:id="1143352276">
      <w:bodyDiv w:val="1"/>
      <w:marLeft w:val="0"/>
      <w:marRight w:val="0"/>
      <w:marTop w:val="0"/>
      <w:marBottom w:val="0"/>
      <w:divBdr>
        <w:top w:val="none" w:sz="0" w:space="0" w:color="auto"/>
        <w:left w:val="none" w:sz="0" w:space="0" w:color="auto"/>
        <w:bottom w:val="none" w:sz="0" w:space="0" w:color="auto"/>
        <w:right w:val="none" w:sz="0" w:space="0" w:color="auto"/>
      </w:divBdr>
    </w:div>
    <w:div w:id="1206066545">
      <w:bodyDiv w:val="1"/>
      <w:marLeft w:val="0"/>
      <w:marRight w:val="0"/>
      <w:marTop w:val="0"/>
      <w:marBottom w:val="0"/>
      <w:divBdr>
        <w:top w:val="none" w:sz="0" w:space="0" w:color="auto"/>
        <w:left w:val="none" w:sz="0" w:space="0" w:color="auto"/>
        <w:bottom w:val="none" w:sz="0" w:space="0" w:color="auto"/>
        <w:right w:val="none" w:sz="0" w:space="0" w:color="auto"/>
      </w:divBdr>
    </w:div>
    <w:div w:id="1218904805">
      <w:bodyDiv w:val="1"/>
      <w:marLeft w:val="0"/>
      <w:marRight w:val="0"/>
      <w:marTop w:val="0"/>
      <w:marBottom w:val="0"/>
      <w:divBdr>
        <w:top w:val="none" w:sz="0" w:space="0" w:color="auto"/>
        <w:left w:val="none" w:sz="0" w:space="0" w:color="auto"/>
        <w:bottom w:val="none" w:sz="0" w:space="0" w:color="auto"/>
        <w:right w:val="none" w:sz="0" w:space="0" w:color="auto"/>
      </w:divBdr>
    </w:div>
    <w:div w:id="1282496792">
      <w:bodyDiv w:val="1"/>
      <w:marLeft w:val="0"/>
      <w:marRight w:val="0"/>
      <w:marTop w:val="0"/>
      <w:marBottom w:val="0"/>
      <w:divBdr>
        <w:top w:val="none" w:sz="0" w:space="0" w:color="auto"/>
        <w:left w:val="none" w:sz="0" w:space="0" w:color="auto"/>
        <w:bottom w:val="none" w:sz="0" w:space="0" w:color="auto"/>
        <w:right w:val="none" w:sz="0" w:space="0" w:color="auto"/>
      </w:divBdr>
    </w:div>
    <w:div w:id="1285962621">
      <w:bodyDiv w:val="1"/>
      <w:marLeft w:val="0"/>
      <w:marRight w:val="0"/>
      <w:marTop w:val="0"/>
      <w:marBottom w:val="0"/>
      <w:divBdr>
        <w:top w:val="none" w:sz="0" w:space="0" w:color="auto"/>
        <w:left w:val="none" w:sz="0" w:space="0" w:color="auto"/>
        <w:bottom w:val="none" w:sz="0" w:space="0" w:color="auto"/>
        <w:right w:val="none" w:sz="0" w:space="0" w:color="auto"/>
      </w:divBdr>
    </w:div>
    <w:div w:id="1361592998">
      <w:bodyDiv w:val="1"/>
      <w:marLeft w:val="0"/>
      <w:marRight w:val="0"/>
      <w:marTop w:val="0"/>
      <w:marBottom w:val="0"/>
      <w:divBdr>
        <w:top w:val="none" w:sz="0" w:space="0" w:color="auto"/>
        <w:left w:val="none" w:sz="0" w:space="0" w:color="auto"/>
        <w:bottom w:val="none" w:sz="0" w:space="0" w:color="auto"/>
        <w:right w:val="none" w:sz="0" w:space="0" w:color="auto"/>
      </w:divBdr>
    </w:div>
    <w:div w:id="1395394079">
      <w:bodyDiv w:val="1"/>
      <w:marLeft w:val="0"/>
      <w:marRight w:val="0"/>
      <w:marTop w:val="0"/>
      <w:marBottom w:val="0"/>
      <w:divBdr>
        <w:top w:val="none" w:sz="0" w:space="0" w:color="auto"/>
        <w:left w:val="none" w:sz="0" w:space="0" w:color="auto"/>
        <w:bottom w:val="none" w:sz="0" w:space="0" w:color="auto"/>
        <w:right w:val="none" w:sz="0" w:space="0" w:color="auto"/>
      </w:divBdr>
    </w:div>
    <w:div w:id="1421561208">
      <w:bodyDiv w:val="1"/>
      <w:marLeft w:val="0"/>
      <w:marRight w:val="0"/>
      <w:marTop w:val="0"/>
      <w:marBottom w:val="0"/>
      <w:divBdr>
        <w:top w:val="none" w:sz="0" w:space="0" w:color="auto"/>
        <w:left w:val="none" w:sz="0" w:space="0" w:color="auto"/>
        <w:bottom w:val="none" w:sz="0" w:space="0" w:color="auto"/>
        <w:right w:val="none" w:sz="0" w:space="0" w:color="auto"/>
      </w:divBdr>
    </w:div>
    <w:div w:id="1470125367">
      <w:bodyDiv w:val="1"/>
      <w:marLeft w:val="0"/>
      <w:marRight w:val="0"/>
      <w:marTop w:val="0"/>
      <w:marBottom w:val="0"/>
      <w:divBdr>
        <w:top w:val="none" w:sz="0" w:space="0" w:color="auto"/>
        <w:left w:val="none" w:sz="0" w:space="0" w:color="auto"/>
        <w:bottom w:val="none" w:sz="0" w:space="0" w:color="auto"/>
        <w:right w:val="none" w:sz="0" w:space="0" w:color="auto"/>
      </w:divBdr>
    </w:div>
    <w:div w:id="1488207606">
      <w:bodyDiv w:val="1"/>
      <w:marLeft w:val="0"/>
      <w:marRight w:val="0"/>
      <w:marTop w:val="0"/>
      <w:marBottom w:val="0"/>
      <w:divBdr>
        <w:top w:val="none" w:sz="0" w:space="0" w:color="auto"/>
        <w:left w:val="none" w:sz="0" w:space="0" w:color="auto"/>
        <w:bottom w:val="none" w:sz="0" w:space="0" w:color="auto"/>
        <w:right w:val="none" w:sz="0" w:space="0" w:color="auto"/>
      </w:divBdr>
    </w:div>
    <w:div w:id="1496414985">
      <w:bodyDiv w:val="1"/>
      <w:marLeft w:val="0"/>
      <w:marRight w:val="0"/>
      <w:marTop w:val="0"/>
      <w:marBottom w:val="0"/>
      <w:divBdr>
        <w:top w:val="none" w:sz="0" w:space="0" w:color="auto"/>
        <w:left w:val="none" w:sz="0" w:space="0" w:color="auto"/>
        <w:bottom w:val="none" w:sz="0" w:space="0" w:color="auto"/>
        <w:right w:val="none" w:sz="0" w:space="0" w:color="auto"/>
      </w:divBdr>
    </w:div>
    <w:div w:id="1499616061">
      <w:bodyDiv w:val="1"/>
      <w:marLeft w:val="0"/>
      <w:marRight w:val="0"/>
      <w:marTop w:val="0"/>
      <w:marBottom w:val="0"/>
      <w:divBdr>
        <w:top w:val="none" w:sz="0" w:space="0" w:color="auto"/>
        <w:left w:val="none" w:sz="0" w:space="0" w:color="auto"/>
        <w:bottom w:val="none" w:sz="0" w:space="0" w:color="auto"/>
        <w:right w:val="none" w:sz="0" w:space="0" w:color="auto"/>
      </w:divBdr>
    </w:div>
    <w:div w:id="1552304275">
      <w:bodyDiv w:val="1"/>
      <w:marLeft w:val="0"/>
      <w:marRight w:val="0"/>
      <w:marTop w:val="0"/>
      <w:marBottom w:val="0"/>
      <w:divBdr>
        <w:top w:val="none" w:sz="0" w:space="0" w:color="auto"/>
        <w:left w:val="none" w:sz="0" w:space="0" w:color="auto"/>
        <w:bottom w:val="none" w:sz="0" w:space="0" w:color="auto"/>
        <w:right w:val="none" w:sz="0" w:space="0" w:color="auto"/>
      </w:divBdr>
    </w:div>
    <w:div w:id="1559436044">
      <w:bodyDiv w:val="1"/>
      <w:marLeft w:val="0"/>
      <w:marRight w:val="0"/>
      <w:marTop w:val="0"/>
      <w:marBottom w:val="0"/>
      <w:divBdr>
        <w:top w:val="none" w:sz="0" w:space="0" w:color="auto"/>
        <w:left w:val="none" w:sz="0" w:space="0" w:color="auto"/>
        <w:bottom w:val="none" w:sz="0" w:space="0" w:color="auto"/>
        <w:right w:val="none" w:sz="0" w:space="0" w:color="auto"/>
      </w:divBdr>
    </w:div>
    <w:div w:id="1601713876">
      <w:bodyDiv w:val="1"/>
      <w:marLeft w:val="0"/>
      <w:marRight w:val="0"/>
      <w:marTop w:val="0"/>
      <w:marBottom w:val="0"/>
      <w:divBdr>
        <w:top w:val="none" w:sz="0" w:space="0" w:color="auto"/>
        <w:left w:val="none" w:sz="0" w:space="0" w:color="auto"/>
        <w:bottom w:val="none" w:sz="0" w:space="0" w:color="auto"/>
        <w:right w:val="none" w:sz="0" w:space="0" w:color="auto"/>
      </w:divBdr>
    </w:div>
    <w:div w:id="1647054588">
      <w:bodyDiv w:val="1"/>
      <w:marLeft w:val="0"/>
      <w:marRight w:val="0"/>
      <w:marTop w:val="0"/>
      <w:marBottom w:val="0"/>
      <w:divBdr>
        <w:top w:val="none" w:sz="0" w:space="0" w:color="auto"/>
        <w:left w:val="none" w:sz="0" w:space="0" w:color="auto"/>
        <w:bottom w:val="none" w:sz="0" w:space="0" w:color="auto"/>
        <w:right w:val="none" w:sz="0" w:space="0" w:color="auto"/>
      </w:divBdr>
    </w:div>
    <w:div w:id="1677726466">
      <w:bodyDiv w:val="1"/>
      <w:marLeft w:val="0"/>
      <w:marRight w:val="0"/>
      <w:marTop w:val="0"/>
      <w:marBottom w:val="0"/>
      <w:divBdr>
        <w:top w:val="none" w:sz="0" w:space="0" w:color="auto"/>
        <w:left w:val="none" w:sz="0" w:space="0" w:color="auto"/>
        <w:bottom w:val="none" w:sz="0" w:space="0" w:color="auto"/>
        <w:right w:val="none" w:sz="0" w:space="0" w:color="auto"/>
      </w:divBdr>
    </w:div>
    <w:div w:id="1800148972">
      <w:bodyDiv w:val="1"/>
      <w:marLeft w:val="0"/>
      <w:marRight w:val="0"/>
      <w:marTop w:val="0"/>
      <w:marBottom w:val="0"/>
      <w:divBdr>
        <w:top w:val="none" w:sz="0" w:space="0" w:color="auto"/>
        <w:left w:val="none" w:sz="0" w:space="0" w:color="auto"/>
        <w:bottom w:val="none" w:sz="0" w:space="0" w:color="auto"/>
        <w:right w:val="none" w:sz="0" w:space="0" w:color="auto"/>
      </w:divBdr>
    </w:div>
    <w:div w:id="2002616209">
      <w:bodyDiv w:val="1"/>
      <w:marLeft w:val="0"/>
      <w:marRight w:val="0"/>
      <w:marTop w:val="0"/>
      <w:marBottom w:val="0"/>
      <w:divBdr>
        <w:top w:val="none" w:sz="0" w:space="0" w:color="auto"/>
        <w:left w:val="none" w:sz="0" w:space="0" w:color="auto"/>
        <w:bottom w:val="none" w:sz="0" w:space="0" w:color="auto"/>
        <w:right w:val="none" w:sz="0" w:space="0" w:color="auto"/>
      </w:divBdr>
    </w:div>
    <w:div w:id="2070303858">
      <w:bodyDiv w:val="1"/>
      <w:marLeft w:val="0"/>
      <w:marRight w:val="0"/>
      <w:marTop w:val="0"/>
      <w:marBottom w:val="0"/>
      <w:divBdr>
        <w:top w:val="none" w:sz="0" w:space="0" w:color="auto"/>
        <w:left w:val="none" w:sz="0" w:space="0" w:color="auto"/>
        <w:bottom w:val="none" w:sz="0" w:space="0" w:color="auto"/>
        <w:right w:val="none" w:sz="0" w:space="0" w:color="auto"/>
      </w:divBdr>
    </w:div>
    <w:div w:id="2106925817">
      <w:bodyDiv w:val="1"/>
      <w:marLeft w:val="0"/>
      <w:marRight w:val="0"/>
      <w:marTop w:val="0"/>
      <w:marBottom w:val="0"/>
      <w:divBdr>
        <w:top w:val="none" w:sz="0" w:space="0" w:color="auto"/>
        <w:left w:val="none" w:sz="0" w:space="0" w:color="auto"/>
        <w:bottom w:val="none" w:sz="0" w:space="0" w:color="auto"/>
        <w:right w:val="none" w:sz="0" w:space="0" w:color="auto"/>
      </w:divBdr>
    </w:div>
    <w:div w:id="2133358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hcw.nhs.wales/systems-and-services/for-patients-and-citizens-of-wales/digital-services-for-patients-and-public/"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wttc.nhs.wales/medicines-optimisation-and-safety/medicines-optimisation-guidance-resources-and-data/prescribing-analysis/server-for-prescribing-information-reporting-and-analysis-spir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pharms.com/recognition/setting-professional-standards/polypharmacy-getting-our-medicines-right" TargetMode="External"/><Relationship Id="rId4" Type="http://schemas.openxmlformats.org/officeDocument/2006/relationships/webSettings" Target="webSettings.xml"/><Relationship Id="rId9" Type="http://schemas.openxmlformats.org/officeDocument/2006/relationships/hyperlink" Target="https://www.england.nhs.uk/primary-care/pharmacy/sm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822</TotalTime>
  <Pages>11</Pages>
  <Words>6186</Words>
  <Characters>35265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41369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Clyburn (Cardiff and Vale UHB - Pharmacy)</dc:creator>
  <cp:keywords/>
  <dc:description/>
  <cp:lastModifiedBy>rhodri.clyburn@gmail.com</cp:lastModifiedBy>
  <cp:revision>23</cp:revision>
  <dcterms:created xsi:type="dcterms:W3CDTF">2023-02-18T20:06:00Z</dcterms:created>
  <dcterms:modified xsi:type="dcterms:W3CDTF">2023-02-24T11:24:00Z</dcterms:modified>
</cp:coreProperties>
</file>