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4" w14:textId="77777777" w:rsidR="00EB0F58" w:rsidRDefault="00000000" w:rsidP="00AF6FAD">
      <w:pPr>
        <w:pStyle w:val="Title"/>
        <w:rPr>
          <w:b/>
          <w:bCs/>
          <w:sz w:val="50"/>
          <w:szCs w:val="50"/>
        </w:rPr>
      </w:pPr>
      <w:bookmarkStart w:id="0" w:name="_4mmt4qtcruof" w:colFirst="0" w:colLast="0"/>
      <w:bookmarkStart w:id="1" w:name="_3veljiw54r1q" w:colFirst="0" w:colLast="0"/>
      <w:bookmarkStart w:id="2" w:name="_2ldwxzra2o8o" w:colFirst="0" w:colLast="0"/>
      <w:bookmarkEnd w:id="0"/>
      <w:bookmarkEnd w:id="1"/>
      <w:bookmarkEnd w:id="2"/>
      <w:r>
        <w:rPr>
          <w:b/>
          <w:bCs/>
          <w:sz w:val="50"/>
          <w:szCs w:val="50"/>
        </w:rPr>
        <w:t>Assessment Task</w:t>
      </w:r>
    </w:p>
    <w:p w14:paraId="554D5117" w14:textId="77777777" w:rsidR="006B6F58" w:rsidRPr="006B6F58" w:rsidRDefault="006B6F58" w:rsidP="006B6F58"/>
    <w:p w14:paraId="5C65869B" w14:textId="77777777" w:rsidR="00AB3DEE" w:rsidRDefault="00AB3DEE" w:rsidP="00AF6FAD">
      <w:pPr>
        <w:spacing w:line="360" w:lineRule="auto"/>
        <w:rPr>
          <w:b/>
          <w:bCs/>
          <w:sz w:val="32"/>
          <w:szCs w:val="32"/>
        </w:rPr>
      </w:pPr>
    </w:p>
    <w:p w14:paraId="00000005" w14:textId="050999FF" w:rsidR="00EB0F58" w:rsidRPr="006B6F58" w:rsidRDefault="00000000" w:rsidP="00AF6FAD">
      <w:pPr>
        <w:spacing w:line="360" w:lineRule="auto"/>
        <w:rPr>
          <w:b/>
          <w:bCs/>
          <w:sz w:val="32"/>
          <w:szCs w:val="32"/>
        </w:rPr>
      </w:pPr>
      <w:r w:rsidRPr="006B6F58">
        <w:rPr>
          <w:b/>
          <w:bCs/>
          <w:sz w:val="32"/>
          <w:szCs w:val="32"/>
        </w:rPr>
        <w:t>Name:</w:t>
      </w:r>
      <w:r w:rsidR="00AF6FAD" w:rsidRPr="006B6F58">
        <w:rPr>
          <w:b/>
          <w:bCs/>
          <w:sz w:val="32"/>
          <w:szCs w:val="32"/>
        </w:rPr>
        <w:t xml:space="preserve"> Umma Kulsum</w:t>
      </w:r>
    </w:p>
    <w:p w14:paraId="386C2FCA" w14:textId="77777777" w:rsidR="006B6F58" w:rsidRPr="006B6F58" w:rsidRDefault="006B6F58" w:rsidP="00AF6FAD">
      <w:pPr>
        <w:spacing w:line="360" w:lineRule="auto"/>
        <w:rPr>
          <w:b/>
          <w:bCs/>
          <w:sz w:val="32"/>
          <w:szCs w:val="32"/>
        </w:rPr>
      </w:pPr>
    </w:p>
    <w:p w14:paraId="00000006" w14:textId="1EABB3D9" w:rsidR="00EB0F58" w:rsidRPr="006B6F58" w:rsidRDefault="00000000" w:rsidP="00AF6FAD">
      <w:pPr>
        <w:spacing w:line="360" w:lineRule="auto"/>
        <w:rPr>
          <w:b/>
          <w:bCs/>
          <w:sz w:val="32"/>
          <w:szCs w:val="32"/>
        </w:rPr>
      </w:pPr>
      <w:r w:rsidRPr="006B6F58">
        <w:rPr>
          <w:b/>
          <w:bCs/>
          <w:sz w:val="32"/>
          <w:szCs w:val="32"/>
        </w:rPr>
        <w:t>Student Number:</w:t>
      </w:r>
      <w:r w:rsidR="00AF6FAD" w:rsidRPr="006B6F58">
        <w:rPr>
          <w:b/>
          <w:bCs/>
          <w:sz w:val="32"/>
          <w:szCs w:val="32"/>
        </w:rPr>
        <w:t xml:space="preserve"> 2513410</w:t>
      </w:r>
    </w:p>
    <w:p w14:paraId="1B28FB76" w14:textId="77777777" w:rsidR="006B6F58" w:rsidRPr="006B6F58" w:rsidRDefault="006B6F58" w:rsidP="00AF6FAD">
      <w:pPr>
        <w:spacing w:line="360" w:lineRule="auto"/>
        <w:rPr>
          <w:b/>
          <w:bCs/>
          <w:sz w:val="32"/>
          <w:szCs w:val="32"/>
        </w:rPr>
      </w:pPr>
    </w:p>
    <w:p w14:paraId="00000007" w14:textId="2AED17E4" w:rsidR="00EB0F58" w:rsidRPr="006B6F58" w:rsidRDefault="00000000" w:rsidP="00AF6FAD">
      <w:pPr>
        <w:spacing w:line="360" w:lineRule="auto"/>
        <w:rPr>
          <w:b/>
          <w:bCs/>
          <w:sz w:val="32"/>
          <w:szCs w:val="32"/>
        </w:rPr>
      </w:pPr>
      <w:r w:rsidRPr="006B6F58">
        <w:rPr>
          <w:b/>
          <w:bCs/>
          <w:sz w:val="32"/>
          <w:szCs w:val="32"/>
        </w:rPr>
        <w:t xml:space="preserve">Module Code and Title: </w:t>
      </w:r>
      <w:r w:rsidR="00AF6FAD" w:rsidRPr="006B6F58">
        <w:rPr>
          <w:b/>
          <w:bCs/>
          <w:sz w:val="32"/>
          <w:szCs w:val="32"/>
        </w:rPr>
        <w:t>LCHS4003</w:t>
      </w:r>
    </w:p>
    <w:p w14:paraId="5408ADA9" w14:textId="77777777" w:rsidR="006B6F58" w:rsidRPr="006B6F58" w:rsidRDefault="006B6F58" w:rsidP="00AF6FAD">
      <w:pPr>
        <w:spacing w:line="360" w:lineRule="auto"/>
        <w:rPr>
          <w:b/>
          <w:bCs/>
          <w:sz w:val="32"/>
          <w:szCs w:val="32"/>
        </w:rPr>
      </w:pPr>
    </w:p>
    <w:p w14:paraId="00000008" w14:textId="759FC099" w:rsidR="00EB0F58" w:rsidRPr="006B6F58" w:rsidRDefault="00000000" w:rsidP="00AF6FAD">
      <w:pPr>
        <w:spacing w:line="360" w:lineRule="auto"/>
        <w:rPr>
          <w:b/>
          <w:bCs/>
          <w:sz w:val="32"/>
          <w:szCs w:val="32"/>
          <w:lang w:val="en-GB"/>
        </w:rPr>
      </w:pPr>
      <w:r w:rsidRPr="006B6F58">
        <w:rPr>
          <w:b/>
          <w:bCs/>
          <w:sz w:val="32"/>
          <w:szCs w:val="32"/>
          <w:lang w:val="en-GB"/>
        </w:rPr>
        <w:t>Lecturer’s Name:</w:t>
      </w:r>
      <w:r w:rsidR="00AF6FAD" w:rsidRPr="006B6F58">
        <w:rPr>
          <w:b/>
          <w:bCs/>
          <w:sz w:val="32"/>
          <w:szCs w:val="32"/>
          <w:lang w:val="en-GB"/>
        </w:rPr>
        <w:t xml:space="preserve"> DR ELENI KOUTSOGEORGOU-ANDREOU</w:t>
      </w:r>
    </w:p>
    <w:p w14:paraId="00000009" w14:textId="77777777" w:rsidR="00EB0F58" w:rsidRPr="006B6F58" w:rsidRDefault="00000000" w:rsidP="00AF6FAD">
      <w:pPr>
        <w:jc w:val="both"/>
        <w:rPr>
          <w:b/>
          <w:bCs/>
          <w:sz w:val="32"/>
          <w:szCs w:val="32"/>
          <w:lang w:val="en-GB"/>
        </w:rPr>
      </w:pPr>
      <w:r w:rsidRPr="006B6F58">
        <w:rPr>
          <w:b/>
          <w:bCs/>
          <w:sz w:val="32"/>
          <w:szCs w:val="32"/>
          <w:lang w:val="en-GB"/>
        </w:rPr>
        <w:br w:type="page"/>
      </w:r>
    </w:p>
    <w:sdt>
      <w:sdtPr>
        <w:rPr>
          <w:rFonts w:ascii="Arial" w:eastAsia="Arial" w:hAnsi="Arial" w:cs="Arial"/>
          <w:color w:val="auto"/>
          <w:sz w:val="22"/>
          <w:szCs w:val="22"/>
          <w:lang w:val="en"/>
        </w:rPr>
        <w:id w:val="1316064788"/>
        <w:docPartObj>
          <w:docPartGallery w:val="Table of Contents"/>
          <w:docPartUnique/>
        </w:docPartObj>
      </w:sdtPr>
      <w:sdtEndPr>
        <w:rPr>
          <w:b/>
          <w:bCs/>
          <w:noProof/>
        </w:rPr>
      </w:sdtEndPr>
      <w:sdtContent>
        <w:p w14:paraId="41E19415" w14:textId="5BC81E21" w:rsidR="003A52C9" w:rsidRPr="00AF6FAD" w:rsidRDefault="003A52C9">
          <w:pPr>
            <w:pStyle w:val="TOCHeading"/>
            <w:rPr>
              <w:lang w:val="fr-FR"/>
            </w:rPr>
          </w:pPr>
          <w:r w:rsidRPr="00AF6FAD">
            <w:rPr>
              <w:lang w:val="fr-FR"/>
            </w:rPr>
            <w:t>Contents</w:t>
          </w:r>
        </w:p>
        <w:p w14:paraId="0271836A" w14:textId="55897E35" w:rsidR="003A52C9" w:rsidRDefault="003A52C9">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26070448" w:history="1">
            <w:r w:rsidRPr="0040535E">
              <w:rPr>
                <w:rStyle w:val="Hyperlink"/>
                <w:noProof/>
              </w:rPr>
              <w:t>Introduction</w:t>
            </w:r>
            <w:r>
              <w:rPr>
                <w:noProof/>
                <w:webHidden/>
              </w:rPr>
              <w:tab/>
            </w:r>
            <w:r>
              <w:rPr>
                <w:noProof/>
                <w:webHidden/>
              </w:rPr>
              <w:fldChar w:fldCharType="begin"/>
            </w:r>
            <w:r>
              <w:rPr>
                <w:noProof/>
                <w:webHidden/>
              </w:rPr>
              <w:instrText xml:space="preserve"> PAGEREF _Toc226070448 \h </w:instrText>
            </w:r>
            <w:r>
              <w:rPr>
                <w:noProof/>
                <w:webHidden/>
              </w:rPr>
            </w:r>
            <w:r>
              <w:rPr>
                <w:noProof/>
                <w:webHidden/>
              </w:rPr>
              <w:fldChar w:fldCharType="separate"/>
            </w:r>
            <w:r>
              <w:rPr>
                <w:noProof/>
                <w:webHidden/>
              </w:rPr>
              <w:t>2</w:t>
            </w:r>
            <w:r>
              <w:rPr>
                <w:noProof/>
                <w:webHidden/>
              </w:rPr>
              <w:fldChar w:fldCharType="end"/>
            </w:r>
          </w:hyperlink>
        </w:p>
        <w:p w14:paraId="57CB19CD" w14:textId="354F90AB" w:rsidR="003A52C9" w:rsidRDefault="003A52C9">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26070449" w:history="1">
            <w:r w:rsidRPr="0040535E">
              <w:rPr>
                <w:rStyle w:val="Hyperlink"/>
                <w:noProof/>
              </w:rPr>
              <w:t>Effective Communication in Person-Centred Care</w:t>
            </w:r>
            <w:r>
              <w:rPr>
                <w:noProof/>
                <w:webHidden/>
              </w:rPr>
              <w:tab/>
            </w:r>
            <w:r>
              <w:rPr>
                <w:noProof/>
                <w:webHidden/>
              </w:rPr>
              <w:fldChar w:fldCharType="begin"/>
            </w:r>
            <w:r>
              <w:rPr>
                <w:noProof/>
                <w:webHidden/>
              </w:rPr>
              <w:instrText xml:space="preserve"> PAGEREF _Toc226070449 \h </w:instrText>
            </w:r>
            <w:r>
              <w:rPr>
                <w:noProof/>
                <w:webHidden/>
              </w:rPr>
            </w:r>
            <w:r>
              <w:rPr>
                <w:noProof/>
                <w:webHidden/>
              </w:rPr>
              <w:fldChar w:fldCharType="separate"/>
            </w:r>
            <w:r>
              <w:rPr>
                <w:noProof/>
                <w:webHidden/>
              </w:rPr>
              <w:t>2</w:t>
            </w:r>
            <w:r>
              <w:rPr>
                <w:noProof/>
                <w:webHidden/>
              </w:rPr>
              <w:fldChar w:fldCharType="end"/>
            </w:r>
          </w:hyperlink>
        </w:p>
        <w:p w14:paraId="25A9B255" w14:textId="337A1B9D" w:rsidR="003A52C9" w:rsidRDefault="003A52C9">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26070450" w:history="1">
            <w:r w:rsidRPr="0040535E">
              <w:rPr>
                <w:rStyle w:val="Hyperlink"/>
                <w:noProof/>
              </w:rPr>
              <w:t>Administrative Skills and Professional Practice</w:t>
            </w:r>
            <w:r>
              <w:rPr>
                <w:noProof/>
                <w:webHidden/>
              </w:rPr>
              <w:tab/>
            </w:r>
            <w:r>
              <w:rPr>
                <w:noProof/>
                <w:webHidden/>
              </w:rPr>
              <w:fldChar w:fldCharType="begin"/>
            </w:r>
            <w:r>
              <w:rPr>
                <w:noProof/>
                <w:webHidden/>
              </w:rPr>
              <w:instrText xml:space="preserve"> PAGEREF _Toc226070450 \h </w:instrText>
            </w:r>
            <w:r>
              <w:rPr>
                <w:noProof/>
                <w:webHidden/>
              </w:rPr>
            </w:r>
            <w:r>
              <w:rPr>
                <w:noProof/>
                <w:webHidden/>
              </w:rPr>
              <w:fldChar w:fldCharType="separate"/>
            </w:r>
            <w:r>
              <w:rPr>
                <w:noProof/>
                <w:webHidden/>
              </w:rPr>
              <w:t>3</w:t>
            </w:r>
            <w:r>
              <w:rPr>
                <w:noProof/>
                <w:webHidden/>
              </w:rPr>
              <w:fldChar w:fldCharType="end"/>
            </w:r>
          </w:hyperlink>
        </w:p>
        <w:p w14:paraId="7A2B1DB9" w14:textId="12A47F5D" w:rsidR="003A52C9" w:rsidRDefault="003A52C9">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26070451" w:history="1">
            <w:r w:rsidRPr="0040535E">
              <w:rPr>
                <w:rStyle w:val="Hyperlink"/>
                <w:noProof/>
              </w:rPr>
              <w:t>Collaborative and Multi-Agency Working</w:t>
            </w:r>
            <w:r>
              <w:rPr>
                <w:noProof/>
                <w:webHidden/>
              </w:rPr>
              <w:tab/>
            </w:r>
            <w:r>
              <w:rPr>
                <w:noProof/>
                <w:webHidden/>
              </w:rPr>
              <w:fldChar w:fldCharType="begin"/>
            </w:r>
            <w:r>
              <w:rPr>
                <w:noProof/>
                <w:webHidden/>
              </w:rPr>
              <w:instrText xml:space="preserve"> PAGEREF _Toc226070451 \h </w:instrText>
            </w:r>
            <w:r>
              <w:rPr>
                <w:noProof/>
                <w:webHidden/>
              </w:rPr>
            </w:r>
            <w:r>
              <w:rPr>
                <w:noProof/>
                <w:webHidden/>
              </w:rPr>
              <w:fldChar w:fldCharType="separate"/>
            </w:r>
            <w:r>
              <w:rPr>
                <w:noProof/>
                <w:webHidden/>
              </w:rPr>
              <w:t>5</w:t>
            </w:r>
            <w:r>
              <w:rPr>
                <w:noProof/>
                <w:webHidden/>
              </w:rPr>
              <w:fldChar w:fldCharType="end"/>
            </w:r>
          </w:hyperlink>
        </w:p>
        <w:p w14:paraId="632040E9" w14:textId="3C4E5C1E" w:rsidR="003A52C9" w:rsidRDefault="003A52C9">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26070452" w:history="1">
            <w:r w:rsidRPr="0040535E">
              <w:rPr>
                <w:rStyle w:val="Hyperlink"/>
                <w:noProof/>
              </w:rPr>
              <w:t>Conclusion</w:t>
            </w:r>
            <w:r>
              <w:rPr>
                <w:noProof/>
                <w:webHidden/>
              </w:rPr>
              <w:tab/>
            </w:r>
            <w:r>
              <w:rPr>
                <w:noProof/>
                <w:webHidden/>
              </w:rPr>
              <w:fldChar w:fldCharType="begin"/>
            </w:r>
            <w:r>
              <w:rPr>
                <w:noProof/>
                <w:webHidden/>
              </w:rPr>
              <w:instrText xml:space="preserve"> PAGEREF _Toc226070452 \h </w:instrText>
            </w:r>
            <w:r>
              <w:rPr>
                <w:noProof/>
                <w:webHidden/>
              </w:rPr>
            </w:r>
            <w:r>
              <w:rPr>
                <w:noProof/>
                <w:webHidden/>
              </w:rPr>
              <w:fldChar w:fldCharType="separate"/>
            </w:r>
            <w:r>
              <w:rPr>
                <w:noProof/>
                <w:webHidden/>
              </w:rPr>
              <w:t>5</w:t>
            </w:r>
            <w:r>
              <w:rPr>
                <w:noProof/>
                <w:webHidden/>
              </w:rPr>
              <w:fldChar w:fldCharType="end"/>
            </w:r>
          </w:hyperlink>
        </w:p>
        <w:p w14:paraId="67670A7A" w14:textId="5B209685" w:rsidR="003A52C9" w:rsidRDefault="003A52C9">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26070453" w:history="1">
            <w:r w:rsidRPr="0040535E">
              <w:rPr>
                <w:rStyle w:val="Hyperlink"/>
                <w:noProof/>
              </w:rPr>
              <w:t>References</w:t>
            </w:r>
            <w:r>
              <w:rPr>
                <w:noProof/>
                <w:webHidden/>
              </w:rPr>
              <w:tab/>
            </w:r>
            <w:r>
              <w:rPr>
                <w:noProof/>
                <w:webHidden/>
              </w:rPr>
              <w:fldChar w:fldCharType="begin"/>
            </w:r>
            <w:r>
              <w:rPr>
                <w:noProof/>
                <w:webHidden/>
              </w:rPr>
              <w:instrText xml:space="preserve"> PAGEREF _Toc226070453 \h </w:instrText>
            </w:r>
            <w:r>
              <w:rPr>
                <w:noProof/>
                <w:webHidden/>
              </w:rPr>
            </w:r>
            <w:r>
              <w:rPr>
                <w:noProof/>
                <w:webHidden/>
              </w:rPr>
              <w:fldChar w:fldCharType="separate"/>
            </w:r>
            <w:r>
              <w:rPr>
                <w:noProof/>
                <w:webHidden/>
              </w:rPr>
              <w:t>7</w:t>
            </w:r>
            <w:r>
              <w:rPr>
                <w:noProof/>
                <w:webHidden/>
              </w:rPr>
              <w:fldChar w:fldCharType="end"/>
            </w:r>
          </w:hyperlink>
        </w:p>
        <w:p w14:paraId="05FACB30" w14:textId="0C3B58BE" w:rsidR="003A52C9" w:rsidRDefault="003A52C9">
          <w:r>
            <w:rPr>
              <w:b/>
              <w:bCs/>
              <w:noProof/>
            </w:rPr>
            <w:fldChar w:fldCharType="end"/>
          </w:r>
        </w:p>
      </w:sdtContent>
    </w:sdt>
    <w:p w14:paraId="00000011" w14:textId="77777777" w:rsidR="00EB0F58" w:rsidRDefault="00EB0F58"/>
    <w:p w14:paraId="00000012" w14:textId="77777777" w:rsidR="00EB0F58" w:rsidRDefault="00000000">
      <w:r>
        <w:br w:type="page"/>
      </w:r>
    </w:p>
    <w:p w14:paraId="00000013" w14:textId="77777777" w:rsidR="00EB0F58" w:rsidRDefault="00000000">
      <w:pPr>
        <w:pStyle w:val="Heading1"/>
      </w:pPr>
      <w:bookmarkStart w:id="3" w:name="_Toc226070448"/>
      <w:r>
        <w:lastRenderedPageBreak/>
        <w:t>Introduction</w:t>
      </w:r>
      <w:bookmarkEnd w:id="3"/>
    </w:p>
    <w:p w14:paraId="00000015" w14:textId="31DE46DB" w:rsidR="00EB0F58" w:rsidRDefault="00000000">
      <w:pPr>
        <w:spacing w:line="360" w:lineRule="auto"/>
        <w:jc w:val="both"/>
      </w:pPr>
      <w:r>
        <w:t xml:space="preserve">I have critically </w:t>
      </w:r>
      <w:r w:rsidR="00AF6FAD">
        <w:t>analyzed</w:t>
      </w:r>
      <w:r>
        <w:t xml:space="preserve"> a multidisciplinary care given to </w:t>
      </w:r>
      <w:proofErr w:type="spellStart"/>
      <w:r>
        <w:t>Mr</w:t>
      </w:r>
      <w:proofErr w:type="spellEnd"/>
      <w:r>
        <w:t xml:space="preserve"> Ahmed, a 68-year-old service user who is recovering from a stroke. The care provided to </w:t>
      </w:r>
      <w:proofErr w:type="spellStart"/>
      <w:r>
        <w:t>Mr</w:t>
      </w:r>
      <w:proofErr w:type="spellEnd"/>
      <w:r>
        <w:t xml:space="preserve"> Ahmed after his release from the hospital is a rather complicated set of specialists, including his GP, a district nurse, speech and language therapists, and a care agency at home. The language is another critical barrier to his recovery since his main language is Bengali, and his stroke has required him to get interventions in terms of speech and language regularly.  This report will first attempt to assess his care on a clinical and ethical basis based on three grounds, namely the significance of effective and inclusive communication, as specified in the Equality Act 2010; the implementation of strict administrative practices and data protection, as stipulated in the Data Protection Act 2018; and the significance of collaboration within multi-agencies.</w:t>
      </w:r>
    </w:p>
    <w:p w14:paraId="00000016" w14:textId="77777777" w:rsidR="00EB0F58" w:rsidRDefault="00000000">
      <w:pPr>
        <w:pStyle w:val="Heading1"/>
      </w:pPr>
      <w:bookmarkStart w:id="4" w:name="_Toc226070449"/>
      <w:r>
        <w:t>Effective Communication in Person-</w:t>
      </w:r>
      <w:proofErr w:type="spellStart"/>
      <w:r>
        <w:t>Centred</w:t>
      </w:r>
      <w:proofErr w:type="spellEnd"/>
      <w:r>
        <w:t xml:space="preserve"> Care</w:t>
      </w:r>
      <w:bookmarkEnd w:id="4"/>
    </w:p>
    <w:p w14:paraId="00000017" w14:textId="13FB1515" w:rsidR="00EB0F58" w:rsidRDefault="00000000">
      <w:pPr>
        <w:spacing w:line="360" w:lineRule="auto"/>
        <w:jc w:val="both"/>
      </w:pPr>
      <w:r>
        <w:t xml:space="preserve">Communication is the foundation of safe and dignified healthcare, especially when addressing service users, who are already at risk of disability through post-stroke recovery, and have aphasia with language barriers to healthcare communication (Ahmed </w:t>
      </w:r>
      <w:r w:rsidR="002F4C78" w:rsidRPr="002F4C78">
        <w:rPr>
          <w:i/>
          <w:iCs/>
        </w:rPr>
        <w:t>et al</w:t>
      </w:r>
      <w:r>
        <w:rPr>
          <w:i/>
          <w:iCs/>
        </w:rPr>
        <w:t xml:space="preserve">., </w:t>
      </w:r>
      <w:r>
        <w:t xml:space="preserve">2022). Communication is not just the sharing of information, but it is a requirement </w:t>
      </w:r>
      <w:r w:rsidR="003A52C9">
        <w:t>that</w:t>
      </w:r>
      <w:r>
        <w:t xml:space="preserve"> is legally enforced so that the rights, preferences, and autonomy of a service user are taken into consideration during the process of recovery.</w:t>
      </w:r>
    </w:p>
    <w:p w14:paraId="00000018" w14:textId="77777777" w:rsidR="00EB0F58" w:rsidRDefault="00000000">
      <w:pPr>
        <w:spacing w:line="360" w:lineRule="auto"/>
        <w:jc w:val="both"/>
        <w:rPr>
          <w:b/>
          <w:bCs/>
          <w:sz w:val="28"/>
          <w:szCs w:val="28"/>
        </w:rPr>
      </w:pPr>
      <w:r>
        <w:rPr>
          <w:b/>
          <w:bCs/>
          <w:sz w:val="28"/>
          <w:szCs w:val="28"/>
        </w:rPr>
        <w:t>The Equality Act 2010 and Inclusive Practice</w:t>
      </w:r>
    </w:p>
    <w:p w14:paraId="00000019" w14:textId="05061FF7" w:rsidR="00EB0F58" w:rsidRDefault="00000000">
      <w:pPr>
        <w:spacing w:line="360" w:lineRule="auto"/>
        <w:jc w:val="both"/>
      </w:pPr>
      <w:r>
        <w:t xml:space="preserve">With the Equality Act 2010, healthcare providers have been legally obligated to make reasonable adjustments so that individuals with protected characteristics are not largely disadvantaged, e.g. age, disability, or race. The case of </w:t>
      </w:r>
      <w:proofErr w:type="spellStart"/>
      <w:r>
        <w:t>Mr</w:t>
      </w:r>
      <w:proofErr w:type="spellEnd"/>
      <w:r>
        <w:t xml:space="preserve"> Ahmed means that he has a stroke survivor (disability) and speaks Bengali (race/ethnicity) as a first language, which is why such interventions are to be made (Annelie </w:t>
      </w:r>
      <w:r w:rsidR="002F4C78" w:rsidRPr="002F4C78">
        <w:rPr>
          <w:i/>
          <w:iCs/>
        </w:rPr>
        <w:t>et al</w:t>
      </w:r>
      <w:r>
        <w:rPr>
          <w:i/>
          <w:iCs/>
        </w:rPr>
        <w:t xml:space="preserve">., </w:t>
      </w:r>
      <w:r>
        <w:t>2025).</w:t>
      </w:r>
    </w:p>
    <w:p w14:paraId="0000001A" w14:textId="2B3EE0AE" w:rsidR="00EB0F58" w:rsidRDefault="00000000">
      <w:pPr>
        <w:spacing w:line="360" w:lineRule="auto"/>
        <w:jc w:val="both"/>
      </w:pPr>
      <w:r>
        <w:t xml:space="preserve">In this regard, effective communication would mean going beyond a one-size-fits-all scenario. This includes arranging professional interpretation services, as opposed to depending entirely on his wife, which would result in a scenario whereby there would be no errors on the clinical information and given that </w:t>
      </w:r>
      <w:proofErr w:type="spellStart"/>
      <w:r>
        <w:t>Mr</w:t>
      </w:r>
      <w:proofErr w:type="spellEnd"/>
      <w:r>
        <w:t xml:space="preserve"> Ahmed is an adult, his personal privacy would not have been invaded. In addition, the act stipulates that the information should be in easy-to-understand formats; in the case of </w:t>
      </w:r>
      <w:proofErr w:type="spellStart"/>
      <w:r>
        <w:t>Mr</w:t>
      </w:r>
      <w:proofErr w:type="spellEnd"/>
      <w:r>
        <w:t xml:space="preserve"> Ahmed, this may be the use of bilingual medication charts or pictorial communication boards as part of his speech and language therapy objectives (Ciocan, 2024). </w:t>
      </w:r>
    </w:p>
    <w:p w14:paraId="0000001B" w14:textId="77777777" w:rsidR="00EB0F58" w:rsidRDefault="00000000">
      <w:pPr>
        <w:spacing w:line="360" w:lineRule="auto"/>
        <w:jc w:val="both"/>
        <w:rPr>
          <w:b/>
          <w:bCs/>
          <w:sz w:val="28"/>
          <w:szCs w:val="28"/>
        </w:rPr>
      </w:pPr>
      <w:r>
        <w:rPr>
          <w:b/>
          <w:bCs/>
          <w:sz w:val="28"/>
          <w:szCs w:val="28"/>
        </w:rPr>
        <w:t>Application of the SMCR Communication Model</w:t>
      </w:r>
    </w:p>
    <w:p w14:paraId="0000001C" w14:textId="77777777" w:rsidR="00EB0F58" w:rsidRDefault="00000000">
      <w:pPr>
        <w:spacing w:line="360" w:lineRule="auto"/>
        <w:jc w:val="both"/>
      </w:pPr>
      <w:r>
        <w:t xml:space="preserve">The SMCR Model created by Berlo could be </w:t>
      </w:r>
      <w:proofErr w:type="spellStart"/>
      <w:r>
        <w:t>utilised</w:t>
      </w:r>
      <w:proofErr w:type="spellEnd"/>
      <w:r>
        <w:t xml:space="preserve"> to comprehend the dynamics of interactions between </w:t>
      </w:r>
      <w:proofErr w:type="spellStart"/>
      <w:r>
        <w:t>Mr</w:t>
      </w:r>
      <w:proofErr w:type="spellEnd"/>
      <w:r>
        <w:t xml:space="preserve"> Ahmed and his employees because it divides communication into four elements: Source, Message, Channel, and Receiver.</w:t>
      </w:r>
    </w:p>
    <w:p w14:paraId="0000001D" w14:textId="758F4E75" w:rsidR="00EB0F58" w:rsidRDefault="00000000">
      <w:pPr>
        <w:numPr>
          <w:ilvl w:val="0"/>
          <w:numId w:val="1"/>
        </w:numPr>
        <w:spacing w:line="360" w:lineRule="auto"/>
        <w:jc w:val="both"/>
      </w:pPr>
      <w:r>
        <w:lastRenderedPageBreak/>
        <w:t xml:space="preserve">Source: The healthcare professional needs to have a high level of awareness of the medical situation in terms of Communication Skills and social systems, to devise an understanding that the cultural background of </w:t>
      </w:r>
      <w:proofErr w:type="spellStart"/>
      <w:r>
        <w:t>Mr</w:t>
      </w:r>
      <w:proofErr w:type="spellEnd"/>
      <w:r>
        <w:t xml:space="preserve"> Ahmed is affecting his attitude towards medical authority (Chen </w:t>
      </w:r>
      <w:r w:rsidR="002F4C78" w:rsidRPr="002F4C78">
        <w:rPr>
          <w:i/>
          <w:iCs/>
        </w:rPr>
        <w:t>et al</w:t>
      </w:r>
      <w:r>
        <w:rPr>
          <w:i/>
          <w:iCs/>
        </w:rPr>
        <w:t xml:space="preserve">., </w:t>
      </w:r>
      <w:r>
        <w:t>2024).</w:t>
      </w:r>
    </w:p>
    <w:p w14:paraId="0000001E" w14:textId="66EB286A" w:rsidR="00EB0F58" w:rsidRDefault="00000000">
      <w:pPr>
        <w:numPr>
          <w:ilvl w:val="0"/>
          <w:numId w:val="1"/>
        </w:numPr>
        <w:spacing w:line="360" w:lineRule="auto"/>
        <w:jc w:val="both"/>
      </w:pPr>
      <w:r>
        <w:t xml:space="preserve">Message: The information has to be streamlined. The use of complex clinical jargon is noise </w:t>
      </w:r>
      <w:r w:rsidR="00AF41DC">
        <w:t>that</w:t>
      </w:r>
      <w:r>
        <w:t xml:space="preserve"> may not allow the transfer to occur successfully.</w:t>
      </w:r>
    </w:p>
    <w:p w14:paraId="0000001F" w14:textId="77777777" w:rsidR="00EB0F58" w:rsidRDefault="00000000">
      <w:pPr>
        <w:numPr>
          <w:ilvl w:val="0"/>
          <w:numId w:val="1"/>
        </w:numPr>
        <w:spacing w:line="360" w:lineRule="auto"/>
        <w:jc w:val="both"/>
      </w:pPr>
      <w:r>
        <w:t>Channel: The channel is supposed to be multimodal considering his stroke. It is not enough to use hearing (speech), but it is better to add sight (visual aids) or touch (demonstrating exercises).</w:t>
      </w:r>
    </w:p>
    <w:p w14:paraId="00000020" w14:textId="77777777" w:rsidR="00EB0F58" w:rsidRDefault="00000000">
      <w:pPr>
        <w:numPr>
          <w:ilvl w:val="0"/>
          <w:numId w:val="1"/>
        </w:numPr>
        <w:spacing w:line="360" w:lineRule="auto"/>
        <w:jc w:val="both"/>
      </w:pPr>
      <w:r>
        <w:t xml:space="preserve">Interviewee: Knowledge and Attitude of </w:t>
      </w:r>
      <w:proofErr w:type="spellStart"/>
      <w:r>
        <w:t>Mr</w:t>
      </w:r>
      <w:proofErr w:type="spellEnd"/>
      <w:r>
        <w:t xml:space="preserve"> Ahmed are affected by his neurological disorder. Failure to decipher the message by the recipient may occur owing to a language barrier or mental exhaustion, and this prevents the communication cycle (Song, 2023).</w:t>
      </w:r>
    </w:p>
    <w:p w14:paraId="00000021" w14:textId="77777777" w:rsidR="00EB0F58" w:rsidRDefault="00EB0F58">
      <w:pPr>
        <w:spacing w:line="360" w:lineRule="auto"/>
        <w:jc w:val="both"/>
      </w:pPr>
    </w:p>
    <w:p w14:paraId="00000022" w14:textId="77777777" w:rsidR="00EB0F58" w:rsidRDefault="00000000">
      <w:pPr>
        <w:spacing w:line="360" w:lineRule="auto"/>
        <w:jc w:val="both"/>
        <w:rPr>
          <w:b/>
          <w:bCs/>
        </w:rPr>
      </w:pPr>
      <w:r>
        <w:rPr>
          <w:b/>
          <w:bCs/>
        </w:rPr>
        <w:t>Bridging the Gap</w:t>
      </w:r>
    </w:p>
    <w:p w14:paraId="00000023" w14:textId="2EA3B23E" w:rsidR="00EB0F58" w:rsidRDefault="00000000">
      <w:pPr>
        <w:spacing w:line="360" w:lineRule="auto"/>
        <w:jc w:val="both"/>
      </w:pPr>
      <w:r>
        <w:t xml:space="preserve">In an actual sense, communication should be two-way. The multidisciplinary team should ensure that the knowledge is confirmed </w:t>
      </w:r>
      <w:proofErr w:type="gramStart"/>
      <w:r>
        <w:t>by the use of</w:t>
      </w:r>
      <w:proofErr w:type="gramEnd"/>
      <w:r>
        <w:t xml:space="preserve"> the teach-back techniques, and, therefore, </w:t>
      </w:r>
      <w:proofErr w:type="spellStart"/>
      <w:r>
        <w:t>Mr</w:t>
      </w:r>
      <w:proofErr w:type="spellEnd"/>
      <w:r>
        <w:t xml:space="preserve"> Ahmed will be able to show his understanding of his care plan despite the inability to engage in advanced dialogue (Yang, 2023).</w:t>
      </w:r>
    </w:p>
    <w:p w14:paraId="00000024" w14:textId="77777777" w:rsidR="00EB0F58" w:rsidRDefault="00EB0F58">
      <w:pPr>
        <w:spacing w:line="360" w:lineRule="auto"/>
        <w:jc w:val="both"/>
      </w:pPr>
    </w:p>
    <w:p w14:paraId="00000025" w14:textId="77777777" w:rsidR="00EB0F58" w:rsidRDefault="00000000">
      <w:pPr>
        <w:pStyle w:val="Heading1"/>
        <w:keepNext w:val="0"/>
        <w:keepLines w:val="0"/>
        <w:spacing w:after="80"/>
      </w:pPr>
      <w:bookmarkStart w:id="5" w:name="_Toc226070450"/>
      <w:r>
        <w:t>Administrative Skills and Professional Practice</w:t>
      </w:r>
      <w:bookmarkEnd w:id="5"/>
    </w:p>
    <w:p w14:paraId="00000026" w14:textId="3B42D4BB" w:rsidR="00EB0F58" w:rsidRDefault="00000000">
      <w:pPr>
        <w:spacing w:line="360" w:lineRule="auto"/>
        <w:jc w:val="both"/>
      </w:pPr>
      <w:r>
        <w:t xml:space="preserve">Administrative skills are not just simple clerical work in the health and social care </w:t>
      </w:r>
      <w:proofErr w:type="spellStart"/>
      <w:r>
        <w:t>field</w:t>
      </w:r>
      <w:r w:rsidR="0022450F">
        <w:t>.</w:t>
      </w:r>
      <w:r>
        <w:t>In</w:t>
      </w:r>
      <w:proofErr w:type="spellEnd"/>
      <w:r>
        <w:t xml:space="preserve"> the case of </w:t>
      </w:r>
      <w:proofErr w:type="spellStart"/>
      <w:r>
        <w:t>Mr</w:t>
      </w:r>
      <w:proofErr w:type="spellEnd"/>
      <w:r>
        <w:t xml:space="preserve"> Ahmed, a missed home visit by the care agency over the past few days is one of the main instances of </w:t>
      </w:r>
      <w:proofErr w:type="gramStart"/>
      <w:r>
        <w:t>the administrative</w:t>
      </w:r>
      <w:proofErr w:type="gramEnd"/>
      <w:r>
        <w:t xml:space="preserve"> error that can result in a direct clinical injury, including the late delivery of the prescription drug.</w:t>
      </w:r>
    </w:p>
    <w:p w14:paraId="00000027" w14:textId="77777777" w:rsidR="00EB0F58" w:rsidRDefault="00000000">
      <w:pPr>
        <w:spacing w:line="360" w:lineRule="auto"/>
        <w:jc w:val="both"/>
        <w:rPr>
          <w:b/>
          <w:bCs/>
          <w:sz w:val="28"/>
          <w:szCs w:val="28"/>
        </w:rPr>
      </w:pPr>
      <w:r>
        <w:rPr>
          <w:b/>
          <w:bCs/>
          <w:sz w:val="28"/>
          <w:szCs w:val="28"/>
        </w:rPr>
        <w:t>Record Keeping and Accountability as a Professional</w:t>
      </w:r>
    </w:p>
    <w:p w14:paraId="00000028" w14:textId="58FD52CD" w:rsidR="00EB0F58" w:rsidRDefault="00000000">
      <w:pPr>
        <w:spacing w:line="360" w:lineRule="auto"/>
        <w:jc w:val="both"/>
      </w:pPr>
      <w:r>
        <w:t>Contemporary and accurate record-keeping is an occupation in any field of healthcare.</w:t>
      </w:r>
      <w:r w:rsidR="0022450F">
        <w:t xml:space="preserve"> </w:t>
      </w:r>
      <w:proofErr w:type="gramStart"/>
      <w:r>
        <w:t>The administrative</w:t>
      </w:r>
      <w:proofErr w:type="gramEnd"/>
      <w:r>
        <w:t xml:space="preserve"> documentation </w:t>
      </w:r>
      <w:proofErr w:type="gramStart"/>
      <w:r>
        <w:t>is considered to be</w:t>
      </w:r>
      <w:proofErr w:type="gramEnd"/>
      <w:r>
        <w:t xml:space="preserve"> the key protective tool against errors in the case of </w:t>
      </w:r>
      <w:proofErr w:type="spellStart"/>
      <w:r>
        <w:t>Mr</w:t>
      </w:r>
      <w:proofErr w:type="spellEnd"/>
      <w:r>
        <w:t xml:space="preserve"> Ahmed; the digital MAR (Medication Administration Record) sheets and communication logs are used as the main administrative documents. </w:t>
      </w:r>
    </w:p>
    <w:p w14:paraId="00000029" w14:textId="0A8669D1" w:rsidR="00EB0F58" w:rsidRDefault="00000000">
      <w:pPr>
        <w:spacing w:line="360" w:lineRule="auto"/>
        <w:jc w:val="both"/>
      </w:pPr>
      <w:r>
        <w:t xml:space="preserve">Loss of a visit can serve as an indicator of failure in the scheduling and tracking systems of the agency. The administrative practice of high quality allows singling out any occurrence of the care plan violation and </w:t>
      </w:r>
      <w:proofErr w:type="spellStart"/>
      <w:r>
        <w:t>signalling</w:t>
      </w:r>
      <w:proofErr w:type="spellEnd"/>
      <w:r>
        <w:t xml:space="preserve"> it to the multidisciplinary team (MDT) as soon as possible (Xue </w:t>
      </w:r>
      <w:r w:rsidR="002F4C78" w:rsidRPr="002F4C78">
        <w:rPr>
          <w:i/>
          <w:iCs/>
        </w:rPr>
        <w:t>et al</w:t>
      </w:r>
      <w:r>
        <w:rPr>
          <w:i/>
          <w:iCs/>
        </w:rPr>
        <w:t xml:space="preserve">., </w:t>
      </w:r>
      <w:r>
        <w:t>2024).</w:t>
      </w:r>
    </w:p>
    <w:p w14:paraId="0000002A" w14:textId="77777777" w:rsidR="00EB0F58" w:rsidRDefault="00000000">
      <w:pPr>
        <w:spacing w:line="360" w:lineRule="auto"/>
        <w:jc w:val="both"/>
        <w:rPr>
          <w:b/>
          <w:bCs/>
          <w:sz w:val="28"/>
          <w:szCs w:val="28"/>
        </w:rPr>
      </w:pPr>
      <w:r>
        <w:rPr>
          <w:b/>
          <w:bCs/>
          <w:sz w:val="28"/>
          <w:szCs w:val="28"/>
        </w:rPr>
        <w:t>Data Protection Act 2018 (GDPR)</w:t>
      </w:r>
    </w:p>
    <w:p w14:paraId="0000002B" w14:textId="2BFBFF49" w:rsidR="00EB0F58" w:rsidRDefault="00000000">
      <w:pPr>
        <w:spacing w:line="360" w:lineRule="auto"/>
        <w:jc w:val="both"/>
      </w:pPr>
      <w:r>
        <w:lastRenderedPageBreak/>
        <w:t xml:space="preserve">The processing of the information of </w:t>
      </w:r>
      <w:proofErr w:type="spellStart"/>
      <w:r>
        <w:t>Mr</w:t>
      </w:r>
      <w:proofErr w:type="spellEnd"/>
      <w:r>
        <w:t xml:space="preserve"> Ahmed's information should be entirely in compliance with the Data Protection Act 2018, which includes the General Data Protection Regulation (GDPR). According to this law, the information related to individuals and health data should be handled in a legal, just, and open way (Lee </w:t>
      </w:r>
      <w:r w:rsidR="002F4C78" w:rsidRPr="002F4C78">
        <w:rPr>
          <w:i/>
          <w:iCs/>
        </w:rPr>
        <w:t>et al</w:t>
      </w:r>
      <w:r>
        <w:rPr>
          <w:i/>
          <w:iCs/>
        </w:rPr>
        <w:t xml:space="preserve">., </w:t>
      </w:r>
      <w:r>
        <w:t>2022).</w:t>
      </w:r>
    </w:p>
    <w:p w14:paraId="0000002C" w14:textId="5C024C78" w:rsidR="00EB0F58" w:rsidRDefault="00000000">
      <w:pPr>
        <w:spacing w:line="360" w:lineRule="auto"/>
        <w:jc w:val="both"/>
      </w:pPr>
      <w:r>
        <w:t xml:space="preserve">The concept of Data </w:t>
      </w:r>
      <w:r w:rsidR="00F12279">
        <w:t>Minimization</w:t>
      </w:r>
      <w:r>
        <w:t xml:space="preserve"> and </w:t>
      </w:r>
      <w:r w:rsidR="00F12279">
        <w:t>integrity</w:t>
      </w:r>
      <w:r>
        <w:t xml:space="preserve"> and confidentiality are essential in the context of a multi-agency environment, which entails a GP, District Nurse, and SLT. As an example, the care agency will have to make sure that the medical history of </w:t>
      </w:r>
      <w:proofErr w:type="spellStart"/>
      <w:r>
        <w:t>Mr</w:t>
      </w:r>
      <w:proofErr w:type="spellEnd"/>
      <w:r>
        <w:t xml:space="preserve"> Ahmed and the information about the ongoing investigation should be preserved, and it should not disrupt the right of </w:t>
      </w:r>
      <w:proofErr w:type="spellStart"/>
      <w:r>
        <w:t>Mr</w:t>
      </w:r>
      <w:proofErr w:type="spellEnd"/>
      <w:r>
        <w:t xml:space="preserve"> Ahmed to </w:t>
      </w:r>
      <w:r w:rsidR="00F12279">
        <w:t>privacy but</w:t>
      </w:r>
      <w:r>
        <w:t xml:space="preserve"> give the District Nurse enough context to appropriately monitor the blood pressure and wound care of this patient.</w:t>
      </w:r>
    </w:p>
    <w:p w14:paraId="0000002D" w14:textId="77777777" w:rsidR="00EB0F58" w:rsidRDefault="00000000">
      <w:pPr>
        <w:spacing w:line="360" w:lineRule="auto"/>
        <w:jc w:val="both"/>
        <w:rPr>
          <w:b/>
          <w:bCs/>
          <w:sz w:val="28"/>
          <w:szCs w:val="28"/>
        </w:rPr>
      </w:pPr>
      <w:r>
        <w:rPr>
          <w:b/>
          <w:bCs/>
          <w:sz w:val="28"/>
          <w:szCs w:val="28"/>
        </w:rPr>
        <w:t>The Policy Frameworks and Law Compliance</w:t>
      </w:r>
    </w:p>
    <w:p w14:paraId="0000002E" w14:textId="66B71E10" w:rsidR="00EB0F58" w:rsidRDefault="00000000">
      <w:pPr>
        <w:spacing w:line="360" w:lineRule="auto"/>
        <w:jc w:val="both"/>
      </w:pPr>
      <w:r>
        <w:t xml:space="preserve">In addition to the protection of data, the Care Act 2014 dictates the administrative practice </w:t>
      </w:r>
      <w:r w:rsidR="00AF41DC">
        <w:t>that</w:t>
      </w:r>
      <w:r>
        <w:t xml:space="preserve"> imposes a statutory responsibility on local authorities and the provider to enhance the well-being of the individual. This entails guarding against forsakenness. An administrative failure that causes an overdose that has been missed can be called a safeguarding concern. </w:t>
      </w:r>
    </w:p>
    <w:p w14:paraId="0000002F" w14:textId="4DBFAC47" w:rsidR="00EB0F58" w:rsidRDefault="00000000">
      <w:pPr>
        <w:spacing w:line="360" w:lineRule="auto"/>
        <w:jc w:val="both"/>
      </w:pPr>
      <w:r>
        <w:t xml:space="preserve">Moreover, the Regulations 2014, the provision of the Health and Social Care Act 2008 (Regulated Activities) specify that the providers must have systems to evaluate, measure, and enhance service quality and safety (Dunbar </w:t>
      </w:r>
      <w:r w:rsidR="002F4C78" w:rsidRPr="002F4C78">
        <w:rPr>
          <w:i/>
          <w:iCs/>
        </w:rPr>
        <w:t>et al</w:t>
      </w:r>
      <w:r>
        <w:rPr>
          <w:i/>
          <w:iCs/>
        </w:rPr>
        <w:t xml:space="preserve">., </w:t>
      </w:r>
      <w:r>
        <w:t xml:space="preserve">2023). The administrative skills, thus, are the skills of applying these quality assurance models, which include the incident reporting and root cause analysis, to make sure that the currently ongoing investigation results in actual changes to the care delivery to </w:t>
      </w:r>
      <w:proofErr w:type="spellStart"/>
      <w:r>
        <w:t>Mr</w:t>
      </w:r>
      <w:proofErr w:type="spellEnd"/>
      <w:r>
        <w:t xml:space="preserve"> Ahmed</w:t>
      </w:r>
      <w:r w:rsidR="002F4C78">
        <w:t xml:space="preserve"> (Ambati, 2025). </w:t>
      </w:r>
    </w:p>
    <w:p w14:paraId="00000030" w14:textId="77777777" w:rsidR="00EB0F58" w:rsidRDefault="00000000">
      <w:pPr>
        <w:pStyle w:val="Heading1"/>
      </w:pPr>
      <w:bookmarkStart w:id="6" w:name="_Toc226070451"/>
      <w:r>
        <w:t>Collaborative and Multi-Agency Working</w:t>
      </w:r>
      <w:bookmarkEnd w:id="6"/>
    </w:p>
    <w:p w14:paraId="00000031" w14:textId="77777777" w:rsidR="00EB0F58" w:rsidRDefault="00000000">
      <w:pPr>
        <w:spacing w:line="360" w:lineRule="auto"/>
        <w:jc w:val="both"/>
      </w:pPr>
      <w:r>
        <w:t xml:space="preserve">The smooth implementation of a Multidisciplinary Team (MDT) is the only key to the successful recovery of a stroke survivor who needs complex intervention, as </w:t>
      </w:r>
      <w:proofErr w:type="spellStart"/>
      <w:r>
        <w:t>Mr</w:t>
      </w:r>
      <w:proofErr w:type="spellEnd"/>
      <w:r>
        <w:t xml:space="preserve"> Ahmed does. The MDT - which includes the GP, the District Nurse, Speech and language Therapist (SLT) and the domiciliary care workers - should not be like the separate spheres but a unified circle that has the patient's goals at the </w:t>
      </w:r>
      <w:proofErr w:type="spellStart"/>
      <w:r>
        <w:t>centre</w:t>
      </w:r>
      <w:proofErr w:type="spellEnd"/>
      <w:r>
        <w:t>.</w:t>
      </w:r>
    </w:p>
    <w:p w14:paraId="00000032" w14:textId="77777777" w:rsidR="00EB0F58" w:rsidRDefault="00000000">
      <w:pPr>
        <w:spacing w:line="360" w:lineRule="auto"/>
        <w:jc w:val="both"/>
        <w:rPr>
          <w:b/>
          <w:bCs/>
          <w:sz w:val="28"/>
          <w:szCs w:val="28"/>
        </w:rPr>
      </w:pPr>
      <w:r>
        <w:rPr>
          <w:b/>
          <w:bCs/>
          <w:sz w:val="28"/>
          <w:szCs w:val="28"/>
        </w:rPr>
        <w:t>Approaches to Foster Collaboration</w:t>
      </w:r>
    </w:p>
    <w:p w14:paraId="00000033" w14:textId="07ED201E" w:rsidR="00EB0F58" w:rsidRDefault="00000000">
      <w:pPr>
        <w:spacing w:line="360" w:lineRule="auto"/>
        <w:jc w:val="both"/>
      </w:pPr>
      <w:r>
        <w:t xml:space="preserve">One of the main strategies </w:t>
      </w:r>
      <w:r w:rsidR="00AF41DC">
        <w:t>that</w:t>
      </w:r>
      <w:r>
        <w:t xml:space="preserve"> can be used to promote collaboration is the introduction of Shared Care Protocols. These procedures will make sure that each professional knows his or her particular task and the limits of others. As an example, even though the SLT sessions would be offered to enhance communication and swallowing, the domiciliary care team should be educated on how these techniques could be implemented during the food preparation process. Frequent meetings of MDT, regardless of the format used (face-to-face or secure digital), make it possible to implement the changes in the care plan of </w:t>
      </w:r>
      <w:proofErr w:type="spellStart"/>
      <w:r>
        <w:t>Mr</w:t>
      </w:r>
      <w:proofErr w:type="spellEnd"/>
      <w:r>
        <w:t xml:space="preserve"> Ahmed in real-time, </w:t>
      </w:r>
      <w:r>
        <w:lastRenderedPageBreak/>
        <w:t xml:space="preserve">so that blood pressure checks conducted by the District Nurse can be checked against his medication adherence (Kershaw </w:t>
      </w:r>
      <w:r w:rsidR="002F4C78" w:rsidRPr="002F4C78">
        <w:rPr>
          <w:i/>
          <w:iCs/>
        </w:rPr>
        <w:t>et al</w:t>
      </w:r>
      <w:r>
        <w:rPr>
          <w:i/>
          <w:iCs/>
        </w:rPr>
        <w:t xml:space="preserve">., </w:t>
      </w:r>
      <w:r>
        <w:t>2023).</w:t>
      </w:r>
    </w:p>
    <w:p w14:paraId="00000034" w14:textId="77777777" w:rsidR="00EB0F58" w:rsidRDefault="00000000">
      <w:pPr>
        <w:spacing w:line="360" w:lineRule="auto"/>
        <w:jc w:val="both"/>
      </w:pPr>
      <w:r>
        <w:rPr>
          <w:b/>
          <w:bCs/>
          <w:sz w:val="28"/>
          <w:szCs w:val="28"/>
        </w:rPr>
        <w:t>Strategies for Overcoming Challenges</w:t>
      </w:r>
    </w:p>
    <w:p w14:paraId="00000035" w14:textId="29382BAB" w:rsidR="00EB0F58" w:rsidRDefault="00000000">
      <w:pPr>
        <w:spacing w:line="360" w:lineRule="auto"/>
        <w:jc w:val="both"/>
      </w:pPr>
      <w:r>
        <w:t xml:space="preserve">A multi-agency working can be a challenge to the situation referred to as systematic Working, in which the information becomes confined in a single </w:t>
      </w:r>
      <w:proofErr w:type="spellStart"/>
      <w:r>
        <w:t>organisation</w:t>
      </w:r>
      <w:proofErr w:type="spellEnd"/>
      <w:r>
        <w:t xml:space="preserve">. This came out in the failed visit to the home; unless the scheduling failure of the care agency is clear at the latest time to the GP or District Nurse, </w:t>
      </w:r>
      <w:proofErr w:type="spellStart"/>
      <w:r>
        <w:t>Mr</w:t>
      </w:r>
      <w:proofErr w:type="spellEnd"/>
      <w:r>
        <w:t xml:space="preserve"> Ahmed was at a higher risk of clinical risk (Bradshaw </w:t>
      </w:r>
      <w:r w:rsidR="002F4C78" w:rsidRPr="002F4C78">
        <w:rPr>
          <w:i/>
          <w:iCs/>
        </w:rPr>
        <w:t>et al</w:t>
      </w:r>
      <w:r>
        <w:rPr>
          <w:i/>
          <w:iCs/>
        </w:rPr>
        <w:t xml:space="preserve">., </w:t>
      </w:r>
      <w:r>
        <w:t>2024).</w:t>
      </w:r>
    </w:p>
    <w:p w14:paraId="00000036" w14:textId="548C4271" w:rsidR="00EB0F58" w:rsidRDefault="00000000">
      <w:pPr>
        <w:spacing w:line="360" w:lineRule="auto"/>
        <w:jc w:val="both"/>
      </w:pPr>
      <w:r>
        <w:t xml:space="preserve">This has to be overcome by implementing a strategy of an Integrated Digital Care Record (IDCR). This enables all the professionals with the right access to see and modify a singular source of truth about the state of </w:t>
      </w:r>
      <w:proofErr w:type="spellStart"/>
      <w:r>
        <w:t>Mr</w:t>
      </w:r>
      <w:proofErr w:type="spellEnd"/>
      <w:r>
        <w:t xml:space="preserve"> Ahmed. Furthermore, the creation of the Lead Care Coordinator position will offer the family (in this case, </w:t>
      </w:r>
      <w:proofErr w:type="spellStart"/>
      <w:r>
        <w:t>Mr</w:t>
      </w:r>
      <w:proofErr w:type="spellEnd"/>
      <w:r>
        <w:t xml:space="preserve"> Ahmed's wife) a central address, thus eliminating the sense of communication burning that is usually experienced when multiple agencies are involved.</w:t>
      </w:r>
    </w:p>
    <w:p w14:paraId="00000037" w14:textId="77777777" w:rsidR="00EB0F58" w:rsidRDefault="00EB0F58">
      <w:pPr>
        <w:spacing w:line="360" w:lineRule="auto"/>
        <w:jc w:val="both"/>
      </w:pPr>
    </w:p>
    <w:p w14:paraId="351FBBA1" w14:textId="77777777" w:rsidR="003A52C9" w:rsidRDefault="003A52C9">
      <w:pPr>
        <w:rPr>
          <w:b/>
          <w:bCs/>
          <w:color w:val="0B5394"/>
          <w:sz w:val="32"/>
          <w:szCs w:val="32"/>
        </w:rPr>
      </w:pPr>
      <w:bookmarkStart w:id="7" w:name="_Toc226070452"/>
      <w:r>
        <w:br w:type="page"/>
      </w:r>
    </w:p>
    <w:p w14:paraId="00000038" w14:textId="6B4AF180" w:rsidR="00EB0F58" w:rsidRDefault="00000000">
      <w:pPr>
        <w:pStyle w:val="Heading1"/>
      </w:pPr>
      <w:r>
        <w:lastRenderedPageBreak/>
        <w:t>Conclusion</w:t>
      </w:r>
      <w:bookmarkEnd w:id="7"/>
    </w:p>
    <w:p w14:paraId="00000039" w14:textId="7092A9E4" w:rsidR="00EB0F58" w:rsidRDefault="00000000">
      <w:pPr>
        <w:spacing w:line="360" w:lineRule="auto"/>
        <w:jc w:val="both"/>
      </w:pPr>
      <w:r>
        <w:t xml:space="preserve">This report has established that effective communication is not a passive practice but a legal provision by the Equality Act 2010 that involves active efforts at reducing language and neurological rifts. More so, due to the administrative failure in terms of the missed home visit, it can be inferred that high-quality record-keeping and compliance with the Data Protection Act 2018 are the basis of patient safety and professional responsibility. Finally, the recovery of </w:t>
      </w:r>
      <w:proofErr w:type="spellStart"/>
      <w:r>
        <w:t>Mr</w:t>
      </w:r>
      <w:proofErr w:type="spellEnd"/>
      <w:r>
        <w:t xml:space="preserve"> Ahmed depends on the effectiveness of the multidisciplinary collaboration. The inquiry into the recent delay in medication should act as a driver </w:t>
      </w:r>
      <w:r w:rsidR="00C576A4">
        <w:t>for</w:t>
      </w:r>
      <w:r>
        <w:t xml:space="preserve"> a </w:t>
      </w:r>
      <w:r w:rsidR="00C576A4">
        <w:t>system-wide</w:t>
      </w:r>
      <w:r>
        <w:t xml:space="preserve"> change</w:t>
      </w:r>
      <w:r w:rsidR="00C576A4">
        <w:t>,</w:t>
      </w:r>
      <w:r>
        <w:t xml:space="preserve"> which will guarantee that the collaborative solutions (including those based on the shared digital record and shared care guidelines) are effectively </w:t>
      </w:r>
      <w:proofErr w:type="spellStart"/>
      <w:r>
        <w:t>grounded.</w:t>
      </w:r>
      <w:r w:rsidR="000B20D7">
        <w:t>Th</w:t>
      </w:r>
      <w:r>
        <w:t>e</w:t>
      </w:r>
      <w:proofErr w:type="spellEnd"/>
      <w:r>
        <w:t xml:space="preserve"> service user the core of the properly coordinated, legally-appropriate framework, the care team will be in a position </w:t>
      </w:r>
      <w:r w:rsidR="00C576A4">
        <w:t>to promote</w:t>
      </w:r>
      <w:r>
        <w:t xml:space="preserve"> the utmost standards of professional practice and assist </w:t>
      </w:r>
      <w:proofErr w:type="spellStart"/>
      <w:r>
        <w:t>Mr</w:t>
      </w:r>
      <w:proofErr w:type="spellEnd"/>
      <w:r>
        <w:t xml:space="preserve"> Ahmed towards the process of independence.</w:t>
      </w:r>
    </w:p>
    <w:p w14:paraId="0000003A" w14:textId="77777777" w:rsidR="00EB0F58" w:rsidRDefault="00000000">
      <w:pPr>
        <w:spacing w:line="360" w:lineRule="auto"/>
        <w:jc w:val="both"/>
      </w:pPr>
      <w:r>
        <w:br w:type="page"/>
      </w:r>
    </w:p>
    <w:p w14:paraId="0000003B" w14:textId="77777777" w:rsidR="00EB0F58" w:rsidRDefault="00000000">
      <w:pPr>
        <w:pStyle w:val="Heading1"/>
      </w:pPr>
      <w:bookmarkStart w:id="8" w:name="_Toc226070453"/>
      <w:r>
        <w:lastRenderedPageBreak/>
        <w:t>References</w:t>
      </w:r>
      <w:bookmarkEnd w:id="8"/>
    </w:p>
    <w:p w14:paraId="27030DD1" w14:textId="77777777" w:rsidR="002F4C78" w:rsidRDefault="002F4C78">
      <w:pPr>
        <w:spacing w:line="360" w:lineRule="auto"/>
        <w:jc w:val="both"/>
      </w:pPr>
      <w:r w:rsidRPr="00AF6FAD">
        <w:rPr>
          <w:lang w:val="nl-NL"/>
        </w:rPr>
        <w:t xml:space="preserve">Ahmed, A., van den </w:t>
      </w:r>
      <w:proofErr w:type="spellStart"/>
      <w:r w:rsidRPr="00AF6FAD">
        <w:rPr>
          <w:lang w:val="nl-NL"/>
        </w:rPr>
        <w:t>Muijsenbergh</w:t>
      </w:r>
      <w:proofErr w:type="spellEnd"/>
      <w:r w:rsidRPr="00AF6FAD">
        <w:rPr>
          <w:lang w:val="nl-NL"/>
        </w:rPr>
        <w:t xml:space="preserve">, M. E., </w:t>
      </w:r>
      <w:proofErr w:type="spellStart"/>
      <w:r w:rsidRPr="00AF6FAD">
        <w:rPr>
          <w:lang w:val="nl-NL"/>
        </w:rPr>
        <w:t>and</w:t>
      </w:r>
      <w:proofErr w:type="spellEnd"/>
      <w:r w:rsidRPr="00AF6FAD">
        <w:rPr>
          <w:lang w:val="nl-NL"/>
        </w:rPr>
        <w:t xml:space="preserve"> </w:t>
      </w:r>
      <w:proofErr w:type="spellStart"/>
      <w:r w:rsidRPr="00AF6FAD">
        <w:rPr>
          <w:lang w:val="nl-NL"/>
        </w:rPr>
        <w:t>Vrijhoef</w:t>
      </w:r>
      <w:proofErr w:type="spellEnd"/>
      <w:r w:rsidRPr="00AF6FAD">
        <w:rPr>
          <w:lang w:val="nl-NL"/>
        </w:rPr>
        <w:t xml:space="preserve">, H. J. (2022). </w:t>
      </w:r>
      <w:r>
        <w:t>Person‐</w:t>
      </w:r>
      <w:proofErr w:type="spellStart"/>
      <w:r>
        <w:t>centred</w:t>
      </w:r>
      <w:proofErr w:type="spellEnd"/>
      <w:r>
        <w:t xml:space="preserve"> care in primary care: what works for whom, how and in what </w:t>
      </w:r>
      <w:proofErr w:type="gramStart"/>
      <w:r>
        <w:t>circumstances?.</w:t>
      </w:r>
      <w:proofErr w:type="gramEnd"/>
      <w:r>
        <w:t xml:space="preserve"> Health and social care in the community, 30(6), e3328-e3341. </w:t>
      </w:r>
      <w:hyperlink r:id="rId7">
        <w:r>
          <w:rPr>
            <w:color w:val="1155CC"/>
            <w:u w:val="single"/>
          </w:rPr>
          <w:t>https://doi.org/10.1111/hsc.13913</w:t>
        </w:r>
      </w:hyperlink>
      <w:r>
        <w:t xml:space="preserve"> </w:t>
      </w:r>
    </w:p>
    <w:p w14:paraId="3B35E211" w14:textId="77777777" w:rsidR="002F4C78" w:rsidRDefault="002F4C78">
      <w:pPr>
        <w:spacing w:line="360" w:lineRule="auto"/>
        <w:jc w:val="both"/>
      </w:pPr>
      <w:r>
        <w:t xml:space="preserve">Ambati, K. C. (2025). An event-driven architecture for autonomous supply chain risk detection and decision automation. </w:t>
      </w:r>
      <w:r>
        <w:rPr>
          <w:i/>
          <w:iCs/>
        </w:rPr>
        <w:t>International Journal of Computer Technology and Electronics Communication</w:t>
      </w:r>
      <w:r>
        <w:t xml:space="preserve">, 8(1), 1202-1211. </w:t>
      </w:r>
      <w:hyperlink r:id="rId8">
        <w:r>
          <w:rPr>
            <w:color w:val="1155CC"/>
            <w:u w:val="single"/>
          </w:rPr>
          <w:t>https://doi.org/10.15680/IJIRCCE.2025.1301168</w:t>
        </w:r>
      </w:hyperlink>
      <w:r>
        <w:t xml:space="preserve"> </w:t>
      </w:r>
    </w:p>
    <w:p w14:paraId="1D2E8988" w14:textId="77777777" w:rsidR="002F4C78" w:rsidRDefault="002F4C78">
      <w:pPr>
        <w:spacing w:line="360" w:lineRule="auto"/>
        <w:jc w:val="both"/>
      </w:pPr>
      <w:r w:rsidRPr="00AF6FAD">
        <w:rPr>
          <w:lang w:val="it-IT"/>
        </w:rPr>
        <w:t xml:space="preserve">Annelie J S., Lena, H., Sandra, Mariela, A. M., Ewa, C. L., and Inger K H. (2025). </w:t>
      </w:r>
      <w:r>
        <w:t>The COMCARE Framework for Person‐</w:t>
      </w:r>
      <w:proofErr w:type="spellStart"/>
      <w:r>
        <w:t>Centred</w:t>
      </w:r>
      <w:proofErr w:type="spellEnd"/>
      <w:r>
        <w:t xml:space="preserve"> Communication—A Practical Caring Framework. Scandinavian Journal of Caring Sciences, 39(3), e70074. </w:t>
      </w:r>
      <w:hyperlink r:id="rId9">
        <w:r>
          <w:rPr>
            <w:color w:val="1155CC"/>
            <w:u w:val="single"/>
          </w:rPr>
          <w:t>https://doi.org/10.1111/scs.70074</w:t>
        </w:r>
      </w:hyperlink>
      <w:r>
        <w:t xml:space="preserve"> </w:t>
      </w:r>
    </w:p>
    <w:p w14:paraId="1D5EFAB4" w14:textId="77777777" w:rsidR="002F4C78" w:rsidRDefault="002F4C78">
      <w:pPr>
        <w:spacing w:line="360" w:lineRule="auto"/>
        <w:jc w:val="both"/>
      </w:pPr>
      <w:r>
        <w:t xml:space="preserve">Bradshaw, A., Birtwistle, J., Evans, C. J., Sleeman, K. E., Richards, S., Foy, R., ... and Twiddy, M. (2024). Factors influencing the implementation of digital advanced care planning: qualitative interview study. </w:t>
      </w:r>
      <w:r>
        <w:rPr>
          <w:i/>
          <w:iCs/>
        </w:rPr>
        <w:t>Journal of Medical Internet Research</w:t>
      </w:r>
      <w:r>
        <w:t xml:space="preserve">, 26, e50217. </w:t>
      </w:r>
      <w:hyperlink r:id="rId10">
        <w:r>
          <w:rPr>
            <w:color w:val="1155CC"/>
            <w:u w:val="single"/>
          </w:rPr>
          <w:t>https://doi.org/10.2196/50217</w:t>
        </w:r>
      </w:hyperlink>
      <w:r>
        <w:t xml:space="preserve"> </w:t>
      </w:r>
    </w:p>
    <w:p w14:paraId="5FC48C21" w14:textId="77777777" w:rsidR="002F4C78" w:rsidRPr="00AF6FAD" w:rsidRDefault="002F4C78">
      <w:pPr>
        <w:spacing w:line="360" w:lineRule="auto"/>
        <w:jc w:val="both"/>
        <w:rPr>
          <w:lang w:val="it-IT"/>
        </w:rPr>
      </w:pPr>
      <w:r>
        <w:t xml:space="preserve">Chen, Q., Jin, Y., Zhong, L., Li, Y., Fu, L., Zhang, W., and Xu, Q. (2024). The application effect of the online and offline mixed education mode in nursing practice based on the SMCR communication model. </w:t>
      </w:r>
      <w:proofErr w:type="spellStart"/>
      <w:r w:rsidRPr="00AF6FAD">
        <w:rPr>
          <w:i/>
          <w:iCs/>
          <w:lang w:val="it-IT"/>
        </w:rPr>
        <w:t>Frontiers</w:t>
      </w:r>
      <w:proofErr w:type="spellEnd"/>
      <w:r w:rsidRPr="00AF6FAD">
        <w:rPr>
          <w:i/>
          <w:iCs/>
          <w:lang w:val="it-IT"/>
        </w:rPr>
        <w:t xml:space="preserve"> in Medicine</w:t>
      </w:r>
      <w:r w:rsidRPr="00AF6FAD">
        <w:rPr>
          <w:lang w:val="it-IT"/>
        </w:rPr>
        <w:t xml:space="preserve">, 11, 1350975. </w:t>
      </w:r>
      <w:hyperlink r:id="rId11">
        <w:r w:rsidRPr="00AF6FAD">
          <w:rPr>
            <w:color w:val="1155CC"/>
            <w:u w:val="single"/>
            <w:lang w:val="it-IT"/>
          </w:rPr>
          <w:t>https://pmc.ncbi.nlm.nih.gov/articles/PMC11266125/</w:t>
        </w:r>
      </w:hyperlink>
      <w:r w:rsidRPr="00AF6FAD">
        <w:rPr>
          <w:lang w:val="it-IT"/>
        </w:rPr>
        <w:t xml:space="preserve"> </w:t>
      </w:r>
    </w:p>
    <w:p w14:paraId="1240A56F" w14:textId="77777777" w:rsidR="002F4C78" w:rsidRDefault="002F4C78">
      <w:pPr>
        <w:spacing w:line="360" w:lineRule="auto"/>
        <w:jc w:val="both"/>
      </w:pPr>
      <w:r w:rsidRPr="00AF6FAD">
        <w:rPr>
          <w:lang w:val="it-IT"/>
        </w:rPr>
        <w:t xml:space="preserve">Ciocan, M. (2024). </w:t>
      </w:r>
      <w:r>
        <w:t xml:space="preserve">Enhancing Cultural Competence in Military English Training: Addressing Discrimination and Fostering Inclusivity in Romania. </w:t>
      </w:r>
      <w:proofErr w:type="spellStart"/>
      <w:r>
        <w:t>Dialogo</w:t>
      </w:r>
      <w:proofErr w:type="spellEnd"/>
      <w:r>
        <w:t>, 10(2), 201-217.</w:t>
      </w:r>
    </w:p>
    <w:p w14:paraId="551745D3" w14:textId="77777777" w:rsidR="002F4C78" w:rsidRDefault="002F4C78">
      <w:pPr>
        <w:spacing w:line="360" w:lineRule="auto"/>
        <w:jc w:val="both"/>
      </w:pPr>
      <w:r>
        <w:t xml:space="preserve">Dunbar, P., Keyes, L. M., and Browne, J. P. (2023). Determinants of regulatory compliance in health and social care services: A systematic review using the Consolidated Framework for Implementation Research. </w:t>
      </w:r>
      <w:proofErr w:type="spellStart"/>
      <w:r>
        <w:rPr>
          <w:i/>
          <w:iCs/>
        </w:rPr>
        <w:t>PLoS</w:t>
      </w:r>
      <w:proofErr w:type="spellEnd"/>
      <w:r>
        <w:rPr>
          <w:i/>
          <w:iCs/>
        </w:rPr>
        <w:t xml:space="preserve"> One</w:t>
      </w:r>
      <w:r>
        <w:t>, 18(4), e0278007.</w:t>
      </w:r>
    </w:p>
    <w:p w14:paraId="78DE99D3" w14:textId="77777777" w:rsidR="002F4C78" w:rsidRDefault="002F4C78">
      <w:pPr>
        <w:spacing w:line="360" w:lineRule="auto"/>
        <w:jc w:val="both"/>
      </w:pPr>
      <w:r>
        <w:t xml:space="preserve">Kershaw, V., Farkas, A., Radley, S., and Jha, S. (2023). What is the role of the multidisciplinary team meeting in primary prolapse surgery, and are alternative formats acceptable? </w:t>
      </w:r>
      <w:r>
        <w:rPr>
          <w:i/>
          <w:iCs/>
        </w:rPr>
        <w:t>International Urogynecology Journal</w:t>
      </w:r>
      <w:r>
        <w:t xml:space="preserve">, 34(6), 1235-1241. </w:t>
      </w:r>
      <w:hyperlink r:id="rId12">
        <w:r>
          <w:rPr>
            <w:color w:val="1155CC"/>
            <w:u w:val="single"/>
          </w:rPr>
          <w:t>https://doi.org/10.1007/s00192-022-05345-9</w:t>
        </w:r>
      </w:hyperlink>
      <w:r>
        <w:t xml:space="preserve"> </w:t>
      </w:r>
    </w:p>
    <w:p w14:paraId="0EC01C41" w14:textId="77777777" w:rsidR="002F4C78" w:rsidRDefault="002F4C78">
      <w:pPr>
        <w:spacing w:line="360" w:lineRule="auto"/>
        <w:jc w:val="both"/>
      </w:pPr>
      <w:r>
        <w:t>Lee, R. R., McDonagh, J. E., Farre, A., Peters, S., Cordingley, L., and Rapley, T. (2022). Data protection, information governance and the potential erosion of ethnographic methods in health care? Sociology of Health and Illness, 44(1), 211-217.</w:t>
      </w:r>
    </w:p>
    <w:p w14:paraId="7B08B2F7" w14:textId="77777777" w:rsidR="002F4C78" w:rsidRDefault="002F4C78">
      <w:pPr>
        <w:spacing w:line="360" w:lineRule="auto"/>
        <w:jc w:val="both"/>
      </w:pPr>
      <w:r>
        <w:t>Song, W. (2023). Analysis of Communication Strategies of Food Culture Based on the SMCR Model. In 2023, the 5th International Conference on Applied Machine Learning (ICAML) (pp. 163-167). IEEE.</w:t>
      </w:r>
    </w:p>
    <w:p w14:paraId="17C6A744" w14:textId="77777777" w:rsidR="002F4C78" w:rsidRDefault="002F4C78">
      <w:pPr>
        <w:spacing w:line="360" w:lineRule="auto"/>
        <w:jc w:val="both"/>
      </w:pPr>
      <w:r>
        <w:t xml:space="preserve">Xue, D., Wu, L., Xu, T., Wu, C. L., Wang, Z., and He, Z. (2024). Space weather effects on transportation systems: A review of current understanding and future outlook. Space Weather, 22(12), e2024SW004055. </w:t>
      </w:r>
      <w:hyperlink r:id="rId13">
        <w:r>
          <w:rPr>
            <w:color w:val="1155CC"/>
            <w:u w:val="single"/>
          </w:rPr>
          <w:t>https://doi.org/10.1029/2024SW004055?urlappend=%3Futm_source%3Dresearchgate.net%26utm_medium%3Darticle</w:t>
        </w:r>
      </w:hyperlink>
      <w:r>
        <w:t xml:space="preserve"> </w:t>
      </w:r>
    </w:p>
    <w:p w14:paraId="3B0BA728" w14:textId="77777777" w:rsidR="002F4C78" w:rsidRDefault="002F4C78">
      <w:pPr>
        <w:spacing w:line="360" w:lineRule="auto"/>
        <w:jc w:val="both"/>
      </w:pPr>
      <w:r>
        <w:t xml:space="preserve">Yang, Y. (2023). The Construction of High-Quality Applied Undergraduate Online Courses Based on the SMCR Model. In the 2nd International Conference on Humanities, Arts, Management and Higher Education, str (Vol. 162). </w:t>
      </w:r>
      <w:hyperlink r:id="rId14">
        <w:r>
          <w:rPr>
            <w:color w:val="1155CC"/>
            <w:u w:val="single"/>
          </w:rPr>
          <w:t>https://webofproceedings.org/proceedings_series/article/artId/22243.html</w:t>
        </w:r>
      </w:hyperlink>
      <w:r>
        <w:t xml:space="preserve"> </w:t>
      </w:r>
    </w:p>
    <w:sectPr w:rsidR="002F4C78">
      <w:footerReference w:type="default" r:id="rId15"/>
      <w:footerReference w:type="first" r:id="rId16"/>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622B6" w14:textId="77777777" w:rsidR="0047217F" w:rsidRDefault="0047217F">
      <w:pPr>
        <w:spacing w:line="240" w:lineRule="auto"/>
      </w:pPr>
      <w:r>
        <w:separator/>
      </w:r>
    </w:p>
  </w:endnote>
  <w:endnote w:type="continuationSeparator" w:id="0">
    <w:p w14:paraId="680E9146" w14:textId="77777777" w:rsidR="0047217F" w:rsidRDefault="00472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D997829-9209-484D-85EF-C96D38BB1401}"/>
  </w:font>
  <w:font w:name="Cambria">
    <w:panose1 w:val="02040503050406030204"/>
    <w:charset w:val="00"/>
    <w:family w:val="roman"/>
    <w:pitch w:val="variable"/>
    <w:sig w:usb0="E00006FF" w:usb1="420024FF" w:usb2="02000000" w:usb3="00000000" w:csb0="0000019F" w:csb1="00000000"/>
    <w:embedRegular r:id="rId2" w:fontKey="{2B87D482-9300-4443-B0AF-C8C6560129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9" w14:textId="5BD74A27" w:rsidR="00EB0F58" w:rsidRDefault="00000000">
    <w:pPr>
      <w:jc w:val="right"/>
    </w:pPr>
    <w:r>
      <w:fldChar w:fldCharType="begin"/>
    </w:r>
    <w:r>
      <w:instrText>PAGE</w:instrText>
    </w:r>
    <w:r>
      <w:fldChar w:fldCharType="separate"/>
    </w:r>
    <w:r w:rsidR="0061761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8" w14:textId="77777777" w:rsidR="00EB0F58" w:rsidRDefault="00EB0F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B24A3" w14:textId="77777777" w:rsidR="0047217F" w:rsidRDefault="0047217F">
      <w:pPr>
        <w:spacing w:line="240" w:lineRule="auto"/>
      </w:pPr>
      <w:r>
        <w:separator/>
      </w:r>
    </w:p>
  </w:footnote>
  <w:footnote w:type="continuationSeparator" w:id="0">
    <w:p w14:paraId="4BAA4574" w14:textId="77777777" w:rsidR="0047217F" w:rsidRDefault="004721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BF4B1D"/>
    <w:multiLevelType w:val="multilevel"/>
    <w:tmpl w:val="A42005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1275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F58"/>
    <w:rsid w:val="000B20D7"/>
    <w:rsid w:val="000C3A2B"/>
    <w:rsid w:val="00175460"/>
    <w:rsid w:val="0022450F"/>
    <w:rsid w:val="002F4C78"/>
    <w:rsid w:val="003078D3"/>
    <w:rsid w:val="003A52C9"/>
    <w:rsid w:val="0047217F"/>
    <w:rsid w:val="0061761F"/>
    <w:rsid w:val="006B6F58"/>
    <w:rsid w:val="00744E4F"/>
    <w:rsid w:val="009A0B8E"/>
    <w:rsid w:val="00A7456C"/>
    <w:rsid w:val="00AB3DEE"/>
    <w:rsid w:val="00AF41DC"/>
    <w:rsid w:val="00AF6FAD"/>
    <w:rsid w:val="00C576A4"/>
    <w:rsid w:val="00EA0E08"/>
    <w:rsid w:val="00EB0F58"/>
    <w:rsid w:val="00F12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02DD"/>
  <w15:docId w15:val="{D1F0D226-E926-41CC-B405-DBAA25D37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color w:val="0B5394"/>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1761F"/>
    <w:pPr>
      <w:spacing w:before="240" w:line="259" w:lineRule="auto"/>
      <w:jc w:val="left"/>
      <w:outlineLvl w:val="9"/>
    </w:pPr>
    <w:rPr>
      <w:rFonts w:asciiTheme="majorHAnsi" w:eastAsiaTheme="majorEastAsia" w:hAnsiTheme="majorHAnsi" w:cstheme="majorBidi"/>
      <w:b w:val="0"/>
      <w:bCs w:val="0"/>
      <w:color w:val="365F91" w:themeColor="accent1" w:themeShade="BF"/>
      <w:lang w:val="en-US"/>
    </w:rPr>
  </w:style>
  <w:style w:type="paragraph" w:styleId="TOC1">
    <w:name w:val="toc 1"/>
    <w:basedOn w:val="Normal"/>
    <w:next w:val="Normal"/>
    <w:autoRedefine/>
    <w:uiPriority w:val="39"/>
    <w:unhideWhenUsed/>
    <w:rsid w:val="0061761F"/>
    <w:pPr>
      <w:spacing w:after="100"/>
    </w:pPr>
  </w:style>
  <w:style w:type="character" w:styleId="Hyperlink">
    <w:name w:val="Hyperlink"/>
    <w:basedOn w:val="DefaultParagraphFont"/>
    <w:uiPriority w:val="99"/>
    <w:unhideWhenUsed/>
    <w:rsid w:val="006176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5680/IJIRCCE.2025.1301168" TargetMode="External"/><Relationship Id="rId13" Type="http://schemas.openxmlformats.org/officeDocument/2006/relationships/hyperlink" Target="https://doi.org/10.1029/2024SW004055?urlappend=%3Futm_source%3Dresearchgate.net%26utm_medium%3Dartic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hsc.13913" TargetMode="External"/><Relationship Id="rId12" Type="http://schemas.openxmlformats.org/officeDocument/2006/relationships/hyperlink" Target="https://doi.org/10.1007/s00192-022-05345-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1126612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2196/50217" TargetMode="External"/><Relationship Id="rId4" Type="http://schemas.openxmlformats.org/officeDocument/2006/relationships/webSettings" Target="webSettings.xml"/><Relationship Id="rId9" Type="http://schemas.openxmlformats.org/officeDocument/2006/relationships/hyperlink" Target="https://doi.org/10.1111/scs.70074" TargetMode="External"/><Relationship Id="rId14" Type="http://schemas.openxmlformats.org/officeDocument/2006/relationships/hyperlink" Target="https://webofproceedings.org/proceedings_series/article/artId/22243.htm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Hasan Mahadi</cp:lastModifiedBy>
  <cp:revision>4</cp:revision>
  <dcterms:created xsi:type="dcterms:W3CDTF">2026-04-02T18:53:00Z</dcterms:created>
  <dcterms:modified xsi:type="dcterms:W3CDTF">2026-04-13T11:17:00Z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a06478cb-dfbe-41a1-8fdb-425a017ebef2</vt:lpwstr>
  </property>
</Properties>
</file>