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2BED8C" w14:textId="7B4B387F" w:rsidR="00F13F9F" w:rsidRPr="005612CE" w:rsidRDefault="00410E9F" w:rsidP="00F13F9F">
      <w:pPr>
        <w:jc w:val="center"/>
        <w:rPr>
          <w:rFonts w:cs="Arial"/>
        </w:rPr>
      </w:pPr>
      <w:r w:rsidRPr="005612CE">
        <w:rPr>
          <w:rFonts w:cs="Arial"/>
          <w:noProof/>
        </w:rPr>
        <w:drawing>
          <wp:inline distT="0" distB="0" distL="0" distR="0" wp14:anchorId="351733A0" wp14:editId="37C31DCE">
            <wp:extent cx="5943600" cy="2486025"/>
            <wp:effectExtent l="0" t="0" r="0" b="9525"/>
            <wp:docPr id="166582448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86025"/>
                    </a:xfrm>
                    <a:prstGeom prst="rect">
                      <a:avLst/>
                    </a:prstGeom>
                    <a:noFill/>
                    <a:ln>
                      <a:noFill/>
                    </a:ln>
                  </pic:spPr>
                </pic:pic>
              </a:graphicData>
            </a:graphic>
          </wp:inline>
        </w:drawing>
      </w:r>
    </w:p>
    <w:p w14:paraId="404505D3" w14:textId="2EAC9C6A" w:rsidR="00F13F9F" w:rsidRPr="005612CE" w:rsidRDefault="00F13F9F" w:rsidP="00F13F9F">
      <w:pPr>
        <w:spacing w:before="560"/>
        <w:jc w:val="center"/>
        <w:rPr>
          <w:rFonts w:cs="Arial"/>
          <w:sz w:val="32"/>
          <w:szCs w:val="32"/>
        </w:rPr>
      </w:pPr>
      <w:r w:rsidRPr="005612CE">
        <w:rPr>
          <w:rFonts w:eastAsia="Arial" w:cs="Arial"/>
          <w:b/>
          <w:sz w:val="32"/>
          <w:szCs w:val="32"/>
        </w:rPr>
        <w:t>Master of Business Administration</w:t>
      </w:r>
    </w:p>
    <w:p w14:paraId="32FD540F" w14:textId="77777777" w:rsidR="00F13F9F" w:rsidRPr="005612CE" w:rsidRDefault="00F13F9F" w:rsidP="00F13F9F">
      <w:pPr>
        <w:jc w:val="center"/>
        <w:rPr>
          <w:rFonts w:cs="Arial"/>
          <w:sz w:val="32"/>
          <w:szCs w:val="32"/>
        </w:rPr>
      </w:pPr>
      <w:r w:rsidRPr="005612CE">
        <w:rPr>
          <w:rFonts w:eastAsia="Arial" w:cs="Arial"/>
          <w:b/>
          <w:sz w:val="32"/>
          <w:szCs w:val="32"/>
        </w:rPr>
        <w:t>Human Capital Management (LCMB7023)</w:t>
      </w:r>
    </w:p>
    <w:p w14:paraId="3B8E8636" w14:textId="77777777" w:rsidR="00F13F9F" w:rsidRPr="005612CE" w:rsidRDefault="00F13F9F" w:rsidP="00F13F9F">
      <w:pPr>
        <w:spacing w:before="480"/>
        <w:jc w:val="center"/>
        <w:rPr>
          <w:rFonts w:cs="Arial"/>
          <w:szCs w:val="24"/>
        </w:rPr>
      </w:pPr>
      <w:r w:rsidRPr="005612CE">
        <w:rPr>
          <w:rFonts w:eastAsia="Arial" w:cs="Arial"/>
          <w:b/>
          <w:szCs w:val="24"/>
        </w:rPr>
        <w:t>ASSESSMENT COMPONENT 1: INDIVIDUAL REPORT</w:t>
      </w:r>
    </w:p>
    <w:p w14:paraId="65BF9963" w14:textId="53910E84" w:rsidR="00F13F9F" w:rsidRDefault="000E0CA1" w:rsidP="00F13F9F">
      <w:pPr>
        <w:jc w:val="center"/>
        <w:rPr>
          <w:rFonts w:eastAsia="Arial" w:cs="Arial"/>
          <w:b/>
          <w:szCs w:val="24"/>
        </w:rPr>
      </w:pPr>
      <w:r>
        <w:rPr>
          <w:rFonts w:eastAsia="Arial" w:cs="Arial"/>
          <w:b/>
          <w:szCs w:val="24"/>
        </w:rPr>
        <w:t xml:space="preserve">Title: </w:t>
      </w:r>
      <w:r w:rsidR="00F13F9F" w:rsidRPr="005612CE">
        <w:rPr>
          <w:rFonts w:eastAsia="Arial" w:cs="Arial"/>
          <w:b/>
          <w:szCs w:val="24"/>
        </w:rPr>
        <w:t>Innovating New Working Practices and Breeding an Environment Where Talent May Grow</w:t>
      </w:r>
    </w:p>
    <w:p w14:paraId="7EE6C281" w14:textId="4A6B05DA" w:rsidR="000E0CA1" w:rsidRPr="000E0CA1" w:rsidRDefault="000E0CA1" w:rsidP="00F13F9F">
      <w:pPr>
        <w:jc w:val="center"/>
        <w:rPr>
          <w:rFonts w:cs="Arial"/>
          <w:b/>
          <w:szCs w:val="24"/>
        </w:rPr>
      </w:pPr>
      <w:r w:rsidRPr="000E0CA1">
        <w:rPr>
          <w:rFonts w:cs="Arial"/>
          <w:b/>
          <w:szCs w:val="24"/>
        </w:rPr>
        <w:t>Lecturer Name: Gladius Kulothungan (London) / Eno Maycock (Birmingham)</w:t>
      </w:r>
    </w:p>
    <w:p w14:paraId="265A5EDA" w14:textId="77777777" w:rsidR="000E0CA1" w:rsidRPr="000E0CA1" w:rsidRDefault="000E0CA1" w:rsidP="000E0CA1">
      <w:pPr>
        <w:jc w:val="center"/>
        <w:rPr>
          <w:rFonts w:cs="Arial"/>
          <w:szCs w:val="24"/>
        </w:rPr>
      </w:pPr>
      <w:r w:rsidRPr="000E0CA1">
        <w:rPr>
          <w:rFonts w:cs="Arial"/>
          <w:szCs w:val="24"/>
        </w:rPr>
        <w:t>Student Name: Taranpreet singh</w:t>
      </w:r>
    </w:p>
    <w:p w14:paraId="73F58C50" w14:textId="77777777" w:rsidR="000E0CA1" w:rsidRPr="000E0CA1" w:rsidRDefault="000E0CA1" w:rsidP="000E0CA1">
      <w:pPr>
        <w:jc w:val="center"/>
        <w:rPr>
          <w:rFonts w:cs="Arial"/>
          <w:szCs w:val="24"/>
        </w:rPr>
      </w:pPr>
      <w:r w:rsidRPr="000E0CA1">
        <w:rPr>
          <w:rFonts w:cs="Arial"/>
          <w:szCs w:val="24"/>
        </w:rPr>
        <w:t>Student ID: 2606892</w:t>
      </w:r>
    </w:p>
    <w:p w14:paraId="2E14BEF7" w14:textId="77777777" w:rsidR="000E0CA1" w:rsidRPr="000E0CA1" w:rsidRDefault="000E0CA1" w:rsidP="000E0CA1">
      <w:pPr>
        <w:jc w:val="center"/>
        <w:rPr>
          <w:rFonts w:cs="Arial"/>
          <w:szCs w:val="24"/>
        </w:rPr>
      </w:pPr>
      <w:r w:rsidRPr="000E0CA1">
        <w:rPr>
          <w:rFonts w:cs="Arial"/>
          <w:szCs w:val="24"/>
        </w:rPr>
        <w:t>Word Count: 2527</w:t>
      </w:r>
    </w:p>
    <w:p w14:paraId="53298255" w14:textId="6CEEE4C4" w:rsidR="00BD2BDB" w:rsidRPr="005612CE" w:rsidRDefault="000E0CA1" w:rsidP="000E0CA1">
      <w:pPr>
        <w:jc w:val="center"/>
        <w:rPr>
          <w:rFonts w:cs="Arial"/>
          <w:szCs w:val="24"/>
        </w:rPr>
      </w:pPr>
      <w:r w:rsidRPr="000E0CA1">
        <w:rPr>
          <w:rFonts w:cs="Arial"/>
          <w:szCs w:val="24"/>
        </w:rPr>
        <w:t>Submission Date: 15 October 2026.</w:t>
      </w:r>
    </w:p>
    <w:p w14:paraId="00EBD48F" w14:textId="77777777" w:rsidR="00156DEC" w:rsidRPr="005612CE" w:rsidRDefault="00156DEC">
      <w:pPr>
        <w:rPr>
          <w:rFonts w:cs="Arial"/>
        </w:rPr>
      </w:pPr>
      <w:r w:rsidRPr="005612CE">
        <w:rPr>
          <w:rFonts w:cs="Arial"/>
        </w:rPr>
        <w:br w:type="page"/>
      </w:r>
    </w:p>
    <w:sdt>
      <w:sdtPr>
        <w:rPr>
          <w:rFonts w:ascii="Arial" w:eastAsiaTheme="minorHAnsi" w:hAnsi="Arial" w:cstheme="minorBidi"/>
          <w:color w:val="auto"/>
          <w:sz w:val="24"/>
          <w:szCs w:val="22"/>
        </w:rPr>
        <w:id w:val="1923760214"/>
        <w:docPartObj>
          <w:docPartGallery w:val="Table of Contents"/>
          <w:docPartUnique/>
        </w:docPartObj>
      </w:sdtPr>
      <w:sdtEndPr>
        <w:rPr>
          <w:b/>
          <w:bCs/>
          <w:noProof/>
        </w:rPr>
      </w:sdtEndPr>
      <w:sdtContent>
        <w:p w14:paraId="72463588" w14:textId="77777777" w:rsidR="00BD2BDB" w:rsidRPr="005612CE" w:rsidRDefault="00BD2BDB" w:rsidP="004D39C0">
          <w:pPr>
            <w:pStyle w:val="TOCHeading"/>
            <w:jc w:val="center"/>
            <w:rPr>
              <w:rFonts w:ascii="Arial" w:hAnsi="Arial"/>
            </w:rPr>
          </w:pPr>
          <w:r w:rsidRPr="005612CE">
            <w:rPr>
              <w:rFonts w:ascii="Arial" w:hAnsi="Arial"/>
            </w:rPr>
            <w:t>Table of Contents</w:t>
          </w:r>
        </w:p>
        <w:p w14:paraId="3DB10AA0" w14:textId="18F26A34" w:rsidR="009774D9" w:rsidRDefault="00BD2BDB">
          <w:pPr>
            <w:pStyle w:val="TOC1"/>
            <w:rPr>
              <w:rFonts w:asciiTheme="minorHAnsi" w:eastAsiaTheme="minorEastAsia" w:hAnsiTheme="minorHAnsi"/>
              <w:noProof/>
              <w:kern w:val="2"/>
              <w:szCs w:val="24"/>
              <w14:ligatures w14:val="standardContextual"/>
            </w:rPr>
          </w:pPr>
          <w:r w:rsidRPr="005612CE">
            <w:rPr>
              <w:rFonts w:cs="Arial"/>
            </w:rPr>
            <w:fldChar w:fldCharType="begin"/>
          </w:r>
          <w:r w:rsidRPr="005612CE">
            <w:rPr>
              <w:rFonts w:cs="Arial"/>
            </w:rPr>
            <w:instrText xml:space="preserve"> TOC \o "1-3" \h \z \u </w:instrText>
          </w:r>
          <w:r w:rsidRPr="005612CE">
            <w:rPr>
              <w:rFonts w:cs="Arial"/>
            </w:rPr>
            <w:fldChar w:fldCharType="separate"/>
          </w:r>
          <w:hyperlink w:anchor="_Toc242723740" w:history="1">
            <w:r w:rsidR="009774D9" w:rsidRPr="005F5EAF">
              <w:rPr>
                <w:rStyle w:val="Hyperlink"/>
                <w:noProof/>
              </w:rPr>
              <w:t>1. Introduction</w:t>
            </w:r>
            <w:r w:rsidR="009774D9">
              <w:rPr>
                <w:noProof/>
                <w:webHidden/>
              </w:rPr>
              <w:tab/>
            </w:r>
            <w:r w:rsidR="009774D9">
              <w:rPr>
                <w:noProof/>
                <w:webHidden/>
              </w:rPr>
              <w:fldChar w:fldCharType="begin"/>
            </w:r>
            <w:r w:rsidR="009774D9">
              <w:rPr>
                <w:noProof/>
                <w:webHidden/>
              </w:rPr>
              <w:instrText xml:space="preserve"> PAGEREF _Toc242723740 \h </w:instrText>
            </w:r>
            <w:r w:rsidR="009774D9">
              <w:rPr>
                <w:noProof/>
                <w:webHidden/>
              </w:rPr>
            </w:r>
            <w:r w:rsidR="009774D9">
              <w:rPr>
                <w:noProof/>
                <w:webHidden/>
              </w:rPr>
              <w:fldChar w:fldCharType="separate"/>
            </w:r>
            <w:r w:rsidR="009774D9">
              <w:rPr>
                <w:noProof/>
                <w:webHidden/>
              </w:rPr>
              <w:t>3</w:t>
            </w:r>
            <w:r w:rsidR="009774D9">
              <w:rPr>
                <w:noProof/>
                <w:webHidden/>
              </w:rPr>
              <w:fldChar w:fldCharType="end"/>
            </w:r>
          </w:hyperlink>
        </w:p>
        <w:p w14:paraId="4BF17883" w14:textId="229853A6" w:rsidR="009774D9" w:rsidRDefault="00AE422B">
          <w:pPr>
            <w:pStyle w:val="TOC1"/>
            <w:rPr>
              <w:rFonts w:asciiTheme="minorHAnsi" w:eastAsiaTheme="minorEastAsia" w:hAnsiTheme="minorHAnsi"/>
              <w:noProof/>
              <w:kern w:val="2"/>
              <w:szCs w:val="24"/>
              <w14:ligatures w14:val="standardContextual"/>
            </w:rPr>
          </w:pPr>
          <w:hyperlink w:anchor="_Toc242723741" w:history="1">
            <w:r w:rsidR="009774D9" w:rsidRPr="005F5EAF">
              <w:rPr>
                <w:rStyle w:val="Hyperlink"/>
                <w:noProof/>
              </w:rPr>
              <w:t>2. Task A: Designing Innovative Working Practices</w:t>
            </w:r>
            <w:r w:rsidR="009774D9">
              <w:rPr>
                <w:noProof/>
                <w:webHidden/>
              </w:rPr>
              <w:tab/>
            </w:r>
            <w:r w:rsidR="009774D9">
              <w:rPr>
                <w:noProof/>
                <w:webHidden/>
              </w:rPr>
              <w:fldChar w:fldCharType="begin"/>
            </w:r>
            <w:r w:rsidR="009774D9">
              <w:rPr>
                <w:noProof/>
                <w:webHidden/>
              </w:rPr>
              <w:instrText xml:space="preserve"> PAGEREF _Toc242723741 \h </w:instrText>
            </w:r>
            <w:r w:rsidR="009774D9">
              <w:rPr>
                <w:noProof/>
                <w:webHidden/>
              </w:rPr>
            </w:r>
            <w:r w:rsidR="009774D9">
              <w:rPr>
                <w:noProof/>
                <w:webHidden/>
              </w:rPr>
              <w:fldChar w:fldCharType="separate"/>
            </w:r>
            <w:r w:rsidR="009774D9">
              <w:rPr>
                <w:noProof/>
                <w:webHidden/>
              </w:rPr>
              <w:t>3</w:t>
            </w:r>
            <w:r w:rsidR="009774D9">
              <w:rPr>
                <w:noProof/>
                <w:webHidden/>
              </w:rPr>
              <w:fldChar w:fldCharType="end"/>
            </w:r>
          </w:hyperlink>
        </w:p>
        <w:p w14:paraId="09A91202" w14:textId="18D68D12"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2" w:history="1">
            <w:r w:rsidR="009774D9" w:rsidRPr="005F5EAF">
              <w:rPr>
                <w:rStyle w:val="Hyperlink"/>
                <w:noProof/>
              </w:rPr>
              <w:t>2.1 Traditional versus Contemporary Working Practices</w:t>
            </w:r>
            <w:r w:rsidR="009774D9">
              <w:rPr>
                <w:noProof/>
                <w:webHidden/>
              </w:rPr>
              <w:tab/>
            </w:r>
            <w:r w:rsidR="009774D9">
              <w:rPr>
                <w:noProof/>
                <w:webHidden/>
              </w:rPr>
              <w:fldChar w:fldCharType="begin"/>
            </w:r>
            <w:r w:rsidR="009774D9">
              <w:rPr>
                <w:noProof/>
                <w:webHidden/>
              </w:rPr>
              <w:instrText xml:space="preserve"> PAGEREF _Toc242723742 \h </w:instrText>
            </w:r>
            <w:r w:rsidR="009774D9">
              <w:rPr>
                <w:noProof/>
                <w:webHidden/>
              </w:rPr>
            </w:r>
            <w:r w:rsidR="009774D9">
              <w:rPr>
                <w:noProof/>
                <w:webHidden/>
              </w:rPr>
              <w:fldChar w:fldCharType="separate"/>
            </w:r>
            <w:r w:rsidR="009774D9">
              <w:rPr>
                <w:noProof/>
                <w:webHidden/>
              </w:rPr>
              <w:t>3</w:t>
            </w:r>
            <w:r w:rsidR="009774D9">
              <w:rPr>
                <w:noProof/>
                <w:webHidden/>
              </w:rPr>
              <w:fldChar w:fldCharType="end"/>
            </w:r>
          </w:hyperlink>
        </w:p>
        <w:p w14:paraId="36249717" w14:textId="5423196F"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3" w:history="1">
            <w:r w:rsidR="009774D9" w:rsidRPr="005F5EAF">
              <w:rPr>
                <w:rStyle w:val="Hyperlink"/>
                <w:noProof/>
              </w:rPr>
              <w:t>2.2 Innovative Working Practices for NHSX</w:t>
            </w:r>
            <w:r w:rsidR="009774D9">
              <w:rPr>
                <w:noProof/>
                <w:webHidden/>
              </w:rPr>
              <w:tab/>
            </w:r>
            <w:r w:rsidR="009774D9">
              <w:rPr>
                <w:noProof/>
                <w:webHidden/>
              </w:rPr>
              <w:fldChar w:fldCharType="begin"/>
            </w:r>
            <w:r w:rsidR="009774D9">
              <w:rPr>
                <w:noProof/>
                <w:webHidden/>
              </w:rPr>
              <w:instrText xml:space="preserve"> PAGEREF _Toc242723743 \h </w:instrText>
            </w:r>
            <w:r w:rsidR="009774D9">
              <w:rPr>
                <w:noProof/>
                <w:webHidden/>
              </w:rPr>
            </w:r>
            <w:r w:rsidR="009774D9">
              <w:rPr>
                <w:noProof/>
                <w:webHidden/>
              </w:rPr>
              <w:fldChar w:fldCharType="separate"/>
            </w:r>
            <w:r w:rsidR="009774D9">
              <w:rPr>
                <w:noProof/>
                <w:webHidden/>
              </w:rPr>
              <w:t>4</w:t>
            </w:r>
            <w:r w:rsidR="009774D9">
              <w:rPr>
                <w:noProof/>
                <w:webHidden/>
              </w:rPr>
              <w:fldChar w:fldCharType="end"/>
            </w:r>
          </w:hyperlink>
        </w:p>
        <w:p w14:paraId="34C52852" w14:textId="741556DC"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4" w:history="1">
            <w:r w:rsidR="009774D9" w:rsidRPr="005F5EAF">
              <w:rPr>
                <w:rStyle w:val="Hyperlink"/>
                <w:noProof/>
              </w:rPr>
              <w:t>2.3 Impact on Organisational Performance</w:t>
            </w:r>
            <w:r w:rsidR="009774D9">
              <w:rPr>
                <w:noProof/>
                <w:webHidden/>
              </w:rPr>
              <w:tab/>
            </w:r>
            <w:r w:rsidR="009774D9">
              <w:rPr>
                <w:noProof/>
                <w:webHidden/>
              </w:rPr>
              <w:fldChar w:fldCharType="begin"/>
            </w:r>
            <w:r w:rsidR="009774D9">
              <w:rPr>
                <w:noProof/>
                <w:webHidden/>
              </w:rPr>
              <w:instrText xml:space="preserve"> PAGEREF _Toc242723744 \h </w:instrText>
            </w:r>
            <w:r w:rsidR="009774D9">
              <w:rPr>
                <w:noProof/>
                <w:webHidden/>
              </w:rPr>
            </w:r>
            <w:r w:rsidR="009774D9">
              <w:rPr>
                <w:noProof/>
                <w:webHidden/>
              </w:rPr>
              <w:fldChar w:fldCharType="separate"/>
            </w:r>
            <w:r w:rsidR="009774D9">
              <w:rPr>
                <w:noProof/>
                <w:webHidden/>
              </w:rPr>
              <w:t>6</w:t>
            </w:r>
            <w:r w:rsidR="009774D9">
              <w:rPr>
                <w:noProof/>
                <w:webHidden/>
              </w:rPr>
              <w:fldChar w:fldCharType="end"/>
            </w:r>
          </w:hyperlink>
        </w:p>
        <w:p w14:paraId="0AA898E6" w14:textId="5B468D38" w:rsidR="009774D9" w:rsidRDefault="00AE422B">
          <w:pPr>
            <w:pStyle w:val="TOC1"/>
            <w:rPr>
              <w:rFonts w:asciiTheme="minorHAnsi" w:eastAsiaTheme="minorEastAsia" w:hAnsiTheme="minorHAnsi"/>
              <w:noProof/>
              <w:kern w:val="2"/>
              <w:szCs w:val="24"/>
              <w14:ligatures w14:val="standardContextual"/>
            </w:rPr>
          </w:pPr>
          <w:hyperlink w:anchor="_Toc242723745" w:history="1">
            <w:r w:rsidR="009774D9" w:rsidRPr="005F5EAF">
              <w:rPr>
                <w:rStyle w:val="Hyperlink"/>
                <w:noProof/>
              </w:rPr>
              <w:t>3. Task B: Breeding an Environment Where Talent May Grow</w:t>
            </w:r>
            <w:r w:rsidR="009774D9">
              <w:rPr>
                <w:noProof/>
                <w:webHidden/>
              </w:rPr>
              <w:tab/>
            </w:r>
            <w:r w:rsidR="009774D9">
              <w:rPr>
                <w:noProof/>
                <w:webHidden/>
              </w:rPr>
              <w:fldChar w:fldCharType="begin"/>
            </w:r>
            <w:r w:rsidR="009774D9">
              <w:rPr>
                <w:noProof/>
                <w:webHidden/>
              </w:rPr>
              <w:instrText xml:space="preserve"> PAGEREF _Toc242723745 \h </w:instrText>
            </w:r>
            <w:r w:rsidR="009774D9">
              <w:rPr>
                <w:noProof/>
                <w:webHidden/>
              </w:rPr>
            </w:r>
            <w:r w:rsidR="009774D9">
              <w:rPr>
                <w:noProof/>
                <w:webHidden/>
              </w:rPr>
              <w:fldChar w:fldCharType="separate"/>
            </w:r>
            <w:r w:rsidR="009774D9">
              <w:rPr>
                <w:noProof/>
                <w:webHidden/>
              </w:rPr>
              <w:t>6</w:t>
            </w:r>
            <w:r w:rsidR="009774D9">
              <w:rPr>
                <w:noProof/>
                <w:webHidden/>
              </w:rPr>
              <w:fldChar w:fldCharType="end"/>
            </w:r>
          </w:hyperlink>
        </w:p>
        <w:p w14:paraId="00FE717F" w14:textId="0C775802"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6" w:history="1">
            <w:r w:rsidR="009774D9" w:rsidRPr="005F5EAF">
              <w:rPr>
                <w:rStyle w:val="Hyperlink"/>
                <w:noProof/>
              </w:rPr>
              <w:t>3.1 Theories Supporting Talent Growth</w:t>
            </w:r>
            <w:r w:rsidR="009774D9">
              <w:rPr>
                <w:noProof/>
                <w:webHidden/>
              </w:rPr>
              <w:tab/>
            </w:r>
            <w:r w:rsidR="009774D9">
              <w:rPr>
                <w:noProof/>
                <w:webHidden/>
              </w:rPr>
              <w:fldChar w:fldCharType="begin"/>
            </w:r>
            <w:r w:rsidR="009774D9">
              <w:rPr>
                <w:noProof/>
                <w:webHidden/>
              </w:rPr>
              <w:instrText xml:space="preserve"> PAGEREF _Toc242723746 \h </w:instrText>
            </w:r>
            <w:r w:rsidR="009774D9">
              <w:rPr>
                <w:noProof/>
                <w:webHidden/>
              </w:rPr>
            </w:r>
            <w:r w:rsidR="009774D9">
              <w:rPr>
                <w:noProof/>
                <w:webHidden/>
              </w:rPr>
              <w:fldChar w:fldCharType="separate"/>
            </w:r>
            <w:r w:rsidR="009774D9">
              <w:rPr>
                <w:noProof/>
                <w:webHidden/>
              </w:rPr>
              <w:t>6</w:t>
            </w:r>
            <w:r w:rsidR="009774D9">
              <w:rPr>
                <w:noProof/>
                <w:webHidden/>
              </w:rPr>
              <w:fldChar w:fldCharType="end"/>
            </w:r>
          </w:hyperlink>
        </w:p>
        <w:p w14:paraId="3C54C29E" w14:textId="6BA4A71C"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7" w:history="1">
            <w:r w:rsidR="009774D9" w:rsidRPr="005F5EAF">
              <w:rPr>
                <w:rStyle w:val="Hyperlink"/>
                <w:noProof/>
              </w:rPr>
              <w:t>3.2 Strategic Talent Growth Strategy for NHSX</w:t>
            </w:r>
            <w:r w:rsidR="009774D9">
              <w:rPr>
                <w:noProof/>
                <w:webHidden/>
              </w:rPr>
              <w:tab/>
            </w:r>
            <w:r w:rsidR="009774D9">
              <w:rPr>
                <w:noProof/>
                <w:webHidden/>
              </w:rPr>
              <w:fldChar w:fldCharType="begin"/>
            </w:r>
            <w:r w:rsidR="009774D9">
              <w:rPr>
                <w:noProof/>
                <w:webHidden/>
              </w:rPr>
              <w:instrText xml:space="preserve"> PAGEREF _Toc242723747 \h </w:instrText>
            </w:r>
            <w:r w:rsidR="009774D9">
              <w:rPr>
                <w:noProof/>
                <w:webHidden/>
              </w:rPr>
            </w:r>
            <w:r w:rsidR="009774D9">
              <w:rPr>
                <w:noProof/>
                <w:webHidden/>
              </w:rPr>
              <w:fldChar w:fldCharType="separate"/>
            </w:r>
            <w:r w:rsidR="009774D9">
              <w:rPr>
                <w:noProof/>
                <w:webHidden/>
              </w:rPr>
              <w:t>7</w:t>
            </w:r>
            <w:r w:rsidR="009774D9">
              <w:rPr>
                <w:noProof/>
                <w:webHidden/>
              </w:rPr>
              <w:fldChar w:fldCharType="end"/>
            </w:r>
          </w:hyperlink>
        </w:p>
        <w:p w14:paraId="1ABB0B0F" w14:textId="294A49C8"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48" w:history="1">
            <w:r w:rsidR="009774D9" w:rsidRPr="005F5EAF">
              <w:rPr>
                <w:rStyle w:val="Hyperlink"/>
                <w:noProof/>
              </w:rPr>
              <w:t>3.3 Expected Outcomes</w:t>
            </w:r>
            <w:r w:rsidR="009774D9">
              <w:rPr>
                <w:noProof/>
                <w:webHidden/>
              </w:rPr>
              <w:tab/>
            </w:r>
            <w:r w:rsidR="009774D9">
              <w:rPr>
                <w:noProof/>
                <w:webHidden/>
              </w:rPr>
              <w:fldChar w:fldCharType="begin"/>
            </w:r>
            <w:r w:rsidR="009774D9">
              <w:rPr>
                <w:noProof/>
                <w:webHidden/>
              </w:rPr>
              <w:instrText xml:space="preserve"> PAGEREF _Toc242723748 \h </w:instrText>
            </w:r>
            <w:r w:rsidR="009774D9">
              <w:rPr>
                <w:noProof/>
                <w:webHidden/>
              </w:rPr>
            </w:r>
            <w:r w:rsidR="009774D9">
              <w:rPr>
                <w:noProof/>
                <w:webHidden/>
              </w:rPr>
              <w:fldChar w:fldCharType="separate"/>
            </w:r>
            <w:r w:rsidR="009774D9">
              <w:rPr>
                <w:noProof/>
                <w:webHidden/>
              </w:rPr>
              <w:t>9</w:t>
            </w:r>
            <w:r w:rsidR="009774D9">
              <w:rPr>
                <w:noProof/>
                <w:webHidden/>
              </w:rPr>
              <w:fldChar w:fldCharType="end"/>
            </w:r>
          </w:hyperlink>
        </w:p>
        <w:p w14:paraId="14A3ED5B" w14:textId="0ADC854F" w:rsidR="009774D9" w:rsidRDefault="00AE422B">
          <w:pPr>
            <w:pStyle w:val="TOC1"/>
            <w:rPr>
              <w:rFonts w:asciiTheme="minorHAnsi" w:eastAsiaTheme="minorEastAsia" w:hAnsiTheme="minorHAnsi"/>
              <w:noProof/>
              <w:kern w:val="2"/>
              <w:szCs w:val="24"/>
              <w14:ligatures w14:val="standardContextual"/>
            </w:rPr>
          </w:pPr>
          <w:hyperlink w:anchor="_Toc242723749" w:history="1">
            <w:r w:rsidR="009774D9" w:rsidRPr="005F5EAF">
              <w:rPr>
                <w:rStyle w:val="Hyperlink"/>
                <w:noProof/>
              </w:rPr>
              <w:t>4. Task C: Reflective Report</w:t>
            </w:r>
            <w:r w:rsidR="009774D9">
              <w:rPr>
                <w:noProof/>
                <w:webHidden/>
              </w:rPr>
              <w:tab/>
            </w:r>
            <w:r w:rsidR="009774D9">
              <w:rPr>
                <w:noProof/>
                <w:webHidden/>
              </w:rPr>
              <w:fldChar w:fldCharType="begin"/>
            </w:r>
            <w:r w:rsidR="009774D9">
              <w:rPr>
                <w:noProof/>
                <w:webHidden/>
              </w:rPr>
              <w:instrText xml:space="preserve"> PAGEREF _Toc242723749 \h </w:instrText>
            </w:r>
            <w:r w:rsidR="009774D9">
              <w:rPr>
                <w:noProof/>
                <w:webHidden/>
              </w:rPr>
            </w:r>
            <w:r w:rsidR="009774D9">
              <w:rPr>
                <w:noProof/>
                <w:webHidden/>
              </w:rPr>
              <w:fldChar w:fldCharType="separate"/>
            </w:r>
            <w:r w:rsidR="009774D9">
              <w:rPr>
                <w:noProof/>
                <w:webHidden/>
              </w:rPr>
              <w:t>9</w:t>
            </w:r>
            <w:r w:rsidR="009774D9">
              <w:rPr>
                <w:noProof/>
                <w:webHidden/>
              </w:rPr>
              <w:fldChar w:fldCharType="end"/>
            </w:r>
          </w:hyperlink>
        </w:p>
        <w:p w14:paraId="6FD58AA8" w14:textId="295EAD0B"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50" w:history="1">
            <w:r w:rsidR="009774D9" w:rsidRPr="005F5EAF">
              <w:rPr>
                <w:rStyle w:val="Hyperlink"/>
                <w:noProof/>
              </w:rPr>
              <w:t>4.1 AI as a Strategic HR Decision-Support Tool</w:t>
            </w:r>
            <w:r w:rsidR="009774D9">
              <w:rPr>
                <w:noProof/>
                <w:webHidden/>
              </w:rPr>
              <w:tab/>
            </w:r>
            <w:r w:rsidR="009774D9">
              <w:rPr>
                <w:noProof/>
                <w:webHidden/>
              </w:rPr>
              <w:fldChar w:fldCharType="begin"/>
            </w:r>
            <w:r w:rsidR="009774D9">
              <w:rPr>
                <w:noProof/>
                <w:webHidden/>
              </w:rPr>
              <w:instrText xml:space="preserve"> PAGEREF _Toc242723750 \h </w:instrText>
            </w:r>
            <w:r w:rsidR="009774D9">
              <w:rPr>
                <w:noProof/>
                <w:webHidden/>
              </w:rPr>
            </w:r>
            <w:r w:rsidR="009774D9">
              <w:rPr>
                <w:noProof/>
                <w:webHidden/>
              </w:rPr>
              <w:fldChar w:fldCharType="separate"/>
            </w:r>
            <w:r w:rsidR="009774D9">
              <w:rPr>
                <w:noProof/>
                <w:webHidden/>
              </w:rPr>
              <w:t>9</w:t>
            </w:r>
            <w:r w:rsidR="009774D9">
              <w:rPr>
                <w:noProof/>
                <w:webHidden/>
              </w:rPr>
              <w:fldChar w:fldCharType="end"/>
            </w:r>
          </w:hyperlink>
        </w:p>
        <w:p w14:paraId="6E353D9F" w14:textId="0AAD37AB"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51" w:history="1">
            <w:r w:rsidR="009774D9" w:rsidRPr="005F5EAF">
              <w:rPr>
                <w:rStyle w:val="Hyperlink"/>
                <w:noProof/>
              </w:rPr>
              <w:t>4.2 Reflection on Three Uses of AI</w:t>
            </w:r>
            <w:r w:rsidR="009774D9">
              <w:rPr>
                <w:noProof/>
                <w:webHidden/>
              </w:rPr>
              <w:tab/>
            </w:r>
            <w:r w:rsidR="009774D9">
              <w:rPr>
                <w:noProof/>
                <w:webHidden/>
              </w:rPr>
              <w:fldChar w:fldCharType="begin"/>
            </w:r>
            <w:r w:rsidR="009774D9">
              <w:rPr>
                <w:noProof/>
                <w:webHidden/>
              </w:rPr>
              <w:instrText xml:space="preserve"> PAGEREF _Toc242723751 \h </w:instrText>
            </w:r>
            <w:r w:rsidR="009774D9">
              <w:rPr>
                <w:noProof/>
                <w:webHidden/>
              </w:rPr>
            </w:r>
            <w:r w:rsidR="009774D9">
              <w:rPr>
                <w:noProof/>
                <w:webHidden/>
              </w:rPr>
              <w:fldChar w:fldCharType="separate"/>
            </w:r>
            <w:r w:rsidR="009774D9">
              <w:rPr>
                <w:noProof/>
                <w:webHidden/>
              </w:rPr>
              <w:t>9</w:t>
            </w:r>
            <w:r w:rsidR="009774D9">
              <w:rPr>
                <w:noProof/>
                <w:webHidden/>
              </w:rPr>
              <w:fldChar w:fldCharType="end"/>
            </w:r>
          </w:hyperlink>
        </w:p>
        <w:p w14:paraId="0B8A00DD" w14:textId="74423DA8" w:rsidR="009774D9" w:rsidRDefault="00AE422B">
          <w:pPr>
            <w:pStyle w:val="TOC2"/>
            <w:tabs>
              <w:tab w:val="right" w:leader="dot" w:pos="9350"/>
            </w:tabs>
            <w:rPr>
              <w:rFonts w:asciiTheme="minorHAnsi" w:eastAsiaTheme="minorEastAsia" w:hAnsiTheme="minorHAnsi"/>
              <w:noProof/>
              <w:kern w:val="2"/>
              <w:szCs w:val="24"/>
              <w14:ligatures w14:val="standardContextual"/>
            </w:rPr>
          </w:pPr>
          <w:hyperlink w:anchor="_Toc242723752" w:history="1">
            <w:r w:rsidR="009774D9" w:rsidRPr="005F5EAF">
              <w:rPr>
                <w:rStyle w:val="Hyperlink"/>
                <w:noProof/>
              </w:rPr>
              <w:t>4.3 Personal Capability Development Plan</w:t>
            </w:r>
            <w:r w:rsidR="009774D9">
              <w:rPr>
                <w:noProof/>
                <w:webHidden/>
              </w:rPr>
              <w:tab/>
            </w:r>
            <w:r w:rsidR="009774D9">
              <w:rPr>
                <w:noProof/>
                <w:webHidden/>
              </w:rPr>
              <w:fldChar w:fldCharType="begin"/>
            </w:r>
            <w:r w:rsidR="009774D9">
              <w:rPr>
                <w:noProof/>
                <w:webHidden/>
              </w:rPr>
              <w:instrText xml:space="preserve"> PAGEREF _Toc242723752 \h </w:instrText>
            </w:r>
            <w:r w:rsidR="009774D9">
              <w:rPr>
                <w:noProof/>
                <w:webHidden/>
              </w:rPr>
            </w:r>
            <w:r w:rsidR="009774D9">
              <w:rPr>
                <w:noProof/>
                <w:webHidden/>
              </w:rPr>
              <w:fldChar w:fldCharType="separate"/>
            </w:r>
            <w:r w:rsidR="009774D9">
              <w:rPr>
                <w:noProof/>
                <w:webHidden/>
              </w:rPr>
              <w:t>10</w:t>
            </w:r>
            <w:r w:rsidR="009774D9">
              <w:rPr>
                <w:noProof/>
                <w:webHidden/>
              </w:rPr>
              <w:fldChar w:fldCharType="end"/>
            </w:r>
          </w:hyperlink>
        </w:p>
        <w:p w14:paraId="484FDAC1" w14:textId="5481EF68" w:rsidR="009774D9" w:rsidRDefault="00AE422B">
          <w:pPr>
            <w:pStyle w:val="TOC1"/>
            <w:rPr>
              <w:rFonts w:asciiTheme="minorHAnsi" w:eastAsiaTheme="minorEastAsia" w:hAnsiTheme="minorHAnsi"/>
              <w:noProof/>
              <w:kern w:val="2"/>
              <w:szCs w:val="24"/>
              <w14:ligatures w14:val="standardContextual"/>
            </w:rPr>
          </w:pPr>
          <w:hyperlink w:anchor="_Toc242723753" w:history="1">
            <w:r w:rsidR="009774D9" w:rsidRPr="005F5EAF">
              <w:rPr>
                <w:rStyle w:val="Hyperlink"/>
                <w:noProof/>
              </w:rPr>
              <w:t>5. Conclusion</w:t>
            </w:r>
            <w:r w:rsidR="009774D9">
              <w:rPr>
                <w:noProof/>
                <w:webHidden/>
              </w:rPr>
              <w:tab/>
            </w:r>
            <w:r w:rsidR="009774D9">
              <w:rPr>
                <w:noProof/>
                <w:webHidden/>
              </w:rPr>
              <w:fldChar w:fldCharType="begin"/>
            </w:r>
            <w:r w:rsidR="009774D9">
              <w:rPr>
                <w:noProof/>
                <w:webHidden/>
              </w:rPr>
              <w:instrText xml:space="preserve"> PAGEREF _Toc242723753 \h </w:instrText>
            </w:r>
            <w:r w:rsidR="009774D9">
              <w:rPr>
                <w:noProof/>
                <w:webHidden/>
              </w:rPr>
            </w:r>
            <w:r w:rsidR="009774D9">
              <w:rPr>
                <w:noProof/>
                <w:webHidden/>
              </w:rPr>
              <w:fldChar w:fldCharType="separate"/>
            </w:r>
            <w:r w:rsidR="009774D9">
              <w:rPr>
                <w:noProof/>
                <w:webHidden/>
              </w:rPr>
              <w:t>10</w:t>
            </w:r>
            <w:r w:rsidR="009774D9">
              <w:rPr>
                <w:noProof/>
                <w:webHidden/>
              </w:rPr>
              <w:fldChar w:fldCharType="end"/>
            </w:r>
          </w:hyperlink>
        </w:p>
        <w:p w14:paraId="3A87E7FE" w14:textId="48DD17BB" w:rsidR="009774D9" w:rsidRDefault="00AE422B">
          <w:pPr>
            <w:pStyle w:val="TOC1"/>
            <w:rPr>
              <w:rFonts w:asciiTheme="minorHAnsi" w:eastAsiaTheme="minorEastAsia" w:hAnsiTheme="minorHAnsi"/>
              <w:noProof/>
              <w:kern w:val="2"/>
              <w:szCs w:val="24"/>
              <w14:ligatures w14:val="standardContextual"/>
            </w:rPr>
          </w:pPr>
          <w:hyperlink w:anchor="_Toc242723754" w:history="1">
            <w:r w:rsidR="009774D9" w:rsidRPr="005F5EAF">
              <w:rPr>
                <w:rStyle w:val="Hyperlink"/>
                <w:noProof/>
              </w:rPr>
              <w:t>References</w:t>
            </w:r>
            <w:r w:rsidR="009774D9">
              <w:rPr>
                <w:noProof/>
                <w:webHidden/>
              </w:rPr>
              <w:tab/>
            </w:r>
            <w:r w:rsidR="009774D9">
              <w:rPr>
                <w:noProof/>
                <w:webHidden/>
              </w:rPr>
              <w:fldChar w:fldCharType="begin"/>
            </w:r>
            <w:r w:rsidR="009774D9">
              <w:rPr>
                <w:noProof/>
                <w:webHidden/>
              </w:rPr>
              <w:instrText xml:space="preserve"> PAGEREF _Toc242723754 \h </w:instrText>
            </w:r>
            <w:r w:rsidR="009774D9">
              <w:rPr>
                <w:noProof/>
                <w:webHidden/>
              </w:rPr>
            </w:r>
            <w:r w:rsidR="009774D9">
              <w:rPr>
                <w:noProof/>
                <w:webHidden/>
              </w:rPr>
              <w:fldChar w:fldCharType="separate"/>
            </w:r>
            <w:r w:rsidR="009774D9">
              <w:rPr>
                <w:noProof/>
                <w:webHidden/>
              </w:rPr>
              <w:t>11</w:t>
            </w:r>
            <w:r w:rsidR="009774D9">
              <w:rPr>
                <w:noProof/>
                <w:webHidden/>
              </w:rPr>
              <w:fldChar w:fldCharType="end"/>
            </w:r>
          </w:hyperlink>
        </w:p>
        <w:p w14:paraId="595E1AD4" w14:textId="0ADBD8DD" w:rsidR="00BD2BDB" w:rsidRPr="005612CE" w:rsidRDefault="00BD2BDB">
          <w:pPr>
            <w:rPr>
              <w:rFonts w:cs="Arial"/>
            </w:rPr>
          </w:pPr>
          <w:r w:rsidRPr="005612CE">
            <w:rPr>
              <w:rFonts w:cs="Arial"/>
              <w:b/>
              <w:bCs/>
              <w:noProof/>
            </w:rPr>
            <w:fldChar w:fldCharType="end"/>
          </w:r>
        </w:p>
      </w:sdtContent>
    </w:sdt>
    <w:p w14:paraId="0A38179A" w14:textId="77777777" w:rsidR="00BD2BDB" w:rsidRPr="005612CE" w:rsidRDefault="00BD2BDB" w:rsidP="00BD2BDB">
      <w:pPr>
        <w:rPr>
          <w:rFonts w:eastAsiaTheme="majorEastAsia" w:cs="Arial"/>
          <w:szCs w:val="32"/>
        </w:rPr>
      </w:pPr>
    </w:p>
    <w:p w14:paraId="24EE2798" w14:textId="77777777" w:rsidR="00BD2BDB" w:rsidRPr="005612CE" w:rsidRDefault="00BD2BDB">
      <w:pPr>
        <w:rPr>
          <w:rFonts w:eastAsiaTheme="majorEastAsia" w:cs="Arial"/>
          <w:b/>
          <w:szCs w:val="32"/>
        </w:rPr>
      </w:pPr>
      <w:r w:rsidRPr="005612CE">
        <w:rPr>
          <w:rFonts w:cs="Arial"/>
        </w:rPr>
        <w:br w:type="page"/>
      </w:r>
    </w:p>
    <w:p w14:paraId="5F71B1FB" w14:textId="77777777" w:rsidR="006B0098" w:rsidRPr="005612CE" w:rsidRDefault="006B0098" w:rsidP="006B0098">
      <w:pPr>
        <w:pStyle w:val="Heading1"/>
      </w:pPr>
      <w:bookmarkStart w:id="0" w:name="_Toc242723740"/>
      <w:bookmarkStart w:id="1" w:name="_Toc242264696"/>
      <w:r w:rsidRPr="005612CE">
        <w:lastRenderedPageBreak/>
        <w:t>1. Introduction</w:t>
      </w:r>
      <w:bookmarkEnd w:id="0"/>
    </w:p>
    <w:p w14:paraId="27C5DA21" w14:textId="77777777" w:rsidR="006B0098" w:rsidRPr="005612CE" w:rsidRDefault="006B0098" w:rsidP="006B0098">
      <w:pPr>
        <w:rPr>
          <w:rFonts w:cs="Arial"/>
        </w:rPr>
      </w:pPr>
      <w:r w:rsidRPr="005612CE">
        <w:rPr>
          <w:rFonts w:cs="Arial"/>
        </w:rPr>
        <w:t>NexSpace Health Systems NHSX is a rapidly expanding healthcare technology company based in the United Kingdom with an approximate of 600 employees in the United Kingdom, India and the United Arab Emirates. Its expansion in artificial intelligence and digital health has posed people-management problems such as slow hierarchical decisions, poor experimentation, poor hybrid collaboration, less career development and challenge balancing wellbeing against heavy performance expectations. Such problems may limit creativity and unwanted churnover. The report thus suggests a cohesive human capital strategy where work is re-designed around teamwork, flexibility and autonomy and a learning-based talent ecosystem which facilitates capability development, retention, accountable operations and sustainable organisational nimbleness.</w:t>
      </w:r>
    </w:p>
    <w:p w14:paraId="6C4DE5B3" w14:textId="77777777" w:rsidR="006B0098" w:rsidRPr="005612CE" w:rsidRDefault="006B0098" w:rsidP="006B0098">
      <w:pPr>
        <w:pStyle w:val="Heading1"/>
      </w:pPr>
      <w:bookmarkStart w:id="2" w:name="_Toc242723741"/>
      <w:r w:rsidRPr="005612CE">
        <w:t>2. Task A: Designing Innovative Working Practices</w:t>
      </w:r>
      <w:bookmarkEnd w:id="2"/>
    </w:p>
    <w:p w14:paraId="0371E956" w14:textId="77777777" w:rsidR="006B0098" w:rsidRPr="005612CE" w:rsidRDefault="006B0098" w:rsidP="006B0098">
      <w:pPr>
        <w:pStyle w:val="Heading2"/>
      </w:pPr>
      <w:bookmarkStart w:id="3" w:name="_Toc242723742"/>
      <w:r w:rsidRPr="005612CE">
        <w:t>2.1 Traditional versus Contemporary Working Practices</w:t>
      </w:r>
      <w:bookmarkEnd w:id="3"/>
    </w:p>
    <w:p w14:paraId="44112B89" w14:textId="77777777" w:rsidR="006B0098" w:rsidRPr="005612CE" w:rsidRDefault="006B0098" w:rsidP="006B0098">
      <w:pPr>
        <w:rPr>
          <w:rFonts w:cs="Arial"/>
        </w:rPr>
      </w:pPr>
      <w:r w:rsidRPr="005612CE">
        <w:rPr>
          <w:rFonts w:cs="Arial"/>
        </w:rPr>
        <w:t>Traditional work design is based on clear hierarchy, specialised roles, standard procedures and managerial control. Reliability, accountability and consistency can be facilitated by this kind of arrangement and are relevant in health technology as clinical decisions and data governance can be influenced by errors. Nonetheless, too much control of the work may slow down their decision-making, limit the discretion of the employees, and deter experimentation. The modern sociotechnical reasoning holds that the design of people, processes and digital technologies should fit in one another instead of optimising technology (Govers and van Amelsvoort, 2023). This is very applicable to NHSX since AI systems will be valuable only when workers possess appropriate requirements of skills, information and rights of decision making.</w:t>
      </w:r>
    </w:p>
    <w:p w14:paraId="61BFEF73" w14:textId="77777777" w:rsidR="006B0098" w:rsidRPr="005612CE" w:rsidRDefault="006B0098" w:rsidP="006B0098">
      <w:pPr>
        <w:rPr>
          <w:rFonts w:cs="Arial"/>
        </w:rPr>
      </w:pPr>
      <w:r w:rsidRPr="005612CE">
        <w:rPr>
          <w:rFonts w:cs="Arial"/>
        </w:rPr>
        <w:t xml:space="preserve">High-Performance Work Systems (HPWS) are characterized by a combination of practices like training, participation, performance management and rewards so as to reinforce employee capability, motivation and opportunity. More recent findings associate HPWS to increased intrinsic motivation and organisational innovation, but any benefits of this practice rely on employees having some form of reasonable fit to the organisation (Wang, Zhu and Jin, 2024). High-Involvement Work Systems are more ambitious as there is increased voice and involvement of employees in decisions. This can enhance </w:t>
      </w:r>
      <w:r w:rsidRPr="005612CE">
        <w:rPr>
          <w:rFonts w:cs="Arial"/>
        </w:rPr>
        <w:lastRenderedPageBreak/>
        <w:t>ownership, although unclearly defined autonomy can result in inconsistent decision making or a temporary ritme of role confusion.</w:t>
      </w:r>
    </w:p>
    <w:p w14:paraId="1B51EFF6" w14:textId="2693936F" w:rsidR="006B0098" w:rsidRPr="00BE34DA" w:rsidRDefault="009A6824" w:rsidP="006B0098">
      <w:pPr>
        <w:rPr>
          <w:rFonts w:cs="Arial"/>
          <w:color w:val="000000" w:themeColor="text1"/>
        </w:rPr>
      </w:pPr>
      <w:r w:rsidRPr="00BE34DA">
        <w:rPr>
          <w:rFonts w:cs="Arial"/>
          <w:color w:val="000000" w:themeColor="text1"/>
        </w:rPr>
        <w:t>Agile working shifts the decision-making power to a multidisciplinary team and facilitates rapid learning. In the case of NHSX, it is directly related to slow decision-making, minimal experimentation and poor creativity since teams are able to test ideas and adjust in response to this without requiring the approval of their senior’s multiple times. However, agile authority must remain clear and coordinated, because excessive sprint pressure can favour short-term delivery over deeper innovation (Meier and Kock, 2024). Hybrid and flexible work may be able to assist with retention and performance as well, yet only when the collaboration is not left to the option of an individual choice but a carefully planned one (Bloom, Han and Liang, 2024).</w:t>
      </w:r>
    </w:p>
    <w:p w14:paraId="3F99D1B7" w14:textId="663CA27B" w:rsidR="00B52739" w:rsidRPr="005612CE" w:rsidRDefault="00B52739" w:rsidP="00B52739">
      <w:pPr>
        <w:rPr>
          <w:rFonts w:cs="Arial"/>
          <w:b/>
          <w:bCs/>
          <w:i/>
          <w:iCs/>
        </w:rPr>
      </w:pPr>
      <w:r w:rsidRPr="005612CE">
        <w:rPr>
          <w:rFonts w:cs="Arial"/>
          <w:b/>
          <w:bCs/>
          <w:i/>
          <w:iCs/>
        </w:rPr>
        <w:t xml:space="preserve">Table </w:t>
      </w:r>
      <w:r w:rsidRPr="005612CE">
        <w:rPr>
          <w:rFonts w:cs="Arial"/>
          <w:b/>
          <w:bCs/>
          <w:i/>
          <w:iCs/>
        </w:rPr>
        <w:fldChar w:fldCharType="begin"/>
      </w:r>
      <w:r w:rsidRPr="005612CE">
        <w:rPr>
          <w:rFonts w:cs="Arial"/>
          <w:b/>
          <w:bCs/>
          <w:i/>
          <w:iCs/>
        </w:rPr>
        <w:instrText xml:space="preserve"> SEQ Table \* ARABIC </w:instrText>
      </w:r>
      <w:r w:rsidRPr="005612CE">
        <w:rPr>
          <w:rFonts w:cs="Arial"/>
          <w:b/>
          <w:bCs/>
          <w:i/>
          <w:iCs/>
        </w:rPr>
        <w:fldChar w:fldCharType="separate"/>
      </w:r>
      <w:r w:rsidR="009774D9">
        <w:rPr>
          <w:rFonts w:cs="Arial"/>
          <w:b/>
          <w:bCs/>
          <w:i/>
          <w:iCs/>
          <w:noProof/>
        </w:rPr>
        <w:t>1</w:t>
      </w:r>
      <w:r w:rsidRPr="005612CE">
        <w:rPr>
          <w:rFonts w:cs="Arial"/>
          <w:b/>
          <w:bCs/>
          <w:i/>
          <w:iCs/>
        </w:rPr>
        <w:fldChar w:fldCharType="end"/>
      </w:r>
      <w:r w:rsidRPr="005612CE">
        <w:rPr>
          <w:rFonts w:cs="Arial"/>
          <w:b/>
          <w:bCs/>
          <w:i/>
          <w:iCs/>
        </w:rPr>
        <w:t>: Traditional and Contemporary Working Practices for NHSX</w:t>
      </w:r>
    </w:p>
    <w:tbl>
      <w:tblPr>
        <w:tblStyle w:val="TableGridLight"/>
        <w:tblW w:w="0" w:type="auto"/>
        <w:tblLayout w:type="fixed"/>
        <w:tblLook w:val="04A0" w:firstRow="1" w:lastRow="0" w:firstColumn="1" w:lastColumn="0" w:noHBand="0" w:noVBand="1"/>
      </w:tblPr>
      <w:tblGrid>
        <w:gridCol w:w="1814"/>
        <w:gridCol w:w="3288"/>
        <w:gridCol w:w="3969"/>
      </w:tblGrid>
      <w:tr w:rsidR="007F44D5" w:rsidRPr="005612CE" w14:paraId="3F8DF41C" w14:textId="77777777" w:rsidTr="00B52739">
        <w:tc>
          <w:tcPr>
            <w:tcW w:w="1814" w:type="dxa"/>
          </w:tcPr>
          <w:p w14:paraId="1CB76037" w14:textId="77777777" w:rsidR="007F44D5" w:rsidRPr="005612CE" w:rsidRDefault="009C10D8">
            <w:pPr>
              <w:jc w:val="center"/>
              <w:rPr>
                <w:rFonts w:cs="Arial"/>
              </w:rPr>
            </w:pPr>
            <w:r w:rsidRPr="005612CE">
              <w:rPr>
                <w:rFonts w:eastAsia="Arial" w:cs="Arial"/>
                <w:b/>
              </w:rPr>
              <w:t>Dimension</w:t>
            </w:r>
          </w:p>
        </w:tc>
        <w:tc>
          <w:tcPr>
            <w:tcW w:w="3288" w:type="dxa"/>
          </w:tcPr>
          <w:p w14:paraId="41F2EA8F" w14:textId="77777777" w:rsidR="007F44D5" w:rsidRPr="005612CE" w:rsidRDefault="009C10D8">
            <w:pPr>
              <w:jc w:val="center"/>
              <w:rPr>
                <w:rFonts w:cs="Arial"/>
              </w:rPr>
            </w:pPr>
            <w:r w:rsidRPr="005612CE">
              <w:rPr>
                <w:rFonts w:eastAsia="Arial" w:cs="Arial"/>
                <w:b/>
              </w:rPr>
              <w:t>Traditional approach</w:t>
            </w:r>
          </w:p>
        </w:tc>
        <w:tc>
          <w:tcPr>
            <w:tcW w:w="3969" w:type="dxa"/>
          </w:tcPr>
          <w:p w14:paraId="1F1D3BDB" w14:textId="77777777" w:rsidR="007F44D5" w:rsidRPr="005612CE" w:rsidRDefault="009C10D8">
            <w:pPr>
              <w:jc w:val="center"/>
              <w:rPr>
                <w:rFonts w:cs="Arial"/>
              </w:rPr>
            </w:pPr>
            <w:r w:rsidRPr="005612CE">
              <w:rPr>
                <w:rFonts w:eastAsia="Arial" w:cs="Arial"/>
                <w:b/>
              </w:rPr>
              <w:t>Contemporary approach for NHSX</w:t>
            </w:r>
          </w:p>
        </w:tc>
      </w:tr>
      <w:tr w:rsidR="007F44D5" w:rsidRPr="005612CE" w14:paraId="04A9006B" w14:textId="77777777" w:rsidTr="00B52739">
        <w:tc>
          <w:tcPr>
            <w:tcW w:w="1814" w:type="dxa"/>
          </w:tcPr>
          <w:p w14:paraId="43DAAED0" w14:textId="77777777" w:rsidR="007F44D5" w:rsidRPr="005612CE" w:rsidRDefault="009C10D8">
            <w:pPr>
              <w:rPr>
                <w:rFonts w:cs="Arial"/>
              </w:rPr>
            </w:pPr>
            <w:r w:rsidRPr="005612CE">
              <w:rPr>
                <w:rFonts w:eastAsia="Arial" w:cs="Arial"/>
              </w:rPr>
              <w:t>Structure</w:t>
            </w:r>
          </w:p>
        </w:tc>
        <w:tc>
          <w:tcPr>
            <w:tcW w:w="3288" w:type="dxa"/>
          </w:tcPr>
          <w:p w14:paraId="377136D5" w14:textId="77777777" w:rsidR="007F44D5" w:rsidRPr="005612CE" w:rsidRDefault="009C10D8">
            <w:pPr>
              <w:rPr>
                <w:rFonts w:cs="Arial"/>
              </w:rPr>
            </w:pPr>
            <w:r w:rsidRPr="005612CE">
              <w:rPr>
                <w:rFonts w:eastAsia="Arial" w:cs="Arial"/>
              </w:rPr>
              <w:t>Hierarchy and silos</w:t>
            </w:r>
          </w:p>
        </w:tc>
        <w:tc>
          <w:tcPr>
            <w:tcW w:w="3969" w:type="dxa"/>
          </w:tcPr>
          <w:p w14:paraId="0D5157FB" w14:textId="77777777" w:rsidR="007F44D5" w:rsidRPr="005612CE" w:rsidRDefault="009C10D8">
            <w:pPr>
              <w:rPr>
                <w:rFonts w:cs="Arial"/>
              </w:rPr>
            </w:pPr>
            <w:r w:rsidRPr="005612CE">
              <w:rPr>
                <w:rFonts w:eastAsia="Arial" w:cs="Arial"/>
              </w:rPr>
              <w:t>Cross-functional agile teams</w:t>
            </w:r>
          </w:p>
        </w:tc>
      </w:tr>
      <w:tr w:rsidR="007F44D5" w:rsidRPr="005612CE" w14:paraId="32B6BBE2" w14:textId="77777777" w:rsidTr="00B52739">
        <w:tc>
          <w:tcPr>
            <w:tcW w:w="1814" w:type="dxa"/>
          </w:tcPr>
          <w:p w14:paraId="6281C03E" w14:textId="77777777" w:rsidR="007F44D5" w:rsidRPr="005612CE" w:rsidRDefault="009C10D8">
            <w:pPr>
              <w:rPr>
                <w:rFonts w:cs="Arial"/>
              </w:rPr>
            </w:pPr>
            <w:r w:rsidRPr="005612CE">
              <w:rPr>
                <w:rFonts w:eastAsia="Arial" w:cs="Arial"/>
              </w:rPr>
              <w:t>Decision-making</w:t>
            </w:r>
          </w:p>
        </w:tc>
        <w:tc>
          <w:tcPr>
            <w:tcW w:w="3288" w:type="dxa"/>
          </w:tcPr>
          <w:p w14:paraId="26B8ED48" w14:textId="77777777" w:rsidR="007F44D5" w:rsidRPr="005612CE" w:rsidRDefault="009C10D8">
            <w:pPr>
              <w:rPr>
                <w:rFonts w:cs="Arial"/>
              </w:rPr>
            </w:pPr>
            <w:r w:rsidRPr="005612CE">
              <w:rPr>
                <w:rFonts w:eastAsia="Arial" w:cs="Arial"/>
              </w:rPr>
              <w:t>Centralised approval</w:t>
            </w:r>
          </w:p>
        </w:tc>
        <w:tc>
          <w:tcPr>
            <w:tcW w:w="3969" w:type="dxa"/>
          </w:tcPr>
          <w:p w14:paraId="1F73A612" w14:textId="77777777" w:rsidR="007F44D5" w:rsidRPr="005612CE" w:rsidRDefault="009C10D8">
            <w:pPr>
              <w:rPr>
                <w:rFonts w:cs="Arial"/>
              </w:rPr>
            </w:pPr>
            <w:r w:rsidRPr="005612CE">
              <w:rPr>
                <w:rFonts w:eastAsia="Arial" w:cs="Arial"/>
              </w:rPr>
              <w:t>Delegated authority with risk controls</w:t>
            </w:r>
          </w:p>
        </w:tc>
      </w:tr>
      <w:tr w:rsidR="007F44D5" w:rsidRPr="005612CE" w14:paraId="246337B6" w14:textId="77777777" w:rsidTr="00B52739">
        <w:tc>
          <w:tcPr>
            <w:tcW w:w="1814" w:type="dxa"/>
          </w:tcPr>
          <w:p w14:paraId="2752A18C" w14:textId="77777777" w:rsidR="007F44D5" w:rsidRPr="005612CE" w:rsidRDefault="009C10D8">
            <w:pPr>
              <w:rPr>
                <w:rFonts w:cs="Arial"/>
              </w:rPr>
            </w:pPr>
            <w:r w:rsidRPr="005612CE">
              <w:rPr>
                <w:rFonts w:eastAsia="Arial" w:cs="Arial"/>
              </w:rPr>
              <w:t>Job design</w:t>
            </w:r>
          </w:p>
        </w:tc>
        <w:tc>
          <w:tcPr>
            <w:tcW w:w="3288" w:type="dxa"/>
          </w:tcPr>
          <w:p w14:paraId="280C4689" w14:textId="77777777" w:rsidR="007F44D5" w:rsidRPr="005612CE" w:rsidRDefault="009C10D8">
            <w:pPr>
              <w:rPr>
                <w:rFonts w:cs="Arial"/>
              </w:rPr>
            </w:pPr>
            <w:r w:rsidRPr="005612CE">
              <w:rPr>
                <w:rFonts w:eastAsia="Arial" w:cs="Arial"/>
              </w:rPr>
              <w:t>Fixed specialised roles</w:t>
            </w:r>
          </w:p>
        </w:tc>
        <w:tc>
          <w:tcPr>
            <w:tcW w:w="3969" w:type="dxa"/>
          </w:tcPr>
          <w:p w14:paraId="79FAC4F7" w14:textId="77777777" w:rsidR="007F44D5" w:rsidRPr="005612CE" w:rsidRDefault="009C10D8">
            <w:pPr>
              <w:rPr>
                <w:rFonts w:cs="Arial"/>
              </w:rPr>
            </w:pPr>
            <w:r w:rsidRPr="005612CE">
              <w:rPr>
                <w:rFonts w:eastAsia="Arial" w:cs="Arial"/>
              </w:rPr>
              <w:t>Autonomy, flexibility and broader skills</w:t>
            </w:r>
          </w:p>
        </w:tc>
      </w:tr>
      <w:tr w:rsidR="007F44D5" w:rsidRPr="005612CE" w14:paraId="0A539BB7" w14:textId="77777777" w:rsidTr="00B52739">
        <w:tc>
          <w:tcPr>
            <w:tcW w:w="1814" w:type="dxa"/>
          </w:tcPr>
          <w:p w14:paraId="0D5CFDE3" w14:textId="77777777" w:rsidR="007F44D5" w:rsidRPr="005612CE" w:rsidRDefault="009C10D8">
            <w:pPr>
              <w:rPr>
                <w:rFonts w:cs="Arial"/>
              </w:rPr>
            </w:pPr>
            <w:r w:rsidRPr="005612CE">
              <w:rPr>
                <w:rFonts w:eastAsia="Arial" w:cs="Arial"/>
              </w:rPr>
              <w:t>Collaboration</w:t>
            </w:r>
          </w:p>
        </w:tc>
        <w:tc>
          <w:tcPr>
            <w:tcW w:w="3288" w:type="dxa"/>
          </w:tcPr>
          <w:p w14:paraId="4384ACDB" w14:textId="77777777" w:rsidR="007F44D5" w:rsidRPr="005612CE" w:rsidRDefault="009C10D8">
            <w:pPr>
              <w:rPr>
                <w:rFonts w:cs="Arial"/>
              </w:rPr>
            </w:pPr>
            <w:r w:rsidRPr="005612CE">
              <w:rPr>
                <w:rFonts w:eastAsia="Arial" w:cs="Arial"/>
              </w:rPr>
              <w:t>Function-based communication</w:t>
            </w:r>
          </w:p>
        </w:tc>
        <w:tc>
          <w:tcPr>
            <w:tcW w:w="3969" w:type="dxa"/>
          </w:tcPr>
          <w:p w14:paraId="53E81AA9" w14:textId="77777777" w:rsidR="007F44D5" w:rsidRPr="005612CE" w:rsidRDefault="009C10D8">
            <w:pPr>
              <w:rPr>
                <w:rFonts w:cs="Arial"/>
              </w:rPr>
            </w:pPr>
            <w:r w:rsidRPr="005612CE">
              <w:rPr>
                <w:rFonts w:eastAsia="Arial" w:cs="Arial"/>
              </w:rPr>
              <w:t>Hybrid, digital-first knowledge sharing</w:t>
            </w:r>
          </w:p>
        </w:tc>
      </w:tr>
      <w:tr w:rsidR="007F44D5" w:rsidRPr="005612CE" w14:paraId="21A2E857" w14:textId="77777777" w:rsidTr="00B52739">
        <w:tc>
          <w:tcPr>
            <w:tcW w:w="1814" w:type="dxa"/>
          </w:tcPr>
          <w:p w14:paraId="4489788C" w14:textId="77777777" w:rsidR="007F44D5" w:rsidRPr="005612CE" w:rsidRDefault="009C10D8">
            <w:pPr>
              <w:rPr>
                <w:rFonts w:cs="Arial"/>
              </w:rPr>
            </w:pPr>
            <w:r w:rsidRPr="005612CE">
              <w:rPr>
                <w:rFonts w:eastAsia="Arial" w:cs="Arial"/>
              </w:rPr>
              <w:t>Performance</w:t>
            </w:r>
          </w:p>
        </w:tc>
        <w:tc>
          <w:tcPr>
            <w:tcW w:w="3288" w:type="dxa"/>
          </w:tcPr>
          <w:p w14:paraId="68E26E1F" w14:textId="77777777" w:rsidR="007F44D5" w:rsidRPr="005612CE" w:rsidRDefault="009C10D8">
            <w:pPr>
              <w:rPr>
                <w:rFonts w:cs="Arial"/>
              </w:rPr>
            </w:pPr>
            <w:r w:rsidRPr="005612CE">
              <w:rPr>
                <w:rFonts w:eastAsia="Arial" w:cs="Arial"/>
              </w:rPr>
              <w:t>Compliance and presence</w:t>
            </w:r>
          </w:p>
        </w:tc>
        <w:tc>
          <w:tcPr>
            <w:tcW w:w="3969" w:type="dxa"/>
          </w:tcPr>
          <w:p w14:paraId="51A77E3E" w14:textId="77777777" w:rsidR="007F44D5" w:rsidRPr="005612CE" w:rsidRDefault="009C10D8">
            <w:pPr>
              <w:rPr>
                <w:rFonts w:cs="Arial"/>
              </w:rPr>
            </w:pPr>
            <w:r w:rsidRPr="005612CE">
              <w:rPr>
                <w:rFonts w:eastAsia="Arial" w:cs="Arial"/>
              </w:rPr>
              <w:t>Outcomes, learning, quality and wellbeing</w:t>
            </w:r>
          </w:p>
        </w:tc>
      </w:tr>
    </w:tbl>
    <w:p w14:paraId="30E4BF35" w14:textId="77777777" w:rsidR="00B52739" w:rsidRPr="005612CE" w:rsidRDefault="00B52739" w:rsidP="006B0098">
      <w:pPr>
        <w:pStyle w:val="Heading2"/>
      </w:pPr>
    </w:p>
    <w:p w14:paraId="10BB0DD9" w14:textId="73D44194" w:rsidR="006B0098" w:rsidRPr="005612CE" w:rsidRDefault="006B0098" w:rsidP="006B0098">
      <w:pPr>
        <w:pStyle w:val="Heading2"/>
      </w:pPr>
      <w:bookmarkStart w:id="4" w:name="_Toc242723743"/>
      <w:r w:rsidRPr="005612CE">
        <w:t>2.2 Innovative Working Practices for NHSX</w:t>
      </w:r>
      <w:bookmarkEnd w:id="4"/>
    </w:p>
    <w:p w14:paraId="70AEF7B8" w14:textId="77777777" w:rsidR="003C0233" w:rsidRPr="00BE34DA" w:rsidRDefault="003C0233" w:rsidP="003C0233">
      <w:pPr>
        <w:rPr>
          <w:rFonts w:cs="Arial"/>
          <w:color w:val="000000" w:themeColor="text1"/>
        </w:rPr>
      </w:pPr>
      <w:r w:rsidRPr="00BE34DA">
        <w:rPr>
          <w:rFonts w:cs="Arial"/>
          <w:color w:val="000000" w:themeColor="text1"/>
        </w:rPr>
        <w:t xml:space="preserve">NHSX is advised to set up cross-functional product-squads with AI professionals, software engineers, clinicians, cybersecurity personnel, product managers and customer-facing staff. This is a direct solution to the silo working, poor cross-functional teamwork and snail pace knowledge sharing since clinical, technical and customer expertise would be at the same team when making decisions. Every team is expected to possess an explicit patient or provider issue and shared prototypes, dashboards and project documentation because the integration of knowledge between professional teams can be adopted by boundary objects (Caccamo, Pittino and Tell, 2023). Assumptions, failures </w:t>
      </w:r>
      <w:r w:rsidRPr="00BE34DA">
        <w:rPr>
          <w:rFonts w:cs="Arial"/>
          <w:color w:val="000000" w:themeColor="text1"/>
        </w:rPr>
        <w:lastRenderedPageBreak/>
        <w:t>and solutions to be shared between monthly learning forums across the UK, India and the UAE should also be directly tested, unlimited improvement of cross-cultural collaboration and sharing organisational knowledge.</w:t>
      </w:r>
    </w:p>
    <w:p w14:paraId="03623493" w14:textId="77777777" w:rsidR="003C0233" w:rsidRPr="00BE34DA" w:rsidRDefault="003C0233" w:rsidP="003C0233">
      <w:pPr>
        <w:rPr>
          <w:rFonts w:cs="Arial"/>
          <w:color w:val="000000" w:themeColor="text1"/>
        </w:rPr>
      </w:pPr>
      <w:r w:rsidRPr="00BE34DA">
        <w:rPr>
          <w:rFonts w:cs="Arial"/>
          <w:color w:val="000000" w:themeColor="text1"/>
        </w:rPr>
        <w:t>NHSX should replace informal location choices with a coordinated hybrid model. Planned collaboration days may be used to support design, clinical discussions and problem-solving, with remote days used to support focused analysis or coding. This directly responds to the weakness in hybrid collaboration reported and formulates the social connection opportunity and joint decision as predictable. Well-crafted hybrid working will be able to lower the rate of quitting without harming the performance (Bloom, Han and Liang, 2024). Time zone limitation would also be minimized due to some flexibility of start and finish times which would be backed by agreed core overlap hours among the UK, India and UAE. Work-setting support needs to be preserved in both home and workplace since they influence the productivity during the hybrid work (Arata, Sugiuchi and Kawakubo, 2024).</w:t>
      </w:r>
    </w:p>
    <w:p w14:paraId="6987A013" w14:textId="2759C552" w:rsidR="003C0233" w:rsidRPr="00BE34DA" w:rsidRDefault="003C0233" w:rsidP="003C0233">
      <w:pPr>
        <w:rPr>
          <w:rFonts w:cs="Arial"/>
          <w:color w:val="000000" w:themeColor="text1"/>
        </w:rPr>
      </w:pPr>
      <w:r w:rsidRPr="00BE34DA">
        <w:rPr>
          <w:rFonts w:cs="Arial"/>
          <w:color w:val="000000" w:themeColor="text1"/>
        </w:rPr>
        <w:t xml:space="preserve">Clear boundaries of decisions should be provided </w:t>
      </w:r>
      <w:r w:rsidR="0041450A" w:rsidRPr="00BE34DA">
        <w:rPr>
          <w:rFonts w:cs="Arial"/>
          <w:color w:val="000000" w:themeColor="text1"/>
        </w:rPr>
        <w:t>to increase</w:t>
      </w:r>
      <w:r w:rsidRPr="00BE34DA">
        <w:rPr>
          <w:rFonts w:cs="Arial"/>
          <w:color w:val="000000" w:themeColor="text1"/>
        </w:rPr>
        <w:t xml:space="preserve"> employee autonomy. Groups are encouraged to confirm habitual product rules, examination priorities and client reactions with no recurring senior verification and </w:t>
      </w:r>
      <w:r w:rsidR="0041450A" w:rsidRPr="00BE34DA">
        <w:rPr>
          <w:rFonts w:cs="Arial"/>
          <w:color w:val="000000" w:themeColor="text1"/>
        </w:rPr>
        <w:t>high-risk</w:t>
      </w:r>
      <w:r w:rsidRPr="00BE34DA">
        <w:rPr>
          <w:rFonts w:cs="Arial"/>
          <w:color w:val="000000" w:themeColor="text1"/>
        </w:rPr>
        <w:t xml:space="preserve"> clinical, privacy and legal concerns adherence are officially controlled. This addresses directly the sluggish hierarchical decision-making that was diagnosed </w:t>
      </w:r>
      <w:r w:rsidR="0041450A" w:rsidRPr="00BE34DA">
        <w:rPr>
          <w:rFonts w:cs="Arial"/>
          <w:color w:val="000000" w:themeColor="text1"/>
        </w:rPr>
        <w:t>with</w:t>
      </w:r>
      <w:r w:rsidRPr="00BE34DA">
        <w:rPr>
          <w:rFonts w:cs="Arial"/>
          <w:color w:val="000000" w:themeColor="text1"/>
        </w:rPr>
        <w:t xml:space="preserve"> NHSX and retains healthcare accountability. Sociotechnical research demonstrates that the greater the digital transformation is a shift of social and cultural arrangements with technology rather than technology as a singular intervention (Butt </w:t>
      </w:r>
      <w:r w:rsidR="002624A2" w:rsidRPr="00BE34DA">
        <w:rPr>
          <w:rFonts w:cs="Arial"/>
          <w:i/>
          <w:iCs/>
          <w:color w:val="000000" w:themeColor="text1"/>
        </w:rPr>
        <w:t>et al</w:t>
      </w:r>
      <w:r w:rsidRPr="00BE34DA">
        <w:rPr>
          <w:rFonts w:cs="Arial"/>
          <w:color w:val="000000" w:themeColor="text1"/>
        </w:rPr>
        <w:t>., 2024). Managers are therefore advised to be more coaches who define goals, eliminate obstacles and aid in accountable autonomy.</w:t>
      </w:r>
    </w:p>
    <w:p w14:paraId="74BC1375" w14:textId="398BC60D" w:rsidR="006B0098" w:rsidRPr="00BE34DA" w:rsidRDefault="003C0233" w:rsidP="003C0233">
      <w:pPr>
        <w:rPr>
          <w:rFonts w:cs="Arial"/>
          <w:color w:val="000000" w:themeColor="text1"/>
        </w:rPr>
      </w:pPr>
      <w:r w:rsidRPr="00BE34DA">
        <w:rPr>
          <w:rFonts w:cs="Arial"/>
          <w:color w:val="000000" w:themeColor="text1"/>
        </w:rPr>
        <w:t xml:space="preserve">Limited experimentation and innovation should be tackled with agile project practices that include short planning cycles, visible backlogs, fast user feedback and retrospectives. Teams must also be promoted to find time to experiment and learn through failure instead of delivery speed being rewarded. Digital collaboration platforms should then support this model through searchable knowledge repositories, recorded demonstrations, shared decision logs and asynchronous updates. This provides a direct solution to the lack of </w:t>
      </w:r>
      <w:r w:rsidRPr="00BE34DA">
        <w:rPr>
          <w:rFonts w:cs="Arial"/>
          <w:color w:val="000000" w:themeColor="text1"/>
        </w:rPr>
        <w:lastRenderedPageBreak/>
        <w:t xml:space="preserve">knowledge sharing by </w:t>
      </w:r>
      <w:r w:rsidR="0041450A" w:rsidRPr="00BE34DA">
        <w:rPr>
          <w:rFonts w:cs="Arial"/>
          <w:color w:val="000000" w:themeColor="text1"/>
        </w:rPr>
        <w:t>international</w:t>
      </w:r>
      <w:r w:rsidRPr="00BE34DA">
        <w:rPr>
          <w:rFonts w:cs="Arial"/>
          <w:color w:val="000000" w:themeColor="text1"/>
        </w:rPr>
        <w:t xml:space="preserve"> part, and enterprise social platforms would be effective to spur employee creativity when they enhance relatedness and competence (Pitafi and Xie, 2024).</w:t>
      </w:r>
    </w:p>
    <w:p w14:paraId="6E437566" w14:textId="77777777" w:rsidR="006B0098" w:rsidRPr="00BE34DA" w:rsidRDefault="006B0098" w:rsidP="006B0098">
      <w:pPr>
        <w:pStyle w:val="Heading2"/>
        <w:rPr>
          <w:color w:val="000000" w:themeColor="text1"/>
        </w:rPr>
      </w:pPr>
      <w:bookmarkStart w:id="5" w:name="_Toc242723744"/>
      <w:r w:rsidRPr="00BE34DA">
        <w:rPr>
          <w:color w:val="000000" w:themeColor="text1"/>
        </w:rPr>
        <w:t>2.3 Impact on Organisational Performance</w:t>
      </w:r>
      <w:bookmarkEnd w:id="5"/>
    </w:p>
    <w:p w14:paraId="2CFBBAAC" w14:textId="5296B67E" w:rsidR="00A95729" w:rsidRPr="00BE34DA" w:rsidRDefault="0041450A" w:rsidP="006B0098">
      <w:pPr>
        <w:rPr>
          <w:rFonts w:cs="Arial"/>
          <w:color w:val="000000" w:themeColor="text1"/>
        </w:rPr>
      </w:pPr>
      <w:r w:rsidRPr="00BE34DA">
        <w:rPr>
          <w:rFonts w:cs="Arial"/>
          <w:color w:val="000000" w:themeColor="text1"/>
        </w:rPr>
        <w:t xml:space="preserve">The changes directly address the </w:t>
      </w:r>
      <w:r w:rsidR="00B2008B" w:rsidRPr="00BE34DA">
        <w:rPr>
          <w:rFonts w:cs="Arial"/>
          <w:color w:val="000000" w:themeColor="text1"/>
        </w:rPr>
        <w:t>issues mentioned</w:t>
      </w:r>
      <w:r w:rsidRPr="00BE34DA">
        <w:rPr>
          <w:rFonts w:cs="Arial"/>
          <w:color w:val="000000" w:themeColor="text1"/>
        </w:rPr>
        <w:t xml:space="preserve"> in NHSX. The authority should be delegated to lessen the time to take decisions; agile experimentation should reinforce innovation; coordinated hybrid work should enhance collaboration; and shared digital repositories should enhance knowledge sharing across cultures. Employees may also be motivated to present ideas and concerns without the fear of reprisals due to the influence of psychological safety (Zadow </w:t>
      </w:r>
      <w:r w:rsidR="002624A2" w:rsidRPr="00BE34DA">
        <w:rPr>
          <w:rFonts w:cs="Arial"/>
          <w:i/>
          <w:iCs/>
          <w:color w:val="000000" w:themeColor="text1"/>
        </w:rPr>
        <w:t>et al</w:t>
      </w:r>
      <w:r w:rsidRPr="00BE34DA">
        <w:rPr>
          <w:rFonts w:cs="Arial"/>
          <w:color w:val="000000" w:themeColor="text1"/>
        </w:rPr>
        <w:t>., 2023). These factors monitored at NHSX should be fatigue in the digital world, differences in visibility, and undue sprint pressure. The measures that should be used to test whether autonomy is generating sustainable performance are pulse surveys, innovation-cycle time, turnover, collaboration, quality, wellbeing and compliance indicators.</w:t>
      </w:r>
    </w:p>
    <w:p w14:paraId="3784BC45" w14:textId="77777777" w:rsidR="00C22E2D" w:rsidRPr="00BE34DA" w:rsidRDefault="00C22E2D" w:rsidP="00C22E2D">
      <w:pPr>
        <w:pStyle w:val="Heading1"/>
        <w:rPr>
          <w:color w:val="000000" w:themeColor="text1"/>
        </w:rPr>
      </w:pPr>
      <w:bookmarkStart w:id="6" w:name="_Toc242723745"/>
      <w:r w:rsidRPr="00BE34DA">
        <w:rPr>
          <w:color w:val="000000" w:themeColor="text1"/>
        </w:rPr>
        <w:t>3. Task B: Breeding an Environment Where Talent May Grow</w:t>
      </w:r>
      <w:bookmarkEnd w:id="6"/>
    </w:p>
    <w:p w14:paraId="7A376E24" w14:textId="77777777" w:rsidR="00C22E2D" w:rsidRPr="00BE34DA" w:rsidRDefault="00C22E2D" w:rsidP="00C22E2D">
      <w:pPr>
        <w:pStyle w:val="Heading2"/>
        <w:rPr>
          <w:color w:val="000000" w:themeColor="text1"/>
        </w:rPr>
      </w:pPr>
      <w:bookmarkStart w:id="7" w:name="_Toc242723746"/>
      <w:r w:rsidRPr="00BE34DA">
        <w:rPr>
          <w:color w:val="000000" w:themeColor="text1"/>
        </w:rPr>
        <w:t>3.1 Theories Supporting Talent Growth</w:t>
      </w:r>
      <w:bookmarkEnd w:id="7"/>
    </w:p>
    <w:p w14:paraId="3B895B6E" w14:textId="38584041" w:rsidR="00C22E2D" w:rsidRPr="00BE34DA" w:rsidRDefault="00C22E2D" w:rsidP="00C22E2D">
      <w:pPr>
        <w:rPr>
          <w:rFonts w:cs="Arial"/>
          <w:color w:val="000000" w:themeColor="text1"/>
        </w:rPr>
      </w:pPr>
      <w:r w:rsidRPr="00BE34DA">
        <w:rPr>
          <w:rFonts w:cs="Arial"/>
          <w:color w:val="000000" w:themeColor="text1"/>
        </w:rPr>
        <w:t>A Learning Organisation strategy will work well primarily due to the small amount of learning opportunities reported in NHSX reports. Learning must be incorporated into projects in terms of retrospectives, peer review, after-action discussions and knowledge-sharing forums rather than training being thought of as episodic courses. A knowledge-work environment provides evidence that learning-oriented leadership and systematic problem solving can facilitate learning together with efficiency and quality (Kristensen, Saabye and Edmondson, 2022). This would help to ensure development is a continuous process and the concern of employees who feel that they do not have enough chances to develop new capabilities would be addressed.</w:t>
      </w:r>
    </w:p>
    <w:p w14:paraId="1F856AA6" w14:textId="6D399D7F" w:rsidR="00C22E2D" w:rsidRPr="00BE34DA" w:rsidRDefault="00C22E2D" w:rsidP="00C22E2D">
      <w:pPr>
        <w:rPr>
          <w:rFonts w:cs="Arial"/>
          <w:color w:val="000000" w:themeColor="text1"/>
        </w:rPr>
      </w:pPr>
      <w:r w:rsidRPr="00BE34DA">
        <w:rPr>
          <w:rFonts w:cs="Arial"/>
          <w:color w:val="000000" w:themeColor="text1"/>
        </w:rPr>
        <w:t xml:space="preserve">The issue of low career development can be pushed with the help of Growth mindset as the concept of the ability to develop with practice, feedback and proper strategies can be reinforced. Uplifting affective wellbeing is associated with growth mindset and workplace research that has found that employee positive work reflection leads to better wellbeing outcomes (Karpagavalli and Suganthi, 2024). Language growth should not however be </w:t>
      </w:r>
      <w:r w:rsidRPr="00BE34DA">
        <w:rPr>
          <w:rFonts w:cs="Arial"/>
          <w:color w:val="000000" w:themeColor="text1"/>
        </w:rPr>
        <w:lastRenderedPageBreak/>
        <w:t>used as an alternative to real opportunity by NHSX. Employees require guarded developmental time, training, observable vocations and stretch employment or they do not get influenced to continue learning but rather feel discouraged.</w:t>
      </w:r>
    </w:p>
    <w:p w14:paraId="5C59140E" w14:textId="23BBF7AB" w:rsidR="00C22E2D" w:rsidRPr="00BE34DA" w:rsidRDefault="00C22E2D" w:rsidP="00C22E2D">
      <w:pPr>
        <w:rPr>
          <w:rFonts w:cs="Arial"/>
          <w:color w:val="000000" w:themeColor="text1"/>
        </w:rPr>
      </w:pPr>
      <w:r w:rsidRPr="00BE34DA">
        <w:rPr>
          <w:rFonts w:cs="Arial"/>
          <w:color w:val="000000" w:themeColor="text1"/>
        </w:rPr>
        <w:t>The most suitable tension is the wellbeing vs. high-performance expectations tension, which can be described as Psychological Safety. The workers using AI and healthcare technologies should be able to challenge assumptions, learn to make mistakes, seek assistance and express ethical or workload issues without trepidation. Innovative performance is positively linked to team psychological safety via greater communication behaviour (Jin and Peng, 2024). NHSX ought to thus integrate superb psychological safety along with explicit quality, ethical and delivery standards in a manner that safety assists in learning without sacrificing accountability.</w:t>
      </w:r>
    </w:p>
    <w:p w14:paraId="60634E4D" w14:textId="113A380E" w:rsidR="00C22E2D" w:rsidRPr="00BE34DA" w:rsidRDefault="00C22E2D" w:rsidP="00C22E2D">
      <w:pPr>
        <w:rPr>
          <w:rFonts w:cs="Arial"/>
          <w:color w:val="000000" w:themeColor="text1"/>
        </w:rPr>
      </w:pPr>
      <w:r w:rsidRPr="00BE34DA">
        <w:rPr>
          <w:rFonts w:cs="Arial"/>
          <w:color w:val="000000" w:themeColor="text1"/>
        </w:rPr>
        <w:t xml:space="preserve">Self-Determination Theory and job crafting can justify how NHSX can facilitate retention and wellbeing. Engagement and job satisfaction is associated with autonomy, competence and relatedness, whereas burnout and turnover are related to need frustration (McAnally and Hagger, 2024). Giving employees the opportunity to redesign certain tasks and relationships can enhance the meaning and fitness, whereas active job design has been linked to increased engagement and reflective learning (Nissinen </w:t>
      </w:r>
      <w:r w:rsidR="002624A2" w:rsidRPr="00BE34DA">
        <w:rPr>
          <w:rFonts w:cs="Arial"/>
          <w:i/>
          <w:iCs/>
          <w:color w:val="000000" w:themeColor="text1"/>
        </w:rPr>
        <w:t>et al</w:t>
      </w:r>
      <w:r w:rsidRPr="00BE34DA">
        <w:rPr>
          <w:rFonts w:cs="Arial"/>
          <w:color w:val="000000" w:themeColor="text1"/>
        </w:rPr>
        <w:t>., 2024). These concepts thus inform the implications of effective resolutions to the NHSX retention and wellbeing challenges.</w:t>
      </w:r>
    </w:p>
    <w:p w14:paraId="5CBFCB6B" w14:textId="77777777" w:rsidR="00C22E2D" w:rsidRPr="00BE34DA" w:rsidRDefault="00C22E2D" w:rsidP="00C22E2D">
      <w:pPr>
        <w:pStyle w:val="Heading2"/>
        <w:rPr>
          <w:color w:val="000000" w:themeColor="text1"/>
        </w:rPr>
      </w:pPr>
      <w:bookmarkStart w:id="8" w:name="_Toc242723747"/>
      <w:r w:rsidRPr="00BE34DA">
        <w:rPr>
          <w:color w:val="000000" w:themeColor="text1"/>
        </w:rPr>
        <w:t>3.2 Strategic Talent Growth Strategy for NHSX</w:t>
      </w:r>
      <w:bookmarkEnd w:id="8"/>
    </w:p>
    <w:p w14:paraId="44EBB3D8" w14:textId="77777777" w:rsidR="00C22E2D" w:rsidRPr="00BE34DA" w:rsidRDefault="00C22E2D" w:rsidP="00C22E2D">
      <w:pPr>
        <w:rPr>
          <w:rFonts w:cs="Arial"/>
          <w:color w:val="000000" w:themeColor="text1"/>
        </w:rPr>
      </w:pPr>
      <w:r w:rsidRPr="00BE34DA">
        <w:rPr>
          <w:rFonts w:cs="Arial"/>
          <w:color w:val="000000" w:themeColor="text1"/>
        </w:rPr>
        <w:t>The initial capability map towards an idea of a talent ecosystem that NHSX can embark on is a six-monthly capability map of AI, cybersecurity, clinical informatics, product management, responsible innovation and international leadership. Each critical role and the skills needed to develop should be associated with the levels of proficiency. This is a direct impact on low career climb rates as employees can now view their current potential, job demands in prospective positions and the existing gap they must fill. HR can then make decisions on which critical capabilities need to be purchased as outsourced and which capabilities need to be developed internally.</w:t>
      </w:r>
    </w:p>
    <w:p w14:paraId="215F357F" w14:textId="6F36D32F" w:rsidR="00C22E2D" w:rsidRPr="00BE34DA" w:rsidRDefault="00C22E2D" w:rsidP="00C22E2D">
      <w:pPr>
        <w:rPr>
          <w:rFonts w:cs="Arial"/>
          <w:color w:val="000000" w:themeColor="text1"/>
        </w:rPr>
      </w:pPr>
      <w:r w:rsidRPr="00BE34DA">
        <w:rPr>
          <w:rFonts w:cs="Arial"/>
          <w:color w:val="000000" w:themeColor="text1"/>
        </w:rPr>
        <w:t xml:space="preserve">Direct connection of those capability gaps to continuous learning must occur with the help of secured learning time, brief online courses, practice communities, peer </w:t>
      </w:r>
      <w:r w:rsidRPr="00BE34DA">
        <w:rPr>
          <w:rFonts w:cs="Arial"/>
          <w:color w:val="000000" w:themeColor="text1"/>
        </w:rPr>
        <w:lastRenderedPageBreak/>
        <w:t xml:space="preserve">demonstrations, mentoring and stretch assignments. This directly addresses the absence of opportunities to learn as had been reported through making development an aspect of normal work instead of being an optional extra. Another way to reinforce engagement through team job crafting is </w:t>
      </w:r>
      <w:r w:rsidR="005612CE" w:rsidRPr="00BE34DA">
        <w:rPr>
          <w:rFonts w:cs="Arial"/>
          <w:color w:val="000000" w:themeColor="text1"/>
        </w:rPr>
        <w:t>by</w:t>
      </w:r>
      <w:r w:rsidRPr="00BE34DA">
        <w:rPr>
          <w:rFonts w:cs="Arial"/>
          <w:color w:val="000000" w:themeColor="text1"/>
        </w:rPr>
        <w:t xml:space="preserve"> collectively altering both resources and modes of operation to achieve team demands (Ioda </w:t>
      </w:r>
      <w:r w:rsidR="002624A2" w:rsidRPr="00BE34DA">
        <w:rPr>
          <w:rFonts w:cs="Arial"/>
          <w:i/>
          <w:iCs/>
          <w:color w:val="000000" w:themeColor="text1"/>
        </w:rPr>
        <w:t>et al</w:t>
      </w:r>
      <w:r w:rsidRPr="00BE34DA">
        <w:rPr>
          <w:rFonts w:cs="Arial"/>
          <w:color w:val="000000" w:themeColor="text1"/>
        </w:rPr>
        <w:t>., 2024). New learning should then be put into practice by apprenticeship through project rotations and cross-functional assignments.</w:t>
      </w:r>
    </w:p>
    <w:p w14:paraId="5C93FC50" w14:textId="77777777" w:rsidR="00C22E2D" w:rsidRPr="00BE34DA" w:rsidRDefault="00C22E2D" w:rsidP="00C22E2D">
      <w:pPr>
        <w:rPr>
          <w:rFonts w:cs="Arial"/>
          <w:color w:val="000000" w:themeColor="text1"/>
        </w:rPr>
      </w:pPr>
      <w:r w:rsidRPr="00BE34DA">
        <w:rPr>
          <w:rFonts w:cs="Arial"/>
          <w:color w:val="000000" w:themeColor="text1"/>
        </w:rPr>
        <w:t>Subsequently, career pathways ought to be revealed throughout the UK, India and UAE. An independent line of development must be available to those employees who have leadership interests, whereas technical specialists should be allowed to advance without becoming people managers. Movement opportunities would be more transparent with the use of internal vacancies, short-term secondments and job shadowing. This will directly tackle career stagnation and high-performer turnover since employees have an opportunity to observe how they can have viable growth within NHSX instead of exiting to pursue development elsewhere. Retention is positively related to talent practices that relate development, deployment, and career opportunity (Almashyakhi, 2024).</w:t>
      </w:r>
    </w:p>
    <w:p w14:paraId="3443653A" w14:textId="7B11DD02" w:rsidR="00C22E2D" w:rsidRPr="00BE34DA" w:rsidRDefault="00C22E2D" w:rsidP="00C22E2D">
      <w:pPr>
        <w:rPr>
          <w:rFonts w:cs="Arial"/>
          <w:color w:val="000000" w:themeColor="text1"/>
        </w:rPr>
      </w:pPr>
      <w:r w:rsidRPr="00BE34DA">
        <w:rPr>
          <w:rFonts w:cs="Arial"/>
          <w:color w:val="000000" w:themeColor="text1"/>
        </w:rPr>
        <w:t>Career conversations that are quarterly should link performance, strengths, aspirations with the following competencies needed to develop. High-potential identification should use several evidence sources rather than manager preference alone, and mentoring across clinical, AI and commercial functions should prepare 'ready-soon' successors for business-critical roles. These measures will directly tackle low upgrading by transforming career aspiration into observable developmental processes and career advancement. Recognition should be on knowledge sharing, responsible experimentation and contribution and individual output.</w:t>
      </w:r>
    </w:p>
    <w:p w14:paraId="188F2595" w14:textId="22757ADC" w:rsidR="00C22E2D" w:rsidRPr="00BE34DA" w:rsidRDefault="00C22E2D" w:rsidP="00C22E2D">
      <w:pPr>
        <w:rPr>
          <w:rFonts w:cs="Arial"/>
          <w:color w:val="000000" w:themeColor="text1"/>
        </w:rPr>
      </w:pPr>
      <w:r w:rsidRPr="00BE34DA">
        <w:rPr>
          <w:rFonts w:cs="Arial"/>
          <w:color w:val="000000" w:themeColor="text1"/>
        </w:rPr>
        <w:t xml:space="preserve">High-performance expectations are also causing a </w:t>
      </w:r>
      <w:r w:rsidR="005612CE" w:rsidRPr="00BE34DA">
        <w:rPr>
          <w:rFonts w:cs="Arial"/>
          <w:color w:val="000000" w:themeColor="text1"/>
        </w:rPr>
        <w:t>well-being</w:t>
      </w:r>
      <w:r w:rsidRPr="00BE34DA">
        <w:rPr>
          <w:rFonts w:cs="Arial"/>
          <w:color w:val="000000" w:themeColor="text1"/>
        </w:rPr>
        <w:t xml:space="preserve"> issue that has to be addressed by talent development. Leaders’ ought to address positively as employees solve the workload issues, confess errors or record failed experiments. Engagement, creativity, innovation and work performance among software engineers are predicted by a strong psychosocial safety climate (Zadow </w:t>
      </w:r>
      <w:r w:rsidR="002624A2" w:rsidRPr="00BE34DA">
        <w:rPr>
          <w:rFonts w:cs="Arial"/>
          <w:i/>
          <w:iCs/>
          <w:color w:val="000000" w:themeColor="text1"/>
        </w:rPr>
        <w:t>et al</w:t>
      </w:r>
      <w:r w:rsidRPr="00BE34DA">
        <w:rPr>
          <w:rFonts w:cs="Arial"/>
          <w:color w:val="000000" w:themeColor="text1"/>
        </w:rPr>
        <w:t xml:space="preserve">., 2023). This needs to be done by combining performance indicators and wellbeing measures, work reviews and supportive coaching by NHSX to ensure that development is not sustained by unsustainable </w:t>
      </w:r>
      <w:r w:rsidRPr="00BE34DA">
        <w:rPr>
          <w:rFonts w:cs="Arial"/>
          <w:color w:val="000000" w:themeColor="text1"/>
        </w:rPr>
        <w:lastRenderedPageBreak/>
        <w:t>pressure. Psychological safety and autonomy serve to stimulate the more active crafting of jobs by the employees (Nwanzu and Babalola, 2024).</w:t>
      </w:r>
    </w:p>
    <w:p w14:paraId="46A191DB" w14:textId="77777777" w:rsidR="00C22E2D" w:rsidRPr="00BE34DA" w:rsidRDefault="00C22E2D" w:rsidP="00C22E2D">
      <w:pPr>
        <w:pStyle w:val="Heading2"/>
        <w:rPr>
          <w:color w:val="000000" w:themeColor="text1"/>
        </w:rPr>
      </w:pPr>
      <w:bookmarkStart w:id="9" w:name="_Toc242723748"/>
      <w:r w:rsidRPr="00BE34DA">
        <w:rPr>
          <w:color w:val="000000" w:themeColor="text1"/>
        </w:rPr>
        <w:t>3.3 Expected Outcomes</w:t>
      </w:r>
      <w:bookmarkEnd w:id="9"/>
    </w:p>
    <w:p w14:paraId="43693DF6" w14:textId="3F655866" w:rsidR="00CD7B97" w:rsidRPr="00BE34DA" w:rsidRDefault="00C22E2D" w:rsidP="00C22E2D">
      <w:pPr>
        <w:rPr>
          <w:rFonts w:cs="Arial"/>
          <w:color w:val="000000" w:themeColor="text1"/>
        </w:rPr>
      </w:pPr>
      <w:r w:rsidRPr="00BE34DA">
        <w:rPr>
          <w:rFonts w:cs="Arial"/>
          <w:color w:val="000000" w:themeColor="text1"/>
        </w:rPr>
        <w:t>The talent ecosystem needs to minimize the turnover through providing employees with a visible career path, frequent learning, and more open internal mobility. The developmental entanglement should be enhanced through capability mapping and career conversations, but the restricted developmental prospects have to be addressed with the help of the protected learning and mentoring. Wellbeing should be safeguarded by psychological safety and the review of workload, but not accountability. NHSX is needed to check turnover, internal movement, high potential retention, skills development, succession cover and healthiness to ensure that the scheme is ameliorating the initial issues.</w:t>
      </w:r>
    </w:p>
    <w:p w14:paraId="377AEDEB" w14:textId="77777777" w:rsidR="00CD7B97" w:rsidRPr="005612CE" w:rsidRDefault="00CD7B97" w:rsidP="00CD7B97">
      <w:pPr>
        <w:pStyle w:val="Heading1"/>
      </w:pPr>
      <w:bookmarkStart w:id="10" w:name="_Toc242723749"/>
      <w:r w:rsidRPr="005612CE">
        <w:t>4. Task C: Reflective Report</w:t>
      </w:r>
      <w:bookmarkEnd w:id="10"/>
    </w:p>
    <w:p w14:paraId="02062B43" w14:textId="77777777" w:rsidR="00CD7B97" w:rsidRPr="005612CE" w:rsidRDefault="00CD7B97" w:rsidP="00CD7B97">
      <w:pPr>
        <w:pStyle w:val="Heading2"/>
      </w:pPr>
      <w:bookmarkStart w:id="11" w:name="_Toc242723750"/>
      <w:r w:rsidRPr="005612CE">
        <w:t>4.1 AI as a Strategic HR Decision-Support Tool</w:t>
      </w:r>
      <w:bookmarkEnd w:id="11"/>
    </w:p>
    <w:p w14:paraId="41B6697B" w14:textId="12D1134E" w:rsidR="00CD7B97" w:rsidRPr="005612CE" w:rsidRDefault="00CD7B97" w:rsidP="00CD7B97">
      <w:pPr>
        <w:rPr>
          <w:rFonts w:cs="Arial"/>
        </w:rPr>
      </w:pPr>
      <w:r w:rsidRPr="005612CE">
        <w:rPr>
          <w:rFonts w:cs="Arial"/>
        </w:rPr>
        <w:t xml:space="preserve">HR decisions can be supported using artificial intelligence to analyse the skills of the workforce, forecast practitionable turnover trends, sift through vast amounts of applicant data and suggest individualised education. Performance can be strengthened with the assistance of AI-enabled HR analytics, along with the integration of insights with employee engagement and considerate job design (Bagis and Yulianeu, 2024). The problem with AI is that, however, it can recreate biased historical data, which can decrease transparency and make managers more open to automated proposals, without critical examination. Conscientious AI work in HR will thus emphasize equality, responsibility, privacy and human control (Bujold </w:t>
      </w:r>
      <w:r w:rsidR="002624A2" w:rsidRPr="002624A2">
        <w:rPr>
          <w:rFonts w:cs="Arial"/>
          <w:i/>
          <w:iCs/>
        </w:rPr>
        <w:t>et al</w:t>
      </w:r>
      <w:r w:rsidRPr="005612CE">
        <w:rPr>
          <w:rFonts w:cs="Arial"/>
        </w:rPr>
        <w:t>., 2024). In the case of NHSX, AI must inform and not substitute professional judgement, especially where there is a career, wellbeing or employment impact. Human compassion and right to challenge decisions must be kept in focus.</w:t>
      </w:r>
    </w:p>
    <w:p w14:paraId="0DF959BF" w14:textId="77777777" w:rsidR="00CD7B97" w:rsidRPr="005612CE" w:rsidRDefault="00CD7B97" w:rsidP="00CD7B97">
      <w:pPr>
        <w:pStyle w:val="Heading2"/>
      </w:pPr>
      <w:bookmarkStart w:id="12" w:name="_Toc242723751"/>
      <w:r w:rsidRPr="005612CE">
        <w:t>4.2 Reflection on Three Uses of AI</w:t>
      </w:r>
      <w:bookmarkEnd w:id="12"/>
    </w:p>
    <w:p w14:paraId="32D75F79" w14:textId="77777777" w:rsidR="005612CE" w:rsidRPr="00BE34DA" w:rsidRDefault="005612CE" w:rsidP="005612CE">
      <w:pPr>
        <w:rPr>
          <w:rFonts w:cs="Arial"/>
          <w:color w:val="000000" w:themeColor="text1"/>
        </w:rPr>
      </w:pPr>
      <w:bookmarkStart w:id="13" w:name="_GoBack"/>
      <w:r w:rsidRPr="00BE34DA">
        <w:rPr>
          <w:rFonts w:cs="Arial"/>
          <w:color w:val="000000" w:themeColor="text1"/>
        </w:rPr>
        <w:t xml:space="preserve">Based on three applications of AI, I reflected on my experience, reflection, learning and future action using Gibbs Reflective Cycle. First, AI assisted in the identification of the HR research search terms, though all the sources needed verification. Second, it facilitated </w:t>
      </w:r>
      <w:r w:rsidRPr="00BE34DA">
        <w:rPr>
          <w:rFonts w:cs="Arial"/>
          <w:color w:val="000000" w:themeColor="text1"/>
        </w:rPr>
        <w:lastRenderedPageBreak/>
        <w:t>a comparison of the themes of hybrid work and talent development, but some of the outputs were too broad. Third, proofreading helped make me more understandable but had the potential to deteriorate my own voice when viewed as a mix-up. I found out that AI can be employed as decision support, and critical checking and responsibility should remain in my hands. Next time, my application of AI will be more selective and check any significant output prior to its use.</w:t>
      </w:r>
    </w:p>
    <w:p w14:paraId="0B767BA7" w14:textId="77777777" w:rsidR="005612CE" w:rsidRPr="00BE34DA" w:rsidRDefault="005612CE" w:rsidP="005612CE">
      <w:pPr>
        <w:pStyle w:val="Heading2"/>
        <w:rPr>
          <w:color w:val="000000" w:themeColor="text1"/>
        </w:rPr>
      </w:pPr>
      <w:bookmarkStart w:id="14" w:name="_Toc242723752"/>
      <w:r w:rsidRPr="00BE34DA">
        <w:rPr>
          <w:color w:val="000000" w:themeColor="text1"/>
        </w:rPr>
        <w:t>4.3 Personal Capability Development Plan</w:t>
      </w:r>
      <w:bookmarkEnd w:id="14"/>
    </w:p>
    <w:p w14:paraId="5ECD561E" w14:textId="5B726F36" w:rsidR="00CD7B97" w:rsidRPr="00BE34DA" w:rsidRDefault="005612CE" w:rsidP="005612CE">
      <w:pPr>
        <w:rPr>
          <w:rFonts w:cs="Arial"/>
          <w:color w:val="000000" w:themeColor="text1"/>
        </w:rPr>
      </w:pPr>
      <w:r w:rsidRPr="00BE34DA">
        <w:rPr>
          <w:rFonts w:cs="Arial"/>
          <w:color w:val="000000" w:themeColor="text1"/>
        </w:rPr>
        <w:t>HR analytics is my first priority. Over the six-month period, I will undertake people-analytics training and practise workforce dashboards. The second value I will follow is called ethical AI literacy, which I will research bias, privacy, and transparency and apply an ethical checklist when making AI-aided HR decisions. Strategic leadership and communication is my third strategic priority. In the following year, I will guide a small group exercise, give suggestions and get feedback in a well-organized manner. Such acts reinforce evidences, ethical and communication skills of my reflection.</w:t>
      </w:r>
      <w:r w:rsidR="00CD7B97" w:rsidRPr="00BE34DA">
        <w:rPr>
          <w:rFonts w:cs="Arial"/>
          <w:color w:val="000000" w:themeColor="text1"/>
        </w:rPr>
        <w:t>.</w:t>
      </w:r>
    </w:p>
    <w:bookmarkEnd w:id="13"/>
    <w:p w14:paraId="51D563F2" w14:textId="2266CA79" w:rsidR="00B52739" w:rsidRPr="005612CE" w:rsidRDefault="00B52739" w:rsidP="00B52739">
      <w:pPr>
        <w:rPr>
          <w:rFonts w:cs="Arial"/>
          <w:b/>
          <w:bCs/>
          <w:i/>
          <w:iCs/>
        </w:rPr>
      </w:pPr>
      <w:r w:rsidRPr="005612CE">
        <w:rPr>
          <w:rFonts w:cs="Arial"/>
          <w:b/>
          <w:bCs/>
          <w:i/>
          <w:iCs/>
        </w:rPr>
        <w:t xml:space="preserve">Table </w:t>
      </w:r>
      <w:r w:rsidRPr="005612CE">
        <w:rPr>
          <w:rFonts w:cs="Arial"/>
          <w:b/>
          <w:bCs/>
          <w:i/>
          <w:iCs/>
        </w:rPr>
        <w:fldChar w:fldCharType="begin"/>
      </w:r>
      <w:r w:rsidRPr="005612CE">
        <w:rPr>
          <w:rFonts w:cs="Arial"/>
          <w:b/>
          <w:bCs/>
          <w:i/>
          <w:iCs/>
        </w:rPr>
        <w:instrText xml:space="preserve"> SEQ Table \* ARABIC </w:instrText>
      </w:r>
      <w:r w:rsidRPr="005612CE">
        <w:rPr>
          <w:rFonts w:cs="Arial"/>
          <w:b/>
          <w:bCs/>
          <w:i/>
          <w:iCs/>
        </w:rPr>
        <w:fldChar w:fldCharType="separate"/>
      </w:r>
      <w:r w:rsidR="009774D9">
        <w:rPr>
          <w:rFonts w:cs="Arial"/>
          <w:b/>
          <w:bCs/>
          <w:i/>
          <w:iCs/>
          <w:noProof/>
        </w:rPr>
        <w:t>2</w:t>
      </w:r>
      <w:r w:rsidRPr="005612CE">
        <w:rPr>
          <w:rFonts w:cs="Arial"/>
          <w:b/>
          <w:bCs/>
          <w:i/>
          <w:iCs/>
        </w:rPr>
        <w:fldChar w:fldCharType="end"/>
      </w:r>
      <w:r w:rsidRPr="005612CE">
        <w:rPr>
          <w:rFonts w:cs="Arial"/>
          <w:b/>
          <w:bCs/>
          <w:i/>
          <w:iCs/>
        </w:rPr>
        <w:t>: Personal Capability Development Plan</w:t>
      </w:r>
    </w:p>
    <w:tbl>
      <w:tblPr>
        <w:tblStyle w:val="TableGridLight"/>
        <w:tblW w:w="9752" w:type="dxa"/>
        <w:tblLayout w:type="fixed"/>
        <w:tblLook w:val="04A0" w:firstRow="1" w:lastRow="0" w:firstColumn="1" w:lastColumn="0" w:noHBand="0" w:noVBand="1"/>
      </w:tblPr>
      <w:tblGrid>
        <w:gridCol w:w="2268"/>
        <w:gridCol w:w="3515"/>
        <w:gridCol w:w="1361"/>
        <w:gridCol w:w="2608"/>
      </w:tblGrid>
      <w:tr w:rsidR="007F44D5" w:rsidRPr="005612CE" w14:paraId="05EF1589" w14:textId="77777777" w:rsidTr="00B52739">
        <w:tc>
          <w:tcPr>
            <w:tcW w:w="2268" w:type="dxa"/>
          </w:tcPr>
          <w:p w14:paraId="3A36090B" w14:textId="77777777" w:rsidR="007F44D5" w:rsidRPr="005612CE" w:rsidRDefault="009C10D8">
            <w:pPr>
              <w:jc w:val="center"/>
              <w:rPr>
                <w:rFonts w:cs="Arial"/>
              </w:rPr>
            </w:pPr>
            <w:r w:rsidRPr="005612CE">
              <w:rPr>
                <w:rFonts w:eastAsia="Arial" w:cs="Arial"/>
                <w:b/>
              </w:rPr>
              <w:t>Development area</w:t>
            </w:r>
          </w:p>
        </w:tc>
        <w:tc>
          <w:tcPr>
            <w:tcW w:w="3515" w:type="dxa"/>
          </w:tcPr>
          <w:p w14:paraId="4605ADD5" w14:textId="77777777" w:rsidR="007F44D5" w:rsidRPr="005612CE" w:rsidRDefault="009C10D8">
            <w:pPr>
              <w:jc w:val="center"/>
              <w:rPr>
                <w:rFonts w:cs="Arial"/>
              </w:rPr>
            </w:pPr>
            <w:r w:rsidRPr="005612CE">
              <w:rPr>
                <w:rFonts w:eastAsia="Arial" w:cs="Arial"/>
                <w:b/>
              </w:rPr>
              <w:t>Action</w:t>
            </w:r>
          </w:p>
        </w:tc>
        <w:tc>
          <w:tcPr>
            <w:tcW w:w="1361" w:type="dxa"/>
          </w:tcPr>
          <w:p w14:paraId="62EA9F1E" w14:textId="77777777" w:rsidR="007F44D5" w:rsidRPr="005612CE" w:rsidRDefault="009C10D8">
            <w:pPr>
              <w:jc w:val="center"/>
              <w:rPr>
                <w:rFonts w:cs="Arial"/>
              </w:rPr>
            </w:pPr>
            <w:r w:rsidRPr="005612CE">
              <w:rPr>
                <w:rFonts w:eastAsia="Arial" w:cs="Arial"/>
                <w:b/>
              </w:rPr>
              <w:t>Timeframe</w:t>
            </w:r>
          </w:p>
        </w:tc>
        <w:tc>
          <w:tcPr>
            <w:tcW w:w="2608" w:type="dxa"/>
          </w:tcPr>
          <w:p w14:paraId="5DE71A76" w14:textId="77777777" w:rsidR="007F44D5" w:rsidRPr="005612CE" w:rsidRDefault="009C10D8">
            <w:pPr>
              <w:jc w:val="center"/>
              <w:rPr>
                <w:rFonts w:cs="Arial"/>
              </w:rPr>
            </w:pPr>
            <w:r w:rsidRPr="005612CE">
              <w:rPr>
                <w:rFonts w:eastAsia="Arial" w:cs="Arial"/>
                <w:b/>
              </w:rPr>
              <w:t>Expected benefit</w:t>
            </w:r>
          </w:p>
        </w:tc>
      </w:tr>
      <w:tr w:rsidR="007F44D5" w:rsidRPr="005612CE" w14:paraId="76BE8B13" w14:textId="77777777" w:rsidTr="00B52739">
        <w:tc>
          <w:tcPr>
            <w:tcW w:w="2268" w:type="dxa"/>
          </w:tcPr>
          <w:p w14:paraId="4019D521" w14:textId="77777777" w:rsidR="007F44D5" w:rsidRPr="005612CE" w:rsidRDefault="009C10D8">
            <w:pPr>
              <w:rPr>
                <w:rFonts w:cs="Arial"/>
              </w:rPr>
            </w:pPr>
            <w:r w:rsidRPr="005612CE">
              <w:rPr>
                <w:rFonts w:eastAsia="Arial" w:cs="Arial"/>
              </w:rPr>
              <w:t>HR analytics</w:t>
            </w:r>
          </w:p>
        </w:tc>
        <w:tc>
          <w:tcPr>
            <w:tcW w:w="3515" w:type="dxa"/>
          </w:tcPr>
          <w:p w14:paraId="3A121AD8" w14:textId="77777777" w:rsidR="007F44D5" w:rsidRPr="005612CE" w:rsidRDefault="009C10D8">
            <w:pPr>
              <w:rPr>
                <w:rFonts w:cs="Arial"/>
              </w:rPr>
            </w:pPr>
            <w:r w:rsidRPr="005612CE">
              <w:rPr>
                <w:rFonts w:eastAsia="Arial" w:cs="Arial"/>
              </w:rPr>
              <w:t>Complete people-analytics training and practise dashboards</w:t>
            </w:r>
          </w:p>
        </w:tc>
        <w:tc>
          <w:tcPr>
            <w:tcW w:w="1361" w:type="dxa"/>
          </w:tcPr>
          <w:p w14:paraId="639CB1B9" w14:textId="77777777" w:rsidR="007F44D5" w:rsidRPr="005612CE" w:rsidRDefault="009C10D8">
            <w:pPr>
              <w:rPr>
                <w:rFonts w:cs="Arial"/>
              </w:rPr>
            </w:pPr>
            <w:r w:rsidRPr="005612CE">
              <w:rPr>
                <w:rFonts w:eastAsia="Arial" w:cs="Arial"/>
              </w:rPr>
              <w:t>6 months</w:t>
            </w:r>
          </w:p>
        </w:tc>
        <w:tc>
          <w:tcPr>
            <w:tcW w:w="2608" w:type="dxa"/>
          </w:tcPr>
          <w:p w14:paraId="0D5AFD92" w14:textId="77777777" w:rsidR="007F44D5" w:rsidRPr="005612CE" w:rsidRDefault="009C10D8">
            <w:pPr>
              <w:rPr>
                <w:rFonts w:cs="Arial"/>
              </w:rPr>
            </w:pPr>
            <w:r w:rsidRPr="005612CE">
              <w:rPr>
                <w:rFonts w:eastAsia="Arial" w:cs="Arial"/>
              </w:rPr>
              <w:t>Stronger evidence-based HR decisions</w:t>
            </w:r>
          </w:p>
        </w:tc>
      </w:tr>
      <w:tr w:rsidR="007F44D5" w:rsidRPr="005612CE" w14:paraId="3734B68D" w14:textId="77777777" w:rsidTr="00B52739">
        <w:tc>
          <w:tcPr>
            <w:tcW w:w="2268" w:type="dxa"/>
          </w:tcPr>
          <w:p w14:paraId="06EA4B39" w14:textId="77777777" w:rsidR="007F44D5" w:rsidRPr="005612CE" w:rsidRDefault="009C10D8">
            <w:pPr>
              <w:rPr>
                <w:rFonts w:cs="Arial"/>
              </w:rPr>
            </w:pPr>
            <w:r w:rsidRPr="005612CE">
              <w:rPr>
                <w:rFonts w:eastAsia="Arial" w:cs="Arial"/>
              </w:rPr>
              <w:t>Ethical AI literacy</w:t>
            </w:r>
          </w:p>
        </w:tc>
        <w:tc>
          <w:tcPr>
            <w:tcW w:w="3515" w:type="dxa"/>
          </w:tcPr>
          <w:p w14:paraId="65546BCC" w14:textId="77777777" w:rsidR="007F44D5" w:rsidRPr="005612CE" w:rsidRDefault="009C10D8">
            <w:pPr>
              <w:rPr>
                <w:rFonts w:cs="Arial"/>
              </w:rPr>
            </w:pPr>
            <w:r w:rsidRPr="005612CE">
              <w:rPr>
                <w:rFonts w:eastAsia="Arial" w:cs="Arial"/>
              </w:rPr>
              <w:t>Study bias, privacy and responsible AI; use an ethics checklist</w:t>
            </w:r>
          </w:p>
        </w:tc>
        <w:tc>
          <w:tcPr>
            <w:tcW w:w="1361" w:type="dxa"/>
          </w:tcPr>
          <w:p w14:paraId="72B863BF" w14:textId="77777777" w:rsidR="007F44D5" w:rsidRPr="005612CE" w:rsidRDefault="009C10D8">
            <w:pPr>
              <w:rPr>
                <w:rFonts w:cs="Arial"/>
              </w:rPr>
            </w:pPr>
            <w:r w:rsidRPr="005612CE">
              <w:rPr>
                <w:rFonts w:eastAsia="Arial" w:cs="Arial"/>
              </w:rPr>
              <w:t>6 months</w:t>
            </w:r>
          </w:p>
        </w:tc>
        <w:tc>
          <w:tcPr>
            <w:tcW w:w="2608" w:type="dxa"/>
          </w:tcPr>
          <w:p w14:paraId="26D79325" w14:textId="77777777" w:rsidR="007F44D5" w:rsidRPr="005612CE" w:rsidRDefault="009C10D8">
            <w:pPr>
              <w:rPr>
                <w:rFonts w:cs="Arial"/>
              </w:rPr>
            </w:pPr>
            <w:r w:rsidRPr="005612CE">
              <w:rPr>
                <w:rFonts w:eastAsia="Arial" w:cs="Arial"/>
              </w:rPr>
              <w:t>Safer and fairer AI-supported decisions</w:t>
            </w:r>
          </w:p>
        </w:tc>
      </w:tr>
      <w:tr w:rsidR="007F44D5" w:rsidRPr="005612CE" w14:paraId="4AA092AF" w14:textId="77777777" w:rsidTr="00B52739">
        <w:tc>
          <w:tcPr>
            <w:tcW w:w="2268" w:type="dxa"/>
          </w:tcPr>
          <w:p w14:paraId="7C4C1D54" w14:textId="77777777" w:rsidR="007F44D5" w:rsidRPr="005612CE" w:rsidRDefault="009C10D8">
            <w:pPr>
              <w:rPr>
                <w:rFonts w:cs="Arial"/>
              </w:rPr>
            </w:pPr>
            <w:r w:rsidRPr="005612CE">
              <w:rPr>
                <w:rFonts w:eastAsia="Arial" w:cs="Arial"/>
              </w:rPr>
              <w:t>Leadership and communication</w:t>
            </w:r>
          </w:p>
        </w:tc>
        <w:tc>
          <w:tcPr>
            <w:tcW w:w="3515" w:type="dxa"/>
          </w:tcPr>
          <w:p w14:paraId="0F0E251E" w14:textId="77777777" w:rsidR="007F44D5" w:rsidRPr="005612CE" w:rsidRDefault="009C10D8">
            <w:pPr>
              <w:rPr>
                <w:rFonts w:cs="Arial"/>
              </w:rPr>
            </w:pPr>
            <w:r w:rsidRPr="005612CE">
              <w:rPr>
                <w:rFonts w:eastAsia="Arial" w:cs="Arial"/>
              </w:rPr>
              <w:t>Lead a small team activity and seek structured feedback</w:t>
            </w:r>
          </w:p>
        </w:tc>
        <w:tc>
          <w:tcPr>
            <w:tcW w:w="1361" w:type="dxa"/>
          </w:tcPr>
          <w:p w14:paraId="2CB29E48" w14:textId="77777777" w:rsidR="007F44D5" w:rsidRPr="005612CE" w:rsidRDefault="009C10D8">
            <w:pPr>
              <w:rPr>
                <w:rFonts w:cs="Arial"/>
              </w:rPr>
            </w:pPr>
            <w:r w:rsidRPr="005612CE">
              <w:rPr>
                <w:rFonts w:eastAsia="Arial" w:cs="Arial"/>
              </w:rPr>
              <w:t>12 months</w:t>
            </w:r>
          </w:p>
        </w:tc>
        <w:tc>
          <w:tcPr>
            <w:tcW w:w="2608" w:type="dxa"/>
          </w:tcPr>
          <w:p w14:paraId="5B6EF457" w14:textId="77777777" w:rsidR="007F44D5" w:rsidRPr="005612CE" w:rsidRDefault="009C10D8">
            <w:pPr>
              <w:rPr>
                <w:rFonts w:cs="Arial"/>
              </w:rPr>
            </w:pPr>
            <w:r w:rsidRPr="005612CE">
              <w:rPr>
                <w:rFonts w:eastAsia="Arial" w:cs="Arial"/>
              </w:rPr>
              <w:t>Greater strategic confidence and communication</w:t>
            </w:r>
          </w:p>
        </w:tc>
      </w:tr>
    </w:tbl>
    <w:p w14:paraId="572E1AFB" w14:textId="77777777" w:rsidR="00CD7B97" w:rsidRPr="005612CE" w:rsidRDefault="00CD7B97" w:rsidP="00CD7B97">
      <w:pPr>
        <w:pStyle w:val="Heading1"/>
      </w:pPr>
      <w:bookmarkStart w:id="15" w:name="_Toc242723753"/>
      <w:r w:rsidRPr="005612CE">
        <w:t>5. Conclusion</w:t>
      </w:r>
      <w:bookmarkEnd w:id="15"/>
    </w:p>
    <w:p w14:paraId="1ECDEF3E" w14:textId="77777777" w:rsidR="00CD7B97" w:rsidRPr="005612CE" w:rsidRDefault="00616F55" w:rsidP="00CD7B97">
      <w:pPr>
        <w:rPr>
          <w:rFonts w:cs="Arial"/>
        </w:rPr>
      </w:pPr>
      <w:r w:rsidRPr="005612CE">
        <w:rPr>
          <w:rFonts w:cs="Arial"/>
        </w:rPr>
        <w:t>NHSX should replace excessive hierarchy with cross-functional teams, hybrid working, employee autonomy and continuous learning. A strong talent ecosystem should support career development, coaching, internal mobility, succession planning and psychological safety. AI can strengthen HR decisions, but human judgement and governance remain essential for responsible innovation and sustainable performance.</w:t>
      </w:r>
    </w:p>
    <w:bookmarkEnd w:id="1"/>
    <w:p w14:paraId="5D5FF21E" w14:textId="77777777" w:rsidR="00077401" w:rsidRPr="005612CE" w:rsidRDefault="00077401" w:rsidP="00E02075">
      <w:pPr>
        <w:pStyle w:val="Heading1"/>
      </w:pPr>
      <w:r w:rsidRPr="005612CE">
        <w:br w:type="page"/>
      </w:r>
      <w:bookmarkStart w:id="16" w:name="_Toc242264705"/>
      <w:bookmarkStart w:id="17" w:name="_Toc242723754"/>
      <w:r w:rsidRPr="005612CE">
        <w:lastRenderedPageBreak/>
        <w:t>References</w:t>
      </w:r>
      <w:bookmarkEnd w:id="16"/>
      <w:bookmarkEnd w:id="17"/>
    </w:p>
    <w:p w14:paraId="44D84583" w14:textId="285390A2" w:rsidR="00077401" w:rsidRPr="005612CE" w:rsidRDefault="00077401" w:rsidP="009C1ECF">
      <w:pPr>
        <w:rPr>
          <w:rFonts w:cs="Arial"/>
        </w:rPr>
      </w:pPr>
      <w:r w:rsidRPr="005612CE">
        <w:rPr>
          <w:rFonts w:cs="Arial"/>
        </w:rPr>
        <w:t>Almashyakhi, A.M. (2024)</w:t>
      </w:r>
      <w:r w:rsidR="004D39C0" w:rsidRPr="005612CE">
        <w:rPr>
          <w:rFonts w:cs="Arial"/>
        </w:rPr>
        <w:t xml:space="preserve">. </w:t>
      </w:r>
      <w:r w:rsidRPr="005612CE">
        <w:rPr>
          <w:rFonts w:cs="Arial"/>
        </w:rPr>
        <w:t xml:space="preserve">Talent Management Practices and Employee Retention: Does It Make a Difference?’, Merits, 4(4), pp. 453–462. Available at: </w:t>
      </w:r>
      <w:hyperlink r:id="rId9">
        <w:r w:rsidRPr="005612CE">
          <w:rPr>
            <w:rFonts w:cs="Arial"/>
            <w:color w:val="0563C1"/>
            <w:u w:val="single"/>
          </w:rPr>
          <w:t>https://doi.org/10.3390/merits4040032</w:t>
        </w:r>
      </w:hyperlink>
      <w:r w:rsidRPr="005612CE">
        <w:rPr>
          <w:rFonts w:cs="Arial"/>
        </w:rPr>
        <w:t xml:space="preserve"> </w:t>
      </w:r>
    </w:p>
    <w:p w14:paraId="37EF798C" w14:textId="431401B5" w:rsidR="00077401" w:rsidRPr="005612CE" w:rsidRDefault="00077401" w:rsidP="009C1ECF">
      <w:pPr>
        <w:rPr>
          <w:rFonts w:cs="Arial"/>
        </w:rPr>
      </w:pPr>
      <w:r w:rsidRPr="005612CE">
        <w:rPr>
          <w:rFonts w:cs="Arial"/>
        </w:rPr>
        <w:t>Arata, S., Sugiuchi, M. and Kawakubo, S. (2024)</w:t>
      </w:r>
      <w:r w:rsidR="004D39C0" w:rsidRPr="005612CE">
        <w:rPr>
          <w:rFonts w:cs="Arial"/>
        </w:rPr>
        <w:t xml:space="preserve">. </w:t>
      </w:r>
      <w:r w:rsidRPr="005612CE">
        <w:rPr>
          <w:rFonts w:cs="Arial"/>
        </w:rPr>
        <w:t xml:space="preserve">Office environment and workers’ productivity in the era of hybrid work: analysis considering office environment and home environment’, IOP Conference Series: Earth and Environmental Science, 1363, 012112. Available at: </w:t>
      </w:r>
      <w:hyperlink r:id="rId10">
        <w:r w:rsidRPr="005612CE">
          <w:rPr>
            <w:rFonts w:cs="Arial"/>
            <w:color w:val="0563C1"/>
            <w:u w:val="single"/>
          </w:rPr>
          <w:t>https://doi.org/10.1088/1755-1315/1363/1/012112</w:t>
        </w:r>
      </w:hyperlink>
      <w:r w:rsidRPr="005612CE">
        <w:rPr>
          <w:rFonts w:cs="Arial"/>
        </w:rPr>
        <w:t xml:space="preserve"> </w:t>
      </w:r>
    </w:p>
    <w:p w14:paraId="7916CA38" w14:textId="182A5EB6" w:rsidR="00077401" w:rsidRPr="005612CE" w:rsidRDefault="00077401" w:rsidP="009C1ECF">
      <w:pPr>
        <w:rPr>
          <w:rFonts w:cs="Arial"/>
        </w:rPr>
      </w:pPr>
      <w:r w:rsidRPr="005612CE">
        <w:rPr>
          <w:rFonts w:cs="Arial"/>
        </w:rPr>
        <w:t>Bagis, F. and Yulianeu, A. (2024)</w:t>
      </w:r>
      <w:r w:rsidR="004D39C0" w:rsidRPr="005612CE">
        <w:rPr>
          <w:rFonts w:cs="Arial"/>
        </w:rPr>
        <w:t xml:space="preserve">. </w:t>
      </w:r>
      <w:r w:rsidRPr="005612CE">
        <w:rPr>
          <w:rFonts w:cs="Arial"/>
        </w:rPr>
        <w:t xml:space="preserve">Enhancing Employee Performance through AI-Enabled HR Analytics: Exploring the Roles of Job Crafting, Perceived Risk, and Employee Engagement’, Journal of Digitovation and Information Systems, 4(1), pp. 81–97. Available at: </w:t>
      </w:r>
      <w:hyperlink r:id="rId11">
        <w:r w:rsidRPr="005612CE">
          <w:rPr>
            <w:rFonts w:cs="Arial"/>
            <w:color w:val="0563C1"/>
            <w:u w:val="single"/>
          </w:rPr>
          <w:t>https://doi.org/10.54433/JDIIS.2024100039</w:t>
        </w:r>
      </w:hyperlink>
      <w:r w:rsidRPr="005612CE">
        <w:rPr>
          <w:rFonts w:cs="Arial"/>
        </w:rPr>
        <w:t xml:space="preserve"> </w:t>
      </w:r>
    </w:p>
    <w:p w14:paraId="7A58C8CA" w14:textId="49B9225B" w:rsidR="00077401" w:rsidRPr="005612CE" w:rsidRDefault="00077401" w:rsidP="009C1ECF">
      <w:pPr>
        <w:rPr>
          <w:rFonts w:cs="Arial"/>
        </w:rPr>
      </w:pPr>
      <w:r w:rsidRPr="005612CE">
        <w:rPr>
          <w:rFonts w:cs="Arial"/>
        </w:rPr>
        <w:t>Birman, N.A., Katz-Navon, T., Vashdi, D. and Hofstetter, H. (2024)</w:t>
      </w:r>
      <w:r w:rsidR="004D39C0" w:rsidRPr="005612CE">
        <w:rPr>
          <w:rFonts w:cs="Arial"/>
        </w:rPr>
        <w:t xml:space="preserve">. </w:t>
      </w:r>
      <w:r w:rsidRPr="005612CE">
        <w:rPr>
          <w:rFonts w:cs="Arial"/>
        </w:rPr>
        <w:t xml:space="preserve">Remotely engaged—The role of job crafting in the change of employees’ engagement after an abrupt transition to remote work’, Frontiers in Organizational Psychology, 2, 1363859. Available at: </w:t>
      </w:r>
      <w:hyperlink r:id="rId12">
        <w:r w:rsidRPr="005612CE">
          <w:rPr>
            <w:rFonts w:cs="Arial"/>
            <w:color w:val="0563C1"/>
            <w:u w:val="single"/>
          </w:rPr>
          <w:t>https://doi.org/10.3389/forgp.2024.1363859</w:t>
        </w:r>
      </w:hyperlink>
      <w:r w:rsidRPr="005612CE">
        <w:rPr>
          <w:rFonts w:cs="Arial"/>
        </w:rPr>
        <w:t xml:space="preserve"> </w:t>
      </w:r>
    </w:p>
    <w:p w14:paraId="3B1BF6BA" w14:textId="52BCEF6E" w:rsidR="00077401" w:rsidRPr="005612CE" w:rsidRDefault="00077401" w:rsidP="009C1ECF">
      <w:pPr>
        <w:rPr>
          <w:rFonts w:cs="Arial"/>
        </w:rPr>
      </w:pPr>
      <w:r w:rsidRPr="005612CE">
        <w:rPr>
          <w:rFonts w:cs="Arial"/>
        </w:rPr>
        <w:t>Bloom, N., Han, R. and Liang, J. (2024)</w:t>
      </w:r>
      <w:r w:rsidR="004D39C0" w:rsidRPr="005612CE">
        <w:rPr>
          <w:rFonts w:cs="Arial"/>
        </w:rPr>
        <w:t xml:space="preserve">. </w:t>
      </w:r>
      <w:r w:rsidRPr="005612CE">
        <w:rPr>
          <w:rFonts w:cs="Arial"/>
        </w:rPr>
        <w:t xml:space="preserve">Hybrid working from home improves retention without damaging performance’, Nature, 630, pp. 920–925. Available at: </w:t>
      </w:r>
      <w:hyperlink r:id="rId13">
        <w:r w:rsidRPr="005612CE">
          <w:rPr>
            <w:rFonts w:cs="Arial"/>
            <w:color w:val="0563C1"/>
            <w:u w:val="single"/>
          </w:rPr>
          <w:t>https://doi.org/10.1038/s41586-024-07500-2</w:t>
        </w:r>
      </w:hyperlink>
      <w:r w:rsidRPr="005612CE">
        <w:rPr>
          <w:rFonts w:cs="Arial"/>
        </w:rPr>
        <w:t xml:space="preserve"> </w:t>
      </w:r>
    </w:p>
    <w:p w14:paraId="3AD51576" w14:textId="1483C368" w:rsidR="00077401" w:rsidRPr="005612CE" w:rsidRDefault="00077401" w:rsidP="009C1ECF">
      <w:pPr>
        <w:rPr>
          <w:rFonts w:cs="Arial"/>
        </w:rPr>
      </w:pPr>
      <w:r w:rsidRPr="005612CE">
        <w:rPr>
          <w:rFonts w:cs="Arial"/>
        </w:rPr>
        <w:t>Bujold, A., Roberge-Maltais, I., Parent-Rocheleau, X., Boasen, J., Sénécal, S. and Léger, P.-M. (2024)</w:t>
      </w:r>
      <w:r w:rsidR="004D39C0" w:rsidRPr="005612CE">
        <w:rPr>
          <w:rFonts w:cs="Arial"/>
        </w:rPr>
        <w:t xml:space="preserve">. </w:t>
      </w:r>
      <w:r w:rsidRPr="005612CE">
        <w:rPr>
          <w:rFonts w:cs="Arial"/>
        </w:rPr>
        <w:t xml:space="preserve">Responsible artificial intelligence in human resources management: a review of the empirical literature’, AI and Ethics, 4, pp. 1185–1200. Available at: </w:t>
      </w:r>
      <w:hyperlink r:id="rId14">
        <w:r w:rsidRPr="005612CE">
          <w:rPr>
            <w:rFonts w:cs="Arial"/>
            <w:color w:val="0563C1"/>
            <w:u w:val="single"/>
          </w:rPr>
          <w:t>https://doi.org/10.1007/s43681-023-00325-1</w:t>
        </w:r>
      </w:hyperlink>
      <w:r w:rsidRPr="005612CE">
        <w:rPr>
          <w:rFonts w:cs="Arial"/>
        </w:rPr>
        <w:t xml:space="preserve"> </w:t>
      </w:r>
    </w:p>
    <w:p w14:paraId="1BA52C2E" w14:textId="0522E6B9" w:rsidR="00077401" w:rsidRPr="005612CE" w:rsidRDefault="00077401" w:rsidP="009C1ECF">
      <w:pPr>
        <w:rPr>
          <w:rFonts w:cs="Arial"/>
        </w:rPr>
      </w:pPr>
      <w:r w:rsidRPr="005612CE">
        <w:rPr>
          <w:rFonts w:cs="Arial"/>
        </w:rPr>
        <w:t>Butt, A., Imran, F., Helo, P. and Kantola, J. (2024)</w:t>
      </w:r>
      <w:r w:rsidR="004D39C0" w:rsidRPr="005612CE">
        <w:rPr>
          <w:rFonts w:cs="Arial"/>
        </w:rPr>
        <w:t xml:space="preserve">. </w:t>
      </w:r>
      <w:r w:rsidRPr="005612CE">
        <w:rPr>
          <w:rFonts w:cs="Arial"/>
        </w:rPr>
        <w:t xml:space="preserve">Strategic design of culture for digital transformation’, Long Range Planning, 57(2), 102415. Available at: </w:t>
      </w:r>
      <w:hyperlink r:id="rId15">
        <w:r w:rsidRPr="005612CE">
          <w:rPr>
            <w:rFonts w:cs="Arial"/>
            <w:color w:val="0563C1"/>
            <w:u w:val="single"/>
          </w:rPr>
          <w:t>https://doi.org/10.1016/j.lrp.2024.102415</w:t>
        </w:r>
      </w:hyperlink>
      <w:r w:rsidRPr="005612CE">
        <w:rPr>
          <w:rFonts w:cs="Arial"/>
        </w:rPr>
        <w:t xml:space="preserve"> </w:t>
      </w:r>
    </w:p>
    <w:p w14:paraId="2A9CB229" w14:textId="600A121F" w:rsidR="00077401" w:rsidRPr="005612CE" w:rsidRDefault="00077401" w:rsidP="009C1ECF">
      <w:pPr>
        <w:rPr>
          <w:rFonts w:cs="Arial"/>
        </w:rPr>
      </w:pPr>
      <w:r w:rsidRPr="005612CE">
        <w:rPr>
          <w:rFonts w:cs="Arial"/>
        </w:rPr>
        <w:lastRenderedPageBreak/>
        <w:t>Caccamo, M., Pittino, D. and Tell, F. (2023)</w:t>
      </w:r>
      <w:r w:rsidR="004D39C0" w:rsidRPr="005612CE">
        <w:rPr>
          <w:rFonts w:cs="Arial"/>
        </w:rPr>
        <w:t xml:space="preserve">. </w:t>
      </w:r>
      <w:r w:rsidRPr="005612CE">
        <w:rPr>
          <w:rFonts w:cs="Arial"/>
        </w:rPr>
        <w:t xml:space="preserve">Boundary objects, knowledge integration, and innovation management: A systematic review of the literature’, Technovation, 122, 102645. Available at: </w:t>
      </w:r>
      <w:hyperlink r:id="rId16">
        <w:r w:rsidRPr="005612CE">
          <w:rPr>
            <w:rFonts w:cs="Arial"/>
            <w:color w:val="0563C1"/>
            <w:u w:val="single"/>
          </w:rPr>
          <w:t>https://doi.org/10.1016/j.technovation.2022.102645</w:t>
        </w:r>
      </w:hyperlink>
      <w:r w:rsidRPr="005612CE">
        <w:rPr>
          <w:rFonts w:cs="Arial"/>
        </w:rPr>
        <w:t xml:space="preserve"> </w:t>
      </w:r>
    </w:p>
    <w:p w14:paraId="586B9361" w14:textId="52C7CA75" w:rsidR="00077401" w:rsidRPr="005612CE" w:rsidRDefault="00077401" w:rsidP="009C1ECF">
      <w:pPr>
        <w:rPr>
          <w:rFonts w:cs="Arial"/>
        </w:rPr>
      </w:pPr>
      <w:r w:rsidRPr="005612CE">
        <w:rPr>
          <w:rFonts w:cs="Arial"/>
        </w:rPr>
        <w:t>Govers, M. and van Amelsvoort, P. (2023)</w:t>
      </w:r>
      <w:r w:rsidR="004D39C0" w:rsidRPr="005612CE">
        <w:rPr>
          <w:rFonts w:cs="Arial"/>
        </w:rPr>
        <w:t xml:space="preserve">. </w:t>
      </w:r>
      <w:r w:rsidRPr="005612CE">
        <w:rPr>
          <w:rFonts w:cs="Arial"/>
        </w:rPr>
        <w:t xml:space="preserve">A theoretical essay on socio-technical systems design thinking in the era of digital transformation’, Gruppe. Interaktion. Organisation, 54, pp. 27–40. Available at: </w:t>
      </w:r>
      <w:hyperlink r:id="rId17">
        <w:r w:rsidRPr="005612CE">
          <w:rPr>
            <w:rFonts w:cs="Arial"/>
            <w:color w:val="0563C1"/>
            <w:u w:val="single"/>
          </w:rPr>
          <w:t>https://doi.org/10.1007/s11612-023-00675-8</w:t>
        </w:r>
      </w:hyperlink>
      <w:r w:rsidRPr="005612CE">
        <w:rPr>
          <w:rFonts w:cs="Arial"/>
        </w:rPr>
        <w:t xml:space="preserve"> </w:t>
      </w:r>
    </w:p>
    <w:p w14:paraId="3201CAD4" w14:textId="7BC1F973" w:rsidR="00077401" w:rsidRPr="005612CE" w:rsidRDefault="00077401" w:rsidP="009C1ECF">
      <w:pPr>
        <w:rPr>
          <w:rFonts w:cs="Arial"/>
        </w:rPr>
      </w:pPr>
      <w:r w:rsidRPr="005612CE">
        <w:rPr>
          <w:rFonts w:cs="Arial"/>
        </w:rPr>
        <w:t xml:space="preserve">Iida, M. </w:t>
      </w:r>
      <w:r w:rsidR="002624A2" w:rsidRPr="002624A2">
        <w:rPr>
          <w:rFonts w:cs="Arial"/>
          <w:i/>
          <w:iCs/>
        </w:rPr>
        <w:t>et al</w:t>
      </w:r>
      <w:r w:rsidRPr="005612CE">
        <w:rPr>
          <w:rFonts w:cs="Arial"/>
        </w:rPr>
        <w:t>. (2024)</w:t>
      </w:r>
      <w:r w:rsidR="004D39C0" w:rsidRPr="005612CE">
        <w:rPr>
          <w:rFonts w:cs="Arial"/>
        </w:rPr>
        <w:t xml:space="preserve">. </w:t>
      </w:r>
      <w:r w:rsidRPr="005612CE">
        <w:rPr>
          <w:rFonts w:cs="Arial"/>
        </w:rPr>
        <w:t xml:space="preserve">The association between team job crafting and work engagement among nurses: a prospective cohort study’, BMC Psychology, 12, 66. Available at: </w:t>
      </w:r>
      <w:hyperlink r:id="rId18">
        <w:r w:rsidRPr="005612CE">
          <w:rPr>
            <w:rFonts w:cs="Arial"/>
            <w:color w:val="0563C1"/>
            <w:u w:val="single"/>
          </w:rPr>
          <w:t>https://doi.org/10.1186/s40359-024-01538-7</w:t>
        </w:r>
      </w:hyperlink>
      <w:r w:rsidRPr="005612CE">
        <w:rPr>
          <w:rFonts w:cs="Arial"/>
        </w:rPr>
        <w:t xml:space="preserve"> </w:t>
      </w:r>
    </w:p>
    <w:p w14:paraId="09CEF1A6" w14:textId="4D2A768E" w:rsidR="00077401" w:rsidRPr="005612CE" w:rsidRDefault="00077401" w:rsidP="009C1ECF">
      <w:pPr>
        <w:rPr>
          <w:rFonts w:cs="Arial"/>
        </w:rPr>
      </w:pPr>
      <w:r w:rsidRPr="005612CE">
        <w:rPr>
          <w:rFonts w:cs="Arial"/>
        </w:rPr>
        <w:t>Jin, H. and Peng, Y. (2024)</w:t>
      </w:r>
      <w:r w:rsidR="004D39C0" w:rsidRPr="005612CE">
        <w:rPr>
          <w:rFonts w:cs="Arial"/>
        </w:rPr>
        <w:t xml:space="preserve">. </w:t>
      </w:r>
      <w:r w:rsidRPr="005612CE">
        <w:rPr>
          <w:rFonts w:cs="Arial"/>
        </w:rPr>
        <w:t xml:space="preserve">The impact of team psychological safety on employee innovative performance: a study with communication behavior as a mediator variable’, PLOS ONE, 19(10), e0306629. Available at: </w:t>
      </w:r>
      <w:hyperlink r:id="rId19">
        <w:r w:rsidRPr="005612CE">
          <w:rPr>
            <w:rFonts w:cs="Arial"/>
            <w:color w:val="0563C1"/>
            <w:u w:val="single"/>
          </w:rPr>
          <w:t>https://doi.org/10.1371/journal.pone.0306629</w:t>
        </w:r>
      </w:hyperlink>
      <w:r w:rsidRPr="005612CE">
        <w:rPr>
          <w:rFonts w:cs="Arial"/>
        </w:rPr>
        <w:t xml:space="preserve"> </w:t>
      </w:r>
    </w:p>
    <w:p w14:paraId="63191D7B" w14:textId="7F6DDAD2" w:rsidR="00077401" w:rsidRPr="005612CE" w:rsidRDefault="00077401" w:rsidP="009C1ECF">
      <w:pPr>
        <w:rPr>
          <w:rFonts w:cs="Arial"/>
        </w:rPr>
      </w:pPr>
      <w:r w:rsidRPr="005612CE">
        <w:rPr>
          <w:rFonts w:cs="Arial"/>
        </w:rPr>
        <w:t>Karpagavalli, R. and Suganthi, L. (2024)</w:t>
      </w:r>
      <w:r w:rsidR="004D39C0" w:rsidRPr="005612CE">
        <w:rPr>
          <w:rFonts w:cs="Arial"/>
        </w:rPr>
        <w:t xml:space="preserve">. </w:t>
      </w:r>
      <w:r w:rsidRPr="005612CE">
        <w:rPr>
          <w:rFonts w:cs="Arial"/>
        </w:rPr>
        <w:t xml:space="preserve">Growth mindset and positive work reflection for affective well-being: a three-way interaction model’, Humanities and Social Sciences Communications, 11, 230. Available at: </w:t>
      </w:r>
      <w:hyperlink r:id="rId20">
        <w:r w:rsidRPr="005612CE">
          <w:rPr>
            <w:rFonts w:cs="Arial"/>
            <w:color w:val="0563C1"/>
            <w:u w:val="single"/>
          </w:rPr>
          <w:t>https://doi.org/10.1057/s41599-024-02752-9</w:t>
        </w:r>
      </w:hyperlink>
      <w:r w:rsidRPr="005612CE">
        <w:rPr>
          <w:rFonts w:cs="Arial"/>
        </w:rPr>
        <w:t xml:space="preserve"> </w:t>
      </w:r>
    </w:p>
    <w:p w14:paraId="558CF004" w14:textId="5FCE0697" w:rsidR="00077401" w:rsidRPr="005612CE" w:rsidRDefault="00077401" w:rsidP="009C1ECF">
      <w:pPr>
        <w:rPr>
          <w:rFonts w:cs="Arial"/>
        </w:rPr>
      </w:pPr>
      <w:r w:rsidRPr="005612CE">
        <w:rPr>
          <w:rFonts w:cs="Arial"/>
        </w:rPr>
        <w:t>Kristensen, T.B., Saabye, H. and Edmondson, A. (2022)</w:t>
      </w:r>
      <w:r w:rsidR="004D39C0" w:rsidRPr="005612CE">
        <w:rPr>
          <w:rFonts w:cs="Arial"/>
        </w:rPr>
        <w:t xml:space="preserve">. </w:t>
      </w:r>
      <w:r w:rsidRPr="005612CE">
        <w:rPr>
          <w:rFonts w:cs="Arial"/>
        </w:rPr>
        <w:t xml:space="preserve">Becoming a learning organization while enhancing performance: the case of LEGO’, International Journal of Operations &amp; Production Management, 42(13), pp. 438–481. Available at: </w:t>
      </w:r>
      <w:hyperlink r:id="rId21">
        <w:r w:rsidRPr="005612CE">
          <w:rPr>
            <w:rFonts w:cs="Arial"/>
            <w:color w:val="0563C1"/>
            <w:u w:val="single"/>
          </w:rPr>
          <w:t>https://doi.org/10.1108/IJOPM-10-2021-0676</w:t>
        </w:r>
      </w:hyperlink>
      <w:r w:rsidRPr="005612CE">
        <w:rPr>
          <w:rFonts w:cs="Arial"/>
        </w:rPr>
        <w:t xml:space="preserve"> </w:t>
      </w:r>
    </w:p>
    <w:p w14:paraId="1AE0BEB8" w14:textId="0A5A0F31" w:rsidR="00077401" w:rsidRPr="005612CE" w:rsidRDefault="00077401" w:rsidP="009C1ECF">
      <w:pPr>
        <w:rPr>
          <w:rFonts w:cs="Arial"/>
        </w:rPr>
      </w:pPr>
      <w:r w:rsidRPr="005612CE">
        <w:rPr>
          <w:rFonts w:cs="Arial"/>
        </w:rPr>
        <w:t>McAnally, K. and Hagger, M.S. (2024)</w:t>
      </w:r>
      <w:r w:rsidR="004D39C0" w:rsidRPr="005612CE">
        <w:rPr>
          <w:rFonts w:cs="Arial"/>
        </w:rPr>
        <w:t xml:space="preserve">. </w:t>
      </w:r>
      <w:r w:rsidRPr="005612CE">
        <w:rPr>
          <w:rFonts w:cs="Arial"/>
        </w:rPr>
        <w:t xml:space="preserve">Self-Determination Theory and Workplace Outcomes: A Conceptual Review and Future Research Directions’, Behavioral Sciences, 14(6), 428. Available at: </w:t>
      </w:r>
      <w:hyperlink r:id="rId22">
        <w:r w:rsidRPr="005612CE">
          <w:rPr>
            <w:rFonts w:cs="Arial"/>
            <w:color w:val="0563C1"/>
            <w:u w:val="single"/>
          </w:rPr>
          <w:t>https://doi.org/10.3390/bs14060428</w:t>
        </w:r>
      </w:hyperlink>
      <w:r w:rsidRPr="005612CE">
        <w:rPr>
          <w:rFonts w:cs="Arial"/>
        </w:rPr>
        <w:t xml:space="preserve"> </w:t>
      </w:r>
    </w:p>
    <w:p w14:paraId="3B015696" w14:textId="386B8B3E" w:rsidR="00077401" w:rsidRPr="005612CE" w:rsidRDefault="00077401" w:rsidP="009C1ECF">
      <w:pPr>
        <w:rPr>
          <w:rFonts w:cs="Arial"/>
        </w:rPr>
      </w:pPr>
      <w:r w:rsidRPr="005612CE">
        <w:rPr>
          <w:rFonts w:cs="Arial"/>
        </w:rPr>
        <w:t>Meier, A. and Kock, A. (2024)</w:t>
      </w:r>
      <w:r w:rsidR="004D39C0" w:rsidRPr="005612CE">
        <w:rPr>
          <w:rFonts w:cs="Arial"/>
        </w:rPr>
        <w:t xml:space="preserve">. </w:t>
      </w:r>
      <w:r w:rsidRPr="005612CE">
        <w:rPr>
          <w:rFonts w:cs="Arial"/>
        </w:rPr>
        <w:t xml:space="preserve">Agile R&amp;D units’ organisation and its relationship with innovation performance’, R&amp;D Management, 54(3), pp. 496–512. Available at: </w:t>
      </w:r>
      <w:hyperlink r:id="rId23">
        <w:r w:rsidRPr="005612CE">
          <w:rPr>
            <w:rFonts w:cs="Arial"/>
            <w:color w:val="0563C1"/>
            <w:u w:val="single"/>
          </w:rPr>
          <w:t>https://doi.org/10.1111/radm.12655</w:t>
        </w:r>
      </w:hyperlink>
      <w:r w:rsidRPr="005612CE">
        <w:rPr>
          <w:rFonts w:cs="Arial"/>
        </w:rPr>
        <w:t xml:space="preserve"> </w:t>
      </w:r>
    </w:p>
    <w:p w14:paraId="3D6385BE" w14:textId="1562895A" w:rsidR="00077401" w:rsidRPr="005612CE" w:rsidRDefault="00077401" w:rsidP="009C1ECF">
      <w:pPr>
        <w:rPr>
          <w:rFonts w:cs="Arial"/>
        </w:rPr>
      </w:pPr>
      <w:r w:rsidRPr="005612CE">
        <w:rPr>
          <w:rFonts w:cs="Arial"/>
        </w:rPr>
        <w:t xml:space="preserve">Nissinen, T.S., Upadyaya, K., Lammassaari, H. </w:t>
      </w:r>
      <w:r w:rsidR="002624A2" w:rsidRPr="002624A2">
        <w:rPr>
          <w:rFonts w:cs="Arial"/>
          <w:i/>
          <w:iCs/>
        </w:rPr>
        <w:t>et al</w:t>
      </w:r>
      <w:r w:rsidRPr="005612CE">
        <w:rPr>
          <w:rFonts w:cs="Arial"/>
        </w:rPr>
        <w:t>. (2024)</w:t>
      </w:r>
      <w:r w:rsidR="004D39C0" w:rsidRPr="005612CE">
        <w:rPr>
          <w:rFonts w:cs="Arial"/>
        </w:rPr>
        <w:t xml:space="preserve">. </w:t>
      </w:r>
      <w:r w:rsidRPr="005612CE">
        <w:rPr>
          <w:rFonts w:cs="Arial"/>
        </w:rPr>
        <w:t xml:space="preserve">How Do Job Crafting Profiles Manifest Employees’ Work Engagement, Workaholism, and Epistemic </w:t>
      </w:r>
      <w:r w:rsidRPr="005612CE">
        <w:rPr>
          <w:rFonts w:cs="Arial"/>
        </w:rPr>
        <w:lastRenderedPageBreak/>
        <w:t xml:space="preserve">Approach?’, Vocations and Learning, 17, pp. 21–42. Available at: </w:t>
      </w:r>
      <w:hyperlink r:id="rId24">
        <w:r w:rsidRPr="005612CE">
          <w:rPr>
            <w:rFonts w:cs="Arial"/>
            <w:color w:val="0563C1"/>
            <w:u w:val="single"/>
          </w:rPr>
          <w:t>https://doi.org/10.1007/s12186-023-09334-x</w:t>
        </w:r>
      </w:hyperlink>
      <w:r w:rsidRPr="005612CE">
        <w:rPr>
          <w:rFonts w:cs="Arial"/>
        </w:rPr>
        <w:t xml:space="preserve"> </w:t>
      </w:r>
    </w:p>
    <w:p w14:paraId="2E0EAE47" w14:textId="51B41E26" w:rsidR="00077401" w:rsidRPr="005612CE" w:rsidRDefault="00077401" w:rsidP="009C1ECF">
      <w:pPr>
        <w:rPr>
          <w:rFonts w:cs="Arial"/>
        </w:rPr>
      </w:pPr>
      <w:r w:rsidRPr="005612CE">
        <w:rPr>
          <w:rFonts w:cs="Arial"/>
        </w:rPr>
        <w:t>Nwanzu, C.L. and Babalola, S.S. (2024)</w:t>
      </w:r>
      <w:r w:rsidR="004D39C0" w:rsidRPr="005612CE">
        <w:rPr>
          <w:rFonts w:cs="Arial"/>
        </w:rPr>
        <w:t xml:space="preserve">. </w:t>
      </w:r>
      <w:r w:rsidRPr="005612CE">
        <w:rPr>
          <w:rFonts w:cs="Arial"/>
        </w:rPr>
        <w:t xml:space="preserve">Employee Job Crafting Behaviour and its Antecedents: A Study of Psychological Safety, Psychological Autonomy, and Task Competence’, Employee Responsibilities and Rights Journal, online first. Available at: </w:t>
      </w:r>
      <w:hyperlink r:id="rId25">
        <w:r w:rsidRPr="005612CE">
          <w:rPr>
            <w:rFonts w:cs="Arial"/>
            <w:color w:val="0563C1"/>
            <w:u w:val="single"/>
          </w:rPr>
          <w:t>https://doi.org/10.1007/s10672-024-09520-6</w:t>
        </w:r>
      </w:hyperlink>
      <w:r w:rsidRPr="005612CE">
        <w:rPr>
          <w:rFonts w:cs="Arial"/>
        </w:rPr>
        <w:t xml:space="preserve"> </w:t>
      </w:r>
    </w:p>
    <w:p w14:paraId="0440B4FC" w14:textId="3563099D" w:rsidR="00077401" w:rsidRPr="005612CE" w:rsidRDefault="00077401" w:rsidP="009C1ECF">
      <w:pPr>
        <w:rPr>
          <w:rFonts w:cs="Arial"/>
        </w:rPr>
      </w:pPr>
      <w:r w:rsidRPr="005612CE">
        <w:rPr>
          <w:rFonts w:cs="Arial"/>
        </w:rPr>
        <w:t>Pitafi, A.H. and Xie, W. (2024)</w:t>
      </w:r>
      <w:r w:rsidR="004D39C0" w:rsidRPr="005612CE">
        <w:rPr>
          <w:rFonts w:cs="Arial"/>
        </w:rPr>
        <w:t xml:space="preserve">. </w:t>
      </w:r>
      <w:r w:rsidRPr="005612CE">
        <w:rPr>
          <w:rFonts w:cs="Arial"/>
        </w:rPr>
        <w:t xml:space="preserve">Exploring how enterprise social media usage affects employee creativity: Based on self-determination theory’, Heliyon, 10(5), e27632. Available at: </w:t>
      </w:r>
      <w:hyperlink r:id="rId26">
        <w:r w:rsidRPr="005612CE">
          <w:rPr>
            <w:rFonts w:cs="Arial"/>
            <w:color w:val="0563C1"/>
            <w:u w:val="single"/>
          </w:rPr>
          <w:t>https://doi.org/10.1016/j.heliyon.2024.e27632</w:t>
        </w:r>
      </w:hyperlink>
      <w:r w:rsidRPr="005612CE">
        <w:rPr>
          <w:rFonts w:cs="Arial"/>
        </w:rPr>
        <w:t xml:space="preserve"> </w:t>
      </w:r>
    </w:p>
    <w:p w14:paraId="416BDD32" w14:textId="1A54B359" w:rsidR="00077401" w:rsidRPr="005612CE" w:rsidRDefault="00077401" w:rsidP="009C1ECF">
      <w:pPr>
        <w:rPr>
          <w:rFonts w:cs="Arial"/>
        </w:rPr>
      </w:pPr>
      <w:r w:rsidRPr="005612CE">
        <w:rPr>
          <w:rFonts w:cs="Arial"/>
        </w:rPr>
        <w:t>Wang, Y., Zhu, L. and Jin, X. (2024)</w:t>
      </w:r>
      <w:r w:rsidR="004D39C0" w:rsidRPr="005612CE">
        <w:rPr>
          <w:rFonts w:cs="Arial"/>
        </w:rPr>
        <w:t xml:space="preserve">. </w:t>
      </w:r>
      <w:r w:rsidRPr="005612CE">
        <w:rPr>
          <w:rFonts w:cs="Arial"/>
        </w:rPr>
        <w:t xml:space="preserve">The Effect of a High-Performance Work System on Organizational Innovation Performance: The Mediating Effect of Employees’ Intrinsic Motivation and the Moderating Effect of Person–Organization Fit’, Systems, 12(7), 230. Available at: </w:t>
      </w:r>
      <w:hyperlink r:id="rId27">
        <w:r w:rsidRPr="005612CE">
          <w:rPr>
            <w:rFonts w:cs="Arial"/>
            <w:color w:val="0563C1"/>
            <w:u w:val="single"/>
          </w:rPr>
          <w:t>https://doi.org/10.3390/systems12070230</w:t>
        </w:r>
      </w:hyperlink>
      <w:r w:rsidRPr="005612CE">
        <w:rPr>
          <w:rFonts w:cs="Arial"/>
        </w:rPr>
        <w:t xml:space="preserve"> </w:t>
      </w:r>
    </w:p>
    <w:p w14:paraId="6211A319" w14:textId="1287A7E9" w:rsidR="00077401" w:rsidRPr="005612CE" w:rsidRDefault="00077401" w:rsidP="009C1ECF">
      <w:pPr>
        <w:rPr>
          <w:rFonts w:cs="Arial"/>
        </w:rPr>
      </w:pPr>
      <w:r w:rsidRPr="005612CE">
        <w:rPr>
          <w:rFonts w:cs="Arial"/>
        </w:rPr>
        <w:t>Zadow, A., Loh, M.Y., Dollard, M.F., Mathisen, G.E. and Yantcheva, B. (2023)</w:t>
      </w:r>
      <w:r w:rsidR="004D39C0" w:rsidRPr="005612CE">
        <w:rPr>
          <w:rFonts w:cs="Arial"/>
        </w:rPr>
        <w:t xml:space="preserve">. </w:t>
      </w:r>
      <w:r w:rsidRPr="005612CE">
        <w:rPr>
          <w:rFonts w:cs="Arial"/>
        </w:rPr>
        <w:t xml:space="preserve">Psychosocial safety climate as a predictor of work engagement, creativity, innovation, and work performance: A case study of software engineers’, Frontiers in Psychology, 14, 1082283. Available at: </w:t>
      </w:r>
      <w:hyperlink r:id="rId28">
        <w:r w:rsidRPr="005612CE">
          <w:rPr>
            <w:rFonts w:cs="Arial"/>
            <w:color w:val="0563C1"/>
            <w:u w:val="single"/>
          </w:rPr>
          <w:t>https://doi.org/10.3389/fpsyg.2023.1082283</w:t>
        </w:r>
      </w:hyperlink>
    </w:p>
    <w:p w14:paraId="59AAF16A" w14:textId="77777777" w:rsidR="00AD0309" w:rsidRPr="005612CE" w:rsidRDefault="00AD0309" w:rsidP="00AD0309">
      <w:pPr>
        <w:rPr>
          <w:rFonts w:cs="Arial"/>
        </w:rPr>
      </w:pPr>
    </w:p>
    <w:p w14:paraId="0DFC489A" w14:textId="77777777" w:rsidR="00AD0309" w:rsidRPr="005612CE" w:rsidRDefault="00AD0309">
      <w:pPr>
        <w:rPr>
          <w:rFonts w:cs="Arial"/>
          <w:szCs w:val="24"/>
        </w:rPr>
      </w:pPr>
    </w:p>
    <w:sectPr w:rsidR="00AD0309" w:rsidRPr="005612CE" w:rsidSect="00AD0309">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32357C" w14:textId="77777777" w:rsidR="00AE422B" w:rsidRDefault="00AE422B" w:rsidP="00AD0309">
      <w:pPr>
        <w:spacing w:after="0" w:line="240" w:lineRule="auto"/>
      </w:pPr>
      <w:r>
        <w:separator/>
      </w:r>
    </w:p>
  </w:endnote>
  <w:endnote w:type="continuationSeparator" w:id="0">
    <w:p w14:paraId="10525676" w14:textId="77777777" w:rsidR="00AE422B" w:rsidRDefault="00AE422B" w:rsidP="00AD0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9257230"/>
      <w:docPartObj>
        <w:docPartGallery w:val="Page Numbers (Bottom of Page)"/>
        <w:docPartUnique/>
      </w:docPartObj>
    </w:sdtPr>
    <w:sdtEndPr>
      <w:rPr>
        <w:noProof/>
      </w:rPr>
    </w:sdtEndPr>
    <w:sdtContent>
      <w:p w14:paraId="36936148" w14:textId="2BDEFC29" w:rsidR="00AD0309" w:rsidRDefault="00AD0309">
        <w:pPr>
          <w:pStyle w:val="Footer"/>
          <w:jc w:val="right"/>
        </w:pPr>
        <w:r>
          <w:fldChar w:fldCharType="begin"/>
        </w:r>
        <w:r>
          <w:instrText xml:space="preserve"> PAGE   \* MERGEFORMAT </w:instrText>
        </w:r>
        <w:r>
          <w:fldChar w:fldCharType="separate"/>
        </w:r>
        <w:r w:rsidR="00BE34DA">
          <w:rPr>
            <w:noProof/>
          </w:rPr>
          <w:t>13</w:t>
        </w:r>
        <w:r>
          <w:rPr>
            <w:noProof/>
          </w:rPr>
          <w:fldChar w:fldCharType="end"/>
        </w:r>
      </w:p>
    </w:sdtContent>
  </w:sdt>
  <w:p w14:paraId="4F07CB0A" w14:textId="77777777" w:rsidR="00AD0309" w:rsidRDefault="00AD030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034D7A" w14:textId="77777777" w:rsidR="00AE422B" w:rsidRDefault="00AE422B" w:rsidP="00AD0309">
      <w:pPr>
        <w:spacing w:after="0" w:line="240" w:lineRule="auto"/>
      </w:pPr>
      <w:r>
        <w:separator/>
      </w:r>
    </w:p>
  </w:footnote>
  <w:footnote w:type="continuationSeparator" w:id="0">
    <w:p w14:paraId="03C53DC1" w14:textId="77777777" w:rsidR="00AE422B" w:rsidRDefault="00AE422B" w:rsidP="00AD0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20661FF5"/>
    <w:multiLevelType w:val="hybridMultilevel"/>
    <w:tmpl w:val="5F20E0AC"/>
    <w:lvl w:ilvl="0" w:tplc="E4CE4570">
      <w:start w:val="1"/>
      <w:numFmt w:val="decimal"/>
      <w:pStyle w:val="Heading3"/>
      <w:lvlText w:val="%1.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CC59CF"/>
    <w:multiLevelType w:val="hybridMultilevel"/>
    <w:tmpl w:val="4FF4B5F4"/>
    <w:lvl w:ilvl="0" w:tplc="3D507502">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706659"/>
    <w:multiLevelType w:val="hybridMultilevel"/>
    <w:tmpl w:val="E0DCF2E6"/>
    <w:lvl w:ilvl="0" w:tplc="E1F40192">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401"/>
    <w:rsid w:val="00077401"/>
    <w:rsid w:val="000E0CA1"/>
    <w:rsid w:val="00154D8A"/>
    <w:rsid w:val="00156DEC"/>
    <w:rsid w:val="001C6CDF"/>
    <w:rsid w:val="0023732A"/>
    <w:rsid w:val="002624A2"/>
    <w:rsid w:val="002D0F78"/>
    <w:rsid w:val="002E7C1A"/>
    <w:rsid w:val="003377C1"/>
    <w:rsid w:val="00354BCB"/>
    <w:rsid w:val="003C0233"/>
    <w:rsid w:val="003C6499"/>
    <w:rsid w:val="003D2896"/>
    <w:rsid w:val="00410E9F"/>
    <w:rsid w:val="0041450A"/>
    <w:rsid w:val="004156C8"/>
    <w:rsid w:val="00487829"/>
    <w:rsid w:val="004D39C0"/>
    <w:rsid w:val="005612CE"/>
    <w:rsid w:val="006154E7"/>
    <w:rsid w:val="00616F55"/>
    <w:rsid w:val="00632428"/>
    <w:rsid w:val="006A246C"/>
    <w:rsid w:val="006A6E71"/>
    <w:rsid w:val="006B0098"/>
    <w:rsid w:val="006B60F7"/>
    <w:rsid w:val="007F44D5"/>
    <w:rsid w:val="008502C2"/>
    <w:rsid w:val="00856152"/>
    <w:rsid w:val="00876ED5"/>
    <w:rsid w:val="00880920"/>
    <w:rsid w:val="008C1BE0"/>
    <w:rsid w:val="008D79CD"/>
    <w:rsid w:val="00913DD5"/>
    <w:rsid w:val="009606DC"/>
    <w:rsid w:val="009774D9"/>
    <w:rsid w:val="00995D8B"/>
    <w:rsid w:val="009A6824"/>
    <w:rsid w:val="009C10D8"/>
    <w:rsid w:val="009C1ECF"/>
    <w:rsid w:val="00A95729"/>
    <w:rsid w:val="00AD0309"/>
    <w:rsid w:val="00AE422B"/>
    <w:rsid w:val="00B2008B"/>
    <w:rsid w:val="00B2441F"/>
    <w:rsid w:val="00B439AB"/>
    <w:rsid w:val="00B52739"/>
    <w:rsid w:val="00B70A67"/>
    <w:rsid w:val="00BD2BDB"/>
    <w:rsid w:val="00BE34DA"/>
    <w:rsid w:val="00BF28A4"/>
    <w:rsid w:val="00C04860"/>
    <w:rsid w:val="00C11D2D"/>
    <w:rsid w:val="00C20120"/>
    <w:rsid w:val="00C22E2D"/>
    <w:rsid w:val="00C401C6"/>
    <w:rsid w:val="00C5458E"/>
    <w:rsid w:val="00CD7B97"/>
    <w:rsid w:val="00D71693"/>
    <w:rsid w:val="00D76AE5"/>
    <w:rsid w:val="00DA6F14"/>
    <w:rsid w:val="00E02075"/>
    <w:rsid w:val="00E07E17"/>
    <w:rsid w:val="00F13F9F"/>
    <w:rsid w:val="00F82B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2243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2CE"/>
    <w:rPr>
      <w:rFonts w:ascii="Arial" w:hAnsi="Arial"/>
      <w:sz w:val="24"/>
    </w:rPr>
  </w:style>
  <w:style w:type="paragraph" w:styleId="Heading1">
    <w:name w:val="heading 1"/>
    <w:basedOn w:val="Normal"/>
    <w:next w:val="Normal"/>
    <w:link w:val="Heading1Char"/>
    <w:autoRedefine/>
    <w:uiPriority w:val="9"/>
    <w:qFormat/>
    <w:rsid w:val="009C1ECF"/>
    <w:pPr>
      <w:keepNext/>
      <w:keepLines/>
      <w:spacing w:before="240" w:after="0"/>
      <w:ind w:left="360" w:hanging="360"/>
      <w:outlineLvl w:val="0"/>
    </w:pPr>
    <w:rPr>
      <w:rFonts w:eastAsia="Arial" w:cs="Arial"/>
      <w:b/>
      <w:szCs w:val="32"/>
    </w:rPr>
  </w:style>
  <w:style w:type="paragraph" w:styleId="Heading2">
    <w:name w:val="heading 2"/>
    <w:basedOn w:val="Normal"/>
    <w:next w:val="Normal"/>
    <w:link w:val="Heading2Char"/>
    <w:autoRedefine/>
    <w:uiPriority w:val="9"/>
    <w:unhideWhenUsed/>
    <w:qFormat/>
    <w:rsid w:val="009C1ECF"/>
    <w:pPr>
      <w:keepNext/>
      <w:keepLines/>
      <w:spacing w:before="40" w:after="0"/>
      <w:outlineLvl w:val="1"/>
    </w:pPr>
    <w:rPr>
      <w:rFonts w:eastAsia="Arial" w:cs="Arial"/>
      <w:szCs w:val="26"/>
      <w:u w:val="single"/>
    </w:rPr>
  </w:style>
  <w:style w:type="paragraph" w:styleId="Heading3">
    <w:name w:val="heading 3"/>
    <w:basedOn w:val="Normal"/>
    <w:next w:val="Normal"/>
    <w:link w:val="Heading3Char"/>
    <w:autoRedefine/>
    <w:uiPriority w:val="9"/>
    <w:semiHidden/>
    <w:unhideWhenUsed/>
    <w:qFormat/>
    <w:rsid w:val="00BD2BDB"/>
    <w:pPr>
      <w:keepNext/>
      <w:keepLines/>
      <w:numPr>
        <w:numId w:val="3"/>
      </w:numPr>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3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0309"/>
  </w:style>
  <w:style w:type="paragraph" w:styleId="Footer">
    <w:name w:val="footer"/>
    <w:basedOn w:val="Normal"/>
    <w:link w:val="FooterChar"/>
    <w:uiPriority w:val="99"/>
    <w:unhideWhenUsed/>
    <w:rsid w:val="00AD03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309"/>
  </w:style>
  <w:style w:type="character" w:customStyle="1" w:styleId="Heading2Char">
    <w:name w:val="Heading 2 Char"/>
    <w:basedOn w:val="DefaultParagraphFont"/>
    <w:link w:val="Heading2"/>
    <w:uiPriority w:val="9"/>
    <w:rsid w:val="009C1ECF"/>
    <w:rPr>
      <w:rFonts w:ascii="Arial" w:eastAsia="Arial" w:hAnsi="Arial" w:cs="Arial"/>
      <w:sz w:val="24"/>
      <w:szCs w:val="26"/>
      <w:u w:val="single"/>
    </w:rPr>
  </w:style>
  <w:style w:type="paragraph" w:styleId="NoSpacing">
    <w:name w:val="No Spacing"/>
    <w:autoRedefine/>
    <w:uiPriority w:val="1"/>
    <w:rsid w:val="00AD0309"/>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9C1ECF"/>
    <w:rPr>
      <w:rFonts w:ascii="Arial" w:eastAsia="Arial" w:hAnsi="Arial" w:cs="Arial"/>
      <w:b/>
      <w:sz w:val="24"/>
      <w:szCs w:val="32"/>
    </w:rPr>
  </w:style>
  <w:style w:type="character" w:customStyle="1" w:styleId="Heading3Char">
    <w:name w:val="Heading 3 Char"/>
    <w:basedOn w:val="DefaultParagraphFont"/>
    <w:link w:val="Heading3"/>
    <w:uiPriority w:val="9"/>
    <w:semiHidden/>
    <w:rsid w:val="00BD2BDB"/>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rsid w:val="00BD2BDB"/>
    <w:pPr>
      <w:spacing w:line="259" w:lineRule="auto"/>
      <w:ind w:left="0" w:firstLine="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D2BDB"/>
    <w:pPr>
      <w:tabs>
        <w:tab w:val="left" w:pos="440"/>
        <w:tab w:val="right" w:leader="dot" w:pos="9350"/>
      </w:tabs>
      <w:spacing w:after="100"/>
    </w:pPr>
  </w:style>
  <w:style w:type="character" w:styleId="Hyperlink">
    <w:name w:val="Hyperlink"/>
    <w:basedOn w:val="DefaultParagraphFont"/>
    <w:uiPriority w:val="99"/>
    <w:unhideWhenUsed/>
    <w:rsid w:val="00BD2BDB"/>
    <w:rPr>
      <w:color w:val="0563C1" w:themeColor="hyperlink"/>
      <w:u w:val="single"/>
    </w:rPr>
  </w:style>
  <w:style w:type="paragraph" w:styleId="ListBullet">
    <w:name w:val="List Bullet"/>
    <w:basedOn w:val="Normal"/>
    <w:uiPriority w:val="99"/>
    <w:unhideWhenUsed/>
    <w:rsid w:val="00077401"/>
    <w:pPr>
      <w:numPr>
        <w:numId w:val="4"/>
      </w:numPr>
      <w:tabs>
        <w:tab w:val="clear" w:pos="360"/>
      </w:tabs>
      <w:spacing w:after="120"/>
      <w:ind w:left="0" w:firstLine="0"/>
      <w:contextualSpacing/>
    </w:pPr>
    <w:rPr>
      <w:rFonts w:eastAsia="Arial"/>
    </w:rPr>
  </w:style>
  <w:style w:type="paragraph" w:styleId="ListBullet2">
    <w:name w:val="List Bullet 2"/>
    <w:basedOn w:val="Normal"/>
    <w:uiPriority w:val="99"/>
    <w:unhideWhenUsed/>
    <w:rsid w:val="00077401"/>
    <w:pPr>
      <w:numPr>
        <w:numId w:val="5"/>
      </w:numPr>
      <w:tabs>
        <w:tab w:val="clear" w:pos="720"/>
      </w:tabs>
      <w:spacing w:after="120"/>
      <w:ind w:left="0" w:firstLine="0"/>
      <w:contextualSpacing/>
    </w:pPr>
    <w:rPr>
      <w:rFonts w:eastAsia="Arial"/>
    </w:rPr>
  </w:style>
  <w:style w:type="table" w:styleId="TableGrid">
    <w:name w:val="Table Grid"/>
    <w:basedOn w:val="TableNormal"/>
    <w:uiPriority w:val="59"/>
    <w:rsid w:val="00077401"/>
    <w:pPr>
      <w:spacing w:after="0" w:line="240" w:lineRule="auto"/>
      <w:jc w:val="left"/>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77401"/>
    <w:pPr>
      <w:spacing w:after="100"/>
      <w:ind w:left="240"/>
    </w:pPr>
    <w:rPr>
      <w:rFonts w:eastAsia="Arial"/>
    </w:rPr>
  </w:style>
  <w:style w:type="table" w:styleId="TableGridLight">
    <w:name w:val="Grid Table Light"/>
    <w:basedOn w:val="TableNormal"/>
    <w:uiPriority w:val="40"/>
    <w:rsid w:val="00B527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B5273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8/s41586-024-07500-2" TargetMode="External"/><Relationship Id="rId18" Type="http://schemas.openxmlformats.org/officeDocument/2006/relationships/hyperlink" Target="https://doi.org/10.1186/s40359-024-01538-7" TargetMode="External"/><Relationship Id="rId26" Type="http://schemas.openxmlformats.org/officeDocument/2006/relationships/hyperlink" Target="https://doi.org/10.1016/j.heliyon.2024.e27632" TargetMode="External"/><Relationship Id="rId3" Type="http://schemas.openxmlformats.org/officeDocument/2006/relationships/styles" Target="styles.xml"/><Relationship Id="rId21" Type="http://schemas.openxmlformats.org/officeDocument/2006/relationships/hyperlink" Target="https://doi.org/10.1108/IJOPM-10-2021-0676" TargetMode="External"/><Relationship Id="rId7" Type="http://schemas.openxmlformats.org/officeDocument/2006/relationships/endnotes" Target="endnotes.xml"/><Relationship Id="rId12" Type="http://schemas.openxmlformats.org/officeDocument/2006/relationships/hyperlink" Target="https://doi.org/10.3389/forgp.2024.1363859" TargetMode="External"/><Relationship Id="rId17" Type="http://schemas.openxmlformats.org/officeDocument/2006/relationships/hyperlink" Target="https://doi.org/10.1007/s11612-023-00675-8" TargetMode="External"/><Relationship Id="rId25" Type="http://schemas.openxmlformats.org/officeDocument/2006/relationships/hyperlink" Target="https://doi.org/10.1007/s10672-024-09520-6" TargetMode="External"/><Relationship Id="rId2" Type="http://schemas.openxmlformats.org/officeDocument/2006/relationships/numbering" Target="numbering.xml"/><Relationship Id="rId16" Type="http://schemas.openxmlformats.org/officeDocument/2006/relationships/hyperlink" Target="https://doi.org/10.1016/j.technovation.2022.102645" TargetMode="External"/><Relationship Id="rId20" Type="http://schemas.openxmlformats.org/officeDocument/2006/relationships/hyperlink" Target="https://doi.org/10.1057/s41599-024-02752-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433/JDIIS.2024100039" TargetMode="External"/><Relationship Id="rId24" Type="http://schemas.openxmlformats.org/officeDocument/2006/relationships/hyperlink" Target="https://doi.org/10.1007/s12186-023-09334-x" TargetMode="External"/><Relationship Id="rId5" Type="http://schemas.openxmlformats.org/officeDocument/2006/relationships/webSettings" Target="webSettings.xml"/><Relationship Id="rId15" Type="http://schemas.openxmlformats.org/officeDocument/2006/relationships/hyperlink" Target="https://doi.org/10.1016/j.lrp.2024.102415" TargetMode="External"/><Relationship Id="rId23" Type="http://schemas.openxmlformats.org/officeDocument/2006/relationships/hyperlink" Target="https://doi.org/10.1111/radm.12655" TargetMode="External"/><Relationship Id="rId28" Type="http://schemas.openxmlformats.org/officeDocument/2006/relationships/hyperlink" Target="https://doi.org/10.3389/fpsyg.2023.1082283" TargetMode="External"/><Relationship Id="rId10" Type="http://schemas.openxmlformats.org/officeDocument/2006/relationships/hyperlink" Target="https://doi.org/10.1088/1755-1315/1363/1/012112" TargetMode="External"/><Relationship Id="rId19" Type="http://schemas.openxmlformats.org/officeDocument/2006/relationships/hyperlink" Target="https://doi.org/10.1371/journal.pone.030662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merits4040032" TargetMode="External"/><Relationship Id="rId14" Type="http://schemas.openxmlformats.org/officeDocument/2006/relationships/hyperlink" Target="https://doi.org/10.1007/s43681-023-00325-1" TargetMode="External"/><Relationship Id="rId22" Type="http://schemas.openxmlformats.org/officeDocument/2006/relationships/hyperlink" Target="https://doi.org/10.3390/bs14060428" TargetMode="External"/><Relationship Id="rId27" Type="http://schemas.openxmlformats.org/officeDocument/2006/relationships/hyperlink" Target="https://doi.org/10.3390/systems1207023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9C0DC-C79F-42DF-9890-376BE88EC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3977</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2026-10-13T08:30:00Z</dcterms:created>
  <dcterms:modified xsi:type="dcterms:W3CDTF">2026-10-13T08:30:00Z</dcterms:modified>
</cp:coreProperties>
</file>