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3DC049D3" w:rsidR="00D33E32" w:rsidRPr="007873BD" w:rsidRDefault="007873BD" w:rsidP="007873BD">
      <w:pPr>
        <w:pBdr>
          <w:top w:val="nil"/>
          <w:left w:val="nil"/>
          <w:bottom w:val="nil"/>
          <w:right w:val="nil"/>
          <w:between w:val="nil"/>
        </w:pBdr>
        <w:spacing w:after="0"/>
        <w:jc w:val="center"/>
        <w:rPr>
          <w:rFonts w:ascii="Times New Roman" w:hAnsi="Times New Roman" w:cs="Times New Roman"/>
          <w:b/>
          <w:bCs/>
          <w:color w:val="000000"/>
          <w:sz w:val="32"/>
          <w:szCs w:val="32"/>
          <w:u w:val="single"/>
        </w:rPr>
      </w:pPr>
      <w:r w:rsidRPr="007873BD">
        <w:rPr>
          <w:rFonts w:ascii="Times New Roman" w:hAnsi="Times New Roman" w:cs="Times New Roman"/>
          <w:b/>
          <w:bCs/>
          <w:color w:val="000000"/>
          <w:sz w:val="32"/>
          <w:szCs w:val="32"/>
          <w:u w:val="single"/>
        </w:rPr>
        <w:t xml:space="preserve">Critical </w:t>
      </w:r>
      <w:r w:rsidR="0044792B">
        <w:rPr>
          <w:rFonts w:ascii="Times New Roman" w:hAnsi="Times New Roman" w:cs="Times New Roman"/>
          <w:b/>
          <w:bCs/>
          <w:color w:val="000000"/>
          <w:sz w:val="32"/>
          <w:szCs w:val="32"/>
          <w:u w:val="single"/>
        </w:rPr>
        <w:t>R</w:t>
      </w:r>
      <w:r w:rsidRPr="007873BD">
        <w:rPr>
          <w:rFonts w:ascii="Times New Roman" w:hAnsi="Times New Roman" w:cs="Times New Roman"/>
          <w:b/>
          <w:bCs/>
          <w:color w:val="000000"/>
          <w:sz w:val="32"/>
          <w:szCs w:val="32"/>
          <w:u w:val="single"/>
        </w:rPr>
        <w:t xml:space="preserve">eflection of Coaching </w:t>
      </w:r>
      <w:r w:rsidR="0044792B">
        <w:rPr>
          <w:rFonts w:ascii="Times New Roman" w:hAnsi="Times New Roman" w:cs="Times New Roman"/>
          <w:b/>
          <w:bCs/>
          <w:color w:val="000000"/>
          <w:sz w:val="32"/>
          <w:szCs w:val="32"/>
          <w:u w:val="single"/>
        </w:rPr>
        <w:t>S</w:t>
      </w:r>
      <w:r w:rsidRPr="007873BD">
        <w:rPr>
          <w:rFonts w:ascii="Times New Roman" w:hAnsi="Times New Roman" w:cs="Times New Roman"/>
          <w:b/>
          <w:bCs/>
          <w:color w:val="000000"/>
          <w:sz w:val="32"/>
          <w:szCs w:val="32"/>
          <w:u w:val="single"/>
        </w:rPr>
        <w:t xml:space="preserve">ession </w:t>
      </w:r>
    </w:p>
    <w:p w14:paraId="00000002" w14:textId="77777777" w:rsidR="00D33E32" w:rsidRDefault="00D33E32">
      <w:pPr>
        <w:pBdr>
          <w:top w:val="nil"/>
          <w:left w:val="nil"/>
          <w:bottom w:val="nil"/>
          <w:right w:val="nil"/>
          <w:between w:val="nil"/>
        </w:pBdr>
        <w:spacing w:after="0"/>
        <w:ind w:left="720"/>
      </w:pPr>
    </w:p>
    <w:p w14:paraId="00000003" w14:textId="35D76881" w:rsidR="00D33E32" w:rsidRDefault="007E7EA9" w:rsidP="007A0A48">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this essay, </w:t>
      </w:r>
      <w:r>
        <w:rPr>
          <w:rFonts w:ascii="Times New Roman" w:eastAsia="Times New Roman" w:hAnsi="Times New Roman" w:cs="Times New Roman"/>
          <w:sz w:val="24"/>
          <w:szCs w:val="24"/>
        </w:rPr>
        <w:t>I will briefly</w:t>
      </w:r>
      <w:r>
        <w:rPr>
          <w:rFonts w:ascii="Times New Roman" w:eastAsia="Times New Roman" w:hAnsi="Times New Roman" w:cs="Times New Roman"/>
          <w:color w:val="000000"/>
          <w:sz w:val="24"/>
          <w:szCs w:val="24"/>
        </w:rPr>
        <w:t xml:space="preserve"> discuss the meaning of reflective practice </w:t>
      </w:r>
      <w:r>
        <w:rPr>
          <w:rFonts w:ascii="Times New Roman" w:eastAsia="Times New Roman" w:hAnsi="Times New Roman" w:cs="Times New Roman"/>
          <w:sz w:val="24"/>
          <w:szCs w:val="24"/>
        </w:rPr>
        <w:t>within</w:t>
      </w:r>
      <w:r>
        <w:rPr>
          <w:rFonts w:ascii="Times New Roman" w:eastAsia="Times New Roman" w:hAnsi="Times New Roman" w:cs="Times New Roman"/>
          <w:color w:val="000000"/>
          <w:sz w:val="24"/>
          <w:szCs w:val="24"/>
        </w:rPr>
        <w:t xml:space="preserve"> the coach</w:t>
      </w:r>
      <w:r>
        <w:rPr>
          <w:rFonts w:ascii="Times New Roman" w:eastAsia="Times New Roman" w:hAnsi="Times New Roman" w:cs="Times New Roman"/>
          <w:sz w:val="24"/>
          <w:szCs w:val="24"/>
        </w:rPr>
        <w:t>ing pedagogy context a</w:t>
      </w:r>
      <w:r>
        <w:rPr>
          <w:rFonts w:ascii="Times New Roman" w:eastAsia="Times New Roman" w:hAnsi="Times New Roman" w:cs="Times New Roman"/>
          <w:color w:val="000000"/>
          <w:sz w:val="24"/>
          <w:szCs w:val="24"/>
        </w:rPr>
        <w:t>nd then discuss various publi</w:t>
      </w:r>
      <w:r>
        <w:rPr>
          <w:rFonts w:ascii="Times New Roman" w:eastAsia="Times New Roman" w:hAnsi="Times New Roman" w:cs="Times New Roman"/>
          <w:sz w:val="24"/>
          <w:szCs w:val="24"/>
        </w:rPr>
        <w:t xml:space="preserve">shed academic theories relating to reflection in </w:t>
      </w:r>
      <w:r w:rsidR="00E113B5">
        <w:rPr>
          <w:rFonts w:ascii="Times New Roman" w:eastAsia="Times New Roman" w:hAnsi="Times New Roman" w:cs="Times New Roman"/>
          <w:sz w:val="24"/>
          <w:szCs w:val="24"/>
        </w:rPr>
        <w:t>distinct coaching</w:t>
      </w:r>
      <w:r>
        <w:rPr>
          <w:rFonts w:ascii="Times New Roman" w:eastAsia="Times New Roman" w:hAnsi="Times New Roman" w:cs="Times New Roman"/>
          <w:sz w:val="24"/>
          <w:szCs w:val="24"/>
        </w:rPr>
        <w:t xml:space="preserve"> and education settings. I will retrospectively apply the discussed protocols to </w:t>
      </w:r>
      <w:r>
        <w:rPr>
          <w:rFonts w:ascii="Times New Roman" w:eastAsia="Times New Roman" w:hAnsi="Times New Roman" w:cs="Times New Roman"/>
          <w:color w:val="000000"/>
          <w:sz w:val="24"/>
          <w:szCs w:val="24"/>
        </w:rPr>
        <w:t xml:space="preserve">the coaching session I </w:t>
      </w:r>
      <w:r w:rsidR="00E113B5">
        <w:rPr>
          <w:rFonts w:ascii="Times New Roman" w:eastAsia="Times New Roman" w:hAnsi="Times New Roman" w:cs="Times New Roman"/>
          <w:sz w:val="24"/>
          <w:szCs w:val="24"/>
        </w:rPr>
        <w:t xml:space="preserve">facilitated </w:t>
      </w:r>
      <w:r w:rsidR="00E113B5">
        <w:rPr>
          <w:rFonts w:ascii="Times New Roman" w:eastAsia="Times New Roman" w:hAnsi="Times New Roman" w:cs="Times New Roman"/>
          <w:color w:val="000000"/>
          <w:sz w:val="24"/>
          <w:szCs w:val="24"/>
        </w:rPr>
        <w:t>with</w:t>
      </w:r>
      <w:r>
        <w:rPr>
          <w:rFonts w:ascii="Times New Roman" w:eastAsia="Times New Roman" w:hAnsi="Times New Roman" w:cs="Times New Roman"/>
          <w:color w:val="000000"/>
          <w:sz w:val="24"/>
          <w:szCs w:val="24"/>
        </w:rPr>
        <w:t xml:space="preserve"> regards to the </w:t>
      </w:r>
      <w:r>
        <w:rPr>
          <w:rFonts w:ascii="Times New Roman" w:eastAsia="Times New Roman" w:hAnsi="Times New Roman" w:cs="Times New Roman"/>
          <w:sz w:val="24"/>
          <w:szCs w:val="24"/>
        </w:rPr>
        <w:t>subsequent</w:t>
      </w:r>
      <w:r>
        <w:rPr>
          <w:rFonts w:ascii="Times New Roman" w:eastAsia="Times New Roman" w:hAnsi="Times New Roman" w:cs="Times New Roman"/>
          <w:color w:val="000000"/>
          <w:sz w:val="24"/>
          <w:szCs w:val="24"/>
        </w:rPr>
        <w:t xml:space="preserve"> reflection I have </w:t>
      </w:r>
      <w:r>
        <w:rPr>
          <w:rFonts w:ascii="Times New Roman" w:eastAsia="Times New Roman" w:hAnsi="Times New Roman" w:cs="Times New Roman"/>
          <w:sz w:val="24"/>
          <w:szCs w:val="24"/>
        </w:rPr>
        <w:t xml:space="preserve">considered post completion of the session. I shall </w:t>
      </w:r>
      <w:r>
        <w:rPr>
          <w:rFonts w:ascii="Times New Roman" w:eastAsia="Times New Roman" w:hAnsi="Times New Roman" w:cs="Times New Roman"/>
          <w:color w:val="000000"/>
          <w:sz w:val="24"/>
          <w:szCs w:val="24"/>
        </w:rPr>
        <w:t>include the ideas I</w:t>
      </w:r>
      <w:r w:rsidR="00DF003A">
        <w:rPr>
          <w:rFonts w:ascii="Times New Roman" w:eastAsia="Times New Roman" w:hAnsi="Times New Roman" w:cs="Times New Roman"/>
          <w:color w:val="000000"/>
          <w:sz w:val="24"/>
          <w:szCs w:val="24"/>
        </w:rPr>
        <w:t xml:space="preserve"> have</w:t>
      </w:r>
      <w:r>
        <w:rPr>
          <w:rFonts w:ascii="Times New Roman" w:eastAsia="Times New Roman" w:hAnsi="Times New Roman" w:cs="Times New Roman"/>
          <w:color w:val="000000"/>
          <w:sz w:val="24"/>
          <w:szCs w:val="24"/>
        </w:rPr>
        <w:t xml:space="preserve"> employed along with how they can </w:t>
      </w:r>
      <w:r w:rsidR="00E113B5">
        <w:rPr>
          <w:rFonts w:ascii="Times New Roman" w:eastAsia="Times New Roman" w:hAnsi="Times New Roman" w:cs="Times New Roman"/>
          <w:sz w:val="24"/>
          <w:szCs w:val="24"/>
        </w:rPr>
        <w:t xml:space="preserve">be </w:t>
      </w:r>
      <w:r w:rsidR="00E113B5">
        <w:rPr>
          <w:rFonts w:ascii="Times New Roman" w:eastAsia="Times New Roman" w:hAnsi="Times New Roman" w:cs="Times New Roman"/>
          <w:color w:val="000000"/>
          <w:sz w:val="24"/>
          <w:szCs w:val="24"/>
        </w:rPr>
        <w:t>applied</w:t>
      </w:r>
      <w:r>
        <w:rPr>
          <w:rFonts w:ascii="Times New Roman" w:eastAsia="Times New Roman" w:hAnsi="Times New Roman" w:cs="Times New Roman"/>
          <w:color w:val="000000"/>
          <w:sz w:val="24"/>
          <w:szCs w:val="24"/>
        </w:rPr>
        <w:t xml:space="preserve"> to the introspective learning process I</w:t>
      </w:r>
      <w:r w:rsidR="00DF003A">
        <w:rPr>
          <w:rFonts w:ascii="Times New Roman" w:eastAsia="Times New Roman" w:hAnsi="Times New Roman" w:cs="Times New Roman"/>
          <w:color w:val="000000"/>
          <w:sz w:val="24"/>
          <w:szCs w:val="24"/>
        </w:rPr>
        <w:t xml:space="preserve"> </w:t>
      </w:r>
      <w:r w:rsidR="005B0A2E">
        <w:rPr>
          <w:rFonts w:ascii="Times New Roman" w:eastAsia="Times New Roman" w:hAnsi="Times New Roman" w:cs="Times New Roman"/>
          <w:color w:val="000000"/>
          <w:sz w:val="24"/>
          <w:szCs w:val="24"/>
        </w:rPr>
        <w:t>have</w:t>
      </w:r>
      <w:r>
        <w:rPr>
          <w:rFonts w:ascii="Times New Roman" w:eastAsia="Times New Roman" w:hAnsi="Times New Roman" w:cs="Times New Roman"/>
          <w:color w:val="000000"/>
          <w:sz w:val="24"/>
          <w:szCs w:val="24"/>
        </w:rPr>
        <w:t xml:space="preserve"> engaged in. </w:t>
      </w:r>
    </w:p>
    <w:p w14:paraId="00000004" w14:textId="77777777" w:rsidR="00D33E32" w:rsidRDefault="00D33E32" w:rsidP="007A0A48">
      <w:pPr>
        <w:pBdr>
          <w:top w:val="nil"/>
          <w:left w:val="nil"/>
          <w:bottom w:val="nil"/>
          <w:right w:val="nil"/>
          <w:between w:val="nil"/>
        </w:pBdr>
        <w:spacing w:after="0" w:line="360" w:lineRule="auto"/>
        <w:ind w:left="720"/>
        <w:jc w:val="both"/>
        <w:rPr>
          <w:rFonts w:ascii="Times New Roman" w:eastAsia="Times New Roman" w:hAnsi="Times New Roman" w:cs="Times New Roman"/>
          <w:color w:val="000000"/>
          <w:sz w:val="24"/>
          <w:szCs w:val="24"/>
        </w:rPr>
      </w:pPr>
    </w:p>
    <w:p w14:paraId="00000005" w14:textId="29B63641" w:rsidR="00D33E32" w:rsidRDefault="007E7EA9" w:rsidP="007A0A48">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Furthermore, I will</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map</w:t>
      </w:r>
      <w:r>
        <w:rPr>
          <w:rFonts w:ascii="Times New Roman" w:eastAsia="Times New Roman" w:hAnsi="Times New Roman" w:cs="Times New Roman"/>
          <w:color w:val="000000"/>
          <w:sz w:val="24"/>
          <w:szCs w:val="24"/>
        </w:rPr>
        <w:t xml:space="preserve"> my coaching session to th</w:t>
      </w:r>
      <w:r>
        <w:rPr>
          <w:rFonts w:ascii="Times New Roman" w:eastAsia="Times New Roman" w:hAnsi="Times New Roman" w:cs="Times New Roman"/>
          <w:sz w:val="24"/>
          <w:szCs w:val="24"/>
        </w:rPr>
        <w:t xml:space="preserve">e discussed academic models </w:t>
      </w:r>
      <w:r>
        <w:rPr>
          <w:rFonts w:ascii="Times New Roman" w:eastAsia="Times New Roman" w:hAnsi="Times New Roman" w:cs="Times New Roman"/>
          <w:color w:val="000000"/>
          <w:sz w:val="24"/>
          <w:szCs w:val="24"/>
        </w:rPr>
        <w:t xml:space="preserve">and look to highlight some of the most important insights I gained from either </w:t>
      </w:r>
      <w:r w:rsidR="001D2338" w:rsidRPr="00396853">
        <w:rPr>
          <w:rFonts w:ascii="Times New Roman" w:eastAsia="Times New Roman" w:hAnsi="Times New Roman" w:cs="Times New Roman"/>
          <w:color w:val="000000"/>
          <w:sz w:val="24"/>
          <w:szCs w:val="24"/>
        </w:rPr>
        <w:t>Schon</w:t>
      </w:r>
      <w:r w:rsidR="00FB560E" w:rsidRPr="00396853">
        <w:rPr>
          <w:rFonts w:ascii="Times New Roman" w:eastAsia="Times New Roman" w:hAnsi="Times New Roman" w:cs="Times New Roman"/>
          <w:color w:val="000000"/>
          <w:sz w:val="24"/>
          <w:szCs w:val="24"/>
        </w:rPr>
        <w:t xml:space="preserve"> (</w:t>
      </w:r>
      <w:r w:rsidR="00396853" w:rsidRPr="00396853">
        <w:rPr>
          <w:rFonts w:ascii="Times New Roman" w:eastAsia="Times New Roman" w:hAnsi="Times New Roman" w:cs="Times New Roman"/>
          <w:color w:val="000000"/>
          <w:sz w:val="24"/>
          <w:szCs w:val="24"/>
        </w:rPr>
        <w:t xml:space="preserve">1991) </w:t>
      </w:r>
      <w:r w:rsidRPr="00396853">
        <w:rPr>
          <w:rFonts w:ascii="Times New Roman" w:eastAsia="Times New Roman" w:hAnsi="Times New Roman" w:cs="Times New Roman"/>
          <w:color w:val="000000"/>
          <w:sz w:val="24"/>
          <w:szCs w:val="24"/>
        </w:rPr>
        <w:t>reflection in</w:t>
      </w:r>
      <w:r>
        <w:rPr>
          <w:rFonts w:ascii="Times New Roman" w:eastAsia="Times New Roman" w:hAnsi="Times New Roman" w:cs="Times New Roman"/>
          <w:color w:val="000000"/>
          <w:sz w:val="24"/>
          <w:szCs w:val="24"/>
        </w:rPr>
        <w:t xml:space="preserve"> action or reflection on action (Gilbert &amp; Trudel, 2001) in order to help better understand this process. According to the author, </w:t>
      </w:r>
      <w:r w:rsidR="00E113B5">
        <w:rPr>
          <w:rFonts w:ascii="Times New Roman" w:eastAsia="Times New Roman" w:hAnsi="Times New Roman" w:cs="Times New Roman"/>
          <w:sz w:val="24"/>
          <w:szCs w:val="24"/>
        </w:rPr>
        <w:t xml:space="preserve">a </w:t>
      </w:r>
      <w:r w:rsidR="00E113B5">
        <w:rPr>
          <w:rFonts w:ascii="Times New Roman" w:eastAsia="Times New Roman" w:hAnsi="Times New Roman" w:cs="Times New Roman"/>
          <w:color w:val="000000"/>
          <w:sz w:val="24"/>
          <w:szCs w:val="24"/>
        </w:rPr>
        <w:t>key</w:t>
      </w:r>
      <w:r>
        <w:rPr>
          <w:rFonts w:ascii="Times New Roman" w:eastAsia="Times New Roman" w:hAnsi="Times New Roman" w:cs="Times New Roman"/>
          <w:color w:val="000000"/>
          <w:sz w:val="24"/>
          <w:szCs w:val="24"/>
        </w:rPr>
        <w:t xml:space="preserve"> component of the cyclical procedural spiral of learning is said to be the process of reflecting on practice (Knowles et al., 2001).</w:t>
      </w:r>
    </w:p>
    <w:p w14:paraId="00000006" w14:textId="77777777" w:rsidR="00D33E32" w:rsidRDefault="00D33E32" w:rsidP="007A0A48">
      <w:pPr>
        <w:pBdr>
          <w:top w:val="nil"/>
          <w:left w:val="nil"/>
          <w:bottom w:val="nil"/>
          <w:right w:val="nil"/>
          <w:between w:val="nil"/>
        </w:pBdr>
        <w:spacing w:after="0" w:line="360" w:lineRule="auto"/>
        <w:ind w:left="720"/>
        <w:jc w:val="both"/>
        <w:rPr>
          <w:rFonts w:ascii="Times New Roman" w:eastAsia="Times New Roman" w:hAnsi="Times New Roman" w:cs="Times New Roman"/>
          <w:color w:val="000000"/>
          <w:sz w:val="24"/>
          <w:szCs w:val="24"/>
        </w:rPr>
      </w:pPr>
    </w:p>
    <w:p w14:paraId="00000007" w14:textId="787AD851" w:rsidR="00D33E32" w:rsidRDefault="007E7EA9"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Health &amp; Care Professionals Council (HCPC) (HCPC, 2021) reflection is a process which helps </w:t>
      </w:r>
      <w:r w:rsidR="00FB560E">
        <w:rPr>
          <w:rFonts w:ascii="Times New Roman" w:eastAsia="Times New Roman" w:hAnsi="Times New Roman" w:cs="Times New Roman"/>
          <w:sz w:val="24"/>
          <w:szCs w:val="24"/>
        </w:rPr>
        <w:t>a person</w:t>
      </w:r>
      <w:r>
        <w:rPr>
          <w:rFonts w:ascii="Times New Roman" w:eastAsia="Times New Roman" w:hAnsi="Times New Roman" w:cs="Times New Roman"/>
          <w:sz w:val="24"/>
          <w:szCs w:val="24"/>
        </w:rPr>
        <w:t xml:space="preserve"> gain insight into their professional practice by thinking analytically about any element of it. The insights developed, and lessons learned, can be applied to maintain good practice and can also lead to developments and improvements for both the professional and their service users.</w:t>
      </w:r>
    </w:p>
    <w:p w14:paraId="00000008" w14:textId="77777777" w:rsidR="00D33E32" w:rsidRDefault="00D33E32"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p w14:paraId="00000009" w14:textId="196B25AD" w:rsidR="00D33E32" w:rsidRDefault="007E7EA9"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people learn in different ways and while one person may learn by reflecting on a positive outcome, another may find it most useful to focus on a situation they found challenging. It is important that reflection is done in the way that suits the </w:t>
      </w:r>
      <w:r w:rsidR="00E113B5">
        <w:rPr>
          <w:rFonts w:ascii="Times New Roman" w:eastAsia="Times New Roman" w:hAnsi="Times New Roman" w:cs="Times New Roman"/>
          <w:sz w:val="24"/>
          <w:szCs w:val="24"/>
        </w:rPr>
        <w:t>individual best</w:t>
      </w:r>
      <w:r>
        <w:rPr>
          <w:rFonts w:ascii="Times New Roman" w:eastAsia="Times New Roman" w:hAnsi="Times New Roman" w:cs="Times New Roman"/>
          <w:sz w:val="24"/>
          <w:szCs w:val="24"/>
        </w:rPr>
        <w:t xml:space="preserve"> to provide the greatest </w:t>
      </w:r>
      <w:r w:rsidR="00E113B5">
        <w:rPr>
          <w:rFonts w:ascii="Times New Roman" w:eastAsia="Times New Roman" w:hAnsi="Times New Roman" w:cs="Times New Roman"/>
          <w:sz w:val="24"/>
          <w:szCs w:val="24"/>
        </w:rPr>
        <w:t>benefit. To</w:t>
      </w:r>
      <w:r>
        <w:rPr>
          <w:rFonts w:ascii="Times New Roman" w:eastAsia="Times New Roman" w:hAnsi="Times New Roman" w:cs="Times New Roman"/>
          <w:sz w:val="24"/>
          <w:szCs w:val="24"/>
        </w:rPr>
        <w:t xml:space="preserve"> this end it is important to be able to draw down upon and seek guidance from multiple sources of reference and learning in an endeavour to identify the most appropriate technique for the current proposition.</w:t>
      </w:r>
    </w:p>
    <w:p w14:paraId="0000000A" w14:textId="77777777" w:rsidR="00D33E32" w:rsidRDefault="00D33E32"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p w14:paraId="0000000B" w14:textId="59060748" w:rsidR="00D33E32" w:rsidRDefault="007E7EA9" w:rsidP="007A0A48">
      <w:pPr>
        <w:pBdr>
          <w:top w:val="nil"/>
          <w:left w:val="nil"/>
          <w:bottom w:val="nil"/>
          <w:right w:val="nil"/>
          <w:between w:val="nil"/>
        </w:pBdr>
        <w:spacing w:after="0" w:line="360" w:lineRule="auto"/>
        <w:jc w:val="both"/>
        <w:rPr>
          <w:rFonts w:ascii="Times New Roman" w:eastAsia="Times New Roman" w:hAnsi="Times New Roman" w:cs="Times New Roman"/>
          <w:color w:val="232323"/>
          <w:sz w:val="24"/>
          <w:szCs w:val="24"/>
          <w:highlight w:val="yellow"/>
        </w:rPr>
      </w:pPr>
      <w:r>
        <w:rPr>
          <w:rFonts w:ascii="Times New Roman" w:eastAsia="Times New Roman" w:hAnsi="Times New Roman" w:cs="Times New Roman"/>
          <w:sz w:val="24"/>
          <w:szCs w:val="24"/>
        </w:rPr>
        <w:t xml:space="preserve">From an academic perspective, Zimmerman (2000) describes reflection as the ability to look back on previous performances and to transfer and </w:t>
      </w:r>
      <w:r w:rsidR="00E113B5">
        <w:rPr>
          <w:rFonts w:ascii="Times New Roman" w:eastAsia="Times New Roman" w:hAnsi="Times New Roman" w:cs="Times New Roman"/>
          <w:sz w:val="24"/>
          <w:szCs w:val="24"/>
        </w:rPr>
        <w:t>use new</w:t>
      </w:r>
      <w:r>
        <w:rPr>
          <w:rFonts w:ascii="Times New Roman" w:eastAsia="Times New Roman" w:hAnsi="Times New Roman" w:cs="Times New Roman"/>
          <w:sz w:val="24"/>
          <w:szCs w:val="24"/>
        </w:rPr>
        <w:t xml:space="preserve"> information in subsequent learning situations. </w:t>
      </w:r>
      <w:r w:rsidR="00E113B5">
        <w:rPr>
          <w:rFonts w:ascii="Times New Roman" w:eastAsia="Times New Roman" w:hAnsi="Times New Roman" w:cs="Times New Roman"/>
          <w:sz w:val="24"/>
          <w:szCs w:val="24"/>
        </w:rPr>
        <w:t>Furthermore,</w:t>
      </w:r>
      <w:r>
        <w:rPr>
          <w:rFonts w:ascii="Times New Roman" w:eastAsia="Times New Roman" w:hAnsi="Times New Roman" w:cs="Times New Roman"/>
          <w:sz w:val="24"/>
          <w:szCs w:val="24"/>
        </w:rPr>
        <w:t xml:space="preserve"> reflection can be delineated into distinct </w:t>
      </w:r>
      <w:r w:rsidR="00E113B5">
        <w:rPr>
          <w:rFonts w:ascii="Times New Roman" w:eastAsia="Times New Roman" w:hAnsi="Times New Roman" w:cs="Times New Roman"/>
          <w:sz w:val="24"/>
          <w:szCs w:val="24"/>
        </w:rPr>
        <w:t>subcategories</w:t>
      </w:r>
      <w:r>
        <w:rPr>
          <w:rFonts w:ascii="Times New Roman" w:eastAsia="Times New Roman" w:hAnsi="Times New Roman" w:cs="Times New Roman"/>
          <w:sz w:val="24"/>
          <w:szCs w:val="24"/>
        </w:rPr>
        <w:t xml:space="preserve">. Those being reflection in action and reflection on action. Reflection-in-action suggests that adjustments are made in the moment, whereas reflection-on action may lead to adjustments to future learning and actions (Gilbert and Trudel, 2001). A third term of retrospective reflection on action can </w:t>
      </w:r>
      <w:r>
        <w:rPr>
          <w:rFonts w:ascii="Times New Roman" w:eastAsia="Times New Roman" w:hAnsi="Times New Roman" w:cs="Times New Roman"/>
          <w:sz w:val="24"/>
          <w:szCs w:val="24"/>
        </w:rPr>
        <w:lastRenderedPageBreak/>
        <w:t xml:space="preserve">be considered a conscious, collaborative effort to systematically re-examine a process in order to learn from it (Krogstie, 2009). </w:t>
      </w:r>
    </w:p>
    <w:p w14:paraId="0000000C" w14:textId="77777777" w:rsidR="00D33E32" w:rsidRDefault="00D33E32" w:rsidP="007A0A48">
      <w:pPr>
        <w:pBdr>
          <w:top w:val="nil"/>
          <w:left w:val="nil"/>
          <w:bottom w:val="nil"/>
          <w:right w:val="nil"/>
          <w:between w:val="nil"/>
        </w:pBdr>
        <w:spacing w:after="0" w:line="360" w:lineRule="auto"/>
        <w:jc w:val="both"/>
        <w:rPr>
          <w:rFonts w:ascii="Times New Roman" w:eastAsia="Times New Roman" w:hAnsi="Times New Roman" w:cs="Times New Roman"/>
          <w:color w:val="232323"/>
          <w:sz w:val="24"/>
          <w:szCs w:val="24"/>
          <w:highlight w:val="white"/>
        </w:rPr>
      </w:pPr>
    </w:p>
    <w:p w14:paraId="0000000D" w14:textId="77777777" w:rsidR="00D33E32" w:rsidRDefault="00D33E32" w:rsidP="007A0A48">
      <w:pPr>
        <w:pBdr>
          <w:top w:val="nil"/>
          <w:left w:val="nil"/>
          <w:bottom w:val="nil"/>
          <w:right w:val="nil"/>
          <w:between w:val="nil"/>
        </w:pBdr>
        <w:spacing w:after="0" w:line="360" w:lineRule="auto"/>
        <w:ind w:left="720"/>
        <w:jc w:val="both"/>
        <w:rPr>
          <w:rFonts w:ascii="Times New Roman" w:eastAsia="Times New Roman" w:hAnsi="Times New Roman" w:cs="Times New Roman"/>
          <w:color w:val="000000"/>
          <w:sz w:val="24"/>
          <w:szCs w:val="24"/>
        </w:rPr>
      </w:pPr>
    </w:p>
    <w:p w14:paraId="0000000E" w14:textId="45C336BA" w:rsidR="00D33E32" w:rsidRDefault="007E7EA9"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Gibbs (1988) describes ‘The reflective Cycle’, which </w:t>
      </w:r>
      <w:r w:rsidR="00E113B5">
        <w:rPr>
          <w:rFonts w:ascii="Times New Roman" w:eastAsia="Times New Roman" w:hAnsi="Times New Roman" w:cs="Times New Roman"/>
          <w:sz w:val="24"/>
          <w:szCs w:val="24"/>
        </w:rPr>
        <w:t>self-iterates</w:t>
      </w:r>
      <w:r>
        <w:rPr>
          <w:rFonts w:ascii="Times New Roman" w:eastAsia="Times New Roman" w:hAnsi="Times New Roman" w:cs="Times New Roman"/>
          <w:sz w:val="24"/>
          <w:szCs w:val="24"/>
        </w:rPr>
        <w:t xml:space="preserve"> through a prescribed suite of considerations that when applied sequentially from a base position of an ‘Action Plan’ allows the </w:t>
      </w:r>
      <w:r w:rsidR="00E113B5">
        <w:rPr>
          <w:rFonts w:ascii="Times New Roman" w:eastAsia="Times New Roman" w:hAnsi="Times New Roman" w:cs="Times New Roman"/>
          <w:sz w:val="24"/>
          <w:szCs w:val="24"/>
        </w:rPr>
        <w:t>individual seeking</w:t>
      </w:r>
      <w:r>
        <w:rPr>
          <w:rFonts w:ascii="Times New Roman" w:eastAsia="Times New Roman" w:hAnsi="Times New Roman" w:cs="Times New Roman"/>
          <w:sz w:val="24"/>
          <w:szCs w:val="24"/>
        </w:rPr>
        <w:t xml:space="preserve"> to gain insights from delivered practice a basis to structure informed opinions. When </w:t>
      </w:r>
      <w:r w:rsidR="00E113B5">
        <w:rPr>
          <w:rFonts w:ascii="Times New Roman" w:eastAsia="Times New Roman" w:hAnsi="Times New Roman" w:cs="Times New Roman"/>
          <w:sz w:val="24"/>
          <w:szCs w:val="24"/>
        </w:rPr>
        <w:t>considering the</w:t>
      </w:r>
      <w:r>
        <w:rPr>
          <w:rFonts w:ascii="Times New Roman" w:eastAsia="Times New Roman" w:hAnsi="Times New Roman" w:cs="Times New Roman"/>
          <w:sz w:val="24"/>
          <w:szCs w:val="24"/>
        </w:rPr>
        <w:t xml:space="preserve"> feelings that manifested (Feelings) in response to an event (Description) one can start to evaluate the positive and negative experiences in a structured way to allow rational analyses to take place. This should lead the individual to a meaningful conclusion enabling retrospective </w:t>
      </w:r>
      <w:r w:rsidR="00E113B5">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processes to become clear. The circular nature of the </w:t>
      </w:r>
      <w:r w:rsidR="00E113B5">
        <w:rPr>
          <w:rFonts w:ascii="Times New Roman" w:eastAsia="Times New Roman" w:hAnsi="Times New Roman" w:cs="Times New Roman"/>
          <w:sz w:val="24"/>
          <w:szCs w:val="24"/>
        </w:rPr>
        <w:t>technique allows</w:t>
      </w:r>
      <w:r>
        <w:rPr>
          <w:rFonts w:ascii="Times New Roman" w:eastAsia="Times New Roman" w:hAnsi="Times New Roman" w:cs="Times New Roman"/>
          <w:sz w:val="24"/>
          <w:szCs w:val="24"/>
        </w:rPr>
        <w:t xml:space="preserve"> the individual to apply lessons learnt when presented with similar problems which then refine and hone the action plan and therefore systematically and </w:t>
      </w:r>
      <w:r w:rsidR="00E113B5">
        <w:rPr>
          <w:rFonts w:ascii="Times New Roman" w:eastAsia="Times New Roman" w:hAnsi="Times New Roman" w:cs="Times New Roman"/>
          <w:sz w:val="24"/>
          <w:szCs w:val="24"/>
        </w:rPr>
        <w:t>cyclically</w:t>
      </w:r>
      <w:r>
        <w:rPr>
          <w:rFonts w:ascii="Times New Roman" w:eastAsia="Times New Roman" w:hAnsi="Times New Roman" w:cs="Times New Roman"/>
          <w:sz w:val="24"/>
          <w:szCs w:val="24"/>
        </w:rPr>
        <w:t xml:space="preserve"> enable the individual to refine their practice. </w:t>
      </w:r>
    </w:p>
    <w:p w14:paraId="0000000F" w14:textId="77777777" w:rsidR="00D33E32" w:rsidRDefault="00D33E32"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p w14:paraId="00000010" w14:textId="23E3BF5E" w:rsidR="00D33E32" w:rsidRDefault="007E7EA9"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comparison, Johns and Burnie (2013) proposes a more comprehensive protocol, titled Model of Structured Reflection.  This solution consists of five key headings, referred to as Cue Questions. Within each main topic there are a host of sub-elemental categories and descriptors which require addressing to realise optimal benefit from </w:t>
      </w:r>
      <w:r w:rsidR="00E113B5">
        <w:rPr>
          <w:rFonts w:ascii="Times New Roman" w:eastAsia="Times New Roman" w:hAnsi="Times New Roman" w:cs="Times New Roman"/>
          <w:sz w:val="24"/>
          <w:szCs w:val="24"/>
        </w:rPr>
        <w:t>the reflection</w:t>
      </w:r>
      <w:r>
        <w:rPr>
          <w:rFonts w:ascii="Times New Roman" w:eastAsia="Times New Roman" w:hAnsi="Times New Roman" w:cs="Times New Roman"/>
          <w:sz w:val="24"/>
          <w:szCs w:val="24"/>
        </w:rPr>
        <w:t xml:space="preserve"> exercise. Once again the process starts with a description of the experience, but the emphasis is on understanding the context of the present</w:t>
      </w:r>
      <w:r w:rsidR="00E113B5">
        <w:rPr>
          <w:rFonts w:ascii="Times New Roman" w:eastAsia="Times New Roman" w:hAnsi="Times New Roman" w:cs="Times New Roman"/>
          <w:sz w:val="24"/>
          <w:szCs w:val="24"/>
        </w:rPr>
        <w:t xml:space="preserve"> such as</w:t>
      </w:r>
      <w:r>
        <w:rPr>
          <w:rFonts w:ascii="Times New Roman" w:eastAsia="Times New Roman" w:hAnsi="Times New Roman" w:cs="Times New Roman"/>
          <w:sz w:val="24"/>
          <w:szCs w:val="24"/>
        </w:rPr>
        <w:t xml:space="preserve"> ‘the here and now’ of the experience as well as contributory factors and triggers. The second stage looks solely at reflection and tasks the individual to question their motives for decisions made and to qualify the cause and effect of their choices before questioning the known or perceived feelings of those involved. Internal and external influencing factors are considered next with the application of hindsight in the attempt to qualify what learning or skill set should have influenced the outcome. Stage four of the ‘Model of Structured Reflection’ asks the individual to consider what the alternative choices could have been and to rationalise determined consequences thereof. In conclusion the </w:t>
      </w:r>
      <w:r w:rsidR="00E113B5">
        <w:rPr>
          <w:rFonts w:ascii="Times New Roman" w:eastAsia="Times New Roman" w:hAnsi="Times New Roman" w:cs="Times New Roman"/>
          <w:sz w:val="24"/>
          <w:szCs w:val="24"/>
        </w:rPr>
        <w:t>theory asks</w:t>
      </w:r>
      <w:r>
        <w:rPr>
          <w:rFonts w:ascii="Times New Roman" w:eastAsia="Times New Roman" w:hAnsi="Times New Roman" w:cs="Times New Roman"/>
          <w:sz w:val="24"/>
          <w:szCs w:val="24"/>
        </w:rPr>
        <w:t xml:space="preserve"> the individual to reevaluate their feelings with regards to the experience and to then justify the learning both obtained and applied. Whilst not cyclical in methodology the deeper cognisance of the self has the ability to shape and embed personal ethics. </w:t>
      </w:r>
    </w:p>
    <w:p w14:paraId="00000011" w14:textId="77777777" w:rsidR="00D33E32" w:rsidRDefault="00D33E32"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p w14:paraId="00000012" w14:textId="42EB2C61" w:rsidR="00D33E32" w:rsidRDefault="007E7EA9"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Conversely Cushion, (2018) challenges adopted and established </w:t>
      </w:r>
      <w:r w:rsidR="00E113B5">
        <w:rPr>
          <w:rFonts w:ascii="Times New Roman" w:eastAsia="Times New Roman" w:hAnsi="Times New Roman" w:cs="Times New Roman"/>
          <w:sz w:val="24"/>
          <w:szCs w:val="24"/>
        </w:rPr>
        <w:t>concepts of</w:t>
      </w:r>
      <w:r>
        <w:rPr>
          <w:rFonts w:ascii="Times New Roman" w:eastAsia="Times New Roman" w:hAnsi="Times New Roman" w:cs="Times New Roman"/>
          <w:sz w:val="24"/>
          <w:szCs w:val="24"/>
        </w:rPr>
        <w:t xml:space="preserve"> concepts within coaching and educational practices such as the notion that reflection is ambiguous and that it </w:t>
      </w:r>
      <w:r>
        <w:rPr>
          <w:rFonts w:ascii="Times New Roman" w:eastAsia="Times New Roman" w:hAnsi="Times New Roman" w:cs="Times New Roman"/>
          <w:sz w:val="24"/>
          <w:szCs w:val="24"/>
        </w:rPr>
        <w:lastRenderedPageBreak/>
        <w:t>constructs coaches subjectiveness by countering that the unintended consequences of reflection act as a form of surveillance that normalises a coaches practices through the art of confession</w:t>
      </w:r>
    </w:p>
    <w:p w14:paraId="00000013" w14:textId="77777777" w:rsidR="00D33E32" w:rsidRDefault="00D33E32" w:rsidP="007A0A48">
      <w:pPr>
        <w:pBdr>
          <w:top w:val="nil"/>
          <w:left w:val="nil"/>
          <w:bottom w:val="nil"/>
          <w:right w:val="nil"/>
          <w:between w:val="nil"/>
        </w:pBdr>
        <w:spacing w:after="0" w:line="360" w:lineRule="auto"/>
        <w:jc w:val="both"/>
        <w:rPr>
          <w:rFonts w:ascii="Times New Roman" w:eastAsia="Times New Roman" w:hAnsi="Times New Roman" w:cs="Times New Roman"/>
          <w:b/>
          <w:sz w:val="24"/>
          <w:szCs w:val="24"/>
          <w:u w:val="single"/>
        </w:rPr>
      </w:pPr>
    </w:p>
    <w:p w14:paraId="00000014" w14:textId="1182F968" w:rsidR="00D33E32" w:rsidRDefault="007E7EA9"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fist key part of my reflective process was the acknowledgement of my preparedness. As the coaching session was a graded piece of work that I would be assessed on to reach my final mark, it was imperative that I reduced my stress and </w:t>
      </w:r>
      <w:r w:rsidR="00E113B5">
        <w:rPr>
          <w:rFonts w:ascii="Times New Roman" w:eastAsia="Times New Roman" w:hAnsi="Times New Roman" w:cs="Times New Roman"/>
          <w:sz w:val="24"/>
          <w:szCs w:val="24"/>
        </w:rPr>
        <w:t>anxiety to</w:t>
      </w:r>
      <w:r>
        <w:rPr>
          <w:rFonts w:ascii="Times New Roman" w:eastAsia="Times New Roman" w:hAnsi="Times New Roman" w:cs="Times New Roman"/>
          <w:sz w:val="24"/>
          <w:szCs w:val="24"/>
        </w:rPr>
        <w:t xml:space="preserve"> a manageable level to prevent it affecting my performance. Hooda and Saini (2017) suggest that academic anxiety, specifically that which is exam derived, is frequently linked to inadequate preparation. Therefore, by being more prepared for my coaching session with handouts, a coaching plan and other resources including my annotated climbing shoes, I was able to minimise the effects of the anxiety. </w:t>
      </w:r>
    </w:p>
    <w:p w14:paraId="00000015" w14:textId="77777777" w:rsidR="00D33E32" w:rsidRDefault="00D33E32"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p w14:paraId="00000016" w14:textId="62D3D915" w:rsidR="00D33E32" w:rsidRDefault="007E7EA9"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 xml:space="preserve">Being thoroughly prepared for my session, with regards to both programme and </w:t>
      </w:r>
      <w:r w:rsidR="00E113B5">
        <w:rPr>
          <w:rFonts w:ascii="Times New Roman" w:eastAsia="Times New Roman" w:hAnsi="Times New Roman" w:cs="Times New Roman"/>
          <w:sz w:val="24"/>
          <w:szCs w:val="24"/>
        </w:rPr>
        <w:t>reasoning not</w:t>
      </w:r>
      <w:r>
        <w:rPr>
          <w:rFonts w:ascii="Times New Roman" w:eastAsia="Times New Roman" w:hAnsi="Times New Roman" w:cs="Times New Roman"/>
          <w:sz w:val="24"/>
          <w:szCs w:val="24"/>
        </w:rPr>
        <w:t xml:space="preserve"> only boosted my mental </w:t>
      </w:r>
      <w:r w:rsidR="00E113B5">
        <w:rPr>
          <w:rFonts w:ascii="Times New Roman" w:eastAsia="Times New Roman" w:hAnsi="Times New Roman" w:cs="Times New Roman"/>
          <w:sz w:val="24"/>
          <w:szCs w:val="24"/>
        </w:rPr>
        <w:t>state,</w:t>
      </w:r>
      <w:r>
        <w:rPr>
          <w:rFonts w:ascii="Times New Roman" w:eastAsia="Times New Roman" w:hAnsi="Times New Roman" w:cs="Times New Roman"/>
          <w:sz w:val="24"/>
          <w:szCs w:val="24"/>
        </w:rPr>
        <w:t xml:space="preserve"> but I believe it improved the efficacy of the coaching session </w:t>
      </w:r>
      <w:r w:rsidR="00E113B5">
        <w:rPr>
          <w:rFonts w:ascii="Times New Roman" w:eastAsia="Times New Roman" w:hAnsi="Times New Roman" w:cs="Times New Roman"/>
          <w:sz w:val="24"/>
          <w:szCs w:val="24"/>
        </w:rPr>
        <w:t>delivered.</w:t>
      </w:r>
      <w:r>
        <w:rPr>
          <w:rFonts w:ascii="Times New Roman" w:eastAsia="Times New Roman" w:hAnsi="Times New Roman" w:cs="Times New Roman"/>
          <w:sz w:val="24"/>
          <w:szCs w:val="24"/>
        </w:rPr>
        <w:t xml:space="preserve"> This belief is supported by Chase et al, (2005) </w:t>
      </w:r>
      <w:r w:rsidR="00FE708F">
        <w:rPr>
          <w:rFonts w:ascii="Times New Roman" w:eastAsia="Times New Roman" w:hAnsi="Times New Roman" w:cs="Times New Roman"/>
          <w:sz w:val="24"/>
          <w:szCs w:val="24"/>
        </w:rPr>
        <w:t xml:space="preserve">whose </w:t>
      </w:r>
      <w:r>
        <w:rPr>
          <w:rFonts w:ascii="Times New Roman" w:eastAsia="Times New Roman" w:hAnsi="Times New Roman" w:cs="Times New Roman"/>
          <w:sz w:val="24"/>
          <w:szCs w:val="24"/>
        </w:rPr>
        <w:t xml:space="preserve">paper revolves around the premise of “preparation to be a better coach”. The authors also mention within their paper that preparation and the knowledge gained from such endeavours is incredibly valuable with regards to efficacy and in some cases the preparation prior and knowledge gained upon reflection is more important than the end result (Chase et al., 2005). I found it evident that my level of preparation reinforced the confidence / Competence loop theory (Lucero and Chen, 2020). </w:t>
      </w:r>
    </w:p>
    <w:p w14:paraId="00000017" w14:textId="77777777" w:rsidR="00D33E32" w:rsidRDefault="00D33E32"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highlight w:val="yellow"/>
        </w:rPr>
      </w:pPr>
    </w:p>
    <w:p w14:paraId="00000018" w14:textId="7041A238" w:rsidR="00D33E32" w:rsidRDefault="007E7EA9"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my coaching session, a mistake I made fairly regularly throughout was using vocabulary that could have thwarted confidence rather than instilling it. Self-</w:t>
      </w:r>
      <w:r w:rsidR="00E113B5">
        <w:rPr>
          <w:rFonts w:ascii="Times New Roman" w:eastAsia="Times New Roman" w:hAnsi="Times New Roman" w:cs="Times New Roman"/>
          <w:sz w:val="24"/>
          <w:szCs w:val="24"/>
        </w:rPr>
        <w:t>efficacy, otherwise</w:t>
      </w:r>
      <w:r>
        <w:rPr>
          <w:rFonts w:ascii="Times New Roman" w:eastAsia="Times New Roman" w:hAnsi="Times New Roman" w:cs="Times New Roman"/>
          <w:sz w:val="24"/>
          <w:szCs w:val="24"/>
        </w:rPr>
        <w:t xml:space="preserve"> known as confidence, is more than just a perceived sense of one's abilities. The way someone perceives themselves or their internal sense of confidence is probably proportionate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with the emotional sensation or sense of confidence (Wulf and Lewthwaite, 2016). A person's perception of self-efficacy is comprised of perceivers' evaluations of their own as well as others' abilities which come together to form what they believe to be reality (Witt, South and Sugovic, 2013). Therefore, a participant's confidence in themselves can change purely based on their perception of those around them.</w:t>
      </w:r>
    </w:p>
    <w:p w14:paraId="00000019" w14:textId="77777777" w:rsidR="00D33E32" w:rsidRDefault="00D33E32" w:rsidP="007A0A48">
      <w:pPr>
        <w:spacing w:after="0" w:line="360" w:lineRule="auto"/>
        <w:jc w:val="both"/>
        <w:rPr>
          <w:rFonts w:ascii="Times New Roman" w:eastAsia="Times New Roman" w:hAnsi="Times New Roman" w:cs="Times New Roman"/>
          <w:sz w:val="24"/>
          <w:szCs w:val="24"/>
        </w:rPr>
      </w:pPr>
    </w:p>
    <w:p w14:paraId="0000001A" w14:textId="77777777" w:rsidR="00D33E32" w:rsidRDefault="007E7EA9" w:rsidP="007A0A4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When placing the participants into their pairs, I used phrases including less competent and more competent to describe individuals, which would have altered perceptions of their own abilities and perceptions made of abilities of those around them.  </w:t>
      </w:r>
    </w:p>
    <w:p w14:paraId="0000001B" w14:textId="77777777" w:rsidR="00D33E32" w:rsidRDefault="00D33E32" w:rsidP="007A0A48">
      <w:pPr>
        <w:spacing w:after="0" w:line="360" w:lineRule="auto"/>
        <w:jc w:val="both"/>
        <w:rPr>
          <w:rFonts w:ascii="Times New Roman" w:eastAsia="Times New Roman" w:hAnsi="Times New Roman" w:cs="Times New Roman"/>
          <w:sz w:val="24"/>
          <w:szCs w:val="24"/>
        </w:rPr>
      </w:pPr>
    </w:p>
    <w:p w14:paraId="0000001C" w14:textId="142E1855" w:rsidR="00D33E32" w:rsidRDefault="007E7EA9" w:rsidP="007A0A4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applying Gibbs </w:t>
      </w:r>
      <w:r w:rsidR="003F1EC5">
        <w:rPr>
          <w:rFonts w:ascii="Times New Roman" w:eastAsia="Times New Roman" w:hAnsi="Times New Roman" w:cs="Times New Roman"/>
          <w:sz w:val="24"/>
          <w:szCs w:val="24"/>
        </w:rPr>
        <w:t>(</w:t>
      </w:r>
      <w:r>
        <w:rPr>
          <w:rFonts w:ascii="Times New Roman" w:eastAsia="Times New Roman" w:hAnsi="Times New Roman" w:cs="Times New Roman"/>
          <w:sz w:val="24"/>
          <w:szCs w:val="24"/>
        </w:rPr>
        <w:t>1988</w:t>
      </w:r>
      <w:r w:rsidR="003F1EC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theory to this proposition, I can determine that my action plan was sound with regards to construction, but that I had not considered the potential consequences my choice of phraseology could have on a student and as such although no outward concern was raised during the session. I am now aware that people I categorised as less competent could </w:t>
      </w:r>
      <w:r w:rsidR="00E113B5">
        <w:rPr>
          <w:rFonts w:ascii="Times New Roman" w:eastAsia="Times New Roman" w:hAnsi="Times New Roman" w:cs="Times New Roman"/>
          <w:sz w:val="24"/>
          <w:szCs w:val="24"/>
        </w:rPr>
        <w:t>have had</w:t>
      </w:r>
      <w:r>
        <w:rPr>
          <w:rFonts w:ascii="Times New Roman" w:eastAsia="Times New Roman" w:hAnsi="Times New Roman" w:cs="Times New Roman"/>
          <w:sz w:val="24"/>
          <w:szCs w:val="24"/>
        </w:rPr>
        <w:t xml:space="preserve"> their feelings hurt or been less motivated to take my instruction. I considered the session to be a success on the day, and that perception still stands but adopting the reflective cycle post the event has enabled me to critique the entire process and in doing so has identified areas where I can improve my practice.</w:t>
      </w:r>
    </w:p>
    <w:p w14:paraId="0000001D" w14:textId="77777777" w:rsidR="00D33E32" w:rsidRDefault="00D33E32"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p w14:paraId="0000001E" w14:textId="77777777" w:rsidR="00D33E32" w:rsidRDefault="007E7EA9"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through the reflective process and questioning the sequential sections of my coaching session I have identified aspects of my programme that either went very well in light of preconceived concerns as well as one trait that had potential to unwittingly undermine confidence and therefore student experience and as such required redressing.. </w:t>
      </w:r>
    </w:p>
    <w:p w14:paraId="0000001F" w14:textId="77777777" w:rsidR="00D33E32" w:rsidRDefault="00D33E32"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p w14:paraId="00000020" w14:textId="1C948774" w:rsidR="00D33E32" w:rsidRDefault="007E7EA9" w:rsidP="007A0A48">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processes I have </w:t>
      </w:r>
      <w:r w:rsidR="00E113B5">
        <w:rPr>
          <w:rFonts w:ascii="Times New Roman" w:eastAsia="Times New Roman" w:hAnsi="Times New Roman" w:cs="Times New Roman"/>
          <w:sz w:val="24"/>
          <w:szCs w:val="24"/>
        </w:rPr>
        <w:t>described, I</w:t>
      </w:r>
      <w:r>
        <w:rPr>
          <w:rFonts w:ascii="Times New Roman" w:eastAsia="Times New Roman" w:hAnsi="Times New Roman" w:cs="Times New Roman"/>
          <w:sz w:val="24"/>
          <w:szCs w:val="24"/>
        </w:rPr>
        <w:t xml:space="preserve"> now feel I have a more rounded appreciation </w:t>
      </w:r>
      <w:r w:rsidR="00E113B5">
        <w:rPr>
          <w:rFonts w:ascii="Times New Roman" w:eastAsia="Times New Roman" w:hAnsi="Times New Roman" w:cs="Times New Roman"/>
          <w:sz w:val="24"/>
          <w:szCs w:val="24"/>
        </w:rPr>
        <w:t>of the</w:t>
      </w:r>
      <w:r>
        <w:rPr>
          <w:rFonts w:ascii="Times New Roman" w:eastAsia="Times New Roman" w:hAnsi="Times New Roman" w:cs="Times New Roman"/>
          <w:sz w:val="24"/>
          <w:szCs w:val="24"/>
        </w:rPr>
        <w:t xml:space="preserve"> differences between ‘in-action’ and ‘on-action’ reflection. This </w:t>
      </w:r>
      <w:r w:rsidR="00E113B5">
        <w:rPr>
          <w:rFonts w:ascii="Times New Roman" w:eastAsia="Times New Roman" w:hAnsi="Times New Roman" w:cs="Times New Roman"/>
          <w:sz w:val="24"/>
          <w:szCs w:val="24"/>
        </w:rPr>
        <w:t>newfound</w:t>
      </w:r>
      <w:r>
        <w:rPr>
          <w:rFonts w:ascii="Times New Roman" w:eastAsia="Times New Roman" w:hAnsi="Times New Roman" w:cs="Times New Roman"/>
          <w:sz w:val="24"/>
          <w:szCs w:val="24"/>
        </w:rPr>
        <w:t xml:space="preserve"> </w:t>
      </w:r>
      <w:r w:rsidR="00E113B5">
        <w:rPr>
          <w:rFonts w:ascii="Times New Roman" w:eastAsia="Times New Roman" w:hAnsi="Times New Roman" w:cs="Times New Roman"/>
          <w:sz w:val="24"/>
          <w:szCs w:val="24"/>
        </w:rPr>
        <w:t>understanding has</w:t>
      </w:r>
      <w:r>
        <w:rPr>
          <w:rFonts w:ascii="Times New Roman" w:eastAsia="Times New Roman" w:hAnsi="Times New Roman" w:cs="Times New Roman"/>
          <w:sz w:val="24"/>
          <w:szCs w:val="24"/>
        </w:rPr>
        <w:t xml:space="preserve"> allowed me to both consider and </w:t>
      </w:r>
      <w:r w:rsidR="00E113B5">
        <w:rPr>
          <w:rFonts w:ascii="Times New Roman" w:eastAsia="Times New Roman" w:hAnsi="Times New Roman" w:cs="Times New Roman"/>
          <w:sz w:val="24"/>
          <w:szCs w:val="24"/>
        </w:rPr>
        <w:t>challenge my</w:t>
      </w:r>
      <w:r>
        <w:rPr>
          <w:rFonts w:ascii="Times New Roman" w:eastAsia="Times New Roman" w:hAnsi="Times New Roman" w:cs="Times New Roman"/>
          <w:sz w:val="24"/>
          <w:szCs w:val="24"/>
        </w:rPr>
        <w:t xml:space="preserve"> abilities with </w:t>
      </w:r>
      <w:r w:rsidR="00E113B5">
        <w:rPr>
          <w:rFonts w:ascii="Times New Roman" w:eastAsia="Times New Roman" w:hAnsi="Times New Roman" w:cs="Times New Roman"/>
          <w:sz w:val="24"/>
          <w:szCs w:val="24"/>
        </w:rPr>
        <w:t>regards to</w:t>
      </w:r>
      <w:r>
        <w:rPr>
          <w:rFonts w:ascii="Times New Roman" w:eastAsia="Times New Roman" w:hAnsi="Times New Roman" w:cs="Times New Roman"/>
          <w:sz w:val="24"/>
          <w:szCs w:val="24"/>
        </w:rPr>
        <w:t xml:space="preserve"> coaching. Having a better regard for the reflection process will enable me to continue questioning and evaluating my own abilities as I mature as a coach and outdoor leader, further honing and refining my practice through cyclic </w:t>
      </w:r>
      <w:r w:rsidR="00E113B5">
        <w:rPr>
          <w:rFonts w:ascii="Times New Roman" w:eastAsia="Times New Roman" w:hAnsi="Times New Roman" w:cs="Times New Roman"/>
          <w:sz w:val="24"/>
          <w:szCs w:val="24"/>
        </w:rPr>
        <w:t>self-analysis</w:t>
      </w:r>
      <w:r>
        <w:rPr>
          <w:rFonts w:ascii="Times New Roman" w:eastAsia="Times New Roman" w:hAnsi="Times New Roman" w:cs="Times New Roman"/>
          <w:sz w:val="24"/>
          <w:szCs w:val="24"/>
        </w:rPr>
        <w:t>. My experiences with adopting reflection techniques during this coaching pedagogy module would suggest that the proposition put forward by Cushion, (2018), therein challenging the efficacy of reflection to be inaccurate when compared to my own experiences and the benefit derived from applying the rationale.</w:t>
      </w:r>
    </w:p>
    <w:p w14:paraId="5F00F85D" w14:textId="77777777" w:rsidR="00E113B5" w:rsidRDefault="00E113B5">
      <w:pPr>
        <w:pBdr>
          <w:top w:val="nil"/>
          <w:left w:val="nil"/>
          <w:bottom w:val="nil"/>
          <w:right w:val="nil"/>
          <w:between w:val="nil"/>
        </w:pBdr>
        <w:spacing w:after="0"/>
        <w:rPr>
          <w:rFonts w:ascii="Times New Roman" w:eastAsia="Times New Roman" w:hAnsi="Times New Roman" w:cs="Times New Roman"/>
          <w:sz w:val="24"/>
          <w:szCs w:val="24"/>
        </w:rPr>
      </w:pPr>
    </w:p>
    <w:p w14:paraId="380BBB6B" w14:textId="77777777" w:rsidR="00E113B5" w:rsidRDefault="00E113B5">
      <w:pPr>
        <w:pBdr>
          <w:top w:val="nil"/>
          <w:left w:val="nil"/>
          <w:bottom w:val="nil"/>
          <w:right w:val="nil"/>
          <w:between w:val="nil"/>
        </w:pBdr>
        <w:spacing w:after="0"/>
        <w:rPr>
          <w:rFonts w:ascii="Times New Roman" w:eastAsia="Times New Roman" w:hAnsi="Times New Roman" w:cs="Times New Roman"/>
          <w:sz w:val="24"/>
          <w:szCs w:val="24"/>
        </w:rPr>
      </w:pPr>
    </w:p>
    <w:p w14:paraId="6ED2D523" w14:textId="77777777" w:rsidR="00E113B5" w:rsidRDefault="00E113B5">
      <w:pPr>
        <w:pBdr>
          <w:top w:val="nil"/>
          <w:left w:val="nil"/>
          <w:bottom w:val="nil"/>
          <w:right w:val="nil"/>
          <w:between w:val="nil"/>
        </w:pBdr>
        <w:spacing w:after="0"/>
        <w:rPr>
          <w:rFonts w:ascii="Times New Roman" w:eastAsia="Times New Roman" w:hAnsi="Times New Roman" w:cs="Times New Roman"/>
          <w:sz w:val="24"/>
          <w:szCs w:val="24"/>
        </w:rPr>
      </w:pPr>
    </w:p>
    <w:p w14:paraId="3BC06CD7" w14:textId="77777777" w:rsidR="00E113B5" w:rsidRDefault="00E113B5">
      <w:pPr>
        <w:pBdr>
          <w:top w:val="nil"/>
          <w:left w:val="nil"/>
          <w:bottom w:val="nil"/>
          <w:right w:val="nil"/>
          <w:between w:val="nil"/>
        </w:pBdr>
        <w:spacing w:after="0"/>
        <w:rPr>
          <w:rFonts w:ascii="Times New Roman" w:eastAsia="Times New Roman" w:hAnsi="Times New Roman" w:cs="Times New Roman"/>
          <w:sz w:val="24"/>
          <w:szCs w:val="24"/>
        </w:rPr>
      </w:pPr>
    </w:p>
    <w:p w14:paraId="384335F5" w14:textId="77777777" w:rsidR="00E113B5" w:rsidRDefault="00E113B5">
      <w:pPr>
        <w:pBdr>
          <w:top w:val="nil"/>
          <w:left w:val="nil"/>
          <w:bottom w:val="nil"/>
          <w:right w:val="nil"/>
          <w:between w:val="nil"/>
        </w:pBdr>
        <w:spacing w:after="0"/>
        <w:rPr>
          <w:rFonts w:ascii="Times New Roman" w:eastAsia="Times New Roman" w:hAnsi="Times New Roman" w:cs="Times New Roman"/>
          <w:sz w:val="24"/>
          <w:szCs w:val="24"/>
        </w:rPr>
      </w:pPr>
    </w:p>
    <w:sdt>
      <w:sdtPr>
        <w:rPr>
          <w:rFonts w:ascii="Aptos" w:eastAsia="Aptos" w:hAnsi="Aptos" w:cs="Aptos"/>
          <w:color w:val="auto"/>
          <w:sz w:val="22"/>
          <w:szCs w:val="22"/>
        </w:rPr>
        <w:id w:val="-875930331"/>
        <w:docPartObj>
          <w:docPartGallery w:val="Bibliographies"/>
          <w:docPartUnique/>
        </w:docPartObj>
      </w:sdtPr>
      <w:sdtEndPr>
        <w:rPr>
          <w:rFonts w:ascii="Times New Roman" w:eastAsia="Times New Roman" w:hAnsi="Times New Roman" w:cs="Times New Roman"/>
          <w:sz w:val="24"/>
          <w:szCs w:val="24"/>
        </w:rPr>
      </w:sdtEndPr>
      <w:sdtContent>
        <w:p w14:paraId="091D2471" w14:textId="77777777" w:rsidR="00E113B5" w:rsidRPr="00E113B5" w:rsidRDefault="00E113B5" w:rsidP="00E113B5">
          <w:pPr>
            <w:pStyle w:val="Heading1"/>
            <w:rPr>
              <w:rFonts w:ascii="Times New Roman" w:hAnsi="Times New Roman" w:cs="Times New Roman"/>
              <w:color w:val="auto"/>
              <w:sz w:val="28"/>
              <w:szCs w:val="28"/>
            </w:rPr>
          </w:pPr>
          <w:r w:rsidRPr="00E113B5">
            <w:rPr>
              <w:rFonts w:ascii="Times New Roman" w:hAnsi="Times New Roman" w:cs="Times New Roman"/>
              <w:color w:val="auto"/>
              <w:sz w:val="28"/>
              <w:szCs w:val="28"/>
            </w:rPr>
            <w:t>References</w:t>
          </w:r>
        </w:p>
        <w:sdt>
          <w:sdtPr>
            <w:rPr>
              <w:rFonts w:ascii="Aptos" w:eastAsia="Aptos" w:hAnsi="Aptos" w:cs="Aptos"/>
              <w:sz w:val="22"/>
              <w:szCs w:val="22"/>
            </w:rPr>
            <w:id w:val="-573587230"/>
            <w:bibliography/>
          </w:sdtPr>
          <w:sdtEndPr>
            <w:rPr>
              <w:rFonts w:ascii="Times New Roman" w:eastAsia="Times New Roman" w:hAnsi="Times New Roman" w:cs="Times New Roman"/>
              <w:sz w:val="24"/>
              <w:szCs w:val="24"/>
            </w:rPr>
          </w:sdtEndPr>
          <w:sdtContent>
            <w:p w14:paraId="4A03DE86" w14:textId="77777777" w:rsidR="007873BD" w:rsidRDefault="007873BD" w:rsidP="007873BD">
              <w:pPr>
                <w:pStyle w:val="NormalWeb"/>
                <w:spacing w:before="0" w:beforeAutospacing="0" w:after="240" w:afterAutospacing="0" w:line="360" w:lineRule="auto"/>
              </w:pPr>
              <w:r>
                <w:t xml:space="preserve">Chase, M.A., Feltz, D.L., Hayashi, S.W. and Hepler, T.J. (2005). Sources of coaching efficacy: The coaches’ perspective. </w:t>
              </w:r>
              <w:r>
                <w:rPr>
                  <w:i/>
                  <w:iCs/>
                </w:rPr>
                <w:t>International Journal of Sport and Exercise Psychology</w:t>
              </w:r>
              <w:r>
                <w:t xml:space="preserve">, 3(1), pp.27–40. </w:t>
              </w:r>
              <w:proofErr w:type="spellStart"/>
              <w:proofErr w:type="gramStart"/>
              <w:r>
                <w:t>doi:https</w:t>
              </w:r>
              <w:proofErr w:type="spellEnd"/>
              <w:r>
                <w:t>://doi.org/10.1080/1612197x.2005.9671756</w:t>
              </w:r>
              <w:proofErr w:type="gramEnd"/>
              <w:r>
                <w:t>.</w:t>
              </w:r>
            </w:p>
            <w:p w14:paraId="117C8982" w14:textId="77777777" w:rsidR="007873BD" w:rsidRDefault="007873BD" w:rsidP="007873BD">
              <w:pPr>
                <w:pStyle w:val="NormalWeb"/>
                <w:spacing w:before="0" w:beforeAutospacing="0" w:after="240" w:afterAutospacing="0" w:line="360" w:lineRule="auto"/>
              </w:pPr>
              <w:r>
                <w:t xml:space="preserve">Cushion, C.J. (2018). Reflection and reflective practice discourses in coaching: a critical analysis. </w:t>
              </w:r>
              <w:r>
                <w:rPr>
                  <w:i/>
                  <w:iCs/>
                </w:rPr>
                <w:t>Sport, Education and Society</w:t>
              </w:r>
              <w:r>
                <w:t xml:space="preserve">, 23(1), pp.82–94. </w:t>
              </w:r>
              <w:proofErr w:type="spellStart"/>
              <w:proofErr w:type="gramStart"/>
              <w:r>
                <w:t>doi:https</w:t>
              </w:r>
              <w:proofErr w:type="spellEnd"/>
              <w:r>
                <w:t>://doi.org/10.1080/13573322.2016.1142961</w:t>
              </w:r>
              <w:proofErr w:type="gramEnd"/>
              <w:r>
                <w:t>.</w:t>
              </w:r>
            </w:p>
            <w:p w14:paraId="71B3F6FF" w14:textId="77777777" w:rsidR="007873BD" w:rsidRDefault="007873BD" w:rsidP="007873BD">
              <w:pPr>
                <w:pStyle w:val="NormalWeb"/>
                <w:spacing w:before="0" w:beforeAutospacing="0" w:after="240" w:afterAutospacing="0" w:line="360" w:lineRule="auto"/>
              </w:pPr>
              <w:r>
                <w:t xml:space="preserve">Gibbs, G. (1988). </w:t>
              </w:r>
              <w:r>
                <w:rPr>
                  <w:i/>
                  <w:iCs/>
                </w:rPr>
                <w:t xml:space="preserve">Learning by </w:t>
              </w:r>
              <w:proofErr w:type="gramStart"/>
              <w:r>
                <w:rPr>
                  <w:i/>
                  <w:iCs/>
                </w:rPr>
                <w:t>Doing :</w:t>
              </w:r>
              <w:proofErr w:type="gramEnd"/>
              <w:r>
                <w:rPr>
                  <w:i/>
                  <w:iCs/>
                </w:rPr>
                <w:t xml:space="preserve"> a Guide to Teaching and Learning Methods</w:t>
              </w:r>
              <w:r>
                <w:t>. [online] London: Oxford Brookes University. Available at: https://thoughtsmostlyaboutlearning.files.wordpress.com/2015/12/learning-by-doing-graham-gibbs.pdf.</w:t>
              </w:r>
            </w:p>
            <w:p w14:paraId="20178C60" w14:textId="77777777" w:rsidR="007873BD" w:rsidRDefault="007873BD" w:rsidP="007873BD">
              <w:pPr>
                <w:pStyle w:val="NormalWeb"/>
                <w:spacing w:before="0" w:beforeAutospacing="0" w:after="240" w:afterAutospacing="0" w:line="360" w:lineRule="auto"/>
              </w:pPr>
              <w:r>
                <w:t xml:space="preserve">Gilbert, W.D. and Trudel, P. (2001). Learning to Coach through Experience: Reflection in Model Youth Sport Coaches. </w:t>
              </w:r>
              <w:r>
                <w:rPr>
                  <w:i/>
                  <w:iCs/>
                </w:rPr>
                <w:t>Journal of Teaching in Physical Education</w:t>
              </w:r>
              <w:r>
                <w:t xml:space="preserve">, 21(1), pp.16–34. </w:t>
              </w:r>
              <w:proofErr w:type="spellStart"/>
              <w:proofErr w:type="gramStart"/>
              <w:r>
                <w:t>doi:https</w:t>
              </w:r>
              <w:proofErr w:type="spellEnd"/>
              <w:r>
                <w:t>://doi.org/10.1123/jtpe.21.1.16</w:t>
              </w:r>
              <w:proofErr w:type="gramEnd"/>
              <w:r>
                <w:t>.</w:t>
              </w:r>
            </w:p>
            <w:p w14:paraId="4270FC8B" w14:textId="77777777" w:rsidR="007873BD" w:rsidRDefault="007873BD" w:rsidP="007873BD">
              <w:pPr>
                <w:pStyle w:val="NormalWeb"/>
                <w:spacing w:before="0" w:beforeAutospacing="0" w:after="240" w:afterAutospacing="0" w:line="360" w:lineRule="auto"/>
              </w:pPr>
              <w:r>
                <w:t xml:space="preserve">HCPC (2021). </w:t>
              </w:r>
              <w:r>
                <w:rPr>
                  <w:i/>
                  <w:iCs/>
                </w:rPr>
                <w:t>What Is Reflection?</w:t>
              </w:r>
              <w:r>
                <w:t xml:space="preserve"> [online] www.hcpc-uk.org. Available at: https://www.hcpc-uk.org/standards/meeting-our-standards/reflective-practice/what-is-reflection/.</w:t>
              </w:r>
            </w:p>
            <w:p w14:paraId="039526C8" w14:textId="77777777" w:rsidR="007873BD" w:rsidRDefault="007873BD" w:rsidP="007873BD">
              <w:pPr>
                <w:pStyle w:val="NormalWeb"/>
                <w:spacing w:before="0" w:beforeAutospacing="0" w:after="240" w:afterAutospacing="0" w:line="360" w:lineRule="auto"/>
              </w:pPr>
              <w:r>
                <w:t xml:space="preserve">Hooda, M. and Saini, A. (2017). Academic Anxiety: An Overview. </w:t>
              </w:r>
              <w:r>
                <w:rPr>
                  <w:i/>
                  <w:iCs/>
                </w:rPr>
                <w:t>International Journal of Education and Applied Social Science</w:t>
              </w:r>
              <w:r>
                <w:t xml:space="preserve">, 8(3), pp.807–810. </w:t>
              </w:r>
              <w:proofErr w:type="spellStart"/>
              <w:proofErr w:type="gramStart"/>
              <w:r>
                <w:t>doi:https</w:t>
              </w:r>
              <w:proofErr w:type="spellEnd"/>
              <w:r>
                <w:t>://doi.org/10.5958/2230-7311.2017.00139.8</w:t>
              </w:r>
              <w:proofErr w:type="gramEnd"/>
              <w:r>
                <w:t>.</w:t>
              </w:r>
            </w:p>
            <w:p w14:paraId="0BFD88AC" w14:textId="77777777" w:rsidR="007873BD" w:rsidRDefault="007873BD" w:rsidP="007873BD">
              <w:pPr>
                <w:pStyle w:val="NormalWeb"/>
                <w:spacing w:before="0" w:beforeAutospacing="0" w:after="240" w:afterAutospacing="0" w:line="360" w:lineRule="auto"/>
              </w:pPr>
              <w:r>
                <w:t xml:space="preserve">Johns, C. and Burnie, S. (2013). </w:t>
              </w:r>
              <w:r>
                <w:rPr>
                  <w:i/>
                  <w:iCs/>
                </w:rPr>
                <w:t>Becoming a reflective practitioner</w:t>
              </w:r>
              <w:r>
                <w:t xml:space="preserve">. Chichester, West </w:t>
              </w:r>
              <w:proofErr w:type="gramStart"/>
              <w:r>
                <w:t>Sussex ;</w:t>
              </w:r>
              <w:proofErr w:type="gramEnd"/>
              <w:r>
                <w:t xml:space="preserve"> Hoboken, Nj: Wiley-Blackwell.</w:t>
              </w:r>
            </w:p>
            <w:p w14:paraId="1870E2F0" w14:textId="77777777" w:rsidR="007873BD" w:rsidRDefault="007873BD" w:rsidP="007873BD">
              <w:pPr>
                <w:pStyle w:val="NormalWeb"/>
                <w:spacing w:before="0" w:beforeAutospacing="0" w:after="240" w:afterAutospacing="0" w:line="360" w:lineRule="auto"/>
              </w:pPr>
              <w:r>
                <w:t xml:space="preserve">Knowles, Z., </w:t>
              </w:r>
              <w:proofErr w:type="spellStart"/>
              <w:r>
                <w:t>Gilbourne</w:t>
              </w:r>
              <w:proofErr w:type="spellEnd"/>
              <w:r>
                <w:t xml:space="preserve">, D., </w:t>
              </w:r>
              <w:proofErr w:type="spellStart"/>
              <w:r>
                <w:t>Borrie</w:t>
              </w:r>
              <w:proofErr w:type="spellEnd"/>
              <w:r>
                <w:t xml:space="preserve">, A. and Nevill, A. (2001). Developing the Reflective Sports Coach: a study exploring the processes of reflective practice within a higher education coaching programme. </w:t>
              </w:r>
              <w:r>
                <w:rPr>
                  <w:i/>
                  <w:iCs/>
                </w:rPr>
                <w:t>Reflective Practice</w:t>
              </w:r>
              <w:r>
                <w:t xml:space="preserve">, 2(2), pp.185–207. </w:t>
              </w:r>
              <w:proofErr w:type="spellStart"/>
              <w:proofErr w:type="gramStart"/>
              <w:r>
                <w:t>doi:https</w:t>
              </w:r>
              <w:proofErr w:type="spellEnd"/>
              <w:r>
                <w:t>://doi.org/10.1080/14623940120071370</w:t>
              </w:r>
              <w:proofErr w:type="gramEnd"/>
              <w:r>
                <w:t>.</w:t>
              </w:r>
            </w:p>
            <w:p w14:paraId="3DBECA5C" w14:textId="77777777" w:rsidR="007873BD" w:rsidRDefault="007873BD" w:rsidP="007873BD">
              <w:pPr>
                <w:pStyle w:val="NormalWeb"/>
                <w:spacing w:before="0" w:beforeAutospacing="0" w:after="240" w:afterAutospacing="0" w:line="360" w:lineRule="auto"/>
              </w:pPr>
              <w:proofErr w:type="spellStart"/>
              <w:r>
                <w:t>Krogstie</w:t>
              </w:r>
              <w:proofErr w:type="spellEnd"/>
              <w:r>
                <w:t xml:space="preserve">, B.R. (2009). A Model of Retrospective Reflection in Project Based Learning Utilizing Historical Data in Collaborative Tools. </w:t>
              </w:r>
              <w:r>
                <w:rPr>
                  <w:i/>
                  <w:iCs/>
                </w:rPr>
                <w:t>Lecture Notes in Computer Science</w:t>
              </w:r>
              <w:r>
                <w:t xml:space="preserve">, pp.418–432. </w:t>
              </w:r>
              <w:proofErr w:type="spellStart"/>
              <w:proofErr w:type="gramStart"/>
              <w:r>
                <w:t>doi:https</w:t>
              </w:r>
              <w:proofErr w:type="spellEnd"/>
              <w:r>
                <w:t>://doi.org/10.1007/978-3-642-04636-0_40</w:t>
              </w:r>
              <w:proofErr w:type="gramEnd"/>
              <w:r>
                <w:t>.</w:t>
              </w:r>
            </w:p>
            <w:p w14:paraId="5B65F599" w14:textId="77777777" w:rsidR="007873BD" w:rsidRDefault="007873BD" w:rsidP="007873BD">
              <w:pPr>
                <w:pStyle w:val="NormalWeb"/>
                <w:spacing w:before="0" w:beforeAutospacing="0" w:after="240" w:afterAutospacing="0" w:line="360" w:lineRule="auto"/>
              </w:pPr>
              <w:r>
                <w:lastRenderedPageBreak/>
                <w:t xml:space="preserve">Lucero, K.S. and Chen, P. (2020). What Do Reinforcement and Confidence Have to Do with It? A Systematic Pathway Analysis of Knowledge, Competence, Confidence, and Intention to Change. </w:t>
              </w:r>
              <w:r>
                <w:rPr>
                  <w:i/>
                  <w:iCs/>
                </w:rPr>
                <w:t>Journal of European CME</w:t>
              </w:r>
              <w:r>
                <w:t xml:space="preserve">, [online] 9(1), p.1834759. </w:t>
              </w:r>
              <w:proofErr w:type="spellStart"/>
              <w:proofErr w:type="gramStart"/>
              <w:r>
                <w:t>doi:https</w:t>
              </w:r>
              <w:proofErr w:type="spellEnd"/>
              <w:r>
                <w:t>://doi.org/10.1080/21614083.2020.1834759</w:t>
              </w:r>
              <w:proofErr w:type="gramEnd"/>
              <w:r>
                <w:t>.</w:t>
              </w:r>
            </w:p>
            <w:p w14:paraId="718BE80A" w14:textId="77777777" w:rsidR="007873BD" w:rsidRDefault="007873BD" w:rsidP="007873BD">
              <w:pPr>
                <w:pStyle w:val="NormalWeb"/>
                <w:spacing w:before="0" w:beforeAutospacing="0" w:after="240" w:afterAutospacing="0" w:line="360" w:lineRule="auto"/>
              </w:pPr>
              <w:r>
                <w:t xml:space="preserve">Schön, D.A. (1991). </w:t>
              </w:r>
              <w:r>
                <w:rPr>
                  <w:i/>
                  <w:iCs/>
                </w:rPr>
                <w:t>The Reflective Practitioner: How Professionals Think in action.</w:t>
              </w:r>
              <w:r>
                <w:t xml:space="preserve"> London: Temple Smith.</w:t>
              </w:r>
            </w:p>
            <w:p w14:paraId="1F51B255" w14:textId="77777777" w:rsidR="007873BD" w:rsidRDefault="007873BD" w:rsidP="007873BD">
              <w:pPr>
                <w:pStyle w:val="NormalWeb"/>
                <w:spacing w:before="0" w:beforeAutospacing="0" w:after="240" w:afterAutospacing="0" w:line="360" w:lineRule="auto"/>
              </w:pPr>
              <w:r>
                <w:t xml:space="preserve">Witt, J.K., South, S.C. and </w:t>
              </w:r>
              <w:proofErr w:type="spellStart"/>
              <w:r>
                <w:t>Sugovic</w:t>
              </w:r>
              <w:proofErr w:type="spellEnd"/>
              <w:r>
                <w:t xml:space="preserve">, M. (2013). A perceiver’s own abilities influence perception, even when observing others. </w:t>
              </w:r>
              <w:r>
                <w:rPr>
                  <w:i/>
                  <w:iCs/>
                </w:rPr>
                <w:t>Psychonomic Bulletin &amp; Review</w:t>
              </w:r>
              <w:r>
                <w:t xml:space="preserve">, 21(2), pp.384–389. </w:t>
              </w:r>
              <w:proofErr w:type="spellStart"/>
              <w:proofErr w:type="gramStart"/>
              <w:r>
                <w:t>doi:https</w:t>
              </w:r>
              <w:proofErr w:type="spellEnd"/>
              <w:r>
                <w:t>://doi.org/10.3758/s13423-013-0505-1</w:t>
              </w:r>
              <w:proofErr w:type="gramEnd"/>
              <w:r>
                <w:t>.</w:t>
              </w:r>
            </w:p>
            <w:p w14:paraId="1C333388" w14:textId="77777777" w:rsidR="007873BD" w:rsidRDefault="007873BD" w:rsidP="007873BD">
              <w:pPr>
                <w:pStyle w:val="NormalWeb"/>
                <w:spacing w:before="0" w:beforeAutospacing="0" w:after="240" w:afterAutospacing="0" w:line="360" w:lineRule="auto"/>
              </w:pPr>
              <w:r>
                <w:t xml:space="preserve">Wulf, G. and Lewthwaite, R. (2016). Optimizing performance through intrinsic motivation and attention for learning: The OPTIMAL theory of motor learning. </w:t>
              </w:r>
              <w:r>
                <w:rPr>
                  <w:i/>
                  <w:iCs/>
                </w:rPr>
                <w:t>Psychonomic Bulletin &amp; Review</w:t>
              </w:r>
              <w:r>
                <w:t xml:space="preserve">, 23(5), pp.1382–1414. </w:t>
              </w:r>
              <w:proofErr w:type="spellStart"/>
              <w:proofErr w:type="gramStart"/>
              <w:r>
                <w:t>doi:https</w:t>
              </w:r>
              <w:proofErr w:type="spellEnd"/>
              <w:r>
                <w:t>://doi.org/10.3758/s13423-015-0999-9</w:t>
              </w:r>
              <w:proofErr w:type="gramEnd"/>
              <w:r>
                <w:t>.</w:t>
              </w:r>
            </w:p>
            <w:p w14:paraId="734CBB46" w14:textId="77777777" w:rsidR="007873BD" w:rsidRDefault="007873BD" w:rsidP="007873BD">
              <w:pPr>
                <w:pStyle w:val="NormalWeb"/>
                <w:spacing w:before="0" w:beforeAutospacing="0" w:after="240" w:afterAutospacing="0" w:line="360" w:lineRule="auto"/>
              </w:pPr>
              <w:r>
                <w:t xml:space="preserve">Zimmerman, B.J. (2000). Attaining Self-Regulation: A Social Cognitive Perspective. </w:t>
              </w:r>
              <w:r>
                <w:rPr>
                  <w:i/>
                  <w:iCs/>
                </w:rPr>
                <w:t>Handbook of Self-Regulation</w:t>
              </w:r>
              <w:r>
                <w:t xml:space="preserve">, pp.13–39. </w:t>
              </w:r>
              <w:proofErr w:type="spellStart"/>
              <w:proofErr w:type="gramStart"/>
              <w:r>
                <w:t>doi:https</w:t>
              </w:r>
              <w:proofErr w:type="spellEnd"/>
              <w:r>
                <w:t>://doi.org/10.1016/b978-012109890-2/50031-7</w:t>
              </w:r>
              <w:proofErr w:type="gramEnd"/>
              <w:r>
                <w:t>.</w:t>
              </w:r>
            </w:p>
            <w:p w14:paraId="715FAAE0" w14:textId="61B96896" w:rsidR="00E113B5" w:rsidRDefault="00000000" w:rsidP="007873BD">
              <w:pPr>
                <w:pStyle w:val="NormalWeb"/>
                <w:spacing w:before="0" w:beforeAutospacing="0" w:after="240" w:afterAutospacing="0" w:line="360" w:lineRule="auto"/>
              </w:pPr>
            </w:p>
          </w:sdtContent>
        </w:sdt>
      </w:sdtContent>
    </w:sdt>
    <w:p w14:paraId="2E17F5C5" w14:textId="77777777" w:rsidR="00E113B5" w:rsidRDefault="00E113B5">
      <w:pPr>
        <w:pBdr>
          <w:top w:val="nil"/>
          <w:left w:val="nil"/>
          <w:bottom w:val="nil"/>
          <w:right w:val="nil"/>
          <w:between w:val="nil"/>
        </w:pBdr>
        <w:spacing w:after="0"/>
        <w:rPr>
          <w:rFonts w:ascii="Times New Roman" w:eastAsia="Times New Roman" w:hAnsi="Times New Roman" w:cs="Times New Roman"/>
          <w:sz w:val="24"/>
          <w:szCs w:val="24"/>
        </w:rPr>
      </w:pPr>
    </w:p>
    <w:p w14:paraId="7334B949" w14:textId="7D72E6C1" w:rsidR="00E113B5" w:rsidRDefault="00E113B5"/>
    <w:p w14:paraId="00000022" w14:textId="639F9141" w:rsidR="00D33E32" w:rsidRDefault="007E7EA9">
      <w:pPr>
        <w:pBdr>
          <w:top w:val="nil"/>
          <w:left w:val="nil"/>
          <w:bottom w:val="nil"/>
          <w:right w:val="nil"/>
          <w:between w:val="nil"/>
        </w:pBdr>
        <w:rPr>
          <w:rFonts w:ascii="Times New Roman" w:eastAsia="Times New Roman" w:hAnsi="Times New Roman" w:cs="Times New Roman"/>
          <w:b/>
          <w:color w:val="000000"/>
          <w:sz w:val="28"/>
          <w:szCs w:val="28"/>
          <w:u w:val="single"/>
        </w:rPr>
      </w:pPr>
      <w:r>
        <w:rPr>
          <w:rFonts w:ascii="Times New Roman" w:eastAsia="Times New Roman" w:hAnsi="Times New Roman" w:cs="Times New Roman"/>
          <w:b/>
          <w:sz w:val="28"/>
          <w:szCs w:val="28"/>
          <w:u w:val="single"/>
        </w:rPr>
        <w:t xml:space="preserve"> </w:t>
      </w:r>
    </w:p>
    <w:sectPr w:rsidR="00D33E32">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5F02BF" w14:textId="77777777" w:rsidR="00C11BA6" w:rsidRDefault="00C11BA6" w:rsidP="007E7EA9">
      <w:pPr>
        <w:spacing w:after="0" w:line="240" w:lineRule="auto"/>
      </w:pPr>
      <w:r>
        <w:separator/>
      </w:r>
    </w:p>
  </w:endnote>
  <w:endnote w:type="continuationSeparator" w:id="0">
    <w:p w14:paraId="5B9BEDE2" w14:textId="77777777" w:rsidR="00C11BA6" w:rsidRDefault="00C11BA6" w:rsidP="007E7E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embedRegular r:id="rId1" w:fontKey="{653BE012-26FB-4CC4-AD1E-25F6B6714CFE}"/>
    <w:embedBold r:id="rId2" w:fontKey="{9140E4E8-A728-4C1C-BAF8-6EBBAE7D9B87}"/>
    <w:embedItalic r:id="rId3" w:fontKey="{8D441AF9-6660-4363-A9EC-FE07E69E2A88}"/>
  </w:font>
  <w:font w:name="Aptos Display">
    <w:charset w:val="00"/>
    <w:family w:val="swiss"/>
    <w:pitch w:val="variable"/>
    <w:sig w:usb0="20000287" w:usb1="00000003" w:usb2="00000000" w:usb3="00000000" w:csb0="0000019F" w:csb1="00000000"/>
    <w:embedRegular r:id="rId4" w:fontKey="{0D22C81B-8B7C-4451-901C-64AF3C19EC9A}"/>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0183673"/>
      <w:docPartObj>
        <w:docPartGallery w:val="Page Numbers (Bottom of Page)"/>
        <w:docPartUnique/>
      </w:docPartObj>
    </w:sdtPr>
    <w:sdtEndPr>
      <w:rPr>
        <w:noProof/>
      </w:rPr>
    </w:sdtEndPr>
    <w:sdtContent>
      <w:p w14:paraId="46B51011" w14:textId="57C91FE3" w:rsidR="007E7EA9" w:rsidRDefault="007E7E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380CD6" w14:textId="77777777" w:rsidR="007E7EA9" w:rsidRDefault="007E7E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0ECA9B" w14:textId="77777777" w:rsidR="00C11BA6" w:rsidRDefault="00C11BA6" w:rsidP="007E7EA9">
      <w:pPr>
        <w:spacing w:after="0" w:line="240" w:lineRule="auto"/>
      </w:pPr>
      <w:r>
        <w:separator/>
      </w:r>
    </w:p>
  </w:footnote>
  <w:footnote w:type="continuationSeparator" w:id="0">
    <w:p w14:paraId="144031D5" w14:textId="77777777" w:rsidR="00C11BA6" w:rsidRDefault="00C11BA6" w:rsidP="007E7E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3E32"/>
    <w:rsid w:val="001D2338"/>
    <w:rsid w:val="00396853"/>
    <w:rsid w:val="003F1EC5"/>
    <w:rsid w:val="0044792B"/>
    <w:rsid w:val="00517E71"/>
    <w:rsid w:val="005B0A2E"/>
    <w:rsid w:val="007873BD"/>
    <w:rsid w:val="007A0A48"/>
    <w:rsid w:val="007E7EA9"/>
    <w:rsid w:val="00C11BA6"/>
    <w:rsid w:val="00D33E32"/>
    <w:rsid w:val="00DF003A"/>
    <w:rsid w:val="00E113B5"/>
    <w:rsid w:val="00FB560E"/>
    <w:rsid w:val="00FE708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64F97"/>
  <w15:docId w15:val="{C7D451BC-A7EE-433E-939B-EB23B12A5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Aptos"/>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3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63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63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63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63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63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63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63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63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963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963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63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63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63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63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63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63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63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63F5"/>
    <w:rPr>
      <w:rFonts w:eastAsiaTheme="majorEastAsia" w:cstheme="majorBidi"/>
      <w:color w:val="272727" w:themeColor="text1" w:themeTint="D8"/>
    </w:rPr>
  </w:style>
  <w:style w:type="character" w:customStyle="1" w:styleId="TitleChar">
    <w:name w:val="Title Char"/>
    <w:basedOn w:val="DefaultParagraphFont"/>
    <w:link w:val="Title"/>
    <w:uiPriority w:val="10"/>
    <w:rsid w:val="00E963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color w:val="595959"/>
      <w:sz w:val="28"/>
      <w:szCs w:val="28"/>
    </w:rPr>
  </w:style>
  <w:style w:type="character" w:customStyle="1" w:styleId="SubtitleChar">
    <w:name w:val="Subtitle Char"/>
    <w:basedOn w:val="DefaultParagraphFont"/>
    <w:link w:val="Subtitle"/>
    <w:uiPriority w:val="11"/>
    <w:rsid w:val="00E963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63F5"/>
    <w:pPr>
      <w:spacing w:before="160"/>
      <w:jc w:val="center"/>
    </w:pPr>
    <w:rPr>
      <w:i/>
      <w:iCs/>
      <w:color w:val="404040" w:themeColor="text1" w:themeTint="BF"/>
    </w:rPr>
  </w:style>
  <w:style w:type="character" w:customStyle="1" w:styleId="QuoteChar">
    <w:name w:val="Quote Char"/>
    <w:basedOn w:val="DefaultParagraphFont"/>
    <w:link w:val="Quote"/>
    <w:uiPriority w:val="29"/>
    <w:rsid w:val="00E963F5"/>
    <w:rPr>
      <w:i/>
      <w:iCs/>
      <w:color w:val="404040" w:themeColor="text1" w:themeTint="BF"/>
    </w:rPr>
  </w:style>
  <w:style w:type="paragraph" w:styleId="ListParagraph">
    <w:name w:val="List Paragraph"/>
    <w:basedOn w:val="Normal"/>
    <w:uiPriority w:val="34"/>
    <w:qFormat/>
    <w:rsid w:val="00E963F5"/>
    <w:pPr>
      <w:ind w:left="720"/>
      <w:contextualSpacing/>
    </w:pPr>
  </w:style>
  <w:style w:type="character" w:styleId="IntenseEmphasis">
    <w:name w:val="Intense Emphasis"/>
    <w:basedOn w:val="DefaultParagraphFont"/>
    <w:uiPriority w:val="21"/>
    <w:qFormat/>
    <w:rsid w:val="00E963F5"/>
    <w:rPr>
      <w:i/>
      <w:iCs/>
      <w:color w:val="0F4761" w:themeColor="accent1" w:themeShade="BF"/>
    </w:rPr>
  </w:style>
  <w:style w:type="paragraph" w:styleId="IntenseQuote">
    <w:name w:val="Intense Quote"/>
    <w:basedOn w:val="Normal"/>
    <w:next w:val="Normal"/>
    <w:link w:val="IntenseQuoteChar"/>
    <w:uiPriority w:val="30"/>
    <w:qFormat/>
    <w:rsid w:val="00E963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63F5"/>
    <w:rPr>
      <w:i/>
      <w:iCs/>
      <w:color w:val="0F4761" w:themeColor="accent1" w:themeShade="BF"/>
    </w:rPr>
  </w:style>
  <w:style w:type="character" w:styleId="IntenseReference">
    <w:name w:val="Intense Reference"/>
    <w:basedOn w:val="DefaultParagraphFont"/>
    <w:uiPriority w:val="32"/>
    <w:qFormat/>
    <w:rsid w:val="00E963F5"/>
    <w:rPr>
      <w:b/>
      <w:bCs/>
      <w:smallCaps/>
      <w:color w:val="0F4761" w:themeColor="accent1" w:themeShade="BF"/>
      <w:spacing w:val="5"/>
    </w:rPr>
  </w:style>
  <w:style w:type="paragraph" w:styleId="NormalWeb">
    <w:name w:val="Normal (Web)"/>
    <w:basedOn w:val="Normal"/>
    <w:uiPriority w:val="99"/>
    <w:unhideWhenUsed/>
    <w:rsid w:val="00E113B5"/>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E7E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EA9"/>
  </w:style>
  <w:style w:type="paragraph" w:styleId="Footer">
    <w:name w:val="footer"/>
    <w:basedOn w:val="Normal"/>
    <w:link w:val="FooterChar"/>
    <w:uiPriority w:val="99"/>
    <w:unhideWhenUsed/>
    <w:rsid w:val="007E7E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E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938852">
      <w:bodyDiv w:val="1"/>
      <w:marLeft w:val="0"/>
      <w:marRight w:val="0"/>
      <w:marTop w:val="0"/>
      <w:marBottom w:val="0"/>
      <w:divBdr>
        <w:top w:val="none" w:sz="0" w:space="0" w:color="auto"/>
        <w:left w:val="none" w:sz="0" w:space="0" w:color="auto"/>
        <w:bottom w:val="none" w:sz="0" w:space="0" w:color="auto"/>
        <w:right w:val="none" w:sz="0" w:space="0" w:color="auto"/>
      </w:divBdr>
      <w:divsChild>
        <w:div w:id="1376780448">
          <w:marLeft w:val="0"/>
          <w:marRight w:val="0"/>
          <w:marTop w:val="0"/>
          <w:marBottom w:val="0"/>
          <w:divBdr>
            <w:top w:val="none" w:sz="0" w:space="0" w:color="auto"/>
            <w:left w:val="none" w:sz="0" w:space="0" w:color="auto"/>
            <w:bottom w:val="none" w:sz="0" w:space="0" w:color="auto"/>
            <w:right w:val="none" w:sz="0" w:space="0" w:color="auto"/>
          </w:divBdr>
        </w:div>
      </w:divsChild>
    </w:div>
    <w:div w:id="1819178893">
      <w:bodyDiv w:val="1"/>
      <w:marLeft w:val="0"/>
      <w:marRight w:val="0"/>
      <w:marTop w:val="0"/>
      <w:marBottom w:val="0"/>
      <w:divBdr>
        <w:top w:val="none" w:sz="0" w:space="0" w:color="auto"/>
        <w:left w:val="none" w:sz="0" w:space="0" w:color="auto"/>
        <w:bottom w:val="none" w:sz="0" w:space="0" w:color="auto"/>
        <w:right w:val="none" w:sz="0" w:space="0" w:color="auto"/>
      </w:divBdr>
      <w:divsChild>
        <w:div w:id="55116339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PoGRirVW3CX+9EKim/aCEwfhZJQ==">CgMxLjA4AHIhMTJEOExFNGtwcFhpUTJKSjNUaVdtakwyQ2pMZG5zY1Vr</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21030B1-BB22-4BC9-83C2-93076FB96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1891</Words>
  <Characters>10781</Characters>
  <Application>Microsoft Office Word</Application>
  <DocSecurity>0</DocSecurity>
  <Lines>89</Lines>
  <Paragraphs>25</Paragraphs>
  <ScaleCrop>false</ScaleCrop>
  <Company/>
  <LinksUpToDate>false</LinksUpToDate>
  <CharactersWithSpaces>12647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14TMiles</dc:creator>
  <cp:lastModifiedBy>14TMiles</cp:lastModifiedBy>
  <cp:revision>13</cp:revision>
  <dcterms:created xsi:type="dcterms:W3CDTF">2024-05-03T12:11:00Z</dcterms:created>
  <dcterms:modified xsi:type="dcterms:W3CDTF">2024-05-03T12:43:00Z</dcterms:modified>
</cp:coreProperties>
</file>