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720884" w14:textId="7213632C" w:rsidR="00E60F97" w:rsidRPr="009F5736" w:rsidRDefault="001E7493" w:rsidP="00830431">
      <w:pPr>
        <w:spacing w:line="360" w:lineRule="auto"/>
        <w:rPr>
          <w:rFonts w:ascii="Arial" w:hAnsi="Arial" w:cs="Arial"/>
          <w:b/>
          <w:bCs/>
          <w:sz w:val="28"/>
          <w:szCs w:val="28"/>
        </w:rPr>
      </w:pPr>
      <w:r>
        <w:rPr>
          <w:rFonts w:ascii="Arial" w:hAnsi="Arial" w:cs="Arial"/>
          <w:b/>
          <w:bCs/>
          <w:sz w:val="28"/>
          <w:szCs w:val="28"/>
        </w:rPr>
        <w:t xml:space="preserve">Design Thinking and Innovation through Digital Transformation: </w:t>
      </w:r>
      <w:r w:rsidR="00291E1A">
        <w:rPr>
          <w:rFonts w:ascii="Arial" w:hAnsi="Arial" w:cs="Arial"/>
          <w:b/>
          <w:bCs/>
          <w:sz w:val="28"/>
          <w:szCs w:val="28"/>
        </w:rPr>
        <w:t>A UK SME E-Commerce Venture Portfolio</w:t>
      </w:r>
    </w:p>
    <w:p w14:paraId="3CBD74D0" w14:textId="16D2010D" w:rsidR="00E60F97" w:rsidRPr="009F5736" w:rsidRDefault="00624706" w:rsidP="00830431">
      <w:pPr>
        <w:spacing w:line="360" w:lineRule="auto"/>
        <w:rPr>
          <w:rFonts w:ascii="Arial" w:hAnsi="Arial" w:cs="Arial"/>
          <w:b/>
          <w:bCs/>
          <w:sz w:val="24"/>
          <w:szCs w:val="24"/>
        </w:rPr>
      </w:pPr>
      <w:r>
        <w:rPr>
          <w:rFonts w:ascii="Arial" w:hAnsi="Arial" w:cs="Arial"/>
          <w:b/>
          <w:bCs/>
          <w:sz w:val="24"/>
          <w:szCs w:val="24"/>
        </w:rPr>
        <w:t xml:space="preserve">Written Portfolio: </w:t>
      </w:r>
      <w:r w:rsidR="00E60F97" w:rsidRPr="009F5736">
        <w:rPr>
          <w:rFonts w:ascii="Arial" w:hAnsi="Arial" w:cs="Arial"/>
          <w:b/>
          <w:bCs/>
          <w:sz w:val="24"/>
          <w:szCs w:val="24"/>
        </w:rPr>
        <w:t xml:space="preserve">Assessment </w:t>
      </w:r>
      <w:r w:rsidR="009B4C3E">
        <w:rPr>
          <w:rFonts w:ascii="Arial" w:hAnsi="Arial" w:cs="Arial"/>
          <w:b/>
          <w:bCs/>
          <w:sz w:val="24"/>
          <w:szCs w:val="24"/>
        </w:rPr>
        <w:t>T</w:t>
      </w:r>
      <w:r w:rsidR="00291E1A">
        <w:rPr>
          <w:rFonts w:ascii="Arial" w:hAnsi="Arial" w:cs="Arial"/>
          <w:b/>
          <w:bCs/>
          <w:sz w:val="24"/>
          <w:szCs w:val="24"/>
        </w:rPr>
        <w:t xml:space="preserve">ask 1 and 2 </w:t>
      </w:r>
      <w:r w:rsidR="00E60F97" w:rsidRPr="009F5736">
        <w:rPr>
          <w:rFonts w:ascii="Arial" w:hAnsi="Arial" w:cs="Arial"/>
          <w:b/>
          <w:bCs/>
          <w:sz w:val="24"/>
          <w:szCs w:val="24"/>
        </w:rPr>
        <w:t xml:space="preserve"> </w:t>
      </w:r>
    </w:p>
    <w:p w14:paraId="4B3726A1" w14:textId="2F8060AD" w:rsidR="00E60F97" w:rsidRPr="00D93EC8" w:rsidRDefault="00E60F97" w:rsidP="00830431">
      <w:pPr>
        <w:spacing w:line="360" w:lineRule="auto"/>
        <w:rPr>
          <w:rFonts w:ascii="Arial" w:hAnsi="Arial" w:cs="Arial"/>
          <w:sz w:val="24"/>
          <w:szCs w:val="24"/>
          <w:lang w:val="en-GB"/>
        </w:rPr>
      </w:pPr>
      <w:r w:rsidRPr="009F5736">
        <w:rPr>
          <w:rFonts w:ascii="Arial" w:hAnsi="Arial" w:cs="Arial"/>
          <w:b/>
          <w:bCs/>
          <w:sz w:val="24"/>
          <w:szCs w:val="24"/>
        </w:rPr>
        <w:t>Module</w:t>
      </w:r>
      <w:r w:rsidRPr="00F6223C">
        <w:rPr>
          <w:rFonts w:ascii="Arial" w:hAnsi="Arial" w:cs="Arial"/>
          <w:sz w:val="24"/>
          <w:szCs w:val="24"/>
        </w:rPr>
        <w:t xml:space="preserve">: LCLM </w:t>
      </w:r>
      <w:r w:rsidR="00D93EC8">
        <w:rPr>
          <w:rFonts w:ascii="Arial" w:hAnsi="Arial" w:cs="Arial"/>
          <w:sz w:val="24"/>
          <w:szCs w:val="24"/>
        </w:rPr>
        <w:t>6</w:t>
      </w:r>
      <w:r w:rsidRPr="00F6223C">
        <w:rPr>
          <w:rFonts w:ascii="Arial" w:hAnsi="Arial" w:cs="Arial"/>
          <w:sz w:val="24"/>
          <w:szCs w:val="24"/>
        </w:rPr>
        <w:t>00</w:t>
      </w:r>
      <w:r w:rsidR="00662472">
        <w:rPr>
          <w:rFonts w:ascii="Arial" w:hAnsi="Arial" w:cs="Arial"/>
          <w:sz w:val="24"/>
          <w:szCs w:val="24"/>
        </w:rPr>
        <w:t>2</w:t>
      </w:r>
      <w:r w:rsidRPr="00F6223C">
        <w:rPr>
          <w:rFonts w:ascii="Arial" w:hAnsi="Arial" w:cs="Arial"/>
          <w:sz w:val="24"/>
          <w:szCs w:val="24"/>
        </w:rPr>
        <w:t xml:space="preserve"> – </w:t>
      </w:r>
      <w:r w:rsidR="00662472">
        <w:rPr>
          <w:rFonts w:ascii="Arial" w:hAnsi="Arial" w:cs="Arial"/>
          <w:sz w:val="24"/>
          <w:szCs w:val="24"/>
          <w:lang w:val="en-GB"/>
        </w:rPr>
        <w:t>Design Thinking</w:t>
      </w:r>
      <w:r w:rsidR="00291E1A">
        <w:rPr>
          <w:rFonts w:ascii="Arial" w:hAnsi="Arial" w:cs="Arial"/>
          <w:sz w:val="24"/>
          <w:szCs w:val="24"/>
          <w:lang w:val="en-GB"/>
        </w:rPr>
        <w:t xml:space="preserve"> and Innovation </w:t>
      </w:r>
    </w:p>
    <w:p w14:paraId="2318AD77" w14:textId="339009A1" w:rsidR="00291E1A" w:rsidRDefault="00E60F97" w:rsidP="00830431">
      <w:pPr>
        <w:spacing w:line="360" w:lineRule="auto"/>
        <w:rPr>
          <w:rFonts w:ascii="Arial" w:hAnsi="Arial" w:cs="Arial"/>
          <w:sz w:val="24"/>
          <w:szCs w:val="24"/>
        </w:rPr>
      </w:pPr>
      <w:r w:rsidRPr="009F5736">
        <w:rPr>
          <w:rFonts w:ascii="Arial" w:hAnsi="Arial" w:cs="Arial"/>
          <w:b/>
          <w:bCs/>
          <w:sz w:val="24"/>
          <w:szCs w:val="24"/>
        </w:rPr>
        <w:t>Lecturer:</w:t>
      </w:r>
      <w:r w:rsidRPr="00F6223C">
        <w:rPr>
          <w:rFonts w:ascii="Arial" w:hAnsi="Arial" w:cs="Arial"/>
          <w:sz w:val="24"/>
          <w:szCs w:val="24"/>
        </w:rPr>
        <w:t xml:space="preserve"> </w:t>
      </w:r>
      <w:r w:rsidR="00291E1A">
        <w:rPr>
          <w:rFonts w:ascii="Arial" w:hAnsi="Arial" w:cs="Arial"/>
          <w:sz w:val="24"/>
          <w:szCs w:val="24"/>
        </w:rPr>
        <w:t xml:space="preserve">Sharin Mcdowall-Emefiele </w:t>
      </w:r>
    </w:p>
    <w:p w14:paraId="1460CBCB" w14:textId="55907D03" w:rsidR="00E60F97" w:rsidRPr="00F6223C" w:rsidRDefault="00E60F97" w:rsidP="00830431">
      <w:pPr>
        <w:spacing w:line="360" w:lineRule="auto"/>
        <w:rPr>
          <w:rFonts w:ascii="Arial" w:hAnsi="Arial" w:cs="Arial"/>
          <w:sz w:val="24"/>
          <w:szCs w:val="24"/>
        </w:rPr>
      </w:pPr>
      <w:r w:rsidRPr="009F5736">
        <w:rPr>
          <w:rFonts w:ascii="Arial" w:hAnsi="Arial" w:cs="Arial"/>
          <w:b/>
          <w:bCs/>
          <w:sz w:val="24"/>
          <w:szCs w:val="24"/>
        </w:rPr>
        <w:t>Student Name:</w:t>
      </w:r>
      <w:r w:rsidRPr="00F6223C">
        <w:rPr>
          <w:rFonts w:ascii="Arial" w:hAnsi="Arial" w:cs="Arial"/>
          <w:sz w:val="24"/>
          <w:szCs w:val="24"/>
        </w:rPr>
        <w:t xml:space="preserve"> Azar Hussain</w:t>
      </w:r>
    </w:p>
    <w:p w14:paraId="6076EB1C" w14:textId="77777777" w:rsidR="00E60F97" w:rsidRDefault="00E60F97" w:rsidP="00830431">
      <w:pPr>
        <w:spacing w:line="360" w:lineRule="auto"/>
        <w:rPr>
          <w:rFonts w:ascii="Arial" w:hAnsi="Arial" w:cs="Arial"/>
          <w:sz w:val="24"/>
          <w:szCs w:val="24"/>
        </w:rPr>
      </w:pPr>
      <w:r w:rsidRPr="009F5736">
        <w:rPr>
          <w:rFonts w:ascii="Arial" w:hAnsi="Arial" w:cs="Arial"/>
          <w:b/>
          <w:bCs/>
          <w:sz w:val="24"/>
          <w:szCs w:val="24"/>
        </w:rPr>
        <w:t>Student ID:</w:t>
      </w:r>
      <w:r w:rsidRPr="00F6223C">
        <w:rPr>
          <w:rFonts w:ascii="Arial" w:hAnsi="Arial" w:cs="Arial"/>
          <w:sz w:val="24"/>
          <w:szCs w:val="24"/>
        </w:rPr>
        <w:t xml:space="preserve"> </w:t>
      </w:r>
      <w:r>
        <w:rPr>
          <w:rFonts w:ascii="Arial" w:hAnsi="Arial" w:cs="Arial"/>
          <w:sz w:val="24"/>
          <w:szCs w:val="24"/>
        </w:rPr>
        <w:t>2329830</w:t>
      </w:r>
    </w:p>
    <w:p w14:paraId="560F41D2" w14:textId="77777777" w:rsidR="00E60F97" w:rsidRPr="00F6223C" w:rsidRDefault="00E60F97" w:rsidP="00830431">
      <w:pPr>
        <w:spacing w:line="360" w:lineRule="auto"/>
        <w:rPr>
          <w:rFonts w:ascii="Arial" w:hAnsi="Arial" w:cs="Arial"/>
          <w:sz w:val="24"/>
          <w:szCs w:val="24"/>
        </w:rPr>
      </w:pPr>
    </w:p>
    <w:p w14:paraId="225CFD97" w14:textId="77777777" w:rsidR="00E60F97" w:rsidRPr="00F6223C" w:rsidRDefault="00E60F97" w:rsidP="00830431">
      <w:pPr>
        <w:spacing w:line="360" w:lineRule="auto"/>
        <w:rPr>
          <w:rFonts w:ascii="Arial" w:hAnsi="Arial" w:cs="Arial"/>
          <w:sz w:val="24"/>
          <w:szCs w:val="24"/>
        </w:rPr>
      </w:pPr>
    </w:p>
    <w:p w14:paraId="64795DB3" w14:textId="77777777" w:rsidR="00E60F97" w:rsidRPr="00F6223C" w:rsidRDefault="00E60F97" w:rsidP="00830431">
      <w:pPr>
        <w:spacing w:line="360" w:lineRule="auto"/>
        <w:rPr>
          <w:rFonts w:ascii="Arial" w:hAnsi="Arial" w:cs="Arial"/>
          <w:sz w:val="24"/>
          <w:szCs w:val="24"/>
        </w:rPr>
      </w:pPr>
    </w:p>
    <w:p w14:paraId="1F0C7FAF" w14:textId="77777777" w:rsidR="00E60F97" w:rsidRPr="00F6223C" w:rsidRDefault="00E60F97" w:rsidP="00830431">
      <w:pPr>
        <w:spacing w:line="360" w:lineRule="auto"/>
        <w:rPr>
          <w:rFonts w:ascii="Arial" w:hAnsi="Arial" w:cs="Arial"/>
          <w:sz w:val="24"/>
          <w:szCs w:val="24"/>
        </w:rPr>
      </w:pPr>
    </w:p>
    <w:p w14:paraId="3D8B2661" w14:textId="77777777" w:rsidR="00E60F97" w:rsidRPr="00F6223C" w:rsidRDefault="00E60F97" w:rsidP="00830431">
      <w:pPr>
        <w:spacing w:line="360" w:lineRule="auto"/>
        <w:rPr>
          <w:rFonts w:ascii="Arial" w:hAnsi="Arial" w:cs="Arial"/>
          <w:sz w:val="24"/>
          <w:szCs w:val="24"/>
        </w:rPr>
      </w:pPr>
    </w:p>
    <w:p w14:paraId="1E4C2DDC" w14:textId="77777777" w:rsidR="00E60F97" w:rsidRPr="00F6223C" w:rsidRDefault="00E60F97" w:rsidP="00830431">
      <w:pPr>
        <w:spacing w:line="360" w:lineRule="auto"/>
        <w:rPr>
          <w:rFonts w:ascii="Arial" w:hAnsi="Arial" w:cs="Arial"/>
          <w:sz w:val="24"/>
          <w:szCs w:val="24"/>
        </w:rPr>
      </w:pPr>
    </w:p>
    <w:p w14:paraId="6B88037F" w14:textId="77777777" w:rsidR="00E60F97" w:rsidRPr="00F6223C" w:rsidRDefault="00E60F97" w:rsidP="00830431">
      <w:pPr>
        <w:spacing w:line="360" w:lineRule="auto"/>
        <w:rPr>
          <w:rFonts w:ascii="Arial" w:hAnsi="Arial" w:cs="Arial"/>
          <w:sz w:val="24"/>
          <w:szCs w:val="24"/>
        </w:rPr>
      </w:pPr>
    </w:p>
    <w:p w14:paraId="5BFB1047" w14:textId="77777777" w:rsidR="00E60F97" w:rsidRPr="00F6223C" w:rsidRDefault="00E60F97" w:rsidP="00830431">
      <w:pPr>
        <w:spacing w:line="360" w:lineRule="auto"/>
        <w:rPr>
          <w:rFonts w:ascii="Arial" w:hAnsi="Arial" w:cs="Arial"/>
          <w:sz w:val="24"/>
          <w:szCs w:val="24"/>
        </w:rPr>
      </w:pPr>
    </w:p>
    <w:p w14:paraId="49AC586C" w14:textId="77777777" w:rsidR="00E60F97" w:rsidRPr="00F6223C" w:rsidRDefault="00E60F97" w:rsidP="00830431">
      <w:pPr>
        <w:spacing w:line="360" w:lineRule="auto"/>
        <w:rPr>
          <w:rFonts w:ascii="Arial" w:hAnsi="Arial" w:cs="Arial"/>
          <w:sz w:val="24"/>
          <w:szCs w:val="24"/>
        </w:rPr>
      </w:pPr>
    </w:p>
    <w:p w14:paraId="73C8FEE6" w14:textId="77777777" w:rsidR="00E60F97" w:rsidRPr="00F6223C" w:rsidRDefault="00E60F97" w:rsidP="00830431">
      <w:pPr>
        <w:spacing w:line="360" w:lineRule="auto"/>
        <w:rPr>
          <w:rFonts w:ascii="Arial" w:hAnsi="Arial" w:cs="Arial"/>
          <w:sz w:val="24"/>
          <w:szCs w:val="24"/>
        </w:rPr>
      </w:pPr>
    </w:p>
    <w:p w14:paraId="00E7AB54" w14:textId="77777777" w:rsidR="00E60F97" w:rsidRPr="00F6223C" w:rsidRDefault="00E60F97" w:rsidP="00830431">
      <w:pPr>
        <w:spacing w:line="360" w:lineRule="auto"/>
        <w:rPr>
          <w:rFonts w:ascii="Arial" w:hAnsi="Arial" w:cs="Arial"/>
          <w:sz w:val="24"/>
          <w:szCs w:val="24"/>
        </w:rPr>
      </w:pPr>
    </w:p>
    <w:p w14:paraId="52A46D09" w14:textId="77777777" w:rsidR="00E60F97" w:rsidRDefault="00E60F97" w:rsidP="00830431">
      <w:pPr>
        <w:spacing w:line="360" w:lineRule="auto"/>
        <w:rPr>
          <w:rFonts w:ascii="Arial" w:hAnsi="Arial" w:cs="Arial"/>
          <w:sz w:val="24"/>
          <w:szCs w:val="24"/>
        </w:rPr>
      </w:pPr>
    </w:p>
    <w:p w14:paraId="08F7E2F7" w14:textId="77777777" w:rsidR="00E60F97" w:rsidRDefault="00E60F97" w:rsidP="00830431">
      <w:pPr>
        <w:spacing w:line="360" w:lineRule="auto"/>
        <w:rPr>
          <w:rFonts w:ascii="Arial" w:hAnsi="Arial" w:cs="Arial"/>
          <w:sz w:val="24"/>
          <w:szCs w:val="24"/>
        </w:rPr>
      </w:pPr>
    </w:p>
    <w:p w14:paraId="721B5B74" w14:textId="77777777" w:rsidR="00502074" w:rsidRDefault="00502074" w:rsidP="00830431">
      <w:pPr>
        <w:spacing w:line="360" w:lineRule="auto"/>
        <w:rPr>
          <w:rFonts w:ascii="Arial" w:hAnsi="Arial" w:cs="Arial"/>
          <w:sz w:val="24"/>
          <w:szCs w:val="24"/>
        </w:rPr>
      </w:pPr>
    </w:p>
    <w:p w14:paraId="63D21870" w14:textId="77777777" w:rsidR="00291E1A" w:rsidRDefault="00291E1A" w:rsidP="00830431">
      <w:pPr>
        <w:spacing w:line="360" w:lineRule="auto"/>
        <w:rPr>
          <w:rFonts w:ascii="Arial" w:hAnsi="Arial" w:cs="Arial"/>
          <w:b/>
          <w:bCs/>
          <w:sz w:val="24"/>
          <w:szCs w:val="24"/>
        </w:rPr>
      </w:pPr>
    </w:p>
    <w:p w14:paraId="69FA0A25" w14:textId="77777777" w:rsidR="00576E85" w:rsidRDefault="00576E85" w:rsidP="00830431">
      <w:pPr>
        <w:spacing w:line="360" w:lineRule="auto"/>
        <w:rPr>
          <w:rFonts w:ascii="Arial" w:hAnsi="Arial" w:cs="Arial"/>
          <w:b/>
          <w:bCs/>
          <w:sz w:val="24"/>
          <w:szCs w:val="24"/>
        </w:rPr>
      </w:pPr>
    </w:p>
    <w:p w14:paraId="535A1A6A" w14:textId="138ED7D0" w:rsidR="00662472" w:rsidRPr="00662472" w:rsidRDefault="00E60F97" w:rsidP="00830431">
      <w:pPr>
        <w:spacing w:line="360" w:lineRule="auto"/>
        <w:rPr>
          <w:rFonts w:ascii="Arial" w:hAnsi="Arial" w:cs="Arial"/>
          <w:b/>
          <w:bCs/>
          <w:sz w:val="28"/>
          <w:szCs w:val="28"/>
        </w:rPr>
      </w:pPr>
      <w:r w:rsidRPr="009956F0">
        <w:rPr>
          <w:rFonts w:ascii="Arial" w:hAnsi="Arial" w:cs="Arial"/>
          <w:b/>
          <w:bCs/>
          <w:sz w:val="28"/>
          <w:szCs w:val="28"/>
        </w:rPr>
        <w:lastRenderedPageBreak/>
        <w:t>Table of Contents</w:t>
      </w:r>
    </w:p>
    <w:p w14:paraId="79B775C7" w14:textId="77777777" w:rsidR="00662472" w:rsidRPr="00662472" w:rsidRDefault="00662472" w:rsidP="00830431">
      <w:pPr>
        <w:tabs>
          <w:tab w:val="right" w:leader="dot" w:pos="9000"/>
        </w:tabs>
        <w:spacing w:after="24" w:line="360" w:lineRule="auto"/>
        <w:rPr>
          <w:rFonts w:ascii="Arial" w:hAnsi="Arial" w:cs="Arial"/>
          <w:sz w:val="24"/>
          <w:szCs w:val="24"/>
        </w:rPr>
      </w:pPr>
      <w:r w:rsidRPr="00662472">
        <w:rPr>
          <w:rFonts w:ascii="Arial" w:eastAsia="Arial" w:hAnsi="Arial" w:cs="Arial"/>
          <w:b/>
          <w:sz w:val="24"/>
          <w:szCs w:val="24"/>
        </w:rPr>
        <w:t>Introduction for the Entire Portfolio</w:t>
      </w:r>
      <w:r w:rsidRPr="00662472">
        <w:rPr>
          <w:rFonts w:ascii="Arial" w:eastAsia="Arial" w:hAnsi="Arial" w:cs="Arial"/>
          <w:b/>
          <w:sz w:val="24"/>
          <w:szCs w:val="24"/>
        </w:rPr>
        <w:tab/>
        <w:t>3</w:t>
      </w:r>
    </w:p>
    <w:p w14:paraId="0E2E5CF1" w14:textId="7D4F3778" w:rsidR="00662472" w:rsidRPr="00662472" w:rsidRDefault="00662472" w:rsidP="00830431">
      <w:pPr>
        <w:tabs>
          <w:tab w:val="right" w:leader="dot" w:pos="9000"/>
        </w:tabs>
        <w:spacing w:after="24" w:line="360" w:lineRule="auto"/>
        <w:rPr>
          <w:rFonts w:ascii="Arial" w:hAnsi="Arial" w:cs="Arial"/>
          <w:sz w:val="24"/>
          <w:szCs w:val="24"/>
        </w:rPr>
      </w:pPr>
      <w:r w:rsidRPr="00662472">
        <w:rPr>
          <w:rFonts w:ascii="Arial" w:eastAsia="Arial" w:hAnsi="Arial" w:cs="Arial"/>
          <w:b/>
          <w:sz w:val="24"/>
          <w:szCs w:val="24"/>
        </w:rPr>
        <w:t>Task 1: Opportunity Area Analysis</w:t>
      </w:r>
      <w:r w:rsidRPr="00662472">
        <w:rPr>
          <w:rFonts w:ascii="Arial" w:eastAsia="Arial" w:hAnsi="Arial" w:cs="Arial"/>
          <w:b/>
          <w:sz w:val="24"/>
          <w:szCs w:val="24"/>
        </w:rPr>
        <w:tab/>
      </w:r>
      <w:r w:rsidR="00291E1A">
        <w:rPr>
          <w:rFonts w:ascii="Arial" w:eastAsia="Arial" w:hAnsi="Arial" w:cs="Arial"/>
          <w:b/>
          <w:sz w:val="24"/>
          <w:szCs w:val="24"/>
        </w:rPr>
        <w:t>4</w:t>
      </w:r>
    </w:p>
    <w:p w14:paraId="23B03097" w14:textId="77985520"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eastAsia="Arial" w:hAnsi="Arial" w:cs="Arial"/>
          <w:sz w:val="24"/>
          <w:szCs w:val="24"/>
        </w:rPr>
        <w:t>User Pain Points</w:t>
      </w:r>
      <w:r w:rsidRPr="00662472">
        <w:rPr>
          <w:rFonts w:ascii="Arial" w:eastAsia="Arial" w:hAnsi="Arial" w:cs="Arial"/>
          <w:sz w:val="24"/>
          <w:szCs w:val="24"/>
        </w:rPr>
        <w:tab/>
      </w:r>
      <w:r w:rsidR="00291E1A">
        <w:rPr>
          <w:rFonts w:ascii="Arial" w:eastAsia="Arial" w:hAnsi="Arial" w:cs="Arial"/>
          <w:sz w:val="24"/>
          <w:szCs w:val="24"/>
        </w:rPr>
        <w:t>4</w:t>
      </w:r>
    </w:p>
    <w:p w14:paraId="3944DCAF" w14:textId="77777777"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eastAsia="Arial" w:hAnsi="Arial" w:cs="Arial"/>
          <w:sz w:val="24"/>
          <w:szCs w:val="24"/>
        </w:rPr>
        <w:t>Market Gaps</w:t>
      </w:r>
      <w:r w:rsidRPr="00662472">
        <w:rPr>
          <w:rFonts w:ascii="Arial" w:eastAsia="Arial" w:hAnsi="Arial" w:cs="Arial"/>
          <w:sz w:val="24"/>
          <w:szCs w:val="24"/>
        </w:rPr>
        <w:tab/>
        <w:t>5</w:t>
      </w:r>
    </w:p>
    <w:p w14:paraId="21D2F886" w14:textId="5B804597"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eastAsia="Arial" w:hAnsi="Arial" w:cs="Arial"/>
          <w:sz w:val="24"/>
          <w:szCs w:val="24"/>
        </w:rPr>
        <w:t>Technological Enablers</w:t>
      </w:r>
      <w:r w:rsidRPr="00662472">
        <w:rPr>
          <w:rFonts w:ascii="Arial" w:eastAsia="Arial" w:hAnsi="Arial" w:cs="Arial"/>
          <w:sz w:val="24"/>
          <w:szCs w:val="24"/>
        </w:rPr>
        <w:tab/>
      </w:r>
      <w:r w:rsidR="00291E1A">
        <w:rPr>
          <w:rFonts w:ascii="Arial" w:eastAsia="Arial" w:hAnsi="Arial" w:cs="Arial"/>
          <w:sz w:val="24"/>
          <w:szCs w:val="24"/>
        </w:rPr>
        <w:t>6</w:t>
      </w:r>
    </w:p>
    <w:p w14:paraId="3594E314" w14:textId="4063A21F"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eastAsia="Arial" w:hAnsi="Arial" w:cs="Arial"/>
          <w:sz w:val="24"/>
          <w:szCs w:val="24"/>
        </w:rPr>
        <w:t>Scalability and Sustainability Potential</w:t>
      </w:r>
      <w:r w:rsidRPr="00662472">
        <w:rPr>
          <w:rFonts w:ascii="Arial" w:eastAsia="Arial" w:hAnsi="Arial" w:cs="Arial"/>
          <w:sz w:val="24"/>
          <w:szCs w:val="24"/>
        </w:rPr>
        <w:tab/>
      </w:r>
      <w:r w:rsidR="00291E1A">
        <w:rPr>
          <w:rFonts w:ascii="Arial" w:eastAsia="Arial" w:hAnsi="Arial" w:cs="Arial"/>
          <w:sz w:val="24"/>
          <w:szCs w:val="24"/>
        </w:rPr>
        <w:t>7</w:t>
      </w:r>
    </w:p>
    <w:p w14:paraId="2BD84B29" w14:textId="03E36E94"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eastAsia="Arial" w:hAnsi="Arial" w:cs="Arial"/>
          <w:sz w:val="24"/>
          <w:szCs w:val="24"/>
        </w:rPr>
        <w:t>Justification of Key Opportunity Area</w:t>
      </w:r>
      <w:r w:rsidRPr="00662472">
        <w:rPr>
          <w:rFonts w:ascii="Arial" w:eastAsia="Arial" w:hAnsi="Arial" w:cs="Arial"/>
          <w:sz w:val="24"/>
          <w:szCs w:val="24"/>
        </w:rPr>
        <w:tab/>
      </w:r>
      <w:r w:rsidR="00291E1A">
        <w:rPr>
          <w:rFonts w:ascii="Arial" w:eastAsia="Arial" w:hAnsi="Arial" w:cs="Arial"/>
          <w:sz w:val="24"/>
          <w:szCs w:val="24"/>
        </w:rPr>
        <w:t>8</w:t>
      </w:r>
    </w:p>
    <w:p w14:paraId="23C83605" w14:textId="2C1A5542" w:rsidR="00662472" w:rsidRPr="00662472" w:rsidRDefault="00662472" w:rsidP="00830431">
      <w:pPr>
        <w:tabs>
          <w:tab w:val="right" w:leader="dot" w:pos="9000"/>
        </w:tabs>
        <w:spacing w:after="24" w:line="360" w:lineRule="auto"/>
        <w:rPr>
          <w:rFonts w:ascii="Arial" w:hAnsi="Arial" w:cs="Arial"/>
          <w:sz w:val="24"/>
          <w:szCs w:val="24"/>
        </w:rPr>
      </w:pPr>
      <w:r w:rsidRPr="00662472">
        <w:rPr>
          <w:rFonts w:ascii="Arial" w:eastAsia="Arial" w:hAnsi="Arial" w:cs="Arial"/>
          <w:b/>
          <w:sz w:val="24"/>
          <w:szCs w:val="24"/>
        </w:rPr>
        <w:t>Task 2: New Venture Concept via Design Thinking</w:t>
      </w:r>
      <w:r w:rsidRPr="00662472">
        <w:rPr>
          <w:rFonts w:ascii="Arial" w:eastAsia="Arial" w:hAnsi="Arial" w:cs="Arial"/>
          <w:b/>
          <w:sz w:val="24"/>
          <w:szCs w:val="24"/>
        </w:rPr>
        <w:tab/>
      </w:r>
      <w:r w:rsidR="00291E1A">
        <w:rPr>
          <w:rFonts w:ascii="Arial" w:eastAsia="Arial" w:hAnsi="Arial" w:cs="Arial"/>
          <w:b/>
          <w:sz w:val="24"/>
          <w:szCs w:val="24"/>
        </w:rPr>
        <w:t>9</w:t>
      </w:r>
    </w:p>
    <w:p w14:paraId="52CD144A" w14:textId="2CEF98DA"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eastAsia="Arial" w:hAnsi="Arial" w:cs="Arial"/>
          <w:sz w:val="24"/>
          <w:szCs w:val="24"/>
        </w:rPr>
        <w:t>Empathise</w:t>
      </w:r>
      <w:r w:rsidRPr="00662472">
        <w:rPr>
          <w:rFonts w:ascii="Arial" w:eastAsia="Arial" w:hAnsi="Arial" w:cs="Arial"/>
          <w:sz w:val="24"/>
          <w:szCs w:val="24"/>
        </w:rPr>
        <w:tab/>
      </w:r>
      <w:r w:rsidR="00291E1A">
        <w:rPr>
          <w:rFonts w:ascii="Arial" w:eastAsia="Arial" w:hAnsi="Arial" w:cs="Arial"/>
          <w:sz w:val="24"/>
          <w:szCs w:val="24"/>
        </w:rPr>
        <w:t>10</w:t>
      </w:r>
    </w:p>
    <w:p w14:paraId="209036BF" w14:textId="5F121956"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eastAsia="Arial" w:hAnsi="Arial" w:cs="Arial"/>
          <w:sz w:val="24"/>
          <w:szCs w:val="24"/>
        </w:rPr>
        <w:t>Define</w:t>
      </w:r>
      <w:r w:rsidRPr="00662472">
        <w:rPr>
          <w:rFonts w:ascii="Arial" w:eastAsia="Arial" w:hAnsi="Arial" w:cs="Arial"/>
          <w:sz w:val="24"/>
          <w:szCs w:val="24"/>
        </w:rPr>
        <w:tab/>
      </w:r>
      <w:r w:rsidR="00291E1A">
        <w:rPr>
          <w:rFonts w:ascii="Arial" w:eastAsia="Arial" w:hAnsi="Arial" w:cs="Arial"/>
          <w:sz w:val="24"/>
          <w:szCs w:val="24"/>
        </w:rPr>
        <w:t>10</w:t>
      </w:r>
    </w:p>
    <w:p w14:paraId="57910B63" w14:textId="1A0DE89A"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eastAsia="Arial" w:hAnsi="Arial" w:cs="Arial"/>
          <w:sz w:val="24"/>
          <w:szCs w:val="24"/>
        </w:rPr>
        <w:t>Ideate</w:t>
      </w:r>
      <w:r w:rsidRPr="00662472">
        <w:rPr>
          <w:rFonts w:ascii="Arial" w:eastAsia="Arial" w:hAnsi="Arial" w:cs="Arial"/>
          <w:sz w:val="24"/>
          <w:szCs w:val="24"/>
        </w:rPr>
        <w:tab/>
      </w:r>
      <w:r w:rsidR="00291E1A">
        <w:rPr>
          <w:rFonts w:ascii="Arial" w:eastAsia="Arial" w:hAnsi="Arial" w:cs="Arial"/>
          <w:sz w:val="24"/>
          <w:szCs w:val="24"/>
        </w:rPr>
        <w:t>10</w:t>
      </w:r>
    </w:p>
    <w:p w14:paraId="726EB22C" w14:textId="5C6AF736"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eastAsia="Arial" w:hAnsi="Arial" w:cs="Arial"/>
          <w:sz w:val="24"/>
          <w:szCs w:val="24"/>
        </w:rPr>
        <w:t>Prototype / Minimum Viable Product</w:t>
      </w:r>
      <w:r w:rsidRPr="00662472">
        <w:rPr>
          <w:rFonts w:ascii="Arial" w:eastAsia="Arial" w:hAnsi="Arial" w:cs="Arial"/>
          <w:sz w:val="24"/>
          <w:szCs w:val="24"/>
        </w:rPr>
        <w:tab/>
      </w:r>
      <w:r w:rsidR="00291E1A">
        <w:rPr>
          <w:rFonts w:ascii="Arial" w:eastAsia="Arial" w:hAnsi="Arial" w:cs="Arial"/>
          <w:sz w:val="24"/>
          <w:szCs w:val="24"/>
        </w:rPr>
        <w:t>11</w:t>
      </w:r>
    </w:p>
    <w:p w14:paraId="1BB640B1" w14:textId="62C7C8C8"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eastAsia="Arial" w:hAnsi="Arial" w:cs="Arial"/>
          <w:sz w:val="24"/>
          <w:szCs w:val="24"/>
        </w:rPr>
        <w:t>Test and Refine</w:t>
      </w:r>
      <w:r w:rsidRPr="00662472">
        <w:rPr>
          <w:rFonts w:ascii="Arial" w:eastAsia="Arial" w:hAnsi="Arial" w:cs="Arial"/>
          <w:sz w:val="24"/>
          <w:szCs w:val="24"/>
        </w:rPr>
        <w:tab/>
        <w:t>1</w:t>
      </w:r>
      <w:r w:rsidR="00291E1A">
        <w:rPr>
          <w:rFonts w:ascii="Arial" w:eastAsia="Arial" w:hAnsi="Arial" w:cs="Arial"/>
          <w:sz w:val="24"/>
          <w:szCs w:val="24"/>
        </w:rPr>
        <w:t>2</w:t>
      </w:r>
    </w:p>
    <w:p w14:paraId="39DC7FC6" w14:textId="1BFEF90F" w:rsidR="00662472" w:rsidRPr="00662472" w:rsidRDefault="00662472" w:rsidP="00830431">
      <w:pPr>
        <w:tabs>
          <w:tab w:val="right" w:leader="dot" w:pos="9000"/>
        </w:tabs>
        <w:spacing w:after="24" w:line="360" w:lineRule="auto"/>
        <w:rPr>
          <w:rFonts w:ascii="Arial" w:hAnsi="Arial" w:cs="Arial"/>
          <w:sz w:val="24"/>
          <w:szCs w:val="24"/>
        </w:rPr>
      </w:pPr>
      <w:r w:rsidRPr="00662472">
        <w:rPr>
          <w:rFonts w:ascii="Arial" w:eastAsia="Arial" w:hAnsi="Arial" w:cs="Arial"/>
          <w:b/>
          <w:sz w:val="24"/>
          <w:szCs w:val="24"/>
        </w:rPr>
        <w:t>Conclusion for the Entire Portfolio</w:t>
      </w:r>
      <w:r w:rsidRPr="00662472">
        <w:rPr>
          <w:rFonts w:ascii="Arial" w:eastAsia="Arial" w:hAnsi="Arial" w:cs="Arial"/>
          <w:b/>
          <w:sz w:val="24"/>
          <w:szCs w:val="24"/>
        </w:rPr>
        <w:tab/>
        <w:t>1</w:t>
      </w:r>
      <w:r w:rsidR="00291E1A">
        <w:rPr>
          <w:rFonts w:ascii="Arial" w:eastAsia="Arial" w:hAnsi="Arial" w:cs="Arial"/>
          <w:b/>
          <w:sz w:val="24"/>
          <w:szCs w:val="24"/>
        </w:rPr>
        <w:t>3</w:t>
      </w:r>
    </w:p>
    <w:p w14:paraId="4DB77FE4" w14:textId="77777777" w:rsidR="00291E1A" w:rsidRDefault="00662472" w:rsidP="00830431">
      <w:pPr>
        <w:tabs>
          <w:tab w:val="right" w:leader="dot" w:pos="9000"/>
        </w:tabs>
        <w:spacing w:after="24" w:line="360" w:lineRule="auto"/>
        <w:rPr>
          <w:rFonts w:ascii="Arial" w:eastAsia="Arial" w:hAnsi="Arial" w:cs="Arial"/>
          <w:b/>
          <w:sz w:val="24"/>
          <w:szCs w:val="24"/>
        </w:rPr>
      </w:pPr>
      <w:r w:rsidRPr="00662472">
        <w:rPr>
          <w:rFonts w:ascii="Arial" w:eastAsia="Arial" w:hAnsi="Arial" w:cs="Arial"/>
          <w:b/>
          <w:sz w:val="24"/>
          <w:szCs w:val="24"/>
        </w:rPr>
        <w:t>Reference List</w:t>
      </w:r>
      <w:r w:rsidRPr="00662472">
        <w:rPr>
          <w:rFonts w:ascii="Arial" w:eastAsia="Arial" w:hAnsi="Arial" w:cs="Arial"/>
          <w:b/>
          <w:sz w:val="24"/>
          <w:szCs w:val="24"/>
        </w:rPr>
        <w:tab/>
        <w:t>1</w:t>
      </w:r>
      <w:r w:rsidR="00291E1A">
        <w:rPr>
          <w:rFonts w:ascii="Arial" w:eastAsia="Arial" w:hAnsi="Arial" w:cs="Arial"/>
          <w:b/>
          <w:sz w:val="24"/>
          <w:szCs w:val="24"/>
        </w:rPr>
        <w:t>5</w:t>
      </w:r>
    </w:p>
    <w:p w14:paraId="3E522C60" w14:textId="3671A83B" w:rsidR="00662472" w:rsidRPr="00662472" w:rsidRDefault="00662472" w:rsidP="00830431">
      <w:pPr>
        <w:tabs>
          <w:tab w:val="right" w:leader="dot" w:pos="9000"/>
        </w:tabs>
        <w:spacing w:after="24" w:line="360" w:lineRule="auto"/>
        <w:rPr>
          <w:rFonts w:ascii="Arial" w:hAnsi="Arial" w:cs="Arial"/>
          <w:sz w:val="24"/>
          <w:szCs w:val="24"/>
        </w:rPr>
      </w:pPr>
      <w:r w:rsidRPr="00662472">
        <w:rPr>
          <w:rFonts w:ascii="Arial" w:hAnsi="Arial" w:cs="Arial"/>
          <w:sz w:val="24"/>
          <w:szCs w:val="24"/>
        </w:rPr>
        <w:t>Appendices</w:t>
      </w:r>
      <w:r w:rsidRPr="00662472">
        <w:rPr>
          <w:rFonts w:ascii="Arial" w:hAnsi="Arial" w:cs="Arial"/>
          <w:sz w:val="24"/>
          <w:szCs w:val="24"/>
        </w:rPr>
        <w:tab/>
        <w:t>1</w:t>
      </w:r>
      <w:r w:rsidR="00291E1A">
        <w:rPr>
          <w:rFonts w:ascii="Arial" w:hAnsi="Arial" w:cs="Arial"/>
          <w:sz w:val="24"/>
          <w:szCs w:val="24"/>
        </w:rPr>
        <w:t>7</w:t>
      </w:r>
    </w:p>
    <w:p w14:paraId="717D24B5" w14:textId="29FC6A2E"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hAnsi="Arial" w:cs="Arial"/>
          <w:sz w:val="24"/>
          <w:szCs w:val="24"/>
        </w:rPr>
        <w:t>Appendix A: Opportunity Area Evaluation Matrix</w:t>
      </w:r>
      <w:r w:rsidRPr="00662472">
        <w:rPr>
          <w:rFonts w:ascii="Arial" w:hAnsi="Arial" w:cs="Arial"/>
          <w:sz w:val="24"/>
          <w:szCs w:val="24"/>
        </w:rPr>
        <w:tab/>
        <w:t>1</w:t>
      </w:r>
      <w:r w:rsidR="00291E1A">
        <w:rPr>
          <w:rFonts w:ascii="Arial" w:hAnsi="Arial" w:cs="Arial"/>
          <w:sz w:val="24"/>
          <w:szCs w:val="24"/>
        </w:rPr>
        <w:t>7</w:t>
      </w:r>
    </w:p>
    <w:p w14:paraId="68F618AE" w14:textId="4729D070"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hAnsi="Arial" w:cs="Arial"/>
          <w:sz w:val="24"/>
          <w:szCs w:val="24"/>
        </w:rPr>
        <w:t>Appendix B: Customer Journey Map</w:t>
      </w:r>
      <w:r w:rsidRPr="00662472">
        <w:rPr>
          <w:rFonts w:ascii="Arial" w:hAnsi="Arial" w:cs="Arial"/>
          <w:sz w:val="24"/>
          <w:szCs w:val="24"/>
        </w:rPr>
        <w:tab/>
        <w:t>1</w:t>
      </w:r>
      <w:r w:rsidR="00291E1A">
        <w:rPr>
          <w:rFonts w:ascii="Arial" w:hAnsi="Arial" w:cs="Arial"/>
          <w:sz w:val="24"/>
          <w:szCs w:val="24"/>
        </w:rPr>
        <w:t>8</w:t>
      </w:r>
    </w:p>
    <w:p w14:paraId="441DBED3" w14:textId="454F6574"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hAnsi="Arial" w:cs="Arial"/>
          <w:sz w:val="24"/>
          <w:szCs w:val="24"/>
        </w:rPr>
        <w:t>Appendix C: CATWOE and Causal Logic</w:t>
      </w:r>
      <w:r w:rsidRPr="00662472">
        <w:rPr>
          <w:rFonts w:ascii="Arial" w:hAnsi="Arial" w:cs="Arial"/>
          <w:sz w:val="24"/>
          <w:szCs w:val="24"/>
        </w:rPr>
        <w:tab/>
        <w:t>1</w:t>
      </w:r>
      <w:r w:rsidR="00291E1A">
        <w:rPr>
          <w:rFonts w:ascii="Arial" w:hAnsi="Arial" w:cs="Arial"/>
          <w:sz w:val="24"/>
          <w:szCs w:val="24"/>
        </w:rPr>
        <w:t>9</w:t>
      </w:r>
    </w:p>
    <w:p w14:paraId="442E88E8" w14:textId="60C63AC3"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hAnsi="Arial" w:cs="Arial"/>
          <w:sz w:val="24"/>
          <w:szCs w:val="24"/>
        </w:rPr>
        <w:t>Appendix D: Innovation Ambition Matrix</w:t>
      </w:r>
      <w:r w:rsidRPr="00662472">
        <w:rPr>
          <w:rFonts w:ascii="Arial" w:hAnsi="Arial" w:cs="Arial"/>
          <w:sz w:val="24"/>
          <w:szCs w:val="24"/>
        </w:rPr>
        <w:tab/>
        <w:t>1</w:t>
      </w:r>
      <w:r w:rsidR="00291E1A">
        <w:rPr>
          <w:rFonts w:ascii="Arial" w:hAnsi="Arial" w:cs="Arial"/>
          <w:sz w:val="24"/>
          <w:szCs w:val="24"/>
        </w:rPr>
        <w:t>9</w:t>
      </w:r>
    </w:p>
    <w:p w14:paraId="48470778" w14:textId="410714BC"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hAnsi="Arial" w:cs="Arial"/>
          <w:sz w:val="24"/>
          <w:szCs w:val="24"/>
        </w:rPr>
        <w:t>Appendix E: Desirability, Viability and Feasibility</w:t>
      </w:r>
      <w:r w:rsidRPr="00662472">
        <w:rPr>
          <w:rFonts w:ascii="Arial" w:hAnsi="Arial" w:cs="Arial"/>
          <w:sz w:val="24"/>
          <w:szCs w:val="24"/>
        </w:rPr>
        <w:tab/>
      </w:r>
      <w:r w:rsidR="00291E1A">
        <w:rPr>
          <w:rFonts w:ascii="Arial" w:hAnsi="Arial" w:cs="Arial"/>
          <w:sz w:val="24"/>
          <w:szCs w:val="24"/>
        </w:rPr>
        <w:t>20</w:t>
      </w:r>
    </w:p>
    <w:p w14:paraId="67F6629B" w14:textId="0C8B97C3" w:rsidR="00662472" w:rsidRPr="00662472" w:rsidRDefault="00662472" w:rsidP="00830431">
      <w:pPr>
        <w:tabs>
          <w:tab w:val="right" w:leader="dot" w:pos="9000"/>
        </w:tabs>
        <w:spacing w:after="24" w:line="360" w:lineRule="auto"/>
        <w:ind w:left="360"/>
        <w:rPr>
          <w:rFonts w:ascii="Arial" w:hAnsi="Arial" w:cs="Arial"/>
          <w:sz w:val="24"/>
          <w:szCs w:val="24"/>
        </w:rPr>
      </w:pPr>
      <w:r w:rsidRPr="00662472">
        <w:rPr>
          <w:rFonts w:ascii="Arial" w:hAnsi="Arial" w:cs="Arial"/>
          <w:sz w:val="24"/>
          <w:szCs w:val="24"/>
        </w:rPr>
        <w:t>Appendix F: MVP Test Plan</w:t>
      </w:r>
      <w:r w:rsidRPr="00662472">
        <w:rPr>
          <w:rFonts w:ascii="Arial" w:hAnsi="Arial" w:cs="Arial"/>
          <w:sz w:val="24"/>
          <w:szCs w:val="24"/>
        </w:rPr>
        <w:tab/>
      </w:r>
      <w:r w:rsidR="00291E1A">
        <w:rPr>
          <w:rFonts w:ascii="Arial" w:hAnsi="Arial" w:cs="Arial"/>
          <w:sz w:val="24"/>
          <w:szCs w:val="24"/>
        </w:rPr>
        <w:t>20</w:t>
      </w:r>
    </w:p>
    <w:p w14:paraId="7F5E1005" w14:textId="56998959" w:rsidR="004B38B4" w:rsidRPr="004B38B4" w:rsidRDefault="00662472" w:rsidP="00830431">
      <w:pPr>
        <w:spacing w:after="0" w:line="360" w:lineRule="auto"/>
        <w:rPr>
          <w:rFonts w:ascii="Arial" w:hAnsi="Arial" w:cs="Arial"/>
          <w:sz w:val="24"/>
          <w:szCs w:val="24"/>
        </w:rPr>
      </w:pPr>
      <w:r w:rsidRPr="00662472">
        <w:rPr>
          <w:rFonts w:ascii="Arial" w:hAnsi="Arial" w:cs="Arial"/>
          <w:sz w:val="24"/>
          <w:szCs w:val="24"/>
        </w:rPr>
        <w:br w:type="page"/>
      </w:r>
    </w:p>
    <w:p w14:paraId="097C5E29" w14:textId="77777777" w:rsidR="004B38B4" w:rsidRPr="004B38B4" w:rsidRDefault="004B38B4" w:rsidP="00830431">
      <w:pPr>
        <w:spacing w:after="160" w:line="360" w:lineRule="auto"/>
        <w:rPr>
          <w:rFonts w:ascii="Arial" w:hAnsi="Arial" w:cs="Arial"/>
          <w:b/>
          <w:bCs/>
          <w:sz w:val="28"/>
          <w:szCs w:val="28"/>
        </w:rPr>
      </w:pPr>
      <w:r w:rsidRPr="004B38B4">
        <w:rPr>
          <w:rFonts w:ascii="Arial" w:hAnsi="Arial" w:cs="Arial"/>
          <w:b/>
          <w:bCs/>
          <w:sz w:val="28"/>
          <w:szCs w:val="28"/>
        </w:rPr>
        <w:lastRenderedPageBreak/>
        <w:t>Introduction for the Entire Portfolio</w:t>
      </w:r>
    </w:p>
    <w:p w14:paraId="2D72F4FC" w14:textId="77777777" w:rsidR="00662472" w:rsidRPr="00576E85" w:rsidRDefault="00662472" w:rsidP="00830431">
      <w:pPr>
        <w:spacing w:after="160" w:line="360" w:lineRule="auto"/>
        <w:rPr>
          <w:rFonts w:ascii="Arial" w:hAnsi="Arial" w:cs="Arial"/>
        </w:rPr>
      </w:pPr>
      <w:r w:rsidRPr="00576E85">
        <w:rPr>
          <w:rFonts w:ascii="Arial" w:hAnsi="Arial" w:cs="Arial"/>
        </w:rPr>
        <w:t>The Covid-19 pandemic accelerated a structural shift in the way UK businesses and consumers engage with digital commerce. Online retailing was already growing, but the crisis increased reliance on e-commerce, home delivery, digital payments and remote service delivery. ONS data shows that internet sales rose sharply as a proportion of total UK retail sales during the pandemic and remained materially above pre-pandemic levels afterwards, with annual internet sales representing 27.4 per cent of retail sales in 2025 compared with 19.2 per cent in 2019 (Office for National Statistics, 2026). This indicates that digital purchasing behaviour has become embedded in the UK market, not just a temporary crisis response. Digital transformation is therefore best understood as a strategic change process involving technologies, processes, organisational capabilities and value creation rather than the simple adoption of online tools (Vial, 2019; Verhoef et al., 2021).</w:t>
      </w:r>
    </w:p>
    <w:p w14:paraId="2E2D2A4F" w14:textId="77777777" w:rsidR="00662472" w:rsidRPr="00576E85" w:rsidRDefault="00662472" w:rsidP="00830431">
      <w:pPr>
        <w:spacing w:after="160" w:line="360" w:lineRule="auto"/>
        <w:rPr>
          <w:rFonts w:ascii="Arial" w:hAnsi="Arial" w:cs="Arial"/>
        </w:rPr>
      </w:pPr>
      <w:r w:rsidRPr="00576E85">
        <w:rPr>
          <w:rFonts w:ascii="Arial" w:hAnsi="Arial" w:cs="Arial"/>
        </w:rPr>
        <w:t>This portfolio applies design thinking and innovation frameworks to analyse the opportunity created by this shift. The focus is rural and suburban SME e-commerce enablement, particularly the need for simple digital tools that combine online ordering, digital payments, customer communication and local delivery coordination. This matters because small retailers, rural producers and service-sector SMEs face barriers to digital transformation, including limited time, finance, technical skills and operational capacity. The UK Government’s SME Digital Adoption Taskforce identifies e-commerce, CRM, accounting and AI products as productivity-enhancing technologies where greater adoption could support SME growth (Department for Business and Trade, 2025).</w:t>
      </w:r>
    </w:p>
    <w:p w14:paraId="18AC556F" w14:textId="7DF44018" w:rsidR="001D3FB1" w:rsidRDefault="00662472" w:rsidP="00830431">
      <w:pPr>
        <w:spacing w:after="160" w:line="360" w:lineRule="auto"/>
        <w:rPr>
          <w:rFonts w:ascii="Arial" w:hAnsi="Arial" w:cs="Arial"/>
        </w:rPr>
      </w:pPr>
      <w:r w:rsidRPr="00576E85">
        <w:rPr>
          <w:rFonts w:ascii="Arial" w:hAnsi="Arial" w:cs="Arial"/>
        </w:rPr>
        <w:t>The portfolio is divided into two tasks. Task 1 identifies and justifies key UK market opportunity areas by examining user pain points, market gaps, technological enablers, scalability and sustainability. Task 2 develops a new venture concept through the five stages of design thinking: empathise, define, ideate, prototype and test. Supporting frameworks, including customer journey mapping, causal mapping, the Innovation Ambition Matrix, Theory of Constraints, and desirability, viability and feasibility analysis, are used to strengthen evaluation. This approach is appropriate because design thinking is not limited to generating creative ideas. It requires disciplined understanding of user needs, structured problem definition, evidence-informed ideation, low-risk experimentation and iterative learning, which reflects design thinking and lean-startup logic (Brown, 2008; Ries, 2011). It is also consistent with Tidd and Bessant (2020), who present innovation as a process of searching, selecting, implementing and capturing value.</w:t>
      </w:r>
    </w:p>
    <w:p w14:paraId="663A735F" w14:textId="77777777" w:rsidR="00576E85" w:rsidRPr="00576E85" w:rsidRDefault="00576E85" w:rsidP="00830431">
      <w:pPr>
        <w:spacing w:after="160" w:line="360" w:lineRule="auto"/>
        <w:rPr>
          <w:rFonts w:ascii="Arial" w:hAnsi="Arial" w:cs="Arial"/>
        </w:rPr>
      </w:pPr>
    </w:p>
    <w:p w14:paraId="4313711F" w14:textId="180C4928" w:rsidR="004B38B4" w:rsidRPr="004B38B4" w:rsidRDefault="004B38B4" w:rsidP="00830431">
      <w:pPr>
        <w:spacing w:after="160" w:line="360" w:lineRule="auto"/>
        <w:rPr>
          <w:rFonts w:ascii="Arial" w:hAnsi="Arial" w:cs="Arial"/>
          <w:b/>
          <w:bCs/>
          <w:sz w:val="28"/>
          <w:szCs w:val="28"/>
        </w:rPr>
      </w:pPr>
      <w:r w:rsidRPr="004B38B4">
        <w:rPr>
          <w:rFonts w:ascii="Arial" w:hAnsi="Arial" w:cs="Arial"/>
          <w:b/>
          <w:bCs/>
          <w:sz w:val="28"/>
          <w:szCs w:val="28"/>
        </w:rPr>
        <w:lastRenderedPageBreak/>
        <w:t xml:space="preserve">Task 1: Opportunity Area Analysis </w:t>
      </w:r>
    </w:p>
    <w:p w14:paraId="63EFB548" w14:textId="77777777" w:rsidR="00662472" w:rsidRPr="00576E85" w:rsidRDefault="00662472" w:rsidP="00830431">
      <w:pPr>
        <w:spacing w:after="160" w:line="360" w:lineRule="auto"/>
        <w:rPr>
          <w:rFonts w:ascii="Arial" w:hAnsi="Arial" w:cs="Arial"/>
        </w:rPr>
      </w:pPr>
      <w:r w:rsidRPr="00576E85">
        <w:rPr>
          <w:rFonts w:ascii="Arial" w:hAnsi="Arial" w:cs="Arial"/>
        </w:rPr>
        <w:t>Task 1 focuses on the opportunity area of digital commerce enablement for rural and suburban SMEs. The analysis is structured through a design thinking lens because the scenario is not simply about technology adoption. It concerns the lived experience of business owners, consumers, delivery partners and local communities. From a systems perspective, the problem involves demand changes, digital infrastructure, skills, payments, fulfilment and trust. Checkland (1999) is useful here because Soft Systems Thinking treats such situations as human activity systems where different actors interpret the problem in different ways. This resembles a messy or wicked problem because there is no single technical solution and different stakeholders experience the problem differently (Buchanan, 1992; Meadows, 2008). The selected opportunity therefore sits at the intersection of e-commerce platforms, digital marketing, integrated payment systems, retail management software and last-mile delivery solutions.</w:t>
      </w:r>
    </w:p>
    <w:p w14:paraId="7E0A8A15" w14:textId="77777777" w:rsidR="00662472" w:rsidRPr="00576E85" w:rsidRDefault="00662472" w:rsidP="00830431">
      <w:pPr>
        <w:spacing w:line="360" w:lineRule="auto"/>
        <w:rPr>
          <w:rFonts w:ascii="Arial" w:hAnsi="Arial" w:cs="Arial"/>
        </w:rPr>
      </w:pPr>
      <w:r w:rsidRPr="00576E85">
        <w:rPr>
          <w:rFonts w:ascii="Arial" w:hAnsi="Arial" w:cs="Arial"/>
        </w:rPr>
        <w:t>At opportunity-mapping level, five areas are relevant: e-commerce storefronts and ordering, integrated digital payments, social commerce and marketing support, retail and order management software, and local fulfilment coordination. They are assessed as a connected venture space because SMEs gain the greatest value when these elements work together across the customer journey. Appendix A summarises this comparison.</w:t>
      </w:r>
    </w:p>
    <w:p w14:paraId="7D821E72" w14:textId="7E8A3CBF" w:rsidR="004B38B4" w:rsidRPr="004B38B4" w:rsidRDefault="004B38B4" w:rsidP="00830431">
      <w:pPr>
        <w:spacing w:line="360" w:lineRule="auto"/>
        <w:rPr>
          <w:rFonts w:ascii="Arial" w:hAnsi="Arial" w:cs="Arial"/>
          <w:b/>
          <w:bCs/>
          <w:sz w:val="28"/>
          <w:szCs w:val="28"/>
        </w:rPr>
      </w:pPr>
      <w:r w:rsidRPr="004B38B4">
        <w:rPr>
          <w:rFonts w:ascii="Arial" w:hAnsi="Arial" w:cs="Arial"/>
          <w:b/>
          <w:bCs/>
          <w:sz w:val="28"/>
          <w:szCs w:val="28"/>
        </w:rPr>
        <w:t>User Pain Points</w:t>
      </w:r>
    </w:p>
    <w:p w14:paraId="07F5DC0C" w14:textId="77777777" w:rsidR="00662472" w:rsidRPr="00576E85" w:rsidRDefault="00662472" w:rsidP="00830431">
      <w:pPr>
        <w:spacing w:after="160" w:line="360" w:lineRule="auto"/>
        <w:rPr>
          <w:rFonts w:ascii="Arial" w:hAnsi="Arial" w:cs="Arial"/>
        </w:rPr>
      </w:pPr>
      <w:r w:rsidRPr="00576E85">
        <w:rPr>
          <w:rFonts w:ascii="Arial" w:hAnsi="Arial" w:cs="Arial"/>
        </w:rPr>
        <w:t>The first user group is small independent retailers, including corner shops, local bookstores, market traders, food producers and rural farm shops. These businesses must meet customers’ expectations for digital access while operating with limited resources. Their pain points include uncertainty over platform choice, lack of time to maintain online catalogues, difficulty integrating payment links with social media, and limited confidence in managing customer data. The Essential Digital Skills framework highlights that workplace digital capability includes communication, online safety, handling information, transacting and problem solving (Ipsos, 2025). These are precisely the skills required to operate a modern digital storefront, meaning that low digital confidence can become a direct constraint on business growth. Rogers (2003) suggests that innovation adoption is shaped by perceived relative advantage, compatibility, complexity, trialability and observability; this helps explain why SMEs may avoid digital tools that appear risky or difficult to test.</w:t>
      </w:r>
    </w:p>
    <w:p w14:paraId="7E0760E4" w14:textId="77777777" w:rsidR="00662472" w:rsidRPr="00576E85" w:rsidRDefault="00662472" w:rsidP="00830431">
      <w:pPr>
        <w:spacing w:after="160" w:line="360" w:lineRule="auto"/>
        <w:rPr>
          <w:rFonts w:ascii="Arial" w:hAnsi="Arial" w:cs="Arial"/>
        </w:rPr>
      </w:pPr>
      <w:r w:rsidRPr="00576E85">
        <w:rPr>
          <w:rFonts w:ascii="Arial" w:hAnsi="Arial" w:cs="Arial"/>
        </w:rPr>
        <w:t xml:space="preserve">The second user group is rural and suburban consumers. The scenario indicates that consumers became accustomed to home delivery, digital subscriptions and seamless online transactions. Customer experience research supports this wider shift because customers </w:t>
      </w:r>
      <w:r w:rsidRPr="00576E85">
        <w:rPr>
          <w:rFonts w:ascii="Arial" w:hAnsi="Arial" w:cs="Arial"/>
        </w:rPr>
        <w:lastRenderedPageBreak/>
        <w:t>now interact with firms through multiple touchpoints across channels and media (Lemon and Verhoef, 2016). For rural consumers, the pain point is not only whether a local business exists, but whether it can be discovered, ordered from, paid digitally and trusted to deliver. If a local butcher, farm shop or independent retailer only takes orders through informal messages, the customer journey can become fragmented. The customer may need to browse on Instagram, message through WhatsApp, wait for manual confirmation, pay by bank transfer and separately arrange collection or delivery. This creates effort and uncertainty, as mapped in Appendix B.</w:t>
      </w:r>
    </w:p>
    <w:p w14:paraId="7C1D154B" w14:textId="77777777" w:rsidR="00662472" w:rsidRPr="00576E85" w:rsidRDefault="00662472" w:rsidP="00830431">
      <w:pPr>
        <w:spacing w:after="160" w:line="360" w:lineRule="auto"/>
        <w:rPr>
          <w:rFonts w:ascii="Arial" w:hAnsi="Arial" w:cs="Arial"/>
        </w:rPr>
      </w:pPr>
      <w:r w:rsidRPr="00576E85">
        <w:rPr>
          <w:rFonts w:ascii="Arial" w:hAnsi="Arial" w:cs="Arial"/>
        </w:rPr>
        <w:t>The third user group is local delivery partners and micro-fulfilment operators. Parcel volumes have remained close to pandemic peak levels, with Ofcom reporting that measured UK parcels increased by 8.3 per cent to 3.9 billion items in 2023-24 (Ofcom, 2024b). However, national courier networks are not always designed around the small, irregular and localised demand patterns of microbusinesses. SMEs may therefore face high delivery costs, minimum volumes or limited integration between order capture and fulfilment. The pain point is a mismatch between consumer expectations for convenient delivery and the operational capability of small businesses to provide it efficiently.</w:t>
      </w:r>
    </w:p>
    <w:p w14:paraId="206DC941" w14:textId="7FC6BD4E" w:rsidR="00662472" w:rsidRPr="00576E85" w:rsidRDefault="00662472" w:rsidP="00830431">
      <w:pPr>
        <w:spacing w:after="160" w:line="360" w:lineRule="auto"/>
        <w:rPr>
          <w:rFonts w:ascii="Arial" w:hAnsi="Arial" w:cs="Arial"/>
        </w:rPr>
      </w:pPr>
      <w:r w:rsidRPr="00576E85">
        <w:rPr>
          <w:rFonts w:ascii="Arial" w:hAnsi="Arial" w:cs="Arial"/>
        </w:rPr>
        <w:t>A final pain point is the emotional burden on owners. Design thinking requires empathy because innovation often fails when it treats users as rational technology adopters rather than people working under pressure. Many SME owners are simultaneously managing customers, stock, suppliers, compliance, cash flow and staff. A platform that adds complexity will not be adopted, even if it appears technically superior. The opportunity is therefore not simply to create another e-commerce website builder. It is to design a low-friction support system that reduces effort across the whole customer journey.</w:t>
      </w:r>
    </w:p>
    <w:p w14:paraId="2C11FD5D" w14:textId="386F10F2" w:rsidR="004B38B4" w:rsidRPr="004B38B4" w:rsidRDefault="004B38B4" w:rsidP="00830431">
      <w:pPr>
        <w:spacing w:after="160" w:line="360" w:lineRule="auto"/>
        <w:rPr>
          <w:rFonts w:ascii="Arial" w:hAnsi="Arial" w:cs="Arial"/>
          <w:b/>
          <w:bCs/>
          <w:sz w:val="28"/>
          <w:szCs w:val="28"/>
        </w:rPr>
      </w:pPr>
      <w:r w:rsidRPr="004B38B4">
        <w:rPr>
          <w:rFonts w:ascii="Arial" w:hAnsi="Arial" w:cs="Arial"/>
          <w:b/>
          <w:bCs/>
          <w:sz w:val="28"/>
          <w:szCs w:val="28"/>
        </w:rPr>
        <w:t xml:space="preserve">Market Gaps </w:t>
      </w:r>
    </w:p>
    <w:p w14:paraId="2ECE7E69" w14:textId="77777777" w:rsidR="00662472" w:rsidRPr="00576E85" w:rsidRDefault="00662472" w:rsidP="00830431">
      <w:pPr>
        <w:spacing w:after="160" w:line="360" w:lineRule="auto"/>
        <w:rPr>
          <w:rFonts w:ascii="Arial" w:hAnsi="Arial" w:cs="Arial"/>
        </w:rPr>
      </w:pPr>
      <w:r w:rsidRPr="00576E85">
        <w:rPr>
          <w:rFonts w:ascii="Arial" w:hAnsi="Arial" w:cs="Arial"/>
        </w:rPr>
        <w:t>The market gap is created by the space between large-scale e-commerce platforms and the everyday needs of smaller local enterprises. Major platforms such as Shopify, Amazon Marketplace and Etsy can support online selling, but they may not fully address the combined needs of microbusinesses that require simple catalogue creation, social selling, payment acceptance, local delivery coordination and customer communication in one place. This gap is particularly important for businesses that do not have the time, digital confidence or finance to assemble several separate tools.</w:t>
      </w:r>
    </w:p>
    <w:p w14:paraId="42D44AAD" w14:textId="77777777" w:rsidR="00662472" w:rsidRPr="00576E85" w:rsidRDefault="00662472" w:rsidP="00830431">
      <w:pPr>
        <w:spacing w:after="160" w:line="360" w:lineRule="auto"/>
        <w:rPr>
          <w:rFonts w:ascii="Arial" w:hAnsi="Arial" w:cs="Arial"/>
        </w:rPr>
      </w:pPr>
      <w:r w:rsidRPr="00576E85">
        <w:rPr>
          <w:rFonts w:ascii="Arial" w:hAnsi="Arial" w:cs="Arial"/>
        </w:rPr>
        <w:t xml:space="preserve">The Department for Business and Trade (2025) recognises this wider issue by calling for SME-relevant language, trusted local stakeholders, digital skills training and test-and-learn approaches to digital adoption. This suggests that the barrier is adoption capability, not only </w:t>
      </w:r>
      <w:r w:rsidRPr="00576E85">
        <w:rPr>
          <w:rFonts w:ascii="Arial" w:hAnsi="Arial" w:cs="Arial"/>
        </w:rPr>
        <w:lastRenderedPageBreak/>
        <w:t>software availability. In design thinking terms, the gap lies between available digital tools and a usable, confidence-building experience for the SME owner. The Enterprise Research Centre (2025) also identifies disparities in SME digital technology adoption and notes that small and micro-businesses experienced a sharper decline in innovation rates than larger firms. This supports targeted support rather than generic digital transformation advice for microbusinesses. OECD (2021) similarly argues that SME digital transformation depends on capabilities, skills, finance, infrastructure and advisory support, meaning that market provision must address adoption conditions as well as tool availability.</w:t>
      </w:r>
    </w:p>
    <w:p w14:paraId="6541A217" w14:textId="77777777" w:rsidR="00662472" w:rsidRPr="00576E85" w:rsidRDefault="00662472" w:rsidP="00830431">
      <w:pPr>
        <w:spacing w:after="160" w:line="360" w:lineRule="auto"/>
        <w:rPr>
          <w:rFonts w:ascii="Arial" w:hAnsi="Arial" w:cs="Arial"/>
        </w:rPr>
      </w:pPr>
      <w:r w:rsidRPr="00576E85">
        <w:rPr>
          <w:rFonts w:ascii="Arial" w:hAnsi="Arial" w:cs="Arial"/>
        </w:rPr>
        <w:t>There is also a market gap in rural and suburban provision. Ofcom’s Connected Nations report shows continuing progress in full-fibre, gigabit-capable and mobile network development across the UK (Ofcom, 2024a). However, infrastructure availability does not automatically produce effective business adoption. A rural producer may have access to broadband but still lack the skills to create product listings, schedule delivery, manage online payments and communicate availability. The gap is therefore not only digital access, but digital execution.</w:t>
      </w:r>
    </w:p>
    <w:p w14:paraId="21F444FE" w14:textId="77777777" w:rsidR="00662472" w:rsidRPr="00576E85" w:rsidRDefault="00662472" w:rsidP="00830431">
      <w:pPr>
        <w:spacing w:after="160" w:line="360" w:lineRule="auto"/>
        <w:rPr>
          <w:rFonts w:ascii="Arial" w:hAnsi="Arial" w:cs="Arial"/>
        </w:rPr>
      </w:pPr>
      <w:r w:rsidRPr="00576E85">
        <w:rPr>
          <w:rFonts w:ascii="Arial" w:hAnsi="Arial" w:cs="Arial"/>
        </w:rPr>
        <w:t>A further gap concerns customer journey consistency. Lemon and Verhoef (2016) argue that customer experience is built across pre-purchase, purchase and post-purchase stages. Many small businesses have informal digital fragments at each stage, such as Instagram awareness, WhatsApp ordering and manual bank transfer payment. However, these fragments are not always integrated. This leads to inconsistent information, missed orders and weak customer follow-up. The opportunity is to connect these stages into a clearer journey that is simple enough for a small business to maintain.</w:t>
      </w:r>
    </w:p>
    <w:p w14:paraId="330788AF" w14:textId="2EC31766" w:rsidR="00662472" w:rsidRPr="004B38B4" w:rsidRDefault="004B38B4" w:rsidP="00830431">
      <w:pPr>
        <w:spacing w:after="160" w:line="360" w:lineRule="auto"/>
        <w:rPr>
          <w:rFonts w:ascii="Arial" w:hAnsi="Arial" w:cs="Arial"/>
          <w:b/>
          <w:bCs/>
          <w:sz w:val="28"/>
          <w:szCs w:val="28"/>
        </w:rPr>
      </w:pPr>
      <w:r w:rsidRPr="004B38B4">
        <w:rPr>
          <w:rFonts w:ascii="Arial" w:hAnsi="Arial" w:cs="Arial"/>
          <w:b/>
          <w:bCs/>
          <w:sz w:val="28"/>
          <w:szCs w:val="28"/>
        </w:rPr>
        <w:t>Technological Enablers</w:t>
      </w:r>
    </w:p>
    <w:p w14:paraId="43137532" w14:textId="77777777" w:rsidR="00662472" w:rsidRPr="00576E85" w:rsidRDefault="00662472" w:rsidP="00830431">
      <w:pPr>
        <w:spacing w:after="160" w:line="360" w:lineRule="auto"/>
        <w:rPr>
          <w:rFonts w:ascii="Arial" w:hAnsi="Arial" w:cs="Arial"/>
        </w:rPr>
      </w:pPr>
      <w:r w:rsidRPr="00576E85">
        <w:rPr>
          <w:rFonts w:ascii="Arial" w:hAnsi="Arial" w:cs="Arial"/>
        </w:rPr>
        <w:t xml:space="preserve">Several technologies now make this opportunity more viable. Digital business strategy research argues that digital resources can reshape products, processes and value networks when they are embedded into business models rather than treated as isolated IT investments (Bharadwaj et al., 2013). First, mobile-responsive commerce platforms and low-code website builders reduce the technical threshold for launching a digital storefront. Second, integrated digital payment systems, QR codes and payment links allow small businesses to accept transactions without expensive point-of-sale infrastructure. Third, social commerce tools enable businesses to convert existing audiences on Instagram, Facebook and WhatsApp into structured orders rather than relying on informal messages. Fourth, cloud-based retail management software can support inventory visibility, order tracking and customer communication. Fifth, route planning and delivery tracking tools can </w:t>
      </w:r>
      <w:r w:rsidRPr="00576E85">
        <w:rPr>
          <w:rFonts w:ascii="Arial" w:hAnsi="Arial" w:cs="Arial"/>
        </w:rPr>
        <w:lastRenderedPageBreak/>
        <w:t>help local couriers, community drivers or business owners coordinate fulfilment more efficiently.</w:t>
      </w:r>
    </w:p>
    <w:p w14:paraId="5C83CDEA" w14:textId="77777777" w:rsidR="00662472" w:rsidRPr="00576E85" w:rsidRDefault="00662472" w:rsidP="00830431">
      <w:pPr>
        <w:spacing w:after="160" w:line="360" w:lineRule="auto"/>
        <w:rPr>
          <w:rFonts w:ascii="Arial" w:hAnsi="Arial" w:cs="Arial"/>
        </w:rPr>
      </w:pPr>
      <w:r w:rsidRPr="00576E85">
        <w:rPr>
          <w:rFonts w:ascii="Arial" w:hAnsi="Arial" w:cs="Arial"/>
        </w:rPr>
        <w:t>These technologies lower barriers because they reduce the need for custom development. Digital marketing literature also highlights the importance of integrating customer touchpoints across search, social media, websites, mobile channels and conversion processes rather than treating them as separate communications activities (Chaffey and Ellis-Chadwick, 2022). However, design thinking requires attention to how technology is experienced by users. A technically capable platform can still fail if it is too complex for time-poor owners, so the technological enabler should be simplification rather than sophistication. The proposed opportunity should combine a small number of essential workflows: create a product or service listing, take an order, accept payment, assign fulfilment and send customer updates.</w:t>
      </w:r>
    </w:p>
    <w:p w14:paraId="477F602D" w14:textId="77777777" w:rsidR="00662472" w:rsidRPr="00576E85" w:rsidRDefault="00662472" w:rsidP="00830431">
      <w:pPr>
        <w:spacing w:after="160" w:line="360" w:lineRule="auto"/>
        <w:rPr>
          <w:rFonts w:ascii="Arial" w:hAnsi="Arial" w:cs="Arial"/>
        </w:rPr>
      </w:pPr>
      <w:r w:rsidRPr="00576E85">
        <w:rPr>
          <w:rFonts w:ascii="Arial" w:hAnsi="Arial" w:cs="Arial"/>
        </w:rPr>
        <w:t>The innovation is also enabled by wider consumer readiness. Lloyds Banking Group reports that 95 per cent of UK adults were online in 2025 and that digital banking had become near universal among online adults (Lloyds Banking Group, 2025). This matters because digital commerce depends not only on business adoption but also customer willingness to transact digitally. The opportunity is strongest where both sides of the market are ready: consumers expect convenience, while SMEs need practical tools to provide it.</w:t>
      </w:r>
    </w:p>
    <w:p w14:paraId="7C9973D6" w14:textId="77777777" w:rsidR="00662472" w:rsidRPr="00576E85" w:rsidRDefault="00662472" w:rsidP="00830431">
      <w:pPr>
        <w:spacing w:after="160" w:line="360" w:lineRule="auto"/>
        <w:rPr>
          <w:rFonts w:ascii="Arial" w:hAnsi="Arial" w:cs="Arial"/>
        </w:rPr>
      </w:pPr>
      <w:r w:rsidRPr="00576E85">
        <w:rPr>
          <w:rFonts w:ascii="Arial" w:hAnsi="Arial" w:cs="Arial"/>
        </w:rPr>
        <w:t>At the same time, technological enablement must be treated critically. The existence of cloud tools, payment links and social media does not guarantee inclusive adoption. Digital exclusion, cyber-security concerns, platform fees and data protection obligations can create risks. A credible venture must therefore design for trust, transparency and support, rather than assuming that SMEs will adopt technology simply because it exists.</w:t>
      </w:r>
    </w:p>
    <w:p w14:paraId="0A030736" w14:textId="38ACB86B" w:rsidR="004B38B4" w:rsidRPr="004B38B4" w:rsidRDefault="004B38B4" w:rsidP="00830431">
      <w:pPr>
        <w:spacing w:after="160" w:line="360" w:lineRule="auto"/>
        <w:rPr>
          <w:rFonts w:ascii="Arial" w:hAnsi="Arial" w:cs="Arial"/>
          <w:b/>
          <w:bCs/>
          <w:sz w:val="28"/>
          <w:szCs w:val="28"/>
        </w:rPr>
      </w:pPr>
      <w:r w:rsidRPr="004B38B4">
        <w:rPr>
          <w:rFonts w:ascii="Arial" w:hAnsi="Arial" w:cs="Arial"/>
          <w:b/>
          <w:bCs/>
          <w:sz w:val="28"/>
          <w:szCs w:val="28"/>
        </w:rPr>
        <w:t>Scalability and Sustainability Potential</w:t>
      </w:r>
    </w:p>
    <w:p w14:paraId="17EB5CE8" w14:textId="77777777" w:rsidR="00662472" w:rsidRPr="00576E85" w:rsidRDefault="00662472" w:rsidP="00830431">
      <w:pPr>
        <w:spacing w:after="160" w:line="360" w:lineRule="auto"/>
        <w:rPr>
          <w:rFonts w:ascii="Arial" w:hAnsi="Arial" w:cs="Arial"/>
        </w:rPr>
      </w:pPr>
      <w:r w:rsidRPr="00576E85">
        <w:rPr>
          <w:rFonts w:ascii="Arial" w:hAnsi="Arial" w:cs="Arial"/>
        </w:rPr>
        <w:t>The opportunity has scalability potential because the underlying user problem is not limited to one sector. Independent retailers, farm shops, tutors, beauty services, fitness instructors and local food producers all need a simple way to present offers, take bookings or orders, accept payments and coordinate delivery or collection. The venture could begin with one segment, such as rural food producers and local retailers, then expand into other service categories. This staged approach reflects the Innovation Ambition Matrix, where core innovation improves an existing process, adjacent innovation extends capabilities to new users, and transformational innovation may reshape the business model over time (</w:t>
      </w:r>
      <w:proofErr w:type="spellStart"/>
      <w:r w:rsidRPr="00576E85">
        <w:rPr>
          <w:rFonts w:ascii="Arial" w:hAnsi="Arial" w:cs="Arial"/>
        </w:rPr>
        <w:t>Nagji</w:t>
      </w:r>
      <w:proofErr w:type="spellEnd"/>
      <w:r w:rsidRPr="00576E85">
        <w:rPr>
          <w:rFonts w:ascii="Arial" w:hAnsi="Arial" w:cs="Arial"/>
        </w:rPr>
        <w:t xml:space="preserve"> and Tuff, 2012). It also reflects Teece’s (2010) view that business models explain how firms create, deliver and capture value from innovation.</w:t>
      </w:r>
    </w:p>
    <w:p w14:paraId="3B57E8C7" w14:textId="77777777" w:rsidR="00662472" w:rsidRPr="00576E85" w:rsidRDefault="00662472" w:rsidP="00830431">
      <w:pPr>
        <w:spacing w:after="160" w:line="360" w:lineRule="auto"/>
        <w:rPr>
          <w:rFonts w:ascii="Arial" w:hAnsi="Arial" w:cs="Arial"/>
        </w:rPr>
      </w:pPr>
      <w:r w:rsidRPr="00576E85">
        <w:rPr>
          <w:rFonts w:ascii="Arial" w:hAnsi="Arial" w:cs="Arial"/>
        </w:rPr>
        <w:lastRenderedPageBreak/>
        <w:t>Commercial sustainability depends on creating value at a price point SMEs can accept. A subscription model alone may discourage microbusinesses with uncertain sales. A more viable model may combine a low monthly fee with optional transaction-based features, delivery coordination fees or premium support. This would allow early users to test the service without high fixed cost. British Business Bank (2025) argues that business investment can drive productivity, efficiency, innovation and production capability. However, the investment case must be realistic for smaller firms, where cash flow pressure can limit willingness to adopt new systems.</w:t>
      </w:r>
    </w:p>
    <w:p w14:paraId="3689F27C" w14:textId="77777777" w:rsidR="00662472" w:rsidRPr="00576E85" w:rsidRDefault="00662472" w:rsidP="00830431">
      <w:pPr>
        <w:spacing w:after="160" w:line="360" w:lineRule="auto"/>
        <w:rPr>
          <w:rFonts w:ascii="Arial" w:hAnsi="Arial" w:cs="Arial"/>
        </w:rPr>
      </w:pPr>
      <w:r w:rsidRPr="00576E85">
        <w:rPr>
          <w:rFonts w:ascii="Arial" w:hAnsi="Arial" w:cs="Arial"/>
        </w:rPr>
        <w:t>Environmental and social sustainability also strengthen the opportunity. Geissdoerfer et al. (2017) link sustainability to the balanced integration of economic performance, social inclusion and environmental resilience, which is useful for evaluating whether local digital commerce creates broader value beyond revenue. Local digital commerce can support shorter supply chains, reduce unnecessary journeys and strengthen local economic resilience, although delivery consolidation would be needed to avoid increasing vehicle trips. Socially, the venture could support digitally excluded SMEs by offering guided onboarding and plain-language support. The sustainability claim should therefore be cautious: the venture is not automatically sustainable, but it can become more sustainable if delivery routes are consolidated, packaging guidance is included and local suppliers are enabled to compete with larger platforms.</w:t>
      </w:r>
    </w:p>
    <w:p w14:paraId="652850DE" w14:textId="3D8EB03E" w:rsidR="00662472" w:rsidRPr="004B38B4" w:rsidRDefault="004B38B4" w:rsidP="00830431">
      <w:pPr>
        <w:spacing w:after="160" w:line="360" w:lineRule="auto"/>
        <w:rPr>
          <w:rFonts w:ascii="Arial" w:hAnsi="Arial" w:cs="Arial"/>
          <w:b/>
          <w:bCs/>
          <w:sz w:val="28"/>
          <w:szCs w:val="28"/>
        </w:rPr>
      </w:pPr>
      <w:r w:rsidRPr="004B38B4">
        <w:rPr>
          <w:rFonts w:ascii="Arial" w:hAnsi="Arial" w:cs="Arial"/>
          <w:b/>
          <w:bCs/>
          <w:sz w:val="28"/>
          <w:szCs w:val="28"/>
        </w:rPr>
        <w:t>Justification of Key Opportunity Area</w:t>
      </w:r>
    </w:p>
    <w:p w14:paraId="56B33BF9" w14:textId="77777777" w:rsidR="00662472" w:rsidRPr="00576E85" w:rsidRDefault="00662472" w:rsidP="00830431">
      <w:pPr>
        <w:spacing w:after="160" w:line="360" w:lineRule="auto"/>
        <w:rPr>
          <w:rFonts w:ascii="Arial" w:hAnsi="Arial" w:cs="Arial"/>
        </w:rPr>
      </w:pPr>
      <w:r w:rsidRPr="00576E85">
        <w:rPr>
          <w:rFonts w:ascii="Arial" w:hAnsi="Arial" w:cs="Arial"/>
        </w:rPr>
        <w:t>The strongest opportunity area is rural and suburban SME e-commerce enablement because it combines clear user pain points, visible market gaps, available technological enablers and credible potential for scalability. The evidence suggests that the UK has moved into a digital-first commercial environment, yet smaller firms do not all have equal capability to participate. The opportunity is therefore not another general marketplace. It is a practical enablement platform designed around the constraints of small business owners.</w:t>
      </w:r>
    </w:p>
    <w:p w14:paraId="3510ABCE" w14:textId="77777777" w:rsidR="00662472" w:rsidRDefault="00662472" w:rsidP="00830431">
      <w:pPr>
        <w:spacing w:after="160" w:line="360" w:lineRule="auto"/>
        <w:rPr>
          <w:rFonts w:ascii="Arial" w:hAnsi="Arial" w:cs="Arial"/>
        </w:rPr>
      </w:pPr>
      <w:r w:rsidRPr="00576E85">
        <w:rPr>
          <w:rFonts w:ascii="Arial" w:hAnsi="Arial" w:cs="Arial"/>
        </w:rPr>
        <w:t>This opportunity is also defensible from a design thinking perspective because it begins with users rather than technology. The pain point is not that SMEs lack software in the abstract. It is that they lack an integrated, usable and affordable way to convert local demand into reliable digital transactions. The conclusion of Task 1 is that the most viable new venture should address the full customer journey from discovery to order, payment, fulfilment and post-purchase communication.</w:t>
      </w:r>
    </w:p>
    <w:p w14:paraId="1AE8CB70" w14:textId="77777777" w:rsidR="00576E85" w:rsidRDefault="00576E85" w:rsidP="00830431">
      <w:pPr>
        <w:spacing w:after="160" w:line="360" w:lineRule="auto"/>
        <w:rPr>
          <w:rFonts w:ascii="Arial" w:hAnsi="Arial" w:cs="Arial"/>
        </w:rPr>
      </w:pPr>
    </w:p>
    <w:p w14:paraId="4984042B" w14:textId="77777777" w:rsidR="00576E85" w:rsidRPr="00576E85" w:rsidRDefault="00576E85" w:rsidP="00830431">
      <w:pPr>
        <w:spacing w:after="160" w:line="360" w:lineRule="auto"/>
        <w:rPr>
          <w:rFonts w:ascii="Arial" w:hAnsi="Arial" w:cs="Arial"/>
        </w:rPr>
      </w:pPr>
    </w:p>
    <w:p w14:paraId="5DE53CF7" w14:textId="3E0962CD" w:rsidR="00F84DA9" w:rsidRPr="00F84DA9" w:rsidRDefault="00F84DA9" w:rsidP="00830431">
      <w:pPr>
        <w:spacing w:after="160" w:line="360" w:lineRule="auto"/>
        <w:rPr>
          <w:rFonts w:ascii="Arial" w:hAnsi="Arial" w:cs="Arial"/>
          <w:b/>
          <w:bCs/>
          <w:sz w:val="28"/>
          <w:szCs w:val="28"/>
        </w:rPr>
      </w:pPr>
      <w:r w:rsidRPr="00F84DA9">
        <w:rPr>
          <w:rFonts w:ascii="Arial" w:hAnsi="Arial" w:cs="Arial"/>
          <w:b/>
          <w:bCs/>
          <w:sz w:val="28"/>
          <w:szCs w:val="28"/>
        </w:rPr>
        <w:lastRenderedPageBreak/>
        <w:t xml:space="preserve">Task 2: New Venture Concept via Design Thinking </w:t>
      </w:r>
    </w:p>
    <w:p w14:paraId="72202897" w14:textId="77777777" w:rsidR="004B38B4" w:rsidRPr="00576E85" w:rsidRDefault="004B38B4" w:rsidP="00830431">
      <w:pPr>
        <w:spacing w:after="160" w:line="360" w:lineRule="auto"/>
        <w:rPr>
          <w:rFonts w:ascii="Arial" w:hAnsi="Arial" w:cs="Arial"/>
        </w:rPr>
      </w:pPr>
      <w:r w:rsidRPr="00576E85">
        <w:rPr>
          <w:rFonts w:ascii="Arial" w:hAnsi="Arial" w:cs="Arial"/>
        </w:rPr>
        <w:t>As a UK entrepreneur, I would develop LocalLink Digital, a low-cost digital commerce and delivery enablement platform for UK small retailers, rural producers and local service SMEs. The concept connects simple online storefronts, booking or ordering tools, QR and card payments, customer messaging and local fulfilment coordination. It is designed for businesses that may already use social media or messaging apps but do not have an integrated digital customer journey. Task 2 applies the five stages of design thinking to develop this venture concept: empathise, define, ideate, prototype and test.</w:t>
      </w:r>
    </w:p>
    <w:p w14:paraId="1EAE586D" w14:textId="71687FDC" w:rsidR="00F84DA9" w:rsidRPr="00F84DA9" w:rsidRDefault="00F84DA9" w:rsidP="00830431">
      <w:pPr>
        <w:spacing w:after="160" w:line="360" w:lineRule="auto"/>
        <w:rPr>
          <w:rFonts w:ascii="Arial" w:hAnsi="Arial" w:cs="Arial"/>
          <w:b/>
          <w:bCs/>
          <w:sz w:val="28"/>
          <w:szCs w:val="28"/>
        </w:rPr>
      </w:pPr>
      <w:r w:rsidRPr="00F84DA9">
        <w:rPr>
          <w:rFonts w:ascii="Arial" w:hAnsi="Arial" w:cs="Arial"/>
          <w:b/>
          <w:bCs/>
          <w:sz w:val="28"/>
          <w:szCs w:val="28"/>
        </w:rPr>
        <w:t xml:space="preserve">Empathise </w:t>
      </w:r>
    </w:p>
    <w:p w14:paraId="6D21CAA5" w14:textId="77777777" w:rsidR="004B38B4" w:rsidRPr="00576E85" w:rsidRDefault="004B38B4" w:rsidP="00830431">
      <w:pPr>
        <w:spacing w:after="160" w:line="360" w:lineRule="auto"/>
        <w:rPr>
          <w:rFonts w:ascii="Arial" w:hAnsi="Arial" w:cs="Arial"/>
        </w:rPr>
      </w:pPr>
      <w:r w:rsidRPr="00576E85">
        <w:rPr>
          <w:rFonts w:ascii="Arial" w:hAnsi="Arial" w:cs="Arial"/>
        </w:rPr>
        <w:t>The empathise stage aims to understand affected users in depth. This matters because design thinking can reduce cognitive bias by making assumptions visible, testing them with users and reframing problems before resources are committed (Liedtka, 2015). The primary persona is an owner-manager of a small rural food retailer or independent shop. This user is commercially experienced but digitally stretched. They may post products on Facebook or Instagram and take orders through WhatsApp, but the process is manual and inconsistent. Their needs include low cost, ease of use, minimal administration, trust in payments, and a solution that does not require them to become a web developer. Their frustrations include missed messages, stock errors, repeated customer questions, delivery confusion and lack of time to maintain a full website.</w:t>
      </w:r>
    </w:p>
    <w:p w14:paraId="446816AD" w14:textId="77777777" w:rsidR="004B38B4" w:rsidRPr="00576E85" w:rsidRDefault="004B38B4" w:rsidP="00830431">
      <w:pPr>
        <w:spacing w:after="160" w:line="360" w:lineRule="auto"/>
        <w:rPr>
          <w:rFonts w:ascii="Arial" w:hAnsi="Arial" w:cs="Arial"/>
        </w:rPr>
      </w:pPr>
      <w:r w:rsidRPr="00576E85">
        <w:rPr>
          <w:rFonts w:ascii="Arial" w:hAnsi="Arial" w:cs="Arial"/>
        </w:rPr>
        <w:t>A second persona is a rural or suburban customer who values local products but has become used to the convenience of larger online retailers. This customer wants to browse quickly, know whether items are available, pay securely and receive clear collection or delivery information. They may prefer buying locally, but the process must not feel significantly harder than using a national platform. Customer journey mapping is useful here because it exposes effort at each touchpoint: awareness, consideration, order, payment, fulfilment and post-purchase feedback.</w:t>
      </w:r>
    </w:p>
    <w:p w14:paraId="683AB2B4" w14:textId="77777777" w:rsidR="004B38B4" w:rsidRPr="00576E85" w:rsidRDefault="004B38B4" w:rsidP="00830431">
      <w:pPr>
        <w:spacing w:after="160" w:line="360" w:lineRule="auto"/>
        <w:rPr>
          <w:rFonts w:ascii="Arial" w:hAnsi="Arial" w:cs="Arial"/>
        </w:rPr>
      </w:pPr>
      <w:r w:rsidRPr="00576E85">
        <w:rPr>
          <w:rFonts w:ascii="Arial" w:hAnsi="Arial" w:cs="Arial"/>
        </w:rPr>
        <w:t xml:space="preserve">A third persona is a local delivery partner or part-time courier. Their need is predictable routing, accurate order information and efficient communication. If orders are scattered across messages, phone calls and paper notes, fulfilment becomes unreliable. The empathise stage therefore reveals that the venture must design for multiple users at the same time. Dorst (2011) argues that design thinking often works through reframing, where the problem context is reconsidered to generate more meaningful solution directions. This is a systems problem, because improving one actor’s experience can create pressure for </w:t>
      </w:r>
      <w:r w:rsidRPr="00576E85">
        <w:rPr>
          <w:rFonts w:ascii="Arial" w:hAnsi="Arial" w:cs="Arial"/>
        </w:rPr>
        <w:lastRenderedPageBreak/>
        <w:t>another. For example, offering same-day delivery may be desirable for customers but infeasible for owners or couriers unless demand is clustered and routes are managed.</w:t>
      </w:r>
    </w:p>
    <w:p w14:paraId="2EE684A6" w14:textId="77777777" w:rsidR="004B38B4" w:rsidRPr="00576E85" w:rsidRDefault="004B38B4" w:rsidP="00830431">
      <w:pPr>
        <w:spacing w:after="160" w:line="360" w:lineRule="auto"/>
        <w:rPr>
          <w:rFonts w:ascii="Arial" w:hAnsi="Arial" w:cs="Arial"/>
        </w:rPr>
      </w:pPr>
      <w:r w:rsidRPr="00576E85">
        <w:rPr>
          <w:rFonts w:ascii="Arial" w:hAnsi="Arial" w:cs="Arial"/>
        </w:rPr>
        <w:t>The empathy findings connect to the academic customer experience literature. Lemon and Verhoef (2016) argue that customer experience is multidimensional, involving cognitive, emotional, behavioural, sensorial and social responses across the journey. LocalLink Digital must therefore reduce cognitive effort, build emotional confidence, support behaviour change and create a more reliable social experience between business and customer.</w:t>
      </w:r>
    </w:p>
    <w:p w14:paraId="5C7BA54D" w14:textId="1DB204DB" w:rsidR="004B38B4" w:rsidRPr="001D3FB1" w:rsidRDefault="001D3FB1" w:rsidP="00830431">
      <w:pPr>
        <w:spacing w:after="160" w:line="360" w:lineRule="auto"/>
        <w:rPr>
          <w:rFonts w:ascii="Arial" w:hAnsi="Arial" w:cs="Arial"/>
          <w:b/>
          <w:bCs/>
          <w:sz w:val="28"/>
          <w:szCs w:val="28"/>
        </w:rPr>
      </w:pPr>
      <w:r w:rsidRPr="001D3FB1">
        <w:rPr>
          <w:rFonts w:ascii="Arial" w:hAnsi="Arial" w:cs="Arial"/>
          <w:b/>
          <w:bCs/>
          <w:sz w:val="28"/>
          <w:szCs w:val="28"/>
        </w:rPr>
        <w:t>Define</w:t>
      </w:r>
    </w:p>
    <w:p w14:paraId="0E816261" w14:textId="77777777" w:rsidR="004B38B4" w:rsidRPr="00576E85" w:rsidRDefault="004B38B4" w:rsidP="00830431">
      <w:pPr>
        <w:spacing w:after="160" w:line="360" w:lineRule="auto"/>
        <w:rPr>
          <w:rFonts w:ascii="Arial" w:hAnsi="Arial" w:cs="Arial"/>
        </w:rPr>
      </w:pPr>
      <w:r w:rsidRPr="00576E85">
        <w:rPr>
          <w:rFonts w:ascii="Arial" w:hAnsi="Arial" w:cs="Arial"/>
        </w:rPr>
        <w:t>The defined problem is: many small UK retailers and rural producers want to serve customers digitally, but lack the technical skills, time, funding and delivery infrastructure to offer seamless online ordering, digital payment and fulfilment. This limits their ability to compete with larger online retailers and reduces convenience for consumers who now expect flexible digital access.</w:t>
      </w:r>
    </w:p>
    <w:p w14:paraId="14A7C9D4" w14:textId="77777777" w:rsidR="004B38B4" w:rsidRPr="00576E85" w:rsidRDefault="004B38B4" w:rsidP="00830431">
      <w:pPr>
        <w:spacing w:after="160" w:line="360" w:lineRule="auto"/>
        <w:rPr>
          <w:rFonts w:ascii="Arial" w:hAnsi="Arial" w:cs="Arial"/>
        </w:rPr>
      </w:pPr>
      <w:r w:rsidRPr="00576E85">
        <w:rPr>
          <w:rFonts w:ascii="Arial" w:hAnsi="Arial" w:cs="Arial"/>
        </w:rPr>
        <w:t>The design challenge can be expressed as a ‘How might we’ question: How might a low-cost digital platform help small local businesses turn social media interest into reliable orders, secure payments and coordinated fulfilment without requiring advanced digital skills? This is the right problem to solve because it links directly to the user pain points identified in Task 1. It also avoids defining the issue too narrowly as a website problem. The deeper issue is journey integration. A website alone does not solve payment, communication, delivery and confidence barriers.</w:t>
      </w:r>
    </w:p>
    <w:p w14:paraId="03F69266" w14:textId="77777777" w:rsidR="004B38B4" w:rsidRPr="00576E85" w:rsidRDefault="004B38B4" w:rsidP="00830431">
      <w:pPr>
        <w:spacing w:after="160" w:line="360" w:lineRule="auto"/>
        <w:rPr>
          <w:rFonts w:ascii="Arial" w:hAnsi="Arial" w:cs="Arial"/>
        </w:rPr>
      </w:pPr>
      <w:r w:rsidRPr="00576E85">
        <w:rPr>
          <w:rFonts w:ascii="Arial" w:hAnsi="Arial" w:cs="Arial"/>
        </w:rPr>
        <w:t>Causal mapping also supports this definition. Low digital confidence, fragmented tools, limited cash flow and weak fulfilment capacity reinforce each other. When owners experience confusion or failed orders, they may avoid digital adoption, reducing online sales evidence and making further investment feel risky. Appendix C sets out this causal logic. Goldratt’s Theory of Constraints suggests that system improvement should focus on the constraint that most limits throughput (Goldratt, 1990). In this case, the main constraint is not consumer demand. It is the owner’s ability to manage a reliable digital transaction flow.</w:t>
      </w:r>
    </w:p>
    <w:p w14:paraId="79EE5352" w14:textId="3DA81F03" w:rsidR="001D3FB1" w:rsidRPr="001D3FB1" w:rsidRDefault="001D3FB1" w:rsidP="00830431">
      <w:pPr>
        <w:spacing w:after="160" w:line="360" w:lineRule="auto"/>
        <w:rPr>
          <w:rFonts w:ascii="Arial" w:hAnsi="Arial" w:cs="Arial"/>
          <w:b/>
          <w:bCs/>
          <w:sz w:val="28"/>
          <w:szCs w:val="28"/>
        </w:rPr>
      </w:pPr>
      <w:r w:rsidRPr="001D3FB1">
        <w:rPr>
          <w:rFonts w:ascii="Arial" w:hAnsi="Arial" w:cs="Arial"/>
          <w:b/>
          <w:bCs/>
          <w:sz w:val="28"/>
          <w:szCs w:val="28"/>
        </w:rPr>
        <w:t xml:space="preserve">Ideate </w:t>
      </w:r>
    </w:p>
    <w:p w14:paraId="32C2824D" w14:textId="77777777" w:rsidR="004B38B4" w:rsidRPr="00576E85" w:rsidRDefault="004B38B4" w:rsidP="00830431">
      <w:pPr>
        <w:spacing w:after="160" w:line="360" w:lineRule="auto"/>
        <w:rPr>
          <w:rFonts w:ascii="Arial" w:hAnsi="Arial" w:cs="Arial"/>
        </w:rPr>
      </w:pPr>
      <w:r w:rsidRPr="00576E85">
        <w:rPr>
          <w:rFonts w:ascii="Arial" w:hAnsi="Arial" w:cs="Arial"/>
        </w:rPr>
        <w:t xml:space="preserve">The ideation stage generated several possible solution directions. The first idea was a local marketplace for rural and suburban businesses. This could increase visibility but risks becoming another platform that requires businesses to compete for attention and pay fees. The second idea was a digital skills training service for SMEs. This addresses capability but may not solve the operational problem once training ends. The third idea was a courier </w:t>
      </w:r>
      <w:r w:rsidRPr="00576E85">
        <w:rPr>
          <w:rFonts w:ascii="Arial" w:hAnsi="Arial" w:cs="Arial"/>
        </w:rPr>
        <w:lastRenderedPageBreak/>
        <w:t>aggregation tool for local delivery. This addresses fulfilment but does not solve product discovery, ordering or payment. The fourth idea was an integrated commerce enablement platform with guided onboarding, simple storefronts, payment links, social media order capture and delivery coordination.</w:t>
      </w:r>
    </w:p>
    <w:p w14:paraId="6B0D87A1" w14:textId="77777777" w:rsidR="004B38B4" w:rsidRPr="00576E85" w:rsidRDefault="004B38B4" w:rsidP="00830431">
      <w:pPr>
        <w:spacing w:after="160" w:line="360" w:lineRule="auto"/>
        <w:rPr>
          <w:rFonts w:ascii="Arial" w:hAnsi="Arial" w:cs="Arial"/>
        </w:rPr>
      </w:pPr>
      <w:r w:rsidRPr="00576E85">
        <w:rPr>
          <w:rFonts w:ascii="Arial" w:hAnsi="Arial" w:cs="Arial"/>
        </w:rPr>
        <w:t>The fourth idea is taken forward because it best matches the evidence. It addresses the full customer journey rather than a single symptom. It also aligns with design thinking because it converts empathy findings into a practical concept. The venture would not attempt to replace major e-commerce systems. Instead, it would offer a simpler ‘minimum viable commerce’ layer for businesses that need to move from informal digital activity to reliable digital trading.</w:t>
      </w:r>
    </w:p>
    <w:p w14:paraId="01192C85" w14:textId="77777777" w:rsidR="004B38B4" w:rsidRPr="00576E85" w:rsidRDefault="004B38B4" w:rsidP="00830431">
      <w:pPr>
        <w:spacing w:after="160" w:line="360" w:lineRule="auto"/>
        <w:rPr>
          <w:rFonts w:ascii="Arial" w:hAnsi="Arial" w:cs="Arial"/>
        </w:rPr>
      </w:pPr>
      <w:r w:rsidRPr="00576E85">
        <w:rPr>
          <w:rFonts w:ascii="Arial" w:hAnsi="Arial" w:cs="Arial"/>
        </w:rPr>
        <w:t>The idea can be positioned within the Innovation Ambition Matrix. For an SME user, the platform supports core innovation by improving existing selling and fulfilment processes. For LocalLink Digital as a venture, it is adjacent innovation because it combines existing technologies, such as online storefronts, payment links and delivery tracking, into a new offer for underserved local SMEs. Appendix D summarises this positioning. Over time, if the platform developed shared delivery networks and local data insights, it could become more transformational by changing how rural commerce is coordinated.</w:t>
      </w:r>
    </w:p>
    <w:p w14:paraId="3DCD95B3" w14:textId="77777777" w:rsidR="004B38B4" w:rsidRPr="00576E85" w:rsidRDefault="004B38B4" w:rsidP="00830431">
      <w:pPr>
        <w:spacing w:after="160" w:line="360" w:lineRule="auto"/>
        <w:rPr>
          <w:rFonts w:ascii="Arial" w:hAnsi="Arial" w:cs="Arial"/>
        </w:rPr>
      </w:pPr>
      <w:r w:rsidRPr="00576E85">
        <w:rPr>
          <w:rFonts w:ascii="Arial" w:hAnsi="Arial" w:cs="Arial"/>
        </w:rPr>
        <w:t>The ideation process should also be evaluated through desirability, viability and feasibility. Desirability is supported by clear user frustrations around fragmented orders and customer effort. Viability is supported by continuing online retail adoption, parcel volume recovery and policy interest in SME digital adoption. Feasibility is supported by existing low-code tools, payment APIs and cloud platforms. Appendix E summarises this check. However, the concept would fail if it became too complex or expensive. This means the first version must be narrow, simple and testable.</w:t>
      </w:r>
    </w:p>
    <w:p w14:paraId="36FBA66E" w14:textId="77777777" w:rsidR="00576E85" w:rsidRDefault="001D3FB1" w:rsidP="00830431">
      <w:pPr>
        <w:spacing w:after="160" w:line="360" w:lineRule="auto"/>
        <w:rPr>
          <w:rFonts w:ascii="Arial" w:hAnsi="Arial" w:cs="Arial"/>
          <w:b/>
          <w:bCs/>
          <w:sz w:val="28"/>
          <w:szCs w:val="28"/>
        </w:rPr>
      </w:pPr>
      <w:r w:rsidRPr="001D3FB1">
        <w:rPr>
          <w:rFonts w:ascii="Arial" w:hAnsi="Arial" w:cs="Arial"/>
          <w:b/>
          <w:bCs/>
          <w:sz w:val="28"/>
          <w:szCs w:val="28"/>
        </w:rPr>
        <w:t xml:space="preserve">Prototype / Minimum Viable Product </w:t>
      </w:r>
    </w:p>
    <w:p w14:paraId="5584AF88" w14:textId="3627FC02" w:rsidR="004B38B4" w:rsidRPr="00576E85" w:rsidRDefault="004B38B4" w:rsidP="00830431">
      <w:pPr>
        <w:spacing w:after="160" w:line="360" w:lineRule="auto"/>
        <w:rPr>
          <w:rFonts w:ascii="Arial" w:hAnsi="Arial" w:cs="Arial"/>
          <w:b/>
          <w:bCs/>
          <w:sz w:val="28"/>
          <w:szCs w:val="28"/>
        </w:rPr>
      </w:pPr>
      <w:r w:rsidRPr="00576E85">
        <w:rPr>
          <w:rFonts w:ascii="Arial" w:hAnsi="Arial" w:cs="Arial"/>
        </w:rPr>
        <w:t>The proposed MVP is a lightweight web and mobile-responsive platform for a small group of pilot SMEs. Its first version would include five core features. First, a guided setup process would create a basic storefront using plain-language prompts. Second, businesses could upload a small number of products or services, with stock status and collection or delivery options. Third, customers could order and pay through secure links or QR codes. Fourth, the business could manage orders through a simple dashboard showing new, confirmed, ready and completed orders. Fifth, the platform would allow local delivery assignment or collection scheduling.</w:t>
      </w:r>
    </w:p>
    <w:p w14:paraId="5E4EDEE1" w14:textId="77777777" w:rsidR="004B38B4" w:rsidRPr="00576E85" w:rsidRDefault="004B38B4" w:rsidP="00830431">
      <w:pPr>
        <w:spacing w:after="160" w:line="360" w:lineRule="auto"/>
        <w:rPr>
          <w:rFonts w:ascii="Arial" w:hAnsi="Arial" w:cs="Arial"/>
        </w:rPr>
      </w:pPr>
      <w:r w:rsidRPr="00576E85">
        <w:rPr>
          <w:rFonts w:ascii="Arial" w:hAnsi="Arial" w:cs="Arial"/>
        </w:rPr>
        <w:t xml:space="preserve">The MVP would deliberately exclude advanced features such as AI recommendations, loyalty schemes, complex accounting integration or multi-warehouse inventory. Excluding </w:t>
      </w:r>
      <w:r w:rsidRPr="00576E85">
        <w:rPr>
          <w:rFonts w:ascii="Arial" w:hAnsi="Arial" w:cs="Arial"/>
        </w:rPr>
        <w:lastRenderedPageBreak/>
        <w:t>these features is important because MVP thinking aims to test the core value proposition with minimum waste (Ries, 2011). The key hypothesis is that SME owners will adopt a simple integrated workflow if it saves time, reduces missed orders and improves customer confidence. A second hypothesis is that customers will be more likely to purchase from local businesses if ordering and payment feel reliable.</w:t>
      </w:r>
    </w:p>
    <w:p w14:paraId="12C93BDA" w14:textId="77777777" w:rsidR="004B38B4" w:rsidRPr="00576E85" w:rsidRDefault="004B38B4" w:rsidP="00830431">
      <w:pPr>
        <w:spacing w:after="160" w:line="360" w:lineRule="auto"/>
        <w:rPr>
          <w:rFonts w:ascii="Arial" w:hAnsi="Arial" w:cs="Arial"/>
        </w:rPr>
      </w:pPr>
      <w:r w:rsidRPr="00576E85">
        <w:rPr>
          <w:rFonts w:ascii="Arial" w:hAnsi="Arial" w:cs="Arial"/>
        </w:rPr>
        <w:t>The prototype could be demonstrated through clickable screens rather than a fully built platform. Screens would include owner onboarding, product listing, customer order page, payment confirmation, order dashboard and delivery or collection status. A service blueprint could also show front-stage and back-stage processes. This would help identify whether the platform is operationally realistic, not just visually attractive. Osterwalder et al. (2014) argue that value propositions must fit customer jobs, pains and gains. The MVP should therefore be judged against whether it helps owners complete the job of digital trading with less effort and risk.</w:t>
      </w:r>
    </w:p>
    <w:p w14:paraId="4D09D311" w14:textId="77777777" w:rsidR="004B38B4" w:rsidRPr="00576E85" w:rsidRDefault="004B38B4" w:rsidP="00830431">
      <w:pPr>
        <w:spacing w:after="160" w:line="360" w:lineRule="auto"/>
        <w:rPr>
          <w:rFonts w:ascii="Arial" w:hAnsi="Arial" w:cs="Arial"/>
        </w:rPr>
      </w:pPr>
      <w:r w:rsidRPr="00576E85">
        <w:rPr>
          <w:rFonts w:ascii="Arial" w:hAnsi="Arial" w:cs="Arial"/>
        </w:rPr>
        <w:t>The business model would begin with a small subscription plus optional transaction or fulfilment fees. This balances affordability with revenue generation. A free trial could reduce adoption risk, but a completely free model may weaken commercial viability. Support would be a differentiator: guided onboarding, short video tutorials and local partner support could reduce the digital confidence barrier identified in Task 1.</w:t>
      </w:r>
    </w:p>
    <w:p w14:paraId="29F1E225" w14:textId="424E76D8" w:rsidR="001D3FB1" w:rsidRPr="001D3FB1" w:rsidRDefault="001D3FB1" w:rsidP="00830431">
      <w:pPr>
        <w:spacing w:after="160" w:line="360" w:lineRule="auto"/>
        <w:rPr>
          <w:rFonts w:ascii="Arial" w:hAnsi="Arial" w:cs="Arial"/>
          <w:b/>
          <w:bCs/>
          <w:sz w:val="28"/>
          <w:szCs w:val="28"/>
        </w:rPr>
      </w:pPr>
      <w:r w:rsidRPr="001D3FB1">
        <w:rPr>
          <w:rFonts w:ascii="Arial" w:hAnsi="Arial" w:cs="Arial"/>
          <w:b/>
          <w:bCs/>
          <w:sz w:val="28"/>
          <w:szCs w:val="28"/>
        </w:rPr>
        <w:t>Test And Refine</w:t>
      </w:r>
    </w:p>
    <w:p w14:paraId="6280CD0C" w14:textId="77777777" w:rsidR="004B38B4" w:rsidRPr="00576E85" w:rsidRDefault="004B38B4" w:rsidP="00830431">
      <w:pPr>
        <w:spacing w:after="160" w:line="360" w:lineRule="auto"/>
        <w:rPr>
          <w:rFonts w:ascii="Arial" w:hAnsi="Arial" w:cs="Arial"/>
        </w:rPr>
      </w:pPr>
      <w:r w:rsidRPr="00576E85">
        <w:rPr>
          <w:rFonts w:ascii="Arial" w:hAnsi="Arial" w:cs="Arial"/>
        </w:rPr>
        <w:t>The test stage should use a small pilot with 10 to 15 SMEs across one rural or suburban region. The pilot should include different types of businesses, such as a farm shop, independent retailer, local food producer and service provider. Testing should begin with user interviews and observation of current workflows, followed by prototype walkthroughs and a four to six-week MVP trial. The purpose is not only to measure whether the platform works technically, but whether it fits the realities of small business work.</w:t>
      </w:r>
    </w:p>
    <w:p w14:paraId="02472E90" w14:textId="77777777" w:rsidR="004B38B4" w:rsidRPr="00576E85" w:rsidRDefault="004B38B4" w:rsidP="00830431">
      <w:pPr>
        <w:spacing w:after="160" w:line="360" w:lineRule="auto"/>
        <w:rPr>
          <w:rFonts w:ascii="Arial" w:hAnsi="Arial" w:cs="Arial"/>
        </w:rPr>
      </w:pPr>
      <w:r w:rsidRPr="00576E85">
        <w:rPr>
          <w:rFonts w:ascii="Arial" w:hAnsi="Arial" w:cs="Arial"/>
        </w:rPr>
        <w:t>Success should be measured through both user and business criteria. For SME owners, useful measures include onboarding completion rate, number of products listed, number of orders processed, time spent managing orders, missed-order reduction and owner satisfaction. For customers, relevant measures include order completion rate, payment confidence, delivery or collection satisfaction and repeat purchase intention. For the venture, viability measures include conversion from trial to paid use, cost of support per SME, transaction volume and churn risk. Appendix F sets out the test plan. These measures reflect the design thinking requirement to test and refine based on real user feedback rather than assumptions.</w:t>
      </w:r>
    </w:p>
    <w:p w14:paraId="7FD1FEAF" w14:textId="77777777" w:rsidR="004B38B4" w:rsidRPr="00576E85" w:rsidRDefault="004B38B4" w:rsidP="00830431">
      <w:pPr>
        <w:spacing w:after="160" w:line="360" w:lineRule="auto"/>
        <w:rPr>
          <w:rFonts w:ascii="Arial" w:hAnsi="Arial" w:cs="Arial"/>
        </w:rPr>
      </w:pPr>
      <w:r w:rsidRPr="00576E85">
        <w:rPr>
          <w:rFonts w:ascii="Arial" w:hAnsi="Arial" w:cs="Arial"/>
        </w:rPr>
        <w:lastRenderedPageBreak/>
        <w:t>Feedback should be gathered through interviews, surveys, usage analytics and support logs. If owners struggle to upload products, onboarding should be simplified. If customers abandon orders at payment, the payment step should be redesigned. If delivery coordination creates excessive workload, the MVP may need to prioritise click-and-collect before local delivery. This iterative approach is consistent with Brown’s (2008) view of design thinking as a practical approach to innovation and with the SME Digital Adoption Taskforce’s recommendation to embed test-and-learn methods (Department for Business and Trade, 2025).</w:t>
      </w:r>
    </w:p>
    <w:p w14:paraId="36247E82" w14:textId="77777777" w:rsidR="004B38B4" w:rsidRPr="00576E85" w:rsidRDefault="004B38B4" w:rsidP="00830431">
      <w:pPr>
        <w:spacing w:after="160" w:line="360" w:lineRule="auto"/>
        <w:rPr>
          <w:rFonts w:ascii="Arial" w:hAnsi="Arial" w:cs="Arial"/>
        </w:rPr>
      </w:pPr>
      <w:r w:rsidRPr="00576E85">
        <w:rPr>
          <w:rFonts w:ascii="Arial" w:hAnsi="Arial" w:cs="Arial"/>
        </w:rPr>
        <w:t>Limitations must also be acknowledged. The MVP may not work equally well across all sectors. Rural connectivity, digital confidence, courier availability and customer density will vary by area. Data protection, payment security and platform trust will need careful governance. There is also a risk that the venture becomes too broad by trying to solve every SME digital problem. The refinement process should therefore protect the core proposition: simple, affordable and reliable digital commerce enablement for small local businesses.</w:t>
      </w:r>
    </w:p>
    <w:p w14:paraId="3A2A8F35" w14:textId="035BF116" w:rsidR="001D3FB1" w:rsidRPr="001D3FB1" w:rsidRDefault="001D3FB1" w:rsidP="00830431">
      <w:pPr>
        <w:spacing w:after="160" w:line="360" w:lineRule="auto"/>
        <w:rPr>
          <w:rFonts w:ascii="Arial" w:hAnsi="Arial" w:cs="Arial"/>
          <w:b/>
          <w:bCs/>
          <w:sz w:val="28"/>
          <w:szCs w:val="28"/>
        </w:rPr>
      </w:pPr>
      <w:r w:rsidRPr="001D3FB1">
        <w:rPr>
          <w:rFonts w:ascii="Arial" w:hAnsi="Arial" w:cs="Arial"/>
          <w:b/>
          <w:bCs/>
          <w:sz w:val="28"/>
          <w:szCs w:val="28"/>
        </w:rPr>
        <w:t xml:space="preserve">Conclusion for the Entire Portfolio </w:t>
      </w:r>
    </w:p>
    <w:p w14:paraId="34141B26" w14:textId="77777777" w:rsidR="004B38B4" w:rsidRPr="00576E85" w:rsidRDefault="004B38B4" w:rsidP="00830431">
      <w:pPr>
        <w:spacing w:after="160" w:line="360" w:lineRule="auto"/>
        <w:rPr>
          <w:rFonts w:ascii="Arial" w:hAnsi="Arial" w:cs="Arial"/>
        </w:rPr>
      </w:pPr>
      <w:r w:rsidRPr="00576E85">
        <w:rPr>
          <w:rFonts w:ascii="Arial" w:hAnsi="Arial" w:cs="Arial"/>
        </w:rPr>
        <w:t>This portfolio has argued that several connected opportunity areas exist in the UK market, with rural and suburban SME e-commerce enablement emerging as the most viable focus. The evidence shows that online retail and parcel delivery remain structurally important after the pandemic, while government and research sources identify continued gaps in SME digital adoption, innovation and capability. The opportunity is not simply to build another online marketplace. It is to support smaller firms that need a practical bridge between informal digital activity and reliable digital trading.</w:t>
      </w:r>
    </w:p>
    <w:p w14:paraId="0262455E" w14:textId="77777777" w:rsidR="004B38B4" w:rsidRPr="00576E85" w:rsidRDefault="004B38B4" w:rsidP="00830431">
      <w:pPr>
        <w:spacing w:after="160" w:line="360" w:lineRule="auto"/>
        <w:rPr>
          <w:rFonts w:ascii="Arial" w:hAnsi="Arial" w:cs="Arial"/>
        </w:rPr>
      </w:pPr>
      <w:r w:rsidRPr="00576E85">
        <w:rPr>
          <w:rFonts w:ascii="Arial" w:hAnsi="Arial" w:cs="Arial"/>
        </w:rPr>
        <w:t>The proposed venture, LocalLink Digital, addresses this opportunity by combining simple storefront creation, ordering, digital payments, customer communication and local fulfilment coordination. The design thinking process shows that the concept is grounded in user pain points, particularly the fragmented customer journey experienced by both business owners and customers. Causal mapping and Theory of Constraints identify the owner’s ability to manage a reliable digital transaction flow as a key constraint. The Innovation Ambition Matrix positions the venture as adjacent innovation with potential for transformational development if local delivery and data capabilities are scaled.</w:t>
      </w:r>
    </w:p>
    <w:p w14:paraId="644A4710" w14:textId="5A6BB580" w:rsidR="00830431" w:rsidRPr="00576E85" w:rsidRDefault="004B38B4" w:rsidP="00830431">
      <w:pPr>
        <w:spacing w:after="160" w:line="360" w:lineRule="auto"/>
        <w:rPr>
          <w:rFonts w:ascii="Arial" w:hAnsi="Arial" w:cs="Arial"/>
        </w:rPr>
      </w:pPr>
      <w:r w:rsidRPr="00576E85">
        <w:rPr>
          <w:rFonts w:ascii="Arial" w:hAnsi="Arial" w:cs="Arial"/>
        </w:rPr>
        <w:t>The analysis also demonstrates the importance of evaluating innovation critically. LocalLink Digital appears desirable because it addresses real user frustrations, viable because it responds to continuing digital commerce trends, and feasible because it can be prototyped using existing technologies. However, its success would depend on careful testing, plain-</w:t>
      </w:r>
      <w:r w:rsidRPr="00576E85">
        <w:rPr>
          <w:rFonts w:ascii="Arial" w:hAnsi="Arial" w:cs="Arial"/>
        </w:rPr>
        <w:lastRenderedPageBreak/>
        <w:t>language onboarding, trust-building, affordable pricing and continuous refinement. The recommended next step is a local pilot with a small group of SMEs, using measurable criteria to test whether the MVP improves order reliability, customer confidence and owner workload before wider rollout.</w:t>
      </w:r>
    </w:p>
    <w:p w14:paraId="7D02BF53"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689EE1C1"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7D1E54CF"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4E479633"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3904F35C"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21653C55"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7727398B"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02916ED2"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7BF1D9E7"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4F7D59F1"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1DD4714D"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20E8B049"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6632E895"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1D37A220"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6F7ED336"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2B07E225"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60457313"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6FF06616"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52B81488"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2DE53B24"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6F2A7214"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784C601E"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013F8D0F"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41550B97"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031D0996" w14:textId="77777777" w:rsidR="00576E85" w:rsidRDefault="00576E85" w:rsidP="00830431">
      <w:pPr>
        <w:pStyle w:val="ListNumber"/>
        <w:numPr>
          <w:ilvl w:val="0"/>
          <w:numId w:val="0"/>
        </w:numPr>
        <w:spacing w:line="360" w:lineRule="auto"/>
        <w:rPr>
          <w:rFonts w:ascii="Arial" w:hAnsi="Arial" w:cs="Arial"/>
          <w:b/>
          <w:bCs/>
          <w:sz w:val="28"/>
          <w:szCs w:val="28"/>
          <w:lang w:val="en-GB"/>
        </w:rPr>
      </w:pPr>
    </w:p>
    <w:p w14:paraId="454FC618" w14:textId="76AA6CCE" w:rsidR="00830431" w:rsidRPr="00576E85" w:rsidRDefault="00830431" w:rsidP="00830431">
      <w:pPr>
        <w:pStyle w:val="ListNumber"/>
        <w:numPr>
          <w:ilvl w:val="0"/>
          <w:numId w:val="0"/>
        </w:numPr>
        <w:spacing w:line="360" w:lineRule="auto"/>
        <w:rPr>
          <w:rFonts w:ascii="Arial" w:hAnsi="Arial" w:cs="Arial"/>
          <w:b/>
          <w:bCs/>
          <w:sz w:val="28"/>
          <w:szCs w:val="28"/>
          <w:lang w:val="en-GB"/>
        </w:rPr>
      </w:pPr>
      <w:r w:rsidRPr="00576E85">
        <w:rPr>
          <w:rFonts w:ascii="Arial" w:hAnsi="Arial" w:cs="Arial"/>
          <w:b/>
          <w:bCs/>
          <w:sz w:val="28"/>
          <w:szCs w:val="28"/>
          <w:lang w:val="en-GB"/>
        </w:rPr>
        <w:lastRenderedPageBreak/>
        <w:t>Reference List</w:t>
      </w:r>
    </w:p>
    <w:p w14:paraId="3E5D2C43"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Bharadwaj, A., El </w:t>
      </w:r>
      <w:proofErr w:type="spellStart"/>
      <w:r w:rsidRPr="00576E85">
        <w:rPr>
          <w:rFonts w:ascii="Arial" w:hAnsi="Arial" w:cs="Arial"/>
        </w:rPr>
        <w:t>Sawy</w:t>
      </w:r>
      <w:proofErr w:type="spellEnd"/>
      <w:r w:rsidRPr="00576E85">
        <w:rPr>
          <w:rFonts w:ascii="Arial" w:hAnsi="Arial" w:cs="Arial"/>
        </w:rPr>
        <w:t xml:space="preserve">, O.A., Pavlou, P.A. and Venkatraman, N. (2013) 'Digital business strategy: toward a next generation of insights', </w:t>
      </w:r>
      <w:r w:rsidRPr="00576E85">
        <w:rPr>
          <w:rFonts w:ascii="Arial" w:hAnsi="Arial" w:cs="Arial"/>
          <w:i/>
        </w:rPr>
        <w:t>MIS Quarterly</w:t>
      </w:r>
      <w:r w:rsidRPr="00576E85">
        <w:rPr>
          <w:rFonts w:ascii="Arial" w:hAnsi="Arial" w:cs="Arial"/>
        </w:rPr>
        <w:t>, 37(2), pp. 471-482.</w:t>
      </w:r>
    </w:p>
    <w:p w14:paraId="1777EEB8"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British Business Bank (2025) </w:t>
      </w:r>
      <w:r w:rsidRPr="00576E85">
        <w:rPr>
          <w:rFonts w:ascii="Arial" w:hAnsi="Arial" w:cs="Arial"/>
          <w:i/>
        </w:rPr>
        <w:t>Small Business Finance Markets 2024/25</w:t>
      </w:r>
      <w:r w:rsidRPr="00576E85">
        <w:rPr>
          <w:rFonts w:ascii="Arial" w:hAnsi="Arial" w:cs="Arial"/>
        </w:rPr>
        <w:t>. Available at: https://www.british-business-bank.co.uk/sites/g/files/sovrnj166/files/2025-02/small-business-finance-market-report-2025.pdf (Accessed: 17 July 2026).</w:t>
      </w:r>
    </w:p>
    <w:p w14:paraId="6F0DBD4A" w14:textId="77777777" w:rsidR="001D3FB1" w:rsidRPr="00576E85" w:rsidRDefault="001D3FB1" w:rsidP="00830431">
      <w:pPr>
        <w:spacing w:after="80" w:line="360" w:lineRule="auto"/>
        <w:ind w:left="360" w:hanging="360"/>
        <w:rPr>
          <w:rFonts w:ascii="Arial" w:hAnsi="Arial" w:cs="Arial"/>
        </w:rPr>
      </w:pPr>
      <w:r w:rsidRPr="00576E85">
        <w:rPr>
          <w:rFonts w:ascii="Arial" w:hAnsi="Arial" w:cs="Arial"/>
        </w:rPr>
        <w:t xml:space="preserve">Brown, T. (2008) 'Design thinking', </w:t>
      </w:r>
      <w:r w:rsidRPr="00576E85">
        <w:rPr>
          <w:rFonts w:ascii="Arial" w:hAnsi="Arial" w:cs="Arial"/>
          <w:i/>
        </w:rPr>
        <w:t>Harvard Business Review</w:t>
      </w:r>
      <w:r w:rsidRPr="00576E85">
        <w:rPr>
          <w:rFonts w:ascii="Arial" w:hAnsi="Arial" w:cs="Arial"/>
        </w:rPr>
        <w:t>, 86(6), pp. 84-92.</w:t>
      </w:r>
    </w:p>
    <w:p w14:paraId="7D23C5C7" w14:textId="77777777" w:rsidR="001D3FB1" w:rsidRPr="00576E85" w:rsidRDefault="001D3FB1" w:rsidP="00576E85">
      <w:pPr>
        <w:spacing w:after="80" w:line="360" w:lineRule="auto"/>
        <w:rPr>
          <w:rFonts w:ascii="Arial" w:hAnsi="Arial" w:cs="Arial"/>
        </w:rPr>
      </w:pPr>
      <w:r w:rsidRPr="00576E85">
        <w:rPr>
          <w:rFonts w:ascii="Arial" w:hAnsi="Arial" w:cs="Arial"/>
        </w:rPr>
        <w:t xml:space="preserve">Buchanan, R. (1992) 'Wicked problems in design thinking', </w:t>
      </w:r>
      <w:r w:rsidRPr="00576E85">
        <w:rPr>
          <w:rFonts w:ascii="Arial" w:hAnsi="Arial" w:cs="Arial"/>
          <w:i/>
        </w:rPr>
        <w:t>Design Issues</w:t>
      </w:r>
      <w:r w:rsidRPr="00576E85">
        <w:rPr>
          <w:rFonts w:ascii="Arial" w:hAnsi="Arial" w:cs="Arial"/>
        </w:rPr>
        <w:t>, 8(2), pp. 5-21.</w:t>
      </w:r>
    </w:p>
    <w:p w14:paraId="606753E9" w14:textId="77777777" w:rsidR="001D3FB1" w:rsidRPr="00576E85" w:rsidRDefault="001D3FB1" w:rsidP="000B426C">
      <w:pPr>
        <w:spacing w:after="80" w:line="360" w:lineRule="auto"/>
        <w:rPr>
          <w:rFonts w:ascii="Arial" w:hAnsi="Arial" w:cs="Arial"/>
        </w:rPr>
      </w:pPr>
      <w:r w:rsidRPr="00576E85">
        <w:rPr>
          <w:rFonts w:ascii="Arial" w:hAnsi="Arial" w:cs="Arial"/>
        </w:rPr>
        <w:t xml:space="preserve">Chaffey, D. and Ellis-Chadwick, F. (2022) </w:t>
      </w:r>
      <w:r w:rsidRPr="00576E85">
        <w:rPr>
          <w:rFonts w:ascii="Arial" w:hAnsi="Arial" w:cs="Arial"/>
          <w:i/>
        </w:rPr>
        <w:t>Digital Marketing</w:t>
      </w:r>
      <w:r w:rsidRPr="00576E85">
        <w:rPr>
          <w:rFonts w:ascii="Arial" w:hAnsi="Arial" w:cs="Arial"/>
        </w:rPr>
        <w:t xml:space="preserve">. 8th </w:t>
      </w:r>
      <w:proofErr w:type="spellStart"/>
      <w:r w:rsidRPr="00576E85">
        <w:rPr>
          <w:rFonts w:ascii="Arial" w:hAnsi="Arial" w:cs="Arial"/>
        </w:rPr>
        <w:t>edn</w:t>
      </w:r>
      <w:proofErr w:type="spellEnd"/>
      <w:r w:rsidRPr="00576E85">
        <w:rPr>
          <w:rFonts w:ascii="Arial" w:hAnsi="Arial" w:cs="Arial"/>
        </w:rPr>
        <w:t>. Harlow: Pearson.</w:t>
      </w:r>
    </w:p>
    <w:p w14:paraId="770AEBC8"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Checkland, P. (1999) </w:t>
      </w:r>
      <w:r w:rsidRPr="00576E85">
        <w:rPr>
          <w:rFonts w:ascii="Arial" w:hAnsi="Arial" w:cs="Arial"/>
          <w:i/>
        </w:rPr>
        <w:t>Systems Thinking, Systems Practice</w:t>
      </w:r>
      <w:r w:rsidRPr="00576E85">
        <w:rPr>
          <w:rFonts w:ascii="Arial" w:hAnsi="Arial" w:cs="Arial"/>
        </w:rPr>
        <w:t>. Chichester: John Wiley &amp; Sons.</w:t>
      </w:r>
    </w:p>
    <w:p w14:paraId="79044533"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Department for Business and Trade (2025) </w:t>
      </w:r>
      <w:r w:rsidRPr="00576E85">
        <w:rPr>
          <w:rFonts w:ascii="Arial" w:hAnsi="Arial" w:cs="Arial"/>
          <w:i/>
        </w:rPr>
        <w:t>SME Digital Adoption Taskforce: final report</w:t>
      </w:r>
      <w:r w:rsidRPr="00576E85">
        <w:rPr>
          <w:rFonts w:ascii="Arial" w:hAnsi="Arial" w:cs="Arial"/>
        </w:rPr>
        <w:t>. Available at: https://www.gov.uk/government/publications/sme-digital-adoption-taskforce-final-report/sme-digital-adoption-taskforce-final-report (Accessed: 17 July 2026).</w:t>
      </w:r>
    </w:p>
    <w:p w14:paraId="33DFA4F2" w14:textId="52EAC60B" w:rsidR="001D3FB1" w:rsidRPr="00576E85" w:rsidRDefault="001D3FB1" w:rsidP="00830431">
      <w:pPr>
        <w:spacing w:after="80" w:line="360" w:lineRule="auto"/>
        <w:rPr>
          <w:rFonts w:ascii="Arial" w:hAnsi="Arial" w:cs="Arial"/>
        </w:rPr>
      </w:pPr>
      <w:r w:rsidRPr="00576E85">
        <w:rPr>
          <w:rFonts w:ascii="Arial" w:hAnsi="Arial" w:cs="Arial"/>
        </w:rPr>
        <w:t xml:space="preserve">Dorst, K. (2011) 'The core of design thinking and its application', </w:t>
      </w:r>
      <w:r w:rsidRPr="00576E85">
        <w:rPr>
          <w:rFonts w:ascii="Arial" w:hAnsi="Arial" w:cs="Arial"/>
          <w:i/>
        </w:rPr>
        <w:t>Design Studies</w:t>
      </w:r>
      <w:r w:rsidRPr="00576E85">
        <w:rPr>
          <w:rFonts w:ascii="Arial" w:hAnsi="Arial" w:cs="Arial"/>
        </w:rPr>
        <w:t xml:space="preserve">, 32(6), pp. 521-532. </w:t>
      </w:r>
    </w:p>
    <w:p w14:paraId="25C7B5A7"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Enterprise Research Centre (2025) </w:t>
      </w:r>
      <w:r w:rsidRPr="00576E85">
        <w:rPr>
          <w:rFonts w:ascii="Arial" w:hAnsi="Arial" w:cs="Arial"/>
          <w:i/>
        </w:rPr>
        <w:t>The State of Small Business Britain 2024</w:t>
      </w:r>
      <w:r w:rsidRPr="00576E85">
        <w:rPr>
          <w:rFonts w:ascii="Arial" w:hAnsi="Arial" w:cs="Arial"/>
        </w:rPr>
        <w:t>. Available at: https://www.enterpriseresearch.ac.uk/wp-content/uploads/2025/03/The-State-of-Small-Business-Britain-2024-Final-1.pdf (Accessed: 17 July 2026).</w:t>
      </w:r>
    </w:p>
    <w:p w14:paraId="7990840F"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Geissdoerfer, M., </w:t>
      </w:r>
      <w:proofErr w:type="spellStart"/>
      <w:r w:rsidRPr="00576E85">
        <w:rPr>
          <w:rFonts w:ascii="Arial" w:hAnsi="Arial" w:cs="Arial"/>
        </w:rPr>
        <w:t>Savaget</w:t>
      </w:r>
      <w:proofErr w:type="spellEnd"/>
      <w:r w:rsidRPr="00576E85">
        <w:rPr>
          <w:rFonts w:ascii="Arial" w:hAnsi="Arial" w:cs="Arial"/>
        </w:rPr>
        <w:t xml:space="preserve">, P., Bocken, N.M.P. and </w:t>
      </w:r>
      <w:proofErr w:type="spellStart"/>
      <w:r w:rsidRPr="00576E85">
        <w:rPr>
          <w:rFonts w:ascii="Arial" w:hAnsi="Arial" w:cs="Arial"/>
        </w:rPr>
        <w:t>Hultink</w:t>
      </w:r>
      <w:proofErr w:type="spellEnd"/>
      <w:r w:rsidRPr="00576E85">
        <w:rPr>
          <w:rFonts w:ascii="Arial" w:hAnsi="Arial" w:cs="Arial"/>
        </w:rPr>
        <w:t xml:space="preserve">, E.J. (2017) 'The circular economy: a new sustainability paradigm?', </w:t>
      </w:r>
      <w:r w:rsidRPr="00576E85">
        <w:rPr>
          <w:rFonts w:ascii="Arial" w:hAnsi="Arial" w:cs="Arial"/>
          <w:i/>
        </w:rPr>
        <w:t>Journal of Cleaner Production</w:t>
      </w:r>
      <w:r w:rsidRPr="00576E85">
        <w:rPr>
          <w:rFonts w:ascii="Arial" w:hAnsi="Arial" w:cs="Arial"/>
        </w:rPr>
        <w:t>, 143, pp. 757-768.</w:t>
      </w:r>
    </w:p>
    <w:p w14:paraId="38271CB9"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Goldratt, E.M. (1990) </w:t>
      </w:r>
      <w:r w:rsidRPr="00576E85">
        <w:rPr>
          <w:rFonts w:ascii="Arial" w:hAnsi="Arial" w:cs="Arial"/>
          <w:i/>
        </w:rPr>
        <w:t>What is this Thing Called Theory of Constraints?</w:t>
      </w:r>
      <w:r w:rsidRPr="00576E85">
        <w:rPr>
          <w:rFonts w:ascii="Arial" w:hAnsi="Arial" w:cs="Arial"/>
        </w:rPr>
        <w:t xml:space="preserve"> Croton-on-Hudson, NY: North River Press.</w:t>
      </w:r>
    </w:p>
    <w:p w14:paraId="4F85C6FD"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Ipsos (2025) </w:t>
      </w:r>
      <w:r w:rsidRPr="00576E85">
        <w:rPr>
          <w:rFonts w:ascii="Arial" w:hAnsi="Arial" w:cs="Arial"/>
          <w:i/>
        </w:rPr>
        <w:t>Essential Digital Skills for Work 2024</w:t>
      </w:r>
      <w:r w:rsidRPr="00576E85">
        <w:rPr>
          <w:rFonts w:ascii="Arial" w:hAnsi="Arial" w:cs="Arial"/>
        </w:rPr>
        <w:t>. Available at: https://www.ipsos.com/en-uk/essential-digital-skills-work-2024 (Accessed: 17 July 2026).</w:t>
      </w:r>
    </w:p>
    <w:p w14:paraId="5A2FB352" w14:textId="3CEFB475" w:rsidR="001D3FB1" w:rsidRPr="00576E85" w:rsidRDefault="001D3FB1" w:rsidP="00830431">
      <w:pPr>
        <w:spacing w:after="80" w:line="360" w:lineRule="auto"/>
        <w:rPr>
          <w:rFonts w:ascii="Arial" w:hAnsi="Arial" w:cs="Arial"/>
        </w:rPr>
      </w:pPr>
      <w:r w:rsidRPr="00576E85">
        <w:rPr>
          <w:rFonts w:ascii="Arial" w:hAnsi="Arial" w:cs="Arial"/>
        </w:rPr>
        <w:t xml:space="preserve">Lemon, K.N. and Verhoef, P.C. (2016) 'Understanding customer experience throughout the customer journey', </w:t>
      </w:r>
      <w:r w:rsidRPr="00576E85">
        <w:rPr>
          <w:rFonts w:ascii="Arial" w:hAnsi="Arial" w:cs="Arial"/>
          <w:i/>
        </w:rPr>
        <w:t>Journal of Marketing</w:t>
      </w:r>
      <w:r w:rsidRPr="00576E85">
        <w:rPr>
          <w:rFonts w:ascii="Arial" w:hAnsi="Arial" w:cs="Arial"/>
        </w:rPr>
        <w:t>, 80(6), pp. 69-96</w:t>
      </w:r>
      <w:r w:rsidR="00830431" w:rsidRPr="00576E85">
        <w:rPr>
          <w:rFonts w:ascii="Arial" w:hAnsi="Arial" w:cs="Arial"/>
        </w:rPr>
        <w:t>.</w:t>
      </w:r>
    </w:p>
    <w:p w14:paraId="72FF41B4"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Liedtka, J. (2015) 'Perspective: linking design thinking with innovation outcomes through cognitive bias reduction', </w:t>
      </w:r>
      <w:r w:rsidRPr="00576E85">
        <w:rPr>
          <w:rFonts w:ascii="Arial" w:hAnsi="Arial" w:cs="Arial"/>
          <w:i/>
        </w:rPr>
        <w:t>Journal of Product Innovation Management</w:t>
      </w:r>
      <w:r w:rsidRPr="00576E85">
        <w:rPr>
          <w:rFonts w:ascii="Arial" w:hAnsi="Arial" w:cs="Arial"/>
        </w:rPr>
        <w:t>, 32(6), pp. 925-938.</w:t>
      </w:r>
    </w:p>
    <w:p w14:paraId="45888C54"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Lloyds Banking Group (2025) </w:t>
      </w:r>
      <w:r w:rsidRPr="00576E85">
        <w:rPr>
          <w:rFonts w:ascii="Arial" w:hAnsi="Arial" w:cs="Arial"/>
          <w:i/>
        </w:rPr>
        <w:t>Consumer Digital Index</w:t>
      </w:r>
      <w:r w:rsidRPr="00576E85">
        <w:rPr>
          <w:rFonts w:ascii="Arial" w:hAnsi="Arial" w:cs="Arial"/>
        </w:rPr>
        <w:t>. Available at: https://www.lloydsbankinggroup.com/media/consumer-digital-index.html (Accessed: 17 July 2026).</w:t>
      </w:r>
    </w:p>
    <w:p w14:paraId="227C48C3"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Meadows, D.H. (2008) </w:t>
      </w:r>
      <w:r w:rsidRPr="00576E85">
        <w:rPr>
          <w:rFonts w:ascii="Arial" w:hAnsi="Arial" w:cs="Arial"/>
          <w:i/>
        </w:rPr>
        <w:t>Thinking in Systems: A Primer</w:t>
      </w:r>
      <w:r w:rsidRPr="00576E85">
        <w:rPr>
          <w:rFonts w:ascii="Arial" w:hAnsi="Arial" w:cs="Arial"/>
        </w:rPr>
        <w:t>. White River Junction, VT: Chelsea Green Publishing.</w:t>
      </w:r>
    </w:p>
    <w:p w14:paraId="150016F1" w14:textId="77777777" w:rsidR="001D3FB1" w:rsidRPr="00576E85" w:rsidRDefault="001D3FB1" w:rsidP="00830431">
      <w:pPr>
        <w:spacing w:after="80" w:line="360" w:lineRule="auto"/>
        <w:rPr>
          <w:rFonts w:ascii="Arial" w:hAnsi="Arial" w:cs="Arial"/>
        </w:rPr>
      </w:pPr>
      <w:proofErr w:type="spellStart"/>
      <w:r w:rsidRPr="00576E85">
        <w:rPr>
          <w:rFonts w:ascii="Arial" w:hAnsi="Arial" w:cs="Arial"/>
        </w:rPr>
        <w:lastRenderedPageBreak/>
        <w:t>Nagji</w:t>
      </w:r>
      <w:proofErr w:type="spellEnd"/>
      <w:r w:rsidRPr="00576E85">
        <w:rPr>
          <w:rFonts w:ascii="Arial" w:hAnsi="Arial" w:cs="Arial"/>
        </w:rPr>
        <w:t xml:space="preserve">, B. and Tuff, G. (2012) 'Managing your innovation portfolio', </w:t>
      </w:r>
      <w:r w:rsidRPr="00576E85">
        <w:rPr>
          <w:rFonts w:ascii="Arial" w:hAnsi="Arial" w:cs="Arial"/>
          <w:i/>
        </w:rPr>
        <w:t>Harvard Business Review</w:t>
      </w:r>
      <w:r w:rsidRPr="00576E85">
        <w:rPr>
          <w:rFonts w:ascii="Arial" w:hAnsi="Arial" w:cs="Arial"/>
        </w:rPr>
        <w:t>, 90(5), pp. 66-74.</w:t>
      </w:r>
    </w:p>
    <w:p w14:paraId="3F7CD492" w14:textId="66C9F4B4" w:rsidR="001D3FB1" w:rsidRPr="00576E85" w:rsidRDefault="001D3FB1" w:rsidP="00830431">
      <w:pPr>
        <w:spacing w:after="80" w:line="360" w:lineRule="auto"/>
        <w:ind w:left="360" w:hanging="360"/>
        <w:rPr>
          <w:rFonts w:ascii="Arial" w:hAnsi="Arial" w:cs="Arial"/>
        </w:rPr>
      </w:pPr>
      <w:r w:rsidRPr="00576E85">
        <w:rPr>
          <w:rFonts w:ascii="Arial" w:hAnsi="Arial" w:cs="Arial"/>
        </w:rPr>
        <w:t xml:space="preserve">OECD (2021) </w:t>
      </w:r>
      <w:r w:rsidRPr="00576E85">
        <w:rPr>
          <w:rFonts w:ascii="Arial" w:hAnsi="Arial" w:cs="Arial"/>
          <w:i/>
        </w:rPr>
        <w:t>The Digital Transformation of SMEs</w:t>
      </w:r>
      <w:r w:rsidRPr="00576E85">
        <w:rPr>
          <w:rFonts w:ascii="Arial" w:hAnsi="Arial" w:cs="Arial"/>
        </w:rPr>
        <w:t>. Paris: OECD Publishing.</w:t>
      </w:r>
    </w:p>
    <w:p w14:paraId="32F3C7A5"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Ofcom (2024a) </w:t>
      </w:r>
      <w:r w:rsidRPr="00576E85">
        <w:rPr>
          <w:rFonts w:ascii="Arial" w:hAnsi="Arial" w:cs="Arial"/>
          <w:i/>
        </w:rPr>
        <w:t>Connected Nations 2024</w:t>
      </w:r>
      <w:r w:rsidRPr="00576E85">
        <w:rPr>
          <w:rFonts w:ascii="Arial" w:hAnsi="Arial" w:cs="Arial"/>
        </w:rPr>
        <w:t>. Available at: https://www.ofcom.org.uk/phones-and-broadband/coverage-and-speeds/connected-nations-2024 (Accessed: 17 July 2026).</w:t>
      </w:r>
    </w:p>
    <w:p w14:paraId="4D3EE047"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Ofcom (2024b) </w:t>
      </w:r>
      <w:r w:rsidRPr="00576E85">
        <w:rPr>
          <w:rFonts w:ascii="Arial" w:hAnsi="Arial" w:cs="Arial"/>
          <w:i/>
        </w:rPr>
        <w:t>Post Monitoring Report 2023-24</w:t>
      </w:r>
      <w:r w:rsidRPr="00576E85">
        <w:rPr>
          <w:rFonts w:ascii="Arial" w:hAnsi="Arial" w:cs="Arial"/>
        </w:rPr>
        <w:t>. Available at: https://www.ofcom.org.uk/siteassets/resources/documents/postal-services/monitoring-reports/2023-2024/post-monitoring-report-2023-24.pdf (Accessed: 17 July 2026).</w:t>
      </w:r>
    </w:p>
    <w:p w14:paraId="002EEDBF"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Office for National Statistics (2026) </w:t>
      </w:r>
      <w:r w:rsidRPr="00576E85">
        <w:rPr>
          <w:rFonts w:ascii="Arial" w:hAnsi="Arial" w:cs="Arial"/>
          <w:i/>
        </w:rPr>
        <w:t>Internet sales as a percentage of total retail sales (ratio) (%)</w:t>
      </w:r>
      <w:r w:rsidRPr="00576E85">
        <w:rPr>
          <w:rFonts w:ascii="Arial" w:hAnsi="Arial" w:cs="Arial"/>
        </w:rPr>
        <w:t>. Available at: https://www.ons.gov.uk/businessindustryandtrade/retailindustry/timeseries/j4mc/drsi (Accessed: 17 July 2026).</w:t>
      </w:r>
    </w:p>
    <w:p w14:paraId="236365B8"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Osterwalder, A., Pigneur, Y., Bernarda, G. and Smith, A. (2014) </w:t>
      </w:r>
      <w:r w:rsidRPr="00576E85">
        <w:rPr>
          <w:rFonts w:ascii="Arial" w:hAnsi="Arial" w:cs="Arial"/>
          <w:i/>
        </w:rPr>
        <w:t>Value Proposition Design</w:t>
      </w:r>
      <w:r w:rsidRPr="00576E85">
        <w:rPr>
          <w:rFonts w:ascii="Arial" w:hAnsi="Arial" w:cs="Arial"/>
        </w:rPr>
        <w:t>. Hoboken, NJ: Wiley.</w:t>
      </w:r>
    </w:p>
    <w:p w14:paraId="37421990" w14:textId="77777777" w:rsidR="001D3FB1" w:rsidRPr="00576E85" w:rsidRDefault="001D3FB1" w:rsidP="00830431">
      <w:pPr>
        <w:spacing w:after="80" w:line="360" w:lineRule="auto"/>
        <w:ind w:left="360" w:hanging="360"/>
        <w:rPr>
          <w:rFonts w:ascii="Arial" w:hAnsi="Arial" w:cs="Arial"/>
        </w:rPr>
      </w:pPr>
      <w:r w:rsidRPr="00576E85">
        <w:rPr>
          <w:rFonts w:ascii="Arial" w:hAnsi="Arial" w:cs="Arial"/>
        </w:rPr>
        <w:t xml:space="preserve">Ries, E. (2011) </w:t>
      </w:r>
      <w:r w:rsidRPr="00576E85">
        <w:rPr>
          <w:rFonts w:ascii="Arial" w:hAnsi="Arial" w:cs="Arial"/>
          <w:i/>
        </w:rPr>
        <w:t>The Lean Startup</w:t>
      </w:r>
      <w:r w:rsidRPr="00576E85">
        <w:rPr>
          <w:rFonts w:ascii="Arial" w:hAnsi="Arial" w:cs="Arial"/>
        </w:rPr>
        <w:t>. London: Portfolio Penguin.</w:t>
      </w:r>
    </w:p>
    <w:p w14:paraId="7DDB89BE" w14:textId="77777777" w:rsidR="001D3FB1" w:rsidRPr="00576E85" w:rsidRDefault="001D3FB1" w:rsidP="00830431">
      <w:pPr>
        <w:spacing w:after="80" w:line="360" w:lineRule="auto"/>
        <w:ind w:left="360" w:hanging="360"/>
        <w:rPr>
          <w:rFonts w:ascii="Arial" w:hAnsi="Arial" w:cs="Arial"/>
        </w:rPr>
      </w:pPr>
      <w:r w:rsidRPr="00576E85">
        <w:rPr>
          <w:rFonts w:ascii="Arial" w:hAnsi="Arial" w:cs="Arial"/>
        </w:rPr>
        <w:t xml:space="preserve">Rogers, E.M. (2003) </w:t>
      </w:r>
      <w:r w:rsidRPr="00576E85">
        <w:rPr>
          <w:rFonts w:ascii="Arial" w:hAnsi="Arial" w:cs="Arial"/>
          <w:i/>
        </w:rPr>
        <w:t>Diffusion of Innovations</w:t>
      </w:r>
      <w:r w:rsidRPr="00576E85">
        <w:rPr>
          <w:rFonts w:ascii="Arial" w:hAnsi="Arial" w:cs="Arial"/>
        </w:rPr>
        <w:t xml:space="preserve">. 5th </w:t>
      </w:r>
      <w:proofErr w:type="spellStart"/>
      <w:r w:rsidRPr="00576E85">
        <w:rPr>
          <w:rFonts w:ascii="Arial" w:hAnsi="Arial" w:cs="Arial"/>
        </w:rPr>
        <w:t>edn</w:t>
      </w:r>
      <w:proofErr w:type="spellEnd"/>
      <w:r w:rsidRPr="00576E85">
        <w:rPr>
          <w:rFonts w:ascii="Arial" w:hAnsi="Arial" w:cs="Arial"/>
        </w:rPr>
        <w:t>. New York: Free Press.</w:t>
      </w:r>
    </w:p>
    <w:p w14:paraId="6A403575"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Teece, D.J. (2010) 'Business models, business strategy and innovation', </w:t>
      </w:r>
      <w:r w:rsidRPr="00576E85">
        <w:rPr>
          <w:rFonts w:ascii="Arial" w:hAnsi="Arial" w:cs="Arial"/>
          <w:i/>
        </w:rPr>
        <w:t>Long Range Planning</w:t>
      </w:r>
      <w:r w:rsidRPr="00576E85">
        <w:rPr>
          <w:rFonts w:ascii="Arial" w:hAnsi="Arial" w:cs="Arial"/>
        </w:rPr>
        <w:t>, 43(2-3), pp. 172-194.</w:t>
      </w:r>
    </w:p>
    <w:p w14:paraId="3C4FB806" w14:textId="77777777" w:rsidR="001D3FB1" w:rsidRPr="00576E85" w:rsidRDefault="001D3FB1" w:rsidP="00830431">
      <w:pPr>
        <w:spacing w:after="80" w:line="360" w:lineRule="auto"/>
        <w:rPr>
          <w:rFonts w:ascii="Arial" w:hAnsi="Arial" w:cs="Arial"/>
        </w:rPr>
      </w:pPr>
      <w:r w:rsidRPr="00576E85">
        <w:rPr>
          <w:rFonts w:ascii="Arial" w:hAnsi="Arial" w:cs="Arial"/>
        </w:rPr>
        <w:t xml:space="preserve">Tidd, J. and Bessant, J. (2020) </w:t>
      </w:r>
      <w:r w:rsidRPr="00576E85">
        <w:rPr>
          <w:rFonts w:ascii="Arial" w:hAnsi="Arial" w:cs="Arial"/>
          <w:i/>
        </w:rPr>
        <w:t>Managing Innovation: Integrating Technological, Market and Organizational Change</w:t>
      </w:r>
      <w:r w:rsidRPr="00576E85">
        <w:rPr>
          <w:rFonts w:ascii="Arial" w:hAnsi="Arial" w:cs="Arial"/>
        </w:rPr>
        <w:t xml:space="preserve">. 7th </w:t>
      </w:r>
      <w:proofErr w:type="spellStart"/>
      <w:r w:rsidRPr="00576E85">
        <w:rPr>
          <w:rFonts w:ascii="Arial" w:hAnsi="Arial" w:cs="Arial"/>
        </w:rPr>
        <w:t>edn</w:t>
      </w:r>
      <w:proofErr w:type="spellEnd"/>
      <w:r w:rsidRPr="00576E85">
        <w:rPr>
          <w:rFonts w:ascii="Arial" w:hAnsi="Arial" w:cs="Arial"/>
        </w:rPr>
        <w:t>. Chichester: Wiley.</w:t>
      </w:r>
    </w:p>
    <w:p w14:paraId="595394F2" w14:textId="3F279868" w:rsidR="001D3FB1" w:rsidRPr="00576E85" w:rsidRDefault="001D3FB1" w:rsidP="00830431">
      <w:pPr>
        <w:spacing w:after="80" w:line="360" w:lineRule="auto"/>
        <w:rPr>
          <w:rFonts w:ascii="Arial" w:hAnsi="Arial" w:cs="Arial"/>
        </w:rPr>
      </w:pPr>
      <w:r w:rsidRPr="00576E85">
        <w:rPr>
          <w:rFonts w:ascii="Arial" w:hAnsi="Arial" w:cs="Arial"/>
        </w:rPr>
        <w:t xml:space="preserve">Verhoef, P.C., Broekhuizen, T., Bart, Y., Bhattacharya, A., Dong, J.Q., Fabian, N. and Haenlein, M. (2021) 'Digital transformation: a multidisciplinary reflection and research agenda', </w:t>
      </w:r>
      <w:r w:rsidRPr="00576E85">
        <w:rPr>
          <w:rFonts w:ascii="Arial" w:hAnsi="Arial" w:cs="Arial"/>
          <w:i/>
        </w:rPr>
        <w:t>Journal of Business Research</w:t>
      </w:r>
      <w:r w:rsidRPr="00576E85">
        <w:rPr>
          <w:rFonts w:ascii="Arial" w:hAnsi="Arial" w:cs="Arial"/>
        </w:rPr>
        <w:t xml:space="preserve">, 122, pp. 889-901. </w:t>
      </w:r>
    </w:p>
    <w:p w14:paraId="7685EECA" w14:textId="13BC7029" w:rsidR="001D3FB1" w:rsidRPr="00576E85" w:rsidRDefault="001D3FB1" w:rsidP="00830431">
      <w:pPr>
        <w:spacing w:after="80" w:line="360" w:lineRule="auto"/>
        <w:rPr>
          <w:rFonts w:ascii="Arial" w:hAnsi="Arial" w:cs="Arial"/>
        </w:rPr>
      </w:pPr>
      <w:r w:rsidRPr="00576E85">
        <w:rPr>
          <w:rFonts w:ascii="Arial" w:hAnsi="Arial" w:cs="Arial"/>
        </w:rPr>
        <w:t xml:space="preserve">Vial, G. (2019) 'Understanding digital transformation: a review and a research agenda', </w:t>
      </w:r>
      <w:r w:rsidRPr="00576E85">
        <w:rPr>
          <w:rFonts w:ascii="Arial" w:hAnsi="Arial" w:cs="Arial"/>
          <w:i/>
        </w:rPr>
        <w:t>Journal of Strategic Information Systems</w:t>
      </w:r>
      <w:r w:rsidRPr="00576E85">
        <w:rPr>
          <w:rFonts w:ascii="Arial" w:hAnsi="Arial" w:cs="Arial"/>
        </w:rPr>
        <w:t xml:space="preserve">, 28(2), pp. 118-144. </w:t>
      </w:r>
    </w:p>
    <w:p w14:paraId="13020026" w14:textId="77777777" w:rsidR="001D3FB1" w:rsidRDefault="001D3FB1" w:rsidP="00830431">
      <w:pPr>
        <w:pStyle w:val="ListNumber"/>
        <w:numPr>
          <w:ilvl w:val="0"/>
          <w:numId w:val="0"/>
        </w:numPr>
        <w:spacing w:line="360" w:lineRule="auto"/>
        <w:rPr>
          <w:rFonts w:ascii="Arial" w:hAnsi="Arial" w:cs="Arial"/>
          <w:sz w:val="24"/>
          <w:szCs w:val="24"/>
          <w:lang w:val="en-GB"/>
        </w:rPr>
      </w:pPr>
    </w:p>
    <w:p w14:paraId="7B23B6EB" w14:textId="77777777" w:rsidR="00830431" w:rsidRDefault="00830431" w:rsidP="00830431">
      <w:pPr>
        <w:pStyle w:val="ListNumber"/>
        <w:numPr>
          <w:ilvl w:val="0"/>
          <w:numId w:val="0"/>
        </w:numPr>
        <w:spacing w:line="360" w:lineRule="auto"/>
        <w:rPr>
          <w:rFonts w:ascii="Arial" w:hAnsi="Arial" w:cs="Arial"/>
          <w:sz w:val="24"/>
          <w:szCs w:val="24"/>
          <w:lang w:val="en-GB"/>
        </w:rPr>
      </w:pPr>
    </w:p>
    <w:p w14:paraId="7C078540" w14:textId="77777777" w:rsidR="00830431" w:rsidRDefault="00830431" w:rsidP="00830431">
      <w:pPr>
        <w:pStyle w:val="ListNumber"/>
        <w:numPr>
          <w:ilvl w:val="0"/>
          <w:numId w:val="0"/>
        </w:numPr>
        <w:spacing w:line="360" w:lineRule="auto"/>
        <w:rPr>
          <w:rFonts w:ascii="Arial" w:hAnsi="Arial" w:cs="Arial"/>
          <w:sz w:val="24"/>
          <w:szCs w:val="24"/>
          <w:lang w:val="en-GB"/>
        </w:rPr>
      </w:pPr>
    </w:p>
    <w:p w14:paraId="75123043" w14:textId="77777777" w:rsidR="00830431" w:rsidRDefault="00830431" w:rsidP="00830431">
      <w:pPr>
        <w:pStyle w:val="ListNumber"/>
        <w:numPr>
          <w:ilvl w:val="0"/>
          <w:numId w:val="0"/>
        </w:numPr>
        <w:spacing w:line="360" w:lineRule="auto"/>
        <w:rPr>
          <w:rFonts w:ascii="Arial" w:hAnsi="Arial" w:cs="Arial"/>
          <w:sz w:val="24"/>
          <w:szCs w:val="24"/>
          <w:lang w:val="en-GB"/>
        </w:rPr>
      </w:pPr>
    </w:p>
    <w:p w14:paraId="07F309F7" w14:textId="77777777" w:rsidR="00830431" w:rsidRDefault="00830431" w:rsidP="00830431">
      <w:pPr>
        <w:pStyle w:val="ListNumber"/>
        <w:numPr>
          <w:ilvl w:val="0"/>
          <w:numId w:val="0"/>
        </w:numPr>
        <w:spacing w:line="360" w:lineRule="auto"/>
        <w:rPr>
          <w:rFonts w:ascii="Arial" w:hAnsi="Arial" w:cs="Arial"/>
          <w:sz w:val="24"/>
          <w:szCs w:val="24"/>
          <w:lang w:val="en-GB"/>
        </w:rPr>
      </w:pPr>
    </w:p>
    <w:p w14:paraId="423AD29B" w14:textId="77777777" w:rsidR="00830431" w:rsidRDefault="00830431" w:rsidP="00830431">
      <w:pPr>
        <w:pStyle w:val="ListNumber"/>
        <w:numPr>
          <w:ilvl w:val="0"/>
          <w:numId w:val="0"/>
        </w:numPr>
        <w:spacing w:line="360" w:lineRule="auto"/>
        <w:rPr>
          <w:rFonts w:ascii="Arial" w:hAnsi="Arial" w:cs="Arial"/>
          <w:sz w:val="24"/>
          <w:szCs w:val="24"/>
          <w:lang w:val="en-GB"/>
        </w:rPr>
      </w:pPr>
    </w:p>
    <w:p w14:paraId="6B59AB64" w14:textId="77777777" w:rsidR="00830431" w:rsidRDefault="00830431" w:rsidP="00830431">
      <w:pPr>
        <w:pStyle w:val="ListNumber"/>
        <w:numPr>
          <w:ilvl w:val="0"/>
          <w:numId w:val="0"/>
        </w:numPr>
        <w:spacing w:line="360" w:lineRule="auto"/>
        <w:rPr>
          <w:rFonts w:ascii="Arial" w:hAnsi="Arial" w:cs="Arial"/>
          <w:sz w:val="24"/>
          <w:szCs w:val="24"/>
          <w:lang w:val="en-GB"/>
        </w:rPr>
      </w:pPr>
    </w:p>
    <w:p w14:paraId="450A88F2" w14:textId="77777777" w:rsidR="00576E85" w:rsidRDefault="00576E85" w:rsidP="00830431">
      <w:pPr>
        <w:pStyle w:val="ListNumber"/>
        <w:numPr>
          <w:ilvl w:val="0"/>
          <w:numId w:val="0"/>
        </w:numPr>
        <w:spacing w:line="360" w:lineRule="auto"/>
        <w:rPr>
          <w:rFonts w:ascii="Arial" w:hAnsi="Arial" w:cs="Arial"/>
          <w:sz w:val="24"/>
          <w:szCs w:val="24"/>
          <w:lang w:val="en-GB"/>
        </w:rPr>
      </w:pPr>
    </w:p>
    <w:p w14:paraId="690A4904" w14:textId="0C055E97" w:rsidR="00830431" w:rsidRPr="00830431" w:rsidRDefault="00830431" w:rsidP="00830431">
      <w:pPr>
        <w:pStyle w:val="ListNumber"/>
        <w:numPr>
          <w:ilvl w:val="0"/>
          <w:numId w:val="0"/>
        </w:numPr>
        <w:spacing w:line="360" w:lineRule="auto"/>
        <w:rPr>
          <w:rFonts w:ascii="Arial" w:hAnsi="Arial" w:cs="Arial"/>
          <w:b/>
          <w:bCs/>
          <w:sz w:val="28"/>
          <w:szCs w:val="28"/>
          <w:lang w:val="en-GB"/>
        </w:rPr>
      </w:pPr>
      <w:r w:rsidRPr="00830431">
        <w:rPr>
          <w:rFonts w:ascii="Arial" w:hAnsi="Arial" w:cs="Arial"/>
          <w:b/>
          <w:bCs/>
          <w:sz w:val="28"/>
          <w:szCs w:val="28"/>
          <w:lang w:val="en-GB"/>
        </w:rPr>
        <w:lastRenderedPageBreak/>
        <w:t xml:space="preserve">Appendices </w:t>
      </w:r>
    </w:p>
    <w:p w14:paraId="4FC1814D" w14:textId="20940180" w:rsidR="00830431" w:rsidRPr="00576E85" w:rsidRDefault="00830431" w:rsidP="00830431">
      <w:pPr>
        <w:pStyle w:val="ListNumber"/>
        <w:numPr>
          <w:ilvl w:val="0"/>
          <w:numId w:val="0"/>
        </w:numPr>
        <w:spacing w:line="360" w:lineRule="auto"/>
        <w:rPr>
          <w:rFonts w:ascii="Arial" w:hAnsi="Arial" w:cs="Arial"/>
        </w:rPr>
      </w:pPr>
      <w:r w:rsidRPr="00576E85">
        <w:rPr>
          <w:rFonts w:ascii="Arial" w:hAnsi="Arial" w:cs="Arial"/>
        </w:rPr>
        <w:t>The appendices provide supporting framework evidence for the main portfolio. They are ordered to follow the same logic as the report: Task 1 opportunity analysis first, followed by the Task 2 design thinking tools.</w:t>
      </w:r>
    </w:p>
    <w:p w14:paraId="796BFB5E" w14:textId="1BEB0C8E" w:rsidR="00830431" w:rsidRPr="00034DF4" w:rsidRDefault="00830431" w:rsidP="00830431">
      <w:pPr>
        <w:pStyle w:val="ListNumber"/>
        <w:numPr>
          <w:ilvl w:val="0"/>
          <w:numId w:val="0"/>
        </w:numPr>
        <w:spacing w:line="360" w:lineRule="auto"/>
        <w:rPr>
          <w:rFonts w:ascii="Arial" w:hAnsi="Arial" w:cs="Arial"/>
          <w:b/>
          <w:bCs/>
          <w:sz w:val="28"/>
          <w:szCs w:val="28"/>
        </w:rPr>
      </w:pPr>
      <w:r w:rsidRPr="00830431">
        <w:rPr>
          <w:rFonts w:ascii="Arial" w:hAnsi="Arial" w:cs="Arial"/>
          <w:b/>
          <w:bCs/>
          <w:sz w:val="28"/>
          <w:szCs w:val="28"/>
        </w:rPr>
        <w:t>Appendix A: Opportunity Area Evaluation Matrix</w:t>
      </w:r>
    </w:p>
    <w:tbl>
      <w:tblPr>
        <w:tblStyle w:val="TableGrid"/>
        <w:tblW w:w="10627" w:type="dxa"/>
        <w:jc w:val="center"/>
        <w:tblLayout w:type="fixed"/>
        <w:tblLook w:val="04A0" w:firstRow="1" w:lastRow="0" w:firstColumn="1" w:lastColumn="0" w:noHBand="0" w:noVBand="1"/>
      </w:tblPr>
      <w:tblGrid>
        <w:gridCol w:w="2214"/>
        <w:gridCol w:w="2050"/>
        <w:gridCol w:w="2050"/>
        <w:gridCol w:w="1908"/>
        <w:gridCol w:w="2405"/>
      </w:tblGrid>
      <w:tr w:rsidR="00830431" w:rsidRPr="00E0770F" w14:paraId="27FD4232" w14:textId="77777777" w:rsidTr="00E0770F">
        <w:trPr>
          <w:tblHeader/>
          <w:jc w:val="center"/>
        </w:trPr>
        <w:tc>
          <w:tcPr>
            <w:tcW w:w="2214" w:type="dxa"/>
            <w:shd w:val="clear" w:color="auto" w:fill="D1D1D1" w:themeFill="background2" w:themeFillShade="E6"/>
            <w:tcMar>
              <w:top w:w="80" w:type="dxa"/>
              <w:left w:w="80" w:type="dxa"/>
              <w:bottom w:w="80" w:type="dxa"/>
              <w:right w:w="80" w:type="dxa"/>
            </w:tcMar>
          </w:tcPr>
          <w:p w14:paraId="62683F4B" w14:textId="77777777" w:rsidR="00830431" w:rsidRPr="00E0770F" w:rsidRDefault="00830431" w:rsidP="00830431">
            <w:pPr>
              <w:spacing w:after="20" w:line="360" w:lineRule="auto"/>
              <w:rPr>
                <w:sz w:val="18"/>
                <w:szCs w:val="18"/>
              </w:rPr>
            </w:pPr>
            <w:r w:rsidRPr="00E0770F">
              <w:rPr>
                <w:rFonts w:ascii="Arial" w:eastAsia="Arial" w:hAnsi="Arial"/>
                <w:b/>
                <w:sz w:val="18"/>
                <w:szCs w:val="18"/>
              </w:rPr>
              <w:t>Opportunity area</w:t>
            </w:r>
          </w:p>
        </w:tc>
        <w:tc>
          <w:tcPr>
            <w:tcW w:w="2050" w:type="dxa"/>
            <w:shd w:val="clear" w:color="auto" w:fill="D1D1D1" w:themeFill="background2" w:themeFillShade="E6"/>
            <w:tcMar>
              <w:top w:w="80" w:type="dxa"/>
              <w:left w:w="80" w:type="dxa"/>
              <w:bottom w:w="80" w:type="dxa"/>
              <w:right w:w="80" w:type="dxa"/>
            </w:tcMar>
          </w:tcPr>
          <w:p w14:paraId="54511D86" w14:textId="77777777" w:rsidR="00830431" w:rsidRPr="00E0770F" w:rsidRDefault="00830431" w:rsidP="00830431">
            <w:pPr>
              <w:spacing w:after="20" w:line="360" w:lineRule="auto"/>
              <w:rPr>
                <w:sz w:val="18"/>
                <w:szCs w:val="18"/>
              </w:rPr>
            </w:pPr>
            <w:r w:rsidRPr="00E0770F">
              <w:rPr>
                <w:rFonts w:ascii="Arial" w:eastAsia="Arial" w:hAnsi="Arial"/>
                <w:b/>
                <w:sz w:val="18"/>
                <w:szCs w:val="18"/>
              </w:rPr>
              <w:t>User pain point</w:t>
            </w:r>
          </w:p>
        </w:tc>
        <w:tc>
          <w:tcPr>
            <w:tcW w:w="2050" w:type="dxa"/>
            <w:shd w:val="clear" w:color="auto" w:fill="D1D1D1" w:themeFill="background2" w:themeFillShade="E6"/>
            <w:tcMar>
              <w:top w:w="80" w:type="dxa"/>
              <w:left w:w="80" w:type="dxa"/>
              <w:bottom w:w="80" w:type="dxa"/>
              <w:right w:w="80" w:type="dxa"/>
            </w:tcMar>
          </w:tcPr>
          <w:p w14:paraId="46E6927E" w14:textId="77777777" w:rsidR="00830431" w:rsidRPr="00E0770F" w:rsidRDefault="00830431" w:rsidP="00830431">
            <w:pPr>
              <w:spacing w:after="20" w:line="360" w:lineRule="auto"/>
              <w:rPr>
                <w:sz w:val="18"/>
                <w:szCs w:val="18"/>
              </w:rPr>
            </w:pPr>
            <w:r w:rsidRPr="00E0770F">
              <w:rPr>
                <w:rFonts w:ascii="Arial" w:eastAsia="Arial" w:hAnsi="Arial"/>
                <w:b/>
                <w:sz w:val="18"/>
                <w:szCs w:val="18"/>
              </w:rPr>
              <w:t>Market gap</w:t>
            </w:r>
          </w:p>
        </w:tc>
        <w:tc>
          <w:tcPr>
            <w:tcW w:w="1908" w:type="dxa"/>
            <w:shd w:val="clear" w:color="auto" w:fill="D1D1D1" w:themeFill="background2" w:themeFillShade="E6"/>
            <w:tcMar>
              <w:top w:w="80" w:type="dxa"/>
              <w:left w:w="80" w:type="dxa"/>
              <w:bottom w:w="80" w:type="dxa"/>
              <w:right w:w="80" w:type="dxa"/>
            </w:tcMar>
          </w:tcPr>
          <w:p w14:paraId="168ECC6F" w14:textId="77777777" w:rsidR="00830431" w:rsidRPr="00E0770F" w:rsidRDefault="00830431" w:rsidP="00830431">
            <w:pPr>
              <w:spacing w:after="20" w:line="360" w:lineRule="auto"/>
              <w:rPr>
                <w:sz w:val="18"/>
                <w:szCs w:val="18"/>
              </w:rPr>
            </w:pPr>
            <w:r w:rsidRPr="00E0770F">
              <w:rPr>
                <w:rFonts w:ascii="Arial" w:eastAsia="Arial" w:hAnsi="Arial"/>
                <w:b/>
                <w:sz w:val="18"/>
                <w:szCs w:val="18"/>
              </w:rPr>
              <w:t>Technological enabler</w:t>
            </w:r>
          </w:p>
        </w:tc>
        <w:tc>
          <w:tcPr>
            <w:tcW w:w="2405" w:type="dxa"/>
            <w:shd w:val="clear" w:color="auto" w:fill="D1D1D1" w:themeFill="background2" w:themeFillShade="E6"/>
            <w:tcMar>
              <w:top w:w="80" w:type="dxa"/>
              <w:left w:w="80" w:type="dxa"/>
              <w:bottom w:w="80" w:type="dxa"/>
              <w:right w:w="80" w:type="dxa"/>
            </w:tcMar>
          </w:tcPr>
          <w:p w14:paraId="7F457DEF" w14:textId="77777777" w:rsidR="00830431" w:rsidRPr="00E0770F" w:rsidRDefault="00830431" w:rsidP="00830431">
            <w:pPr>
              <w:spacing w:after="20" w:line="360" w:lineRule="auto"/>
              <w:rPr>
                <w:sz w:val="18"/>
                <w:szCs w:val="18"/>
              </w:rPr>
            </w:pPr>
            <w:r w:rsidRPr="00E0770F">
              <w:rPr>
                <w:rFonts w:ascii="Arial" w:eastAsia="Arial" w:hAnsi="Arial"/>
                <w:b/>
                <w:sz w:val="18"/>
                <w:szCs w:val="18"/>
              </w:rPr>
              <w:t>Scalability and sustainability judgement</w:t>
            </w:r>
          </w:p>
        </w:tc>
      </w:tr>
      <w:tr w:rsidR="00830431" w:rsidRPr="00E0770F" w14:paraId="742C4AC4" w14:textId="77777777" w:rsidTr="00E0770F">
        <w:trPr>
          <w:jc w:val="center"/>
        </w:trPr>
        <w:tc>
          <w:tcPr>
            <w:tcW w:w="2214" w:type="dxa"/>
            <w:tcMar>
              <w:top w:w="80" w:type="dxa"/>
              <w:left w:w="80" w:type="dxa"/>
              <w:bottom w:w="80" w:type="dxa"/>
              <w:right w:w="80" w:type="dxa"/>
            </w:tcMar>
          </w:tcPr>
          <w:p w14:paraId="39E1421E" w14:textId="77777777" w:rsidR="00830431" w:rsidRPr="00E0770F" w:rsidRDefault="00830431" w:rsidP="00830431">
            <w:pPr>
              <w:spacing w:after="20" w:line="360" w:lineRule="auto"/>
              <w:rPr>
                <w:sz w:val="18"/>
                <w:szCs w:val="18"/>
              </w:rPr>
            </w:pPr>
            <w:r w:rsidRPr="00E0770F">
              <w:rPr>
                <w:rFonts w:ascii="Arial" w:eastAsia="Arial" w:hAnsi="Arial"/>
                <w:sz w:val="18"/>
                <w:szCs w:val="18"/>
              </w:rPr>
              <w:t>E-commerce storefronts and online ordering</w:t>
            </w:r>
          </w:p>
        </w:tc>
        <w:tc>
          <w:tcPr>
            <w:tcW w:w="2050" w:type="dxa"/>
            <w:tcMar>
              <w:top w:w="80" w:type="dxa"/>
              <w:left w:w="80" w:type="dxa"/>
              <w:bottom w:w="80" w:type="dxa"/>
              <w:right w:w="80" w:type="dxa"/>
            </w:tcMar>
          </w:tcPr>
          <w:p w14:paraId="11B25D75" w14:textId="77777777" w:rsidR="00830431" w:rsidRPr="00E0770F" w:rsidRDefault="00830431" w:rsidP="00830431">
            <w:pPr>
              <w:spacing w:after="20" w:line="360" w:lineRule="auto"/>
              <w:rPr>
                <w:sz w:val="18"/>
                <w:szCs w:val="18"/>
              </w:rPr>
            </w:pPr>
            <w:r w:rsidRPr="00E0770F">
              <w:rPr>
                <w:rFonts w:ascii="Arial" w:eastAsia="Arial" w:hAnsi="Arial"/>
                <w:sz w:val="18"/>
                <w:szCs w:val="18"/>
              </w:rPr>
              <w:t>SME owners need a simple way to display products, availability and ordering without building a complex website.</w:t>
            </w:r>
          </w:p>
        </w:tc>
        <w:tc>
          <w:tcPr>
            <w:tcW w:w="2050" w:type="dxa"/>
            <w:tcMar>
              <w:top w:w="80" w:type="dxa"/>
              <w:left w:w="80" w:type="dxa"/>
              <w:bottom w:w="80" w:type="dxa"/>
              <w:right w:w="80" w:type="dxa"/>
            </w:tcMar>
          </w:tcPr>
          <w:p w14:paraId="02B7FBD8" w14:textId="77777777" w:rsidR="00830431" w:rsidRPr="00E0770F" w:rsidRDefault="00830431" w:rsidP="00830431">
            <w:pPr>
              <w:spacing w:after="20" w:line="360" w:lineRule="auto"/>
              <w:rPr>
                <w:sz w:val="18"/>
                <w:szCs w:val="18"/>
              </w:rPr>
            </w:pPr>
            <w:r w:rsidRPr="00E0770F">
              <w:rPr>
                <w:rFonts w:ascii="Arial" w:eastAsia="Arial" w:hAnsi="Arial"/>
                <w:sz w:val="18"/>
                <w:szCs w:val="18"/>
              </w:rPr>
              <w:t>Generic platforms can be too broad or time-consuming for microbusinesses that need a minimum viable commerce route.</w:t>
            </w:r>
          </w:p>
        </w:tc>
        <w:tc>
          <w:tcPr>
            <w:tcW w:w="1908" w:type="dxa"/>
            <w:tcMar>
              <w:top w:w="80" w:type="dxa"/>
              <w:left w:w="80" w:type="dxa"/>
              <w:bottom w:w="80" w:type="dxa"/>
              <w:right w:w="80" w:type="dxa"/>
            </w:tcMar>
          </w:tcPr>
          <w:p w14:paraId="674532A2" w14:textId="77777777" w:rsidR="00830431" w:rsidRPr="00E0770F" w:rsidRDefault="00830431" w:rsidP="00830431">
            <w:pPr>
              <w:spacing w:after="20" w:line="360" w:lineRule="auto"/>
              <w:rPr>
                <w:sz w:val="18"/>
                <w:szCs w:val="18"/>
              </w:rPr>
            </w:pPr>
            <w:r w:rsidRPr="00E0770F">
              <w:rPr>
                <w:rFonts w:ascii="Arial" w:eastAsia="Arial" w:hAnsi="Arial"/>
                <w:sz w:val="18"/>
                <w:szCs w:val="18"/>
              </w:rPr>
              <w:t>Low-code storefronts, mobile catalogues, QR links and hosted checkout pages.</w:t>
            </w:r>
          </w:p>
        </w:tc>
        <w:tc>
          <w:tcPr>
            <w:tcW w:w="2405" w:type="dxa"/>
            <w:tcMar>
              <w:top w:w="80" w:type="dxa"/>
              <w:left w:w="80" w:type="dxa"/>
              <w:bottom w:w="80" w:type="dxa"/>
              <w:right w:w="80" w:type="dxa"/>
            </w:tcMar>
          </w:tcPr>
          <w:p w14:paraId="64B44E4A" w14:textId="77777777" w:rsidR="00830431" w:rsidRPr="00E0770F" w:rsidRDefault="00830431" w:rsidP="00830431">
            <w:pPr>
              <w:spacing w:after="20" w:line="360" w:lineRule="auto"/>
              <w:rPr>
                <w:sz w:val="18"/>
                <w:szCs w:val="18"/>
              </w:rPr>
            </w:pPr>
            <w:r w:rsidRPr="00E0770F">
              <w:rPr>
                <w:rFonts w:ascii="Arial" w:eastAsia="Arial" w:hAnsi="Arial"/>
                <w:sz w:val="18"/>
                <w:szCs w:val="18"/>
              </w:rPr>
              <w:t>High priority. It is scalable across retail, food, service and rural producer segments if onboarding remains simple.</w:t>
            </w:r>
          </w:p>
        </w:tc>
      </w:tr>
      <w:tr w:rsidR="00830431" w:rsidRPr="00E0770F" w14:paraId="1E19C8A8" w14:textId="77777777" w:rsidTr="00E0770F">
        <w:trPr>
          <w:jc w:val="center"/>
        </w:trPr>
        <w:tc>
          <w:tcPr>
            <w:tcW w:w="2214" w:type="dxa"/>
            <w:tcMar>
              <w:top w:w="80" w:type="dxa"/>
              <w:left w:w="80" w:type="dxa"/>
              <w:bottom w:w="80" w:type="dxa"/>
              <w:right w:w="80" w:type="dxa"/>
            </w:tcMar>
          </w:tcPr>
          <w:p w14:paraId="623D31E5" w14:textId="77777777" w:rsidR="00830431" w:rsidRPr="00E0770F" w:rsidRDefault="00830431" w:rsidP="00830431">
            <w:pPr>
              <w:spacing w:after="20" w:line="360" w:lineRule="auto"/>
              <w:rPr>
                <w:sz w:val="18"/>
                <w:szCs w:val="18"/>
              </w:rPr>
            </w:pPr>
            <w:r w:rsidRPr="00E0770F">
              <w:rPr>
                <w:rFonts w:ascii="Arial" w:eastAsia="Arial" w:hAnsi="Arial"/>
                <w:sz w:val="18"/>
                <w:szCs w:val="18"/>
              </w:rPr>
              <w:t>Integrated digital payments</w:t>
            </w:r>
          </w:p>
        </w:tc>
        <w:tc>
          <w:tcPr>
            <w:tcW w:w="2050" w:type="dxa"/>
            <w:tcMar>
              <w:top w:w="80" w:type="dxa"/>
              <w:left w:w="80" w:type="dxa"/>
              <w:bottom w:w="80" w:type="dxa"/>
              <w:right w:w="80" w:type="dxa"/>
            </w:tcMar>
          </w:tcPr>
          <w:p w14:paraId="60AFFF39" w14:textId="77777777" w:rsidR="00830431" w:rsidRPr="00E0770F" w:rsidRDefault="00830431" w:rsidP="00830431">
            <w:pPr>
              <w:spacing w:after="20" w:line="360" w:lineRule="auto"/>
              <w:rPr>
                <w:sz w:val="18"/>
                <w:szCs w:val="18"/>
              </w:rPr>
            </w:pPr>
            <w:r w:rsidRPr="00E0770F">
              <w:rPr>
                <w:rFonts w:ascii="Arial" w:eastAsia="Arial" w:hAnsi="Arial"/>
                <w:sz w:val="18"/>
                <w:szCs w:val="18"/>
              </w:rPr>
              <w:t>Customers expect secure and quick payment, while owners want fewer manual bank transfers and less payment uncertainty.</w:t>
            </w:r>
          </w:p>
        </w:tc>
        <w:tc>
          <w:tcPr>
            <w:tcW w:w="2050" w:type="dxa"/>
            <w:tcMar>
              <w:top w:w="80" w:type="dxa"/>
              <w:left w:w="80" w:type="dxa"/>
              <w:bottom w:w="80" w:type="dxa"/>
              <w:right w:w="80" w:type="dxa"/>
            </w:tcMar>
          </w:tcPr>
          <w:p w14:paraId="5ADF1029" w14:textId="77777777" w:rsidR="00830431" w:rsidRPr="00E0770F" w:rsidRDefault="00830431" w:rsidP="00830431">
            <w:pPr>
              <w:spacing w:after="20" w:line="360" w:lineRule="auto"/>
              <w:rPr>
                <w:sz w:val="18"/>
                <w:szCs w:val="18"/>
              </w:rPr>
            </w:pPr>
            <w:r w:rsidRPr="00E0770F">
              <w:rPr>
                <w:rFonts w:ascii="Arial" w:eastAsia="Arial" w:hAnsi="Arial"/>
                <w:sz w:val="18"/>
                <w:szCs w:val="18"/>
              </w:rPr>
              <w:t>Payment tools often sit separately from social media orders and informal customer messaging.</w:t>
            </w:r>
          </w:p>
        </w:tc>
        <w:tc>
          <w:tcPr>
            <w:tcW w:w="1908" w:type="dxa"/>
            <w:tcMar>
              <w:top w:w="80" w:type="dxa"/>
              <w:left w:w="80" w:type="dxa"/>
              <w:bottom w:w="80" w:type="dxa"/>
              <w:right w:w="80" w:type="dxa"/>
            </w:tcMar>
          </w:tcPr>
          <w:p w14:paraId="3A7BE8A9" w14:textId="77777777" w:rsidR="00830431" w:rsidRPr="00E0770F" w:rsidRDefault="00830431" w:rsidP="00830431">
            <w:pPr>
              <w:spacing w:after="20" w:line="360" w:lineRule="auto"/>
              <w:rPr>
                <w:sz w:val="18"/>
                <w:szCs w:val="18"/>
              </w:rPr>
            </w:pPr>
            <w:r w:rsidRPr="00E0770F">
              <w:rPr>
                <w:rFonts w:ascii="Arial" w:eastAsia="Arial" w:hAnsi="Arial"/>
                <w:sz w:val="18"/>
                <w:szCs w:val="18"/>
              </w:rPr>
              <w:t>Payment links, QR codes, embedded card payment and automated confirmations.</w:t>
            </w:r>
          </w:p>
        </w:tc>
        <w:tc>
          <w:tcPr>
            <w:tcW w:w="2405" w:type="dxa"/>
            <w:tcMar>
              <w:top w:w="80" w:type="dxa"/>
              <w:left w:w="80" w:type="dxa"/>
              <w:bottom w:w="80" w:type="dxa"/>
              <w:right w:w="80" w:type="dxa"/>
            </w:tcMar>
          </w:tcPr>
          <w:p w14:paraId="3E996739" w14:textId="77777777" w:rsidR="00830431" w:rsidRPr="00E0770F" w:rsidRDefault="00830431" w:rsidP="00830431">
            <w:pPr>
              <w:spacing w:after="20" w:line="360" w:lineRule="auto"/>
              <w:rPr>
                <w:sz w:val="18"/>
                <w:szCs w:val="18"/>
              </w:rPr>
            </w:pPr>
            <w:r w:rsidRPr="00E0770F">
              <w:rPr>
                <w:rFonts w:ascii="Arial" w:eastAsia="Arial" w:hAnsi="Arial"/>
                <w:sz w:val="18"/>
                <w:szCs w:val="18"/>
              </w:rPr>
              <w:t>High priority. It improves trust and cash flow, although fees must be transparent for smaller firms.</w:t>
            </w:r>
          </w:p>
        </w:tc>
      </w:tr>
      <w:tr w:rsidR="00830431" w:rsidRPr="00E0770F" w14:paraId="3D40FEB5" w14:textId="77777777" w:rsidTr="00E0770F">
        <w:trPr>
          <w:jc w:val="center"/>
        </w:trPr>
        <w:tc>
          <w:tcPr>
            <w:tcW w:w="2214" w:type="dxa"/>
            <w:tcMar>
              <w:top w:w="80" w:type="dxa"/>
              <w:left w:w="80" w:type="dxa"/>
              <w:bottom w:w="80" w:type="dxa"/>
              <w:right w:w="80" w:type="dxa"/>
            </w:tcMar>
          </w:tcPr>
          <w:p w14:paraId="5E338B6D" w14:textId="77777777" w:rsidR="00830431" w:rsidRPr="00E0770F" w:rsidRDefault="00830431" w:rsidP="00830431">
            <w:pPr>
              <w:spacing w:after="20" w:line="360" w:lineRule="auto"/>
              <w:rPr>
                <w:sz w:val="18"/>
                <w:szCs w:val="18"/>
              </w:rPr>
            </w:pPr>
            <w:r w:rsidRPr="00E0770F">
              <w:rPr>
                <w:rFonts w:ascii="Arial" w:eastAsia="Arial" w:hAnsi="Arial"/>
                <w:sz w:val="18"/>
                <w:szCs w:val="18"/>
              </w:rPr>
              <w:t>Social commerce and digital marketing support</w:t>
            </w:r>
          </w:p>
        </w:tc>
        <w:tc>
          <w:tcPr>
            <w:tcW w:w="2050" w:type="dxa"/>
            <w:tcMar>
              <w:top w:w="80" w:type="dxa"/>
              <w:left w:w="80" w:type="dxa"/>
              <w:bottom w:w="80" w:type="dxa"/>
              <w:right w:w="80" w:type="dxa"/>
            </w:tcMar>
          </w:tcPr>
          <w:p w14:paraId="7A78CFDA" w14:textId="77777777" w:rsidR="00830431" w:rsidRPr="00E0770F" w:rsidRDefault="00830431" w:rsidP="00830431">
            <w:pPr>
              <w:spacing w:after="20" w:line="360" w:lineRule="auto"/>
              <w:rPr>
                <w:sz w:val="18"/>
                <w:szCs w:val="18"/>
              </w:rPr>
            </w:pPr>
            <w:r w:rsidRPr="00E0770F">
              <w:rPr>
                <w:rFonts w:ascii="Arial" w:eastAsia="Arial" w:hAnsi="Arial"/>
                <w:sz w:val="18"/>
                <w:szCs w:val="18"/>
              </w:rPr>
              <w:t>Many SMEs already use Facebook, Instagram or WhatsApp but struggle to turn attention into confirmed orders.</w:t>
            </w:r>
          </w:p>
        </w:tc>
        <w:tc>
          <w:tcPr>
            <w:tcW w:w="2050" w:type="dxa"/>
            <w:tcMar>
              <w:top w:w="80" w:type="dxa"/>
              <w:left w:w="80" w:type="dxa"/>
              <w:bottom w:w="80" w:type="dxa"/>
              <w:right w:w="80" w:type="dxa"/>
            </w:tcMar>
          </w:tcPr>
          <w:p w14:paraId="07CAD6AF" w14:textId="77777777" w:rsidR="00830431" w:rsidRPr="00E0770F" w:rsidRDefault="00830431" w:rsidP="00830431">
            <w:pPr>
              <w:spacing w:after="20" w:line="360" w:lineRule="auto"/>
              <w:rPr>
                <w:sz w:val="18"/>
                <w:szCs w:val="18"/>
              </w:rPr>
            </w:pPr>
            <w:r w:rsidRPr="00E0770F">
              <w:rPr>
                <w:rFonts w:ascii="Arial" w:eastAsia="Arial" w:hAnsi="Arial"/>
                <w:sz w:val="18"/>
                <w:szCs w:val="18"/>
              </w:rPr>
              <w:t>There is a gap between social visibility and structured conversion, especially for owners with limited marketing time.</w:t>
            </w:r>
          </w:p>
        </w:tc>
        <w:tc>
          <w:tcPr>
            <w:tcW w:w="1908" w:type="dxa"/>
            <w:tcMar>
              <w:top w:w="80" w:type="dxa"/>
              <w:left w:w="80" w:type="dxa"/>
              <w:bottom w:w="80" w:type="dxa"/>
              <w:right w:w="80" w:type="dxa"/>
            </w:tcMar>
          </w:tcPr>
          <w:p w14:paraId="0B9AAE0D" w14:textId="77777777" w:rsidR="00830431" w:rsidRPr="00E0770F" w:rsidRDefault="00830431" w:rsidP="00830431">
            <w:pPr>
              <w:spacing w:after="20" w:line="360" w:lineRule="auto"/>
              <w:rPr>
                <w:sz w:val="18"/>
                <w:szCs w:val="18"/>
              </w:rPr>
            </w:pPr>
            <w:r w:rsidRPr="00E0770F">
              <w:rPr>
                <w:rFonts w:ascii="Arial" w:eastAsia="Arial" w:hAnsi="Arial"/>
                <w:sz w:val="18"/>
                <w:szCs w:val="18"/>
              </w:rPr>
              <w:t>Social storefront links, simple campaign templates, customer messaging and basic analytics.</w:t>
            </w:r>
          </w:p>
        </w:tc>
        <w:tc>
          <w:tcPr>
            <w:tcW w:w="2405" w:type="dxa"/>
            <w:tcMar>
              <w:top w:w="80" w:type="dxa"/>
              <w:left w:w="80" w:type="dxa"/>
              <w:bottom w:w="80" w:type="dxa"/>
              <w:right w:w="80" w:type="dxa"/>
            </w:tcMar>
          </w:tcPr>
          <w:p w14:paraId="4813DE39" w14:textId="250A1E99" w:rsidR="00830431" w:rsidRPr="00E0770F" w:rsidRDefault="00830431" w:rsidP="00830431">
            <w:pPr>
              <w:spacing w:after="20" w:line="360" w:lineRule="auto"/>
              <w:rPr>
                <w:rFonts w:ascii="Arial" w:eastAsia="Arial" w:hAnsi="Arial"/>
                <w:sz w:val="18"/>
                <w:szCs w:val="18"/>
              </w:rPr>
            </w:pPr>
            <w:r w:rsidRPr="00E0770F">
              <w:rPr>
                <w:rFonts w:ascii="Arial" w:eastAsia="Arial" w:hAnsi="Arial"/>
                <w:sz w:val="18"/>
                <w:szCs w:val="18"/>
              </w:rPr>
              <w:t>Medium to high priority. It can scale across sectors, but support is needed so owners do not feel over</w:t>
            </w:r>
            <w:r w:rsidR="00E0770F" w:rsidRPr="00E0770F">
              <w:rPr>
                <w:rFonts w:ascii="Arial" w:eastAsia="Arial" w:hAnsi="Arial"/>
                <w:sz w:val="18"/>
                <w:szCs w:val="18"/>
              </w:rPr>
              <w:t xml:space="preserve"> </w:t>
            </w:r>
            <w:r w:rsidRPr="00E0770F">
              <w:rPr>
                <w:rFonts w:ascii="Arial" w:eastAsia="Arial" w:hAnsi="Arial"/>
                <w:sz w:val="18"/>
                <w:szCs w:val="18"/>
              </w:rPr>
              <w:t>loaded.</w:t>
            </w:r>
          </w:p>
        </w:tc>
      </w:tr>
      <w:tr w:rsidR="00830431" w:rsidRPr="00E0770F" w14:paraId="6A07EAD3" w14:textId="77777777" w:rsidTr="00E0770F">
        <w:trPr>
          <w:jc w:val="center"/>
        </w:trPr>
        <w:tc>
          <w:tcPr>
            <w:tcW w:w="2214" w:type="dxa"/>
            <w:tcMar>
              <w:top w:w="80" w:type="dxa"/>
              <w:left w:w="80" w:type="dxa"/>
              <w:bottom w:w="80" w:type="dxa"/>
              <w:right w:w="80" w:type="dxa"/>
            </w:tcMar>
          </w:tcPr>
          <w:p w14:paraId="017842F8" w14:textId="77777777" w:rsidR="00830431" w:rsidRPr="00E0770F" w:rsidRDefault="00830431" w:rsidP="00830431">
            <w:pPr>
              <w:spacing w:after="20" w:line="360" w:lineRule="auto"/>
              <w:rPr>
                <w:sz w:val="18"/>
                <w:szCs w:val="18"/>
              </w:rPr>
            </w:pPr>
            <w:r w:rsidRPr="00E0770F">
              <w:rPr>
                <w:rFonts w:ascii="Arial" w:eastAsia="Arial" w:hAnsi="Arial"/>
                <w:sz w:val="18"/>
                <w:szCs w:val="18"/>
              </w:rPr>
              <w:t>Retail and order management software</w:t>
            </w:r>
          </w:p>
        </w:tc>
        <w:tc>
          <w:tcPr>
            <w:tcW w:w="2050" w:type="dxa"/>
            <w:tcMar>
              <w:top w:w="80" w:type="dxa"/>
              <w:left w:w="80" w:type="dxa"/>
              <w:bottom w:w="80" w:type="dxa"/>
              <w:right w:w="80" w:type="dxa"/>
            </w:tcMar>
          </w:tcPr>
          <w:p w14:paraId="7DADD611" w14:textId="77777777" w:rsidR="00830431" w:rsidRPr="00E0770F" w:rsidRDefault="00830431" w:rsidP="00830431">
            <w:pPr>
              <w:spacing w:after="20" w:line="360" w:lineRule="auto"/>
              <w:rPr>
                <w:sz w:val="18"/>
                <w:szCs w:val="18"/>
              </w:rPr>
            </w:pPr>
            <w:r w:rsidRPr="00E0770F">
              <w:rPr>
                <w:rFonts w:ascii="Arial" w:eastAsia="Arial" w:hAnsi="Arial"/>
                <w:sz w:val="18"/>
                <w:szCs w:val="18"/>
              </w:rPr>
              <w:t>Owners lose time through missed messages, stock errors, repeated questions and unclear order status.</w:t>
            </w:r>
          </w:p>
        </w:tc>
        <w:tc>
          <w:tcPr>
            <w:tcW w:w="2050" w:type="dxa"/>
            <w:tcMar>
              <w:top w:w="80" w:type="dxa"/>
              <w:left w:w="80" w:type="dxa"/>
              <w:bottom w:w="80" w:type="dxa"/>
              <w:right w:w="80" w:type="dxa"/>
            </w:tcMar>
          </w:tcPr>
          <w:p w14:paraId="10FA504D" w14:textId="77777777" w:rsidR="00830431" w:rsidRPr="00E0770F" w:rsidRDefault="00830431" w:rsidP="00830431">
            <w:pPr>
              <w:spacing w:after="20" w:line="360" w:lineRule="auto"/>
              <w:rPr>
                <w:sz w:val="18"/>
                <w:szCs w:val="18"/>
              </w:rPr>
            </w:pPr>
            <w:r w:rsidRPr="00E0770F">
              <w:rPr>
                <w:rFonts w:ascii="Arial" w:eastAsia="Arial" w:hAnsi="Arial"/>
                <w:sz w:val="18"/>
                <w:szCs w:val="18"/>
              </w:rPr>
              <w:t>Enterprise systems are often too expensive or complex, while small tools may not connect ordering, payment and fulfilment.</w:t>
            </w:r>
          </w:p>
        </w:tc>
        <w:tc>
          <w:tcPr>
            <w:tcW w:w="1908" w:type="dxa"/>
            <w:tcMar>
              <w:top w:w="80" w:type="dxa"/>
              <w:left w:w="80" w:type="dxa"/>
              <w:bottom w:w="80" w:type="dxa"/>
              <w:right w:w="80" w:type="dxa"/>
            </w:tcMar>
          </w:tcPr>
          <w:p w14:paraId="6DE75E3B" w14:textId="77777777" w:rsidR="00830431" w:rsidRPr="00E0770F" w:rsidRDefault="00830431" w:rsidP="00830431">
            <w:pPr>
              <w:spacing w:after="20" w:line="360" w:lineRule="auto"/>
              <w:rPr>
                <w:sz w:val="18"/>
                <w:szCs w:val="18"/>
              </w:rPr>
            </w:pPr>
            <w:r w:rsidRPr="00E0770F">
              <w:rPr>
                <w:rFonts w:ascii="Arial" w:eastAsia="Arial" w:hAnsi="Arial"/>
                <w:sz w:val="18"/>
                <w:szCs w:val="18"/>
              </w:rPr>
              <w:t>Cloud order dashboards, live stock status, customer notifications and CRM-lite records.</w:t>
            </w:r>
          </w:p>
        </w:tc>
        <w:tc>
          <w:tcPr>
            <w:tcW w:w="2405" w:type="dxa"/>
            <w:tcMar>
              <w:top w:w="80" w:type="dxa"/>
              <w:left w:w="80" w:type="dxa"/>
              <w:bottom w:w="80" w:type="dxa"/>
              <w:right w:w="80" w:type="dxa"/>
            </w:tcMar>
          </w:tcPr>
          <w:p w14:paraId="6016E97B" w14:textId="77777777" w:rsidR="00830431" w:rsidRPr="00E0770F" w:rsidRDefault="00830431" w:rsidP="00830431">
            <w:pPr>
              <w:spacing w:after="20" w:line="360" w:lineRule="auto"/>
              <w:rPr>
                <w:sz w:val="18"/>
                <w:szCs w:val="18"/>
              </w:rPr>
            </w:pPr>
            <w:r w:rsidRPr="00E0770F">
              <w:rPr>
                <w:rFonts w:ascii="Arial" w:eastAsia="Arial" w:hAnsi="Arial"/>
                <w:sz w:val="18"/>
                <w:szCs w:val="18"/>
              </w:rPr>
              <w:t>High priority. It reduces operational pressure and directly supports the customer journey.</w:t>
            </w:r>
          </w:p>
        </w:tc>
      </w:tr>
      <w:tr w:rsidR="00830431" w:rsidRPr="00E0770F" w14:paraId="574914EB" w14:textId="77777777" w:rsidTr="00E0770F">
        <w:trPr>
          <w:jc w:val="center"/>
        </w:trPr>
        <w:tc>
          <w:tcPr>
            <w:tcW w:w="2214" w:type="dxa"/>
            <w:tcMar>
              <w:top w:w="80" w:type="dxa"/>
              <w:left w:w="80" w:type="dxa"/>
              <w:bottom w:w="80" w:type="dxa"/>
              <w:right w:w="80" w:type="dxa"/>
            </w:tcMar>
          </w:tcPr>
          <w:p w14:paraId="4CC88402" w14:textId="77777777" w:rsidR="00830431" w:rsidRPr="00E0770F" w:rsidRDefault="00830431" w:rsidP="00830431">
            <w:pPr>
              <w:spacing w:after="20" w:line="360" w:lineRule="auto"/>
              <w:rPr>
                <w:sz w:val="18"/>
                <w:szCs w:val="18"/>
              </w:rPr>
            </w:pPr>
            <w:r w:rsidRPr="00E0770F">
              <w:rPr>
                <w:rFonts w:ascii="Arial" w:eastAsia="Arial" w:hAnsi="Arial"/>
                <w:sz w:val="18"/>
                <w:szCs w:val="18"/>
              </w:rPr>
              <w:t>Local fulfilment coordination</w:t>
            </w:r>
          </w:p>
        </w:tc>
        <w:tc>
          <w:tcPr>
            <w:tcW w:w="2050" w:type="dxa"/>
            <w:tcMar>
              <w:top w:w="80" w:type="dxa"/>
              <w:left w:w="80" w:type="dxa"/>
              <w:bottom w:w="80" w:type="dxa"/>
              <w:right w:w="80" w:type="dxa"/>
            </w:tcMar>
          </w:tcPr>
          <w:p w14:paraId="437D1505" w14:textId="77777777" w:rsidR="00830431" w:rsidRPr="00E0770F" w:rsidRDefault="00830431" w:rsidP="00830431">
            <w:pPr>
              <w:spacing w:after="20" w:line="360" w:lineRule="auto"/>
              <w:rPr>
                <w:sz w:val="18"/>
                <w:szCs w:val="18"/>
              </w:rPr>
            </w:pPr>
            <w:r w:rsidRPr="00E0770F">
              <w:rPr>
                <w:rFonts w:ascii="Arial" w:eastAsia="Arial" w:hAnsi="Arial"/>
                <w:sz w:val="18"/>
                <w:szCs w:val="18"/>
              </w:rPr>
              <w:t>Customers want convenient delivery or collection, but SMEs face irregular demand, courier costs and route uncertainty.</w:t>
            </w:r>
          </w:p>
        </w:tc>
        <w:tc>
          <w:tcPr>
            <w:tcW w:w="2050" w:type="dxa"/>
            <w:tcMar>
              <w:top w:w="80" w:type="dxa"/>
              <w:left w:w="80" w:type="dxa"/>
              <w:bottom w:w="80" w:type="dxa"/>
              <w:right w:w="80" w:type="dxa"/>
            </w:tcMar>
          </w:tcPr>
          <w:p w14:paraId="309C47EB" w14:textId="77777777" w:rsidR="00830431" w:rsidRPr="00E0770F" w:rsidRDefault="00830431" w:rsidP="00830431">
            <w:pPr>
              <w:spacing w:after="20" w:line="360" w:lineRule="auto"/>
              <w:rPr>
                <w:sz w:val="18"/>
                <w:szCs w:val="18"/>
              </w:rPr>
            </w:pPr>
            <w:r w:rsidRPr="00E0770F">
              <w:rPr>
                <w:rFonts w:ascii="Arial" w:eastAsia="Arial" w:hAnsi="Arial"/>
                <w:sz w:val="18"/>
                <w:szCs w:val="18"/>
              </w:rPr>
              <w:t>National courier systems do not always fit low-volume local demand or community-based delivery models.</w:t>
            </w:r>
          </w:p>
        </w:tc>
        <w:tc>
          <w:tcPr>
            <w:tcW w:w="1908" w:type="dxa"/>
            <w:tcMar>
              <w:top w:w="80" w:type="dxa"/>
              <w:left w:w="80" w:type="dxa"/>
              <w:bottom w:w="80" w:type="dxa"/>
              <w:right w:w="80" w:type="dxa"/>
            </w:tcMar>
          </w:tcPr>
          <w:p w14:paraId="767FD9CF" w14:textId="77777777" w:rsidR="00830431" w:rsidRPr="00E0770F" w:rsidRDefault="00830431" w:rsidP="00830431">
            <w:pPr>
              <w:spacing w:after="20" w:line="360" w:lineRule="auto"/>
              <w:rPr>
                <w:sz w:val="18"/>
                <w:szCs w:val="18"/>
              </w:rPr>
            </w:pPr>
            <w:r w:rsidRPr="00E0770F">
              <w:rPr>
                <w:rFonts w:ascii="Arial" w:eastAsia="Arial" w:hAnsi="Arial"/>
                <w:sz w:val="18"/>
                <w:szCs w:val="18"/>
              </w:rPr>
              <w:t>Route planning, delivery status updates, click-and-collect slots and local courier assignment.</w:t>
            </w:r>
          </w:p>
        </w:tc>
        <w:tc>
          <w:tcPr>
            <w:tcW w:w="2405" w:type="dxa"/>
            <w:tcMar>
              <w:top w:w="80" w:type="dxa"/>
              <w:left w:w="80" w:type="dxa"/>
              <w:bottom w:w="80" w:type="dxa"/>
              <w:right w:w="80" w:type="dxa"/>
            </w:tcMar>
          </w:tcPr>
          <w:p w14:paraId="21D3D96E" w14:textId="77777777" w:rsidR="00830431" w:rsidRPr="00E0770F" w:rsidRDefault="00830431" w:rsidP="00830431">
            <w:pPr>
              <w:spacing w:after="20" w:line="360" w:lineRule="auto"/>
              <w:rPr>
                <w:sz w:val="18"/>
                <w:szCs w:val="18"/>
              </w:rPr>
            </w:pPr>
            <w:r w:rsidRPr="00E0770F">
              <w:rPr>
                <w:rFonts w:ascii="Arial" w:eastAsia="Arial" w:hAnsi="Arial"/>
                <w:sz w:val="18"/>
                <w:szCs w:val="18"/>
              </w:rPr>
              <w:t>Medium priority at MVP stage. It has sustainability potential if deliveries are consolidated and demand density is sufficient.</w:t>
            </w:r>
          </w:p>
        </w:tc>
      </w:tr>
    </w:tbl>
    <w:p w14:paraId="6CDD66C5" w14:textId="77777777" w:rsidR="00034DF4" w:rsidRDefault="00034DF4" w:rsidP="00830431">
      <w:pPr>
        <w:spacing w:before="120" w:after="160" w:line="360" w:lineRule="auto"/>
        <w:rPr>
          <w:rFonts w:ascii="Arial" w:hAnsi="Arial" w:cs="Arial"/>
          <w:b/>
          <w:sz w:val="24"/>
          <w:szCs w:val="24"/>
        </w:rPr>
      </w:pPr>
    </w:p>
    <w:p w14:paraId="1A100F16" w14:textId="56796918" w:rsidR="00034DF4" w:rsidRPr="00576E85" w:rsidRDefault="00034DF4" w:rsidP="00034DF4">
      <w:pPr>
        <w:pStyle w:val="ListNumber"/>
        <w:numPr>
          <w:ilvl w:val="0"/>
          <w:numId w:val="0"/>
        </w:numPr>
        <w:spacing w:line="360" w:lineRule="auto"/>
        <w:rPr>
          <w:rFonts w:ascii="Arial" w:hAnsi="Arial" w:cs="Arial"/>
        </w:rPr>
      </w:pPr>
      <w:r w:rsidRPr="00576E85">
        <w:rPr>
          <w:rFonts w:ascii="Arial" w:hAnsi="Arial" w:cs="Arial"/>
        </w:rPr>
        <w:lastRenderedPageBreak/>
        <w:t>This matrix supports Task 1 by showing how the main opportunity areas were evaluated before selecting the integrated LocalLink Digital venture concept.</w:t>
      </w:r>
    </w:p>
    <w:p w14:paraId="2D7F6066" w14:textId="3ADF0D5A" w:rsidR="00830431" w:rsidRPr="00576E85" w:rsidRDefault="00830431" w:rsidP="00830431">
      <w:pPr>
        <w:spacing w:before="120" w:after="160" w:line="360" w:lineRule="auto"/>
        <w:rPr>
          <w:rFonts w:ascii="Arial" w:hAnsi="Arial" w:cs="Arial"/>
        </w:rPr>
      </w:pPr>
      <w:r w:rsidRPr="00576E85">
        <w:rPr>
          <w:rFonts w:ascii="Arial" w:hAnsi="Arial" w:cs="Arial"/>
          <w:b/>
        </w:rPr>
        <w:t xml:space="preserve">Overall judgement: </w:t>
      </w:r>
      <w:r w:rsidRPr="00576E85">
        <w:rPr>
          <w:rFonts w:ascii="Arial" w:hAnsi="Arial" w:cs="Arial"/>
        </w:rPr>
        <w:t>the strongest opportunity is not a single tool but the integration of storefront, payment, order management and staged fulfilment support. This is why LocalLink Digital is developed as an enablement platform rather than as only a website builder or delivery service.</w:t>
      </w:r>
    </w:p>
    <w:p w14:paraId="35A0C3C6" w14:textId="31BA4771" w:rsidR="00830431" w:rsidRPr="00E0770F" w:rsidRDefault="00E0770F" w:rsidP="00830431">
      <w:pPr>
        <w:spacing w:before="120" w:after="160" w:line="360" w:lineRule="auto"/>
        <w:rPr>
          <w:rFonts w:ascii="Arial" w:hAnsi="Arial" w:cs="Arial"/>
          <w:b/>
          <w:bCs/>
          <w:sz w:val="28"/>
          <w:szCs w:val="28"/>
        </w:rPr>
      </w:pPr>
      <w:r w:rsidRPr="00E0770F">
        <w:rPr>
          <w:rFonts w:ascii="Arial" w:hAnsi="Arial" w:cs="Arial"/>
          <w:b/>
          <w:bCs/>
          <w:sz w:val="28"/>
          <w:szCs w:val="28"/>
        </w:rPr>
        <w:t xml:space="preserve">Appendix B: Customer Journey Map </w:t>
      </w:r>
    </w:p>
    <w:tbl>
      <w:tblPr>
        <w:tblStyle w:val="TableGrid"/>
        <w:tblW w:w="9360" w:type="dxa"/>
        <w:jc w:val="center"/>
        <w:tblLayout w:type="fixed"/>
        <w:tblLook w:val="04A0" w:firstRow="1" w:lastRow="0" w:firstColumn="1" w:lastColumn="0" w:noHBand="0" w:noVBand="1"/>
      </w:tblPr>
      <w:tblGrid>
        <w:gridCol w:w="1200"/>
        <w:gridCol w:w="2000"/>
        <w:gridCol w:w="2100"/>
        <w:gridCol w:w="2450"/>
        <w:gridCol w:w="1610"/>
      </w:tblGrid>
      <w:tr w:rsidR="00E0770F" w14:paraId="3C7DD4CD" w14:textId="77777777" w:rsidTr="00E0770F">
        <w:trPr>
          <w:tblHeader/>
          <w:jc w:val="center"/>
        </w:trPr>
        <w:tc>
          <w:tcPr>
            <w:tcW w:w="1200" w:type="dxa"/>
            <w:shd w:val="clear" w:color="auto" w:fill="D1D1D1" w:themeFill="background2" w:themeFillShade="E6"/>
            <w:tcMar>
              <w:top w:w="80" w:type="dxa"/>
              <w:left w:w="80" w:type="dxa"/>
              <w:bottom w:w="80" w:type="dxa"/>
              <w:right w:w="80" w:type="dxa"/>
            </w:tcMar>
          </w:tcPr>
          <w:p w14:paraId="4335BBCE" w14:textId="77777777" w:rsidR="00E0770F" w:rsidRPr="00E0770F" w:rsidRDefault="00E0770F" w:rsidP="00C83AD0">
            <w:pPr>
              <w:spacing w:after="20"/>
              <w:rPr>
                <w:sz w:val="20"/>
                <w:szCs w:val="20"/>
              </w:rPr>
            </w:pPr>
            <w:r w:rsidRPr="00E0770F">
              <w:rPr>
                <w:rFonts w:ascii="Arial" w:eastAsia="Arial" w:hAnsi="Arial"/>
                <w:b/>
                <w:sz w:val="20"/>
                <w:szCs w:val="20"/>
              </w:rPr>
              <w:t>Stage</w:t>
            </w:r>
          </w:p>
        </w:tc>
        <w:tc>
          <w:tcPr>
            <w:tcW w:w="2000" w:type="dxa"/>
            <w:shd w:val="clear" w:color="auto" w:fill="D1D1D1" w:themeFill="background2" w:themeFillShade="E6"/>
            <w:tcMar>
              <w:top w:w="80" w:type="dxa"/>
              <w:left w:w="80" w:type="dxa"/>
              <w:bottom w:w="80" w:type="dxa"/>
              <w:right w:w="80" w:type="dxa"/>
            </w:tcMar>
          </w:tcPr>
          <w:p w14:paraId="7F72ADBE" w14:textId="77777777" w:rsidR="00E0770F" w:rsidRPr="00E0770F" w:rsidRDefault="00E0770F" w:rsidP="00C83AD0">
            <w:pPr>
              <w:spacing w:after="20"/>
              <w:rPr>
                <w:sz w:val="20"/>
                <w:szCs w:val="20"/>
              </w:rPr>
            </w:pPr>
            <w:r w:rsidRPr="00E0770F">
              <w:rPr>
                <w:rFonts w:ascii="Arial" w:eastAsia="Arial" w:hAnsi="Arial"/>
                <w:b/>
                <w:sz w:val="20"/>
                <w:szCs w:val="20"/>
              </w:rPr>
              <w:t>User action</w:t>
            </w:r>
          </w:p>
        </w:tc>
        <w:tc>
          <w:tcPr>
            <w:tcW w:w="2100" w:type="dxa"/>
            <w:shd w:val="clear" w:color="auto" w:fill="D1D1D1" w:themeFill="background2" w:themeFillShade="E6"/>
            <w:tcMar>
              <w:top w:w="80" w:type="dxa"/>
              <w:left w:w="80" w:type="dxa"/>
              <w:bottom w:w="80" w:type="dxa"/>
              <w:right w:w="80" w:type="dxa"/>
            </w:tcMar>
          </w:tcPr>
          <w:p w14:paraId="6D80560B" w14:textId="77777777" w:rsidR="00E0770F" w:rsidRPr="00E0770F" w:rsidRDefault="00E0770F" w:rsidP="00C83AD0">
            <w:pPr>
              <w:spacing w:after="20"/>
              <w:rPr>
                <w:sz w:val="20"/>
                <w:szCs w:val="20"/>
              </w:rPr>
            </w:pPr>
            <w:r w:rsidRPr="00E0770F">
              <w:rPr>
                <w:rFonts w:ascii="Arial" w:eastAsia="Arial" w:hAnsi="Arial"/>
                <w:b/>
                <w:sz w:val="20"/>
                <w:szCs w:val="20"/>
              </w:rPr>
              <w:t>Pain point</w:t>
            </w:r>
          </w:p>
        </w:tc>
        <w:tc>
          <w:tcPr>
            <w:tcW w:w="2450" w:type="dxa"/>
            <w:shd w:val="clear" w:color="auto" w:fill="D1D1D1" w:themeFill="background2" w:themeFillShade="E6"/>
            <w:tcMar>
              <w:top w:w="80" w:type="dxa"/>
              <w:left w:w="80" w:type="dxa"/>
              <w:bottom w:w="80" w:type="dxa"/>
              <w:right w:w="80" w:type="dxa"/>
            </w:tcMar>
          </w:tcPr>
          <w:p w14:paraId="6F71E64B" w14:textId="77777777" w:rsidR="00E0770F" w:rsidRPr="00E0770F" w:rsidRDefault="00E0770F" w:rsidP="00C83AD0">
            <w:pPr>
              <w:spacing w:after="20"/>
              <w:rPr>
                <w:sz w:val="20"/>
                <w:szCs w:val="20"/>
              </w:rPr>
            </w:pPr>
            <w:r w:rsidRPr="00E0770F">
              <w:rPr>
                <w:rFonts w:ascii="Arial" w:eastAsia="Arial" w:hAnsi="Arial"/>
                <w:b/>
                <w:sz w:val="20"/>
                <w:szCs w:val="20"/>
              </w:rPr>
              <w:t>Opportunity</w:t>
            </w:r>
          </w:p>
        </w:tc>
        <w:tc>
          <w:tcPr>
            <w:tcW w:w="1610" w:type="dxa"/>
            <w:shd w:val="clear" w:color="auto" w:fill="D1D1D1" w:themeFill="background2" w:themeFillShade="E6"/>
            <w:tcMar>
              <w:top w:w="80" w:type="dxa"/>
              <w:left w:w="80" w:type="dxa"/>
              <w:bottom w:w="80" w:type="dxa"/>
              <w:right w:w="80" w:type="dxa"/>
            </w:tcMar>
          </w:tcPr>
          <w:p w14:paraId="7F9CC6A6" w14:textId="77777777" w:rsidR="00E0770F" w:rsidRPr="00E0770F" w:rsidRDefault="00E0770F" w:rsidP="00C83AD0">
            <w:pPr>
              <w:spacing w:after="20"/>
              <w:rPr>
                <w:sz w:val="20"/>
                <w:szCs w:val="20"/>
              </w:rPr>
            </w:pPr>
            <w:r w:rsidRPr="00E0770F">
              <w:rPr>
                <w:rFonts w:ascii="Arial" w:eastAsia="Arial" w:hAnsi="Arial"/>
                <w:b/>
                <w:sz w:val="20"/>
                <w:szCs w:val="20"/>
              </w:rPr>
              <w:t>Measure</w:t>
            </w:r>
          </w:p>
        </w:tc>
      </w:tr>
      <w:tr w:rsidR="00E0770F" w14:paraId="5C179B1E" w14:textId="77777777" w:rsidTr="00E0770F">
        <w:trPr>
          <w:jc w:val="center"/>
        </w:trPr>
        <w:tc>
          <w:tcPr>
            <w:tcW w:w="1200" w:type="dxa"/>
            <w:tcMar>
              <w:top w:w="80" w:type="dxa"/>
              <w:left w:w="80" w:type="dxa"/>
              <w:bottom w:w="80" w:type="dxa"/>
              <w:right w:w="80" w:type="dxa"/>
            </w:tcMar>
          </w:tcPr>
          <w:p w14:paraId="4259981C" w14:textId="77777777" w:rsidR="00E0770F" w:rsidRPr="00E0770F" w:rsidRDefault="00E0770F" w:rsidP="00C83AD0">
            <w:pPr>
              <w:spacing w:after="20"/>
              <w:rPr>
                <w:sz w:val="20"/>
                <w:szCs w:val="20"/>
              </w:rPr>
            </w:pPr>
            <w:r w:rsidRPr="00E0770F">
              <w:rPr>
                <w:rFonts w:ascii="Arial" w:eastAsia="Arial" w:hAnsi="Arial"/>
                <w:sz w:val="20"/>
                <w:szCs w:val="20"/>
              </w:rPr>
              <w:t>Awareness</w:t>
            </w:r>
          </w:p>
        </w:tc>
        <w:tc>
          <w:tcPr>
            <w:tcW w:w="2000" w:type="dxa"/>
            <w:tcMar>
              <w:top w:w="80" w:type="dxa"/>
              <w:left w:w="80" w:type="dxa"/>
              <w:bottom w:w="80" w:type="dxa"/>
              <w:right w:w="80" w:type="dxa"/>
            </w:tcMar>
          </w:tcPr>
          <w:p w14:paraId="022D49A2" w14:textId="77777777" w:rsidR="00E0770F" w:rsidRPr="00E0770F" w:rsidRDefault="00E0770F" w:rsidP="00C83AD0">
            <w:pPr>
              <w:spacing w:after="20"/>
              <w:rPr>
                <w:sz w:val="20"/>
                <w:szCs w:val="20"/>
              </w:rPr>
            </w:pPr>
            <w:r w:rsidRPr="00E0770F">
              <w:rPr>
                <w:rFonts w:ascii="Arial" w:eastAsia="Arial" w:hAnsi="Arial"/>
                <w:sz w:val="20"/>
                <w:szCs w:val="20"/>
              </w:rPr>
              <w:t>Customer sees local product on social media</w:t>
            </w:r>
          </w:p>
        </w:tc>
        <w:tc>
          <w:tcPr>
            <w:tcW w:w="2100" w:type="dxa"/>
            <w:tcMar>
              <w:top w:w="80" w:type="dxa"/>
              <w:left w:w="80" w:type="dxa"/>
              <w:bottom w:w="80" w:type="dxa"/>
              <w:right w:w="80" w:type="dxa"/>
            </w:tcMar>
          </w:tcPr>
          <w:p w14:paraId="1E6E8F11" w14:textId="77777777" w:rsidR="00E0770F" w:rsidRPr="00E0770F" w:rsidRDefault="00E0770F" w:rsidP="00C83AD0">
            <w:pPr>
              <w:spacing w:after="20"/>
              <w:rPr>
                <w:sz w:val="20"/>
                <w:szCs w:val="20"/>
              </w:rPr>
            </w:pPr>
            <w:r w:rsidRPr="00E0770F">
              <w:rPr>
                <w:rFonts w:ascii="Arial" w:eastAsia="Arial" w:hAnsi="Arial"/>
                <w:sz w:val="20"/>
                <w:szCs w:val="20"/>
              </w:rPr>
              <w:t>Information is incomplete or outdated</w:t>
            </w:r>
          </w:p>
        </w:tc>
        <w:tc>
          <w:tcPr>
            <w:tcW w:w="2450" w:type="dxa"/>
            <w:tcMar>
              <w:top w:w="80" w:type="dxa"/>
              <w:left w:w="80" w:type="dxa"/>
              <w:bottom w:w="80" w:type="dxa"/>
              <w:right w:w="80" w:type="dxa"/>
            </w:tcMar>
          </w:tcPr>
          <w:p w14:paraId="12733009" w14:textId="77777777" w:rsidR="00E0770F" w:rsidRPr="00E0770F" w:rsidRDefault="00E0770F" w:rsidP="00C83AD0">
            <w:pPr>
              <w:spacing w:after="20"/>
              <w:rPr>
                <w:sz w:val="20"/>
                <w:szCs w:val="20"/>
              </w:rPr>
            </w:pPr>
            <w:r w:rsidRPr="00E0770F">
              <w:rPr>
                <w:rFonts w:ascii="Arial" w:eastAsia="Arial" w:hAnsi="Arial"/>
                <w:sz w:val="20"/>
                <w:szCs w:val="20"/>
              </w:rPr>
              <w:t>Structured storefront linked from social media</w:t>
            </w:r>
          </w:p>
        </w:tc>
        <w:tc>
          <w:tcPr>
            <w:tcW w:w="1610" w:type="dxa"/>
            <w:tcMar>
              <w:top w:w="80" w:type="dxa"/>
              <w:left w:w="80" w:type="dxa"/>
              <w:bottom w:w="80" w:type="dxa"/>
              <w:right w:w="80" w:type="dxa"/>
            </w:tcMar>
          </w:tcPr>
          <w:p w14:paraId="68067DDE" w14:textId="77777777" w:rsidR="00E0770F" w:rsidRPr="00E0770F" w:rsidRDefault="00E0770F" w:rsidP="00C83AD0">
            <w:pPr>
              <w:spacing w:after="20"/>
              <w:rPr>
                <w:sz w:val="20"/>
                <w:szCs w:val="20"/>
              </w:rPr>
            </w:pPr>
            <w:r w:rsidRPr="00E0770F">
              <w:rPr>
                <w:rFonts w:ascii="Arial" w:eastAsia="Arial" w:hAnsi="Arial"/>
                <w:sz w:val="20"/>
                <w:szCs w:val="20"/>
              </w:rPr>
              <w:t>Click-through rate</w:t>
            </w:r>
          </w:p>
        </w:tc>
      </w:tr>
      <w:tr w:rsidR="00E0770F" w14:paraId="3F655BDE" w14:textId="77777777" w:rsidTr="00E0770F">
        <w:trPr>
          <w:jc w:val="center"/>
        </w:trPr>
        <w:tc>
          <w:tcPr>
            <w:tcW w:w="1200" w:type="dxa"/>
            <w:tcMar>
              <w:top w:w="80" w:type="dxa"/>
              <w:left w:w="80" w:type="dxa"/>
              <w:bottom w:w="80" w:type="dxa"/>
              <w:right w:w="80" w:type="dxa"/>
            </w:tcMar>
          </w:tcPr>
          <w:p w14:paraId="10A6B634" w14:textId="77777777" w:rsidR="00E0770F" w:rsidRPr="00E0770F" w:rsidRDefault="00E0770F" w:rsidP="00C83AD0">
            <w:pPr>
              <w:spacing w:after="20"/>
              <w:rPr>
                <w:sz w:val="20"/>
                <w:szCs w:val="20"/>
              </w:rPr>
            </w:pPr>
            <w:r w:rsidRPr="00E0770F">
              <w:rPr>
                <w:rFonts w:ascii="Arial" w:eastAsia="Arial" w:hAnsi="Arial"/>
                <w:sz w:val="20"/>
                <w:szCs w:val="20"/>
              </w:rPr>
              <w:t>Research</w:t>
            </w:r>
          </w:p>
        </w:tc>
        <w:tc>
          <w:tcPr>
            <w:tcW w:w="2000" w:type="dxa"/>
            <w:tcMar>
              <w:top w:w="80" w:type="dxa"/>
              <w:left w:w="80" w:type="dxa"/>
              <w:bottom w:w="80" w:type="dxa"/>
              <w:right w:w="80" w:type="dxa"/>
            </w:tcMar>
          </w:tcPr>
          <w:p w14:paraId="66A8965F" w14:textId="77777777" w:rsidR="00E0770F" w:rsidRPr="00E0770F" w:rsidRDefault="00E0770F" w:rsidP="00C83AD0">
            <w:pPr>
              <w:spacing w:after="20"/>
              <w:rPr>
                <w:sz w:val="20"/>
                <w:szCs w:val="20"/>
              </w:rPr>
            </w:pPr>
            <w:r w:rsidRPr="00E0770F">
              <w:rPr>
                <w:rFonts w:ascii="Arial" w:eastAsia="Arial" w:hAnsi="Arial"/>
                <w:sz w:val="20"/>
                <w:szCs w:val="20"/>
              </w:rPr>
              <w:t>Customer checks availability and delivery</w:t>
            </w:r>
          </w:p>
        </w:tc>
        <w:tc>
          <w:tcPr>
            <w:tcW w:w="2100" w:type="dxa"/>
            <w:tcMar>
              <w:top w:w="80" w:type="dxa"/>
              <w:left w:w="80" w:type="dxa"/>
              <w:bottom w:w="80" w:type="dxa"/>
              <w:right w:w="80" w:type="dxa"/>
            </w:tcMar>
          </w:tcPr>
          <w:p w14:paraId="6C9D9E2A" w14:textId="77777777" w:rsidR="00E0770F" w:rsidRPr="00E0770F" w:rsidRDefault="00E0770F" w:rsidP="00C83AD0">
            <w:pPr>
              <w:spacing w:after="20"/>
              <w:rPr>
                <w:sz w:val="20"/>
                <w:szCs w:val="20"/>
              </w:rPr>
            </w:pPr>
            <w:r w:rsidRPr="00E0770F">
              <w:rPr>
                <w:rFonts w:ascii="Arial" w:eastAsia="Arial" w:hAnsi="Arial"/>
                <w:sz w:val="20"/>
                <w:szCs w:val="20"/>
              </w:rPr>
              <w:t>Availability unclear, repeated questions needed</w:t>
            </w:r>
          </w:p>
        </w:tc>
        <w:tc>
          <w:tcPr>
            <w:tcW w:w="2450" w:type="dxa"/>
            <w:tcMar>
              <w:top w:w="80" w:type="dxa"/>
              <w:left w:w="80" w:type="dxa"/>
              <w:bottom w:w="80" w:type="dxa"/>
              <w:right w:w="80" w:type="dxa"/>
            </w:tcMar>
          </w:tcPr>
          <w:p w14:paraId="75C9A16C" w14:textId="77777777" w:rsidR="00E0770F" w:rsidRPr="00E0770F" w:rsidRDefault="00E0770F" w:rsidP="00C83AD0">
            <w:pPr>
              <w:spacing w:after="20"/>
              <w:rPr>
                <w:sz w:val="20"/>
                <w:szCs w:val="20"/>
              </w:rPr>
            </w:pPr>
            <w:r w:rsidRPr="00E0770F">
              <w:rPr>
                <w:rFonts w:ascii="Arial" w:eastAsia="Arial" w:hAnsi="Arial"/>
                <w:sz w:val="20"/>
                <w:szCs w:val="20"/>
              </w:rPr>
              <w:t>Live product status and FAQs</w:t>
            </w:r>
          </w:p>
        </w:tc>
        <w:tc>
          <w:tcPr>
            <w:tcW w:w="1610" w:type="dxa"/>
            <w:tcMar>
              <w:top w:w="80" w:type="dxa"/>
              <w:left w:w="80" w:type="dxa"/>
              <w:bottom w:w="80" w:type="dxa"/>
              <w:right w:w="80" w:type="dxa"/>
            </w:tcMar>
          </w:tcPr>
          <w:p w14:paraId="5342A94A" w14:textId="77777777" w:rsidR="00E0770F" w:rsidRPr="00E0770F" w:rsidRDefault="00E0770F" w:rsidP="00C83AD0">
            <w:pPr>
              <w:spacing w:after="20"/>
              <w:rPr>
                <w:sz w:val="20"/>
                <w:szCs w:val="20"/>
              </w:rPr>
            </w:pPr>
            <w:r w:rsidRPr="00E0770F">
              <w:rPr>
                <w:rFonts w:ascii="Arial" w:eastAsia="Arial" w:hAnsi="Arial"/>
                <w:sz w:val="20"/>
                <w:szCs w:val="20"/>
              </w:rPr>
              <w:t>Question reduction</w:t>
            </w:r>
          </w:p>
        </w:tc>
      </w:tr>
      <w:tr w:rsidR="00E0770F" w14:paraId="142143FB" w14:textId="77777777" w:rsidTr="00E0770F">
        <w:trPr>
          <w:jc w:val="center"/>
        </w:trPr>
        <w:tc>
          <w:tcPr>
            <w:tcW w:w="1200" w:type="dxa"/>
            <w:tcMar>
              <w:top w:w="80" w:type="dxa"/>
              <w:left w:w="80" w:type="dxa"/>
              <w:bottom w:w="80" w:type="dxa"/>
              <w:right w:w="80" w:type="dxa"/>
            </w:tcMar>
          </w:tcPr>
          <w:p w14:paraId="2E822147" w14:textId="77777777" w:rsidR="00E0770F" w:rsidRPr="00E0770F" w:rsidRDefault="00E0770F" w:rsidP="00C83AD0">
            <w:pPr>
              <w:spacing w:after="20"/>
              <w:rPr>
                <w:sz w:val="20"/>
                <w:szCs w:val="20"/>
              </w:rPr>
            </w:pPr>
            <w:r w:rsidRPr="00E0770F">
              <w:rPr>
                <w:rFonts w:ascii="Arial" w:eastAsia="Arial" w:hAnsi="Arial"/>
                <w:sz w:val="20"/>
                <w:szCs w:val="20"/>
              </w:rPr>
              <w:t>Purchase</w:t>
            </w:r>
          </w:p>
        </w:tc>
        <w:tc>
          <w:tcPr>
            <w:tcW w:w="2000" w:type="dxa"/>
            <w:tcMar>
              <w:top w:w="80" w:type="dxa"/>
              <w:left w:w="80" w:type="dxa"/>
              <w:bottom w:w="80" w:type="dxa"/>
              <w:right w:w="80" w:type="dxa"/>
            </w:tcMar>
          </w:tcPr>
          <w:p w14:paraId="51435B29" w14:textId="77777777" w:rsidR="00E0770F" w:rsidRPr="00E0770F" w:rsidRDefault="00E0770F" w:rsidP="00C83AD0">
            <w:pPr>
              <w:spacing w:after="20"/>
              <w:rPr>
                <w:sz w:val="20"/>
                <w:szCs w:val="20"/>
              </w:rPr>
            </w:pPr>
            <w:r w:rsidRPr="00E0770F">
              <w:rPr>
                <w:rFonts w:ascii="Arial" w:eastAsia="Arial" w:hAnsi="Arial"/>
                <w:sz w:val="20"/>
                <w:szCs w:val="20"/>
              </w:rPr>
              <w:t>Customer places order and pays</w:t>
            </w:r>
          </w:p>
        </w:tc>
        <w:tc>
          <w:tcPr>
            <w:tcW w:w="2100" w:type="dxa"/>
            <w:tcMar>
              <w:top w:w="80" w:type="dxa"/>
              <w:left w:w="80" w:type="dxa"/>
              <w:bottom w:w="80" w:type="dxa"/>
              <w:right w:w="80" w:type="dxa"/>
            </w:tcMar>
          </w:tcPr>
          <w:p w14:paraId="200D20D8" w14:textId="77777777" w:rsidR="00E0770F" w:rsidRPr="00E0770F" w:rsidRDefault="00E0770F" w:rsidP="00C83AD0">
            <w:pPr>
              <w:spacing w:after="20"/>
              <w:rPr>
                <w:sz w:val="20"/>
                <w:szCs w:val="20"/>
              </w:rPr>
            </w:pPr>
            <w:r w:rsidRPr="00E0770F">
              <w:rPr>
                <w:rFonts w:ascii="Arial" w:eastAsia="Arial" w:hAnsi="Arial"/>
                <w:sz w:val="20"/>
                <w:szCs w:val="20"/>
              </w:rPr>
              <w:t>Manual messages and payment uncertainty</w:t>
            </w:r>
          </w:p>
        </w:tc>
        <w:tc>
          <w:tcPr>
            <w:tcW w:w="2450" w:type="dxa"/>
            <w:tcMar>
              <w:top w:w="80" w:type="dxa"/>
              <w:left w:w="80" w:type="dxa"/>
              <w:bottom w:w="80" w:type="dxa"/>
              <w:right w:w="80" w:type="dxa"/>
            </w:tcMar>
          </w:tcPr>
          <w:p w14:paraId="32B1B5FE" w14:textId="77777777" w:rsidR="00E0770F" w:rsidRPr="00E0770F" w:rsidRDefault="00E0770F" w:rsidP="00C83AD0">
            <w:pPr>
              <w:spacing w:after="20"/>
              <w:rPr>
                <w:sz w:val="20"/>
                <w:szCs w:val="20"/>
              </w:rPr>
            </w:pPr>
            <w:r w:rsidRPr="00E0770F">
              <w:rPr>
                <w:rFonts w:ascii="Arial" w:eastAsia="Arial" w:hAnsi="Arial"/>
                <w:sz w:val="20"/>
                <w:szCs w:val="20"/>
              </w:rPr>
              <w:t>Secure order page and payment link</w:t>
            </w:r>
          </w:p>
        </w:tc>
        <w:tc>
          <w:tcPr>
            <w:tcW w:w="1610" w:type="dxa"/>
            <w:tcMar>
              <w:top w:w="80" w:type="dxa"/>
              <w:left w:w="80" w:type="dxa"/>
              <w:bottom w:w="80" w:type="dxa"/>
              <w:right w:w="80" w:type="dxa"/>
            </w:tcMar>
          </w:tcPr>
          <w:p w14:paraId="669F9B9A" w14:textId="77777777" w:rsidR="00E0770F" w:rsidRPr="00E0770F" w:rsidRDefault="00E0770F" w:rsidP="00C83AD0">
            <w:pPr>
              <w:spacing w:after="20"/>
              <w:rPr>
                <w:sz w:val="20"/>
                <w:szCs w:val="20"/>
              </w:rPr>
            </w:pPr>
            <w:r w:rsidRPr="00E0770F">
              <w:rPr>
                <w:rFonts w:ascii="Arial" w:eastAsia="Arial" w:hAnsi="Arial"/>
                <w:sz w:val="20"/>
                <w:szCs w:val="20"/>
              </w:rPr>
              <w:t>Order completion rate</w:t>
            </w:r>
          </w:p>
        </w:tc>
      </w:tr>
      <w:tr w:rsidR="00E0770F" w14:paraId="0CAD3694" w14:textId="77777777" w:rsidTr="00E0770F">
        <w:trPr>
          <w:jc w:val="center"/>
        </w:trPr>
        <w:tc>
          <w:tcPr>
            <w:tcW w:w="1200" w:type="dxa"/>
            <w:tcMar>
              <w:top w:w="80" w:type="dxa"/>
              <w:left w:w="80" w:type="dxa"/>
              <w:bottom w:w="80" w:type="dxa"/>
              <w:right w:w="80" w:type="dxa"/>
            </w:tcMar>
          </w:tcPr>
          <w:p w14:paraId="5B39B046" w14:textId="77777777" w:rsidR="00E0770F" w:rsidRPr="00E0770F" w:rsidRDefault="00E0770F" w:rsidP="00C83AD0">
            <w:pPr>
              <w:spacing w:after="20"/>
              <w:rPr>
                <w:sz w:val="20"/>
                <w:szCs w:val="20"/>
              </w:rPr>
            </w:pPr>
            <w:r w:rsidRPr="00E0770F">
              <w:rPr>
                <w:rFonts w:ascii="Arial" w:eastAsia="Arial" w:hAnsi="Arial"/>
                <w:sz w:val="20"/>
                <w:szCs w:val="20"/>
              </w:rPr>
              <w:t>Fulfilment</w:t>
            </w:r>
          </w:p>
        </w:tc>
        <w:tc>
          <w:tcPr>
            <w:tcW w:w="2000" w:type="dxa"/>
            <w:tcMar>
              <w:top w:w="80" w:type="dxa"/>
              <w:left w:w="80" w:type="dxa"/>
              <w:bottom w:w="80" w:type="dxa"/>
              <w:right w:w="80" w:type="dxa"/>
            </w:tcMar>
          </w:tcPr>
          <w:p w14:paraId="4F2C6131" w14:textId="77777777" w:rsidR="00E0770F" w:rsidRPr="00E0770F" w:rsidRDefault="00E0770F" w:rsidP="00C83AD0">
            <w:pPr>
              <w:spacing w:after="20"/>
              <w:rPr>
                <w:sz w:val="20"/>
                <w:szCs w:val="20"/>
              </w:rPr>
            </w:pPr>
            <w:r w:rsidRPr="00E0770F">
              <w:rPr>
                <w:rFonts w:ascii="Arial" w:eastAsia="Arial" w:hAnsi="Arial"/>
                <w:sz w:val="20"/>
                <w:szCs w:val="20"/>
              </w:rPr>
              <w:t>Business prepares collection or delivery</w:t>
            </w:r>
          </w:p>
        </w:tc>
        <w:tc>
          <w:tcPr>
            <w:tcW w:w="2100" w:type="dxa"/>
            <w:tcMar>
              <w:top w:w="80" w:type="dxa"/>
              <w:left w:w="80" w:type="dxa"/>
              <w:bottom w:w="80" w:type="dxa"/>
              <w:right w:w="80" w:type="dxa"/>
            </w:tcMar>
          </w:tcPr>
          <w:p w14:paraId="749986FD" w14:textId="77777777" w:rsidR="00E0770F" w:rsidRPr="00E0770F" w:rsidRDefault="00E0770F" w:rsidP="00C83AD0">
            <w:pPr>
              <w:spacing w:after="20"/>
              <w:rPr>
                <w:sz w:val="20"/>
                <w:szCs w:val="20"/>
              </w:rPr>
            </w:pPr>
            <w:r w:rsidRPr="00E0770F">
              <w:rPr>
                <w:rFonts w:ascii="Arial" w:eastAsia="Arial" w:hAnsi="Arial"/>
                <w:sz w:val="20"/>
                <w:szCs w:val="20"/>
              </w:rPr>
              <w:t>Delivery notes scattered across messages</w:t>
            </w:r>
          </w:p>
        </w:tc>
        <w:tc>
          <w:tcPr>
            <w:tcW w:w="2450" w:type="dxa"/>
            <w:tcMar>
              <w:top w:w="80" w:type="dxa"/>
              <w:left w:w="80" w:type="dxa"/>
              <w:bottom w:w="80" w:type="dxa"/>
              <w:right w:w="80" w:type="dxa"/>
            </w:tcMar>
          </w:tcPr>
          <w:p w14:paraId="40DC9138" w14:textId="77777777" w:rsidR="00E0770F" w:rsidRPr="00E0770F" w:rsidRDefault="00E0770F" w:rsidP="00C83AD0">
            <w:pPr>
              <w:spacing w:after="20"/>
              <w:rPr>
                <w:sz w:val="20"/>
                <w:szCs w:val="20"/>
              </w:rPr>
            </w:pPr>
            <w:r w:rsidRPr="00E0770F">
              <w:rPr>
                <w:rFonts w:ascii="Arial" w:eastAsia="Arial" w:hAnsi="Arial"/>
                <w:sz w:val="20"/>
                <w:szCs w:val="20"/>
              </w:rPr>
              <w:t>Order dashboard and route/collection status</w:t>
            </w:r>
          </w:p>
        </w:tc>
        <w:tc>
          <w:tcPr>
            <w:tcW w:w="1610" w:type="dxa"/>
            <w:tcMar>
              <w:top w:w="80" w:type="dxa"/>
              <w:left w:w="80" w:type="dxa"/>
              <w:bottom w:w="80" w:type="dxa"/>
              <w:right w:w="80" w:type="dxa"/>
            </w:tcMar>
          </w:tcPr>
          <w:p w14:paraId="68BBEE2E" w14:textId="77777777" w:rsidR="00E0770F" w:rsidRPr="00E0770F" w:rsidRDefault="00E0770F" w:rsidP="00C83AD0">
            <w:pPr>
              <w:spacing w:after="20"/>
              <w:rPr>
                <w:sz w:val="20"/>
                <w:szCs w:val="20"/>
              </w:rPr>
            </w:pPr>
            <w:r w:rsidRPr="00E0770F">
              <w:rPr>
                <w:rFonts w:ascii="Arial" w:eastAsia="Arial" w:hAnsi="Arial"/>
                <w:sz w:val="20"/>
                <w:szCs w:val="20"/>
              </w:rPr>
              <w:t>On-time fulfilment</w:t>
            </w:r>
          </w:p>
        </w:tc>
      </w:tr>
      <w:tr w:rsidR="00E0770F" w14:paraId="47E0FE43" w14:textId="77777777" w:rsidTr="00E0770F">
        <w:trPr>
          <w:jc w:val="center"/>
        </w:trPr>
        <w:tc>
          <w:tcPr>
            <w:tcW w:w="1200" w:type="dxa"/>
            <w:tcMar>
              <w:top w:w="80" w:type="dxa"/>
              <w:left w:w="80" w:type="dxa"/>
              <w:bottom w:w="80" w:type="dxa"/>
              <w:right w:w="80" w:type="dxa"/>
            </w:tcMar>
          </w:tcPr>
          <w:p w14:paraId="6C137366" w14:textId="77777777" w:rsidR="00E0770F" w:rsidRPr="00E0770F" w:rsidRDefault="00E0770F" w:rsidP="00C83AD0">
            <w:pPr>
              <w:spacing w:after="20"/>
              <w:rPr>
                <w:sz w:val="20"/>
                <w:szCs w:val="20"/>
              </w:rPr>
            </w:pPr>
            <w:r w:rsidRPr="00E0770F">
              <w:rPr>
                <w:rFonts w:ascii="Arial" w:eastAsia="Arial" w:hAnsi="Arial"/>
                <w:sz w:val="20"/>
                <w:szCs w:val="20"/>
              </w:rPr>
              <w:t>Post-purchase</w:t>
            </w:r>
          </w:p>
        </w:tc>
        <w:tc>
          <w:tcPr>
            <w:tcW w:w="2000" w:type="dxa"/>
            <w:tcMar>
              <w:top w:w="80" w:type="dxa"/>
              <w:left w:w="80" w:type="dxa"/>
              <w:bottom w:w="80" w:type="dxa"/>
              <w:right w:w="80" w:type="dxa"/>
            </w:tcMar>
          </w:tcPr>
          <w:p w14:paraId="413F13A1" w14:textId="77777777" w:rsidR="00E0770F" w:rsidRPr="00E0770F" w:rsidRDefault="00E0770F" w:rsidP="00C83AD0">
            <w:pPr>
              <w:spacing w:after="20"/>
              <w:rPr>
                <w:sz w:val="20"/>
                <w:szCs w:val="20"/>
              </w:rPr>
            </w:pPr>
            <w:r w:rsidRPr="00E0770F">
              <w:rPr>
                <w:rFonts w:ascii="Arial" w:eastAsia="Arial" w:hAnsi="Arial"/>
                <w:sz w:val="20"/>
                <w:szCs w:val="20"/>
              </w:rPr>
              <w:t>Customer receives update and may reorder</w:t>
            </w:r>
          </w:p>
        </w:tc>
        <w:tc>
          <w:tcPr>
            <w:tcW w:w="2100" w:type="dxa"/>
            <w:tcMar>
              <w:top w:w="80" w:type="dxa"/>
              <w:left w:w="80" w:type="dxa"/>
              <w:bottom w:w="80" w:type="dxa"/>
              <w:right w:w="80" w:type="dxa"/>
            </w:tcMar>
          </w:tcPr>
          <w:p w14:paraId="2BE0DFD5" w14:textId="77777777" w:rsidR="00E0770F" w:rsidRPr="00E0770F" w:rsidRDefault="00E0770F" w:rsidP="00C83AD0">
            <w:pPr>
              <w:spacing w:after="20"/>
              <w:rPr>
                <w:sz w:val="20"/>
                <w:szCs w:val="20"/>
              </w:rPr>
            </w:pPr>
            <w:r w:rsidRPr="00E0770F">
              <w:rPr>
                <w:rFonts w:ascii="Arial" w:eastAsia="Arial" w:hAnsi="Arial"/>
                <w:sz w:val="20"/>
                <w:szCs w:val="20"/>
              </w:rPr>
              <w:t>Little follow-up or feedback capture</w:t>
            </w:r>
          </w:p>
        </w:tc>
        <w:tc>
          <w:tcPr>
            <w:tcW w:w="2450" w:type="dxa"/>
            <w:tcMar>
              <w:top w:w="80" w:type="dxa"/>
              <w:left w:w="80" w:type="dxa"/>
              <w:bottom w:w="80" w:type="dxa"/>
              <w:right w:w="80" w:type="dxa"/>
            </w:tcMar>
          </w:tcPr>
          <w:p w14:paraId="6CF7A7C6" w14:textId="77777777" w:rsidR="00E0770F" w:rsidRPr="00E0770F" w:rsidRDefault="00E0770F" w:rsidP="00C83AD0">
            <w:pPr>
              <w:spacing w:after="20"/>
              <w:rPr>
                <w:sz w:val="20"/>
                <w:szCs w:val="20"/>
              </w:rPr>
            </w:pPr>
            <w:r w:rsidRPr="00E0770F">
              <w:rPr>
                <w:rFonts w:ascii="Arial" w:eastAsia="Arial" w:hAnsi="Arial"/>
                <w:sz w:val="20"/>
                <w:szCs w:val="20"/>
              </w:rPr>
              <w:t>Automated confirmation and feedback prompt</w:t>
            </w:r>
          </w:p>
        </w:tc>
        <w:tc>
          <w:tcPr>
            <w:tcW w:w="1610" w:type="dxa"/>
            <w:tcMar>
              <w:top w:w="80" w:type="dxa"/>
              <w:left w:w="80" w:type="dxa"/>
              <w:bottom w:w="80" w:type="dxa"/>
              <w:right w:w="80" w:type="dxa"/>
            </w:tcMar>
          </w:tcPr>
          <w:p w14:paraId="73EC3603" w14:textId="77777777" w:rsidR="00E0770F" w:rsidRPr="00E0770F" w:rsidRDefault="00E0770F" w:rsidP="00C83AD0">
            <w:pPr>
              <w:spacing w:after="20"/>
              <w:rPr>
                <w:sz w:val="20"/>
                <w:szCs w:val="20"/>
              </w:rPr>
            </w:pPr>
            <w:r w:rsidRPr="00E0770F">
              <w:rPr>
                <w:rFonts w:ascii="Arial" w:eastAsia="Arial" w:hAnsi="Arial"/>
                <w:sz w:val="20"/>
                <w:szCs w:val="20"/>
              </w:rPr>
              <w:t>Repeat purchase rate</w:t>
            </w:r>
          </w:p>
        </w:tc>
      </w:tr>
    </w:tbl>
    <w:p w14:paraId="4854D3AA" w14:textId="77777777" w:rsidR="00E0770F" w:rsidRDefault="00E0770F" w:rsidP="00E0770F">
      <w:pPr>
        <w:spacing w:before="60" w:after="120"/>
        <w:rPr>
          <w:rFonts w:ascii="Arial" w:hAnsi="Arial"/>
          <w:b/>
          <w:bCs/>
          <w:sz w:val="24"/>
          <w:szCs w:val="24"/>
        </w:rPr>
      </w:pPr>
    </w:p>
    <w:p w14:paraId="3F0F48BB" w14:textId="67587A33" w:rsidR="00E0770F" w:rsidRPr="00576E85" w:rsidRDefault="00E0770F" w:rsidP="00E0770F">
      <w:pPr>
        <w:spacing w:before="60" w:after="120"/>
        <w:rPr>
          <w:rFonts w:ascii="Arial" w:hAnsi="Arial"/>
        </w:rPr>
      </w:pPr>
      <w:r w:rsidRPr="00576E85">
        <w:rPr>
          <w:rFonts w:ascii="Arial" w:hAnsi="Arial"/>
          <w:b/>
          <w:bCs/>
        </w:rPr>
        <w:t>Summary:</w:t>
      </w:r>
      <w:r w:rsidRPr="00576E85">
        <w:rPr>
          <w:rFonts w:ascii="Arial" w:hAnsi="Arial"/>
        </w:rPr>
        <w:t xml:space="preserve"> The journey map shows that the main weakness is the fragmented movement from awareness to payment and fulfilment. LocalLink Digital is therefore justified as a journey-integration solution rather than only a selling page.</w:t>
      </w:r>
    </w:p>
    <w:p w14:paraId="7E7DBFDD" w14:textId="77777777" w:rsidR="00E0770F" w:rsidRPr="00576E85" w:rsidRDefault="00E0770F" w:rsidP="00E0770F">
      <w:pPr>
        <w:spacing w:before="60" w:after="120"/>
        <w:rPr>
          <w:rFonts w:ascii="Arial" w:hAnsi="Arial"/>
        </w:rPr>
      </w:pPr>
    </w:p>
    <w:p w14:paraId="65C99DC5" w14:textId="77777777" w:rsidR="00034DF4" w:rsidRDefault="00034DF4" w:rsidP="00E0770F">
      <w:pPr>
        <w:spacing w:before="60" w:after="120"/>
        <w:rPr>
          <w:rFonts w:ascii="Arial" w:hAnsi="Arial"/>
          <w:sz w:val="24"/>
          <w:szCs w:val="24"/>
        </w:rPr>
      </w:pPr>
    </w:p>
    <w:p w14:paraId="2FE934BE" w14:textId="77777777" w:rsidR="00034DF4" w:rsidRDefault="00034DF4" w:rsidP="00E0770F">
      <w:pPr>
        <w:spacing w:before="60" w:after="120"/>
        <w:rPr>
          <w:rFonts w:ascii="Arial" w:hAnsi="Arial"/>
          <w:sz w:val="24"/>
          <w:szCs w:val="24"/>
        </w:rPr>
      </w:pPr>
    </w:p>
    <w:p w14:paraId="2C5CD8B1" w14:textId="77777777" w:rsidR="00034DF4" w:rsidRDefault="00034DF4" w:rsidP="00E0770F">
      <w:pPr>
        <w:spacing w:before="60" w:after="120"/>
        <w:rPr>
          <w:rFonts w:ascii="Arial" w:hAnsi="Arial"/>
          <w:sz w:val="24"/>
          <w:szCs w:val="24"/>
        </w:rPr>
      </w:pPr>
    </w:p>
    <w:p w14:paraId="5762A13E" w14:textId="77777777" w:rsidR="00034DF4" w:rsidRDefault="00034DF4" w:rsidP="00E0770F">
      <w:pPr>
        <w:spacing w:before="60" w:after="120"/>
        <w:rPr>
          <w:rFonts w:ascii="Arial" w:hAnsi="Arial"/>
          <w:sz w:val="24"/>
          <w:szCs w:val="24"/>
        </w:rPr>
      </w:pPr>
    </w:p>
    <w:p w14:paraId="49CDD2C5" w14:textId="77777777" w:rsidR="00034DF4" w:rsidRDefault="00034DF4" w:rsidP="00E0770F">
      <w:pPr>
        <w:spacing w:before="60" w:after="120"/>
        <w:rPr>
          <w:rFonts w:ascii="Arial" w:hAnsi="Arial"/>
          <w:sz w:val="24"/>
          <w:szCs w:val="24"/>
        </w:rPr>
      </w:pPr>
    </w:p>
    <w:p w14:paraId="5B6F27B9" w14:textId="77777777" w:rsidR="00034DF4" w:rsidRDefault="00034DF4" w:rsidP="00E0770F">
      <w:pPr>
        <w:spacing w:before="60" w:after="120"/>
        <w:rPr>
          <w:rFonts w:ascii="Arial" w:hAnsi="Arial"/>
          <w:sz w:val="24"/>
          <w:szCs w:val="24"/>
        </w:rPr>
      </w:pPr>
    </w:p>
    <w:p w14:paraId="747783F5" w14:textId="77777777" w:rsidR="00034DF4" w:rsidRDefault="00034DF4" w:rsidP="00E0770F">
      <w:pPr>
        <w:spacing w:before="60" w:after="120"/>
        <w:rPr>
          <w:rFonts w:ascii="Arial" w:hAnsi="Arial"/>
          <w:sz w:val="24"/>
          <w:szCs w:val="24"/>
        </w:rPr>
      </w:pPr>
    </w:p>
    <w:p w14:paraId="593256A7" w14:textId="77777777" w:rsidR="00576E85" w:rsidRDefault="00576E85" w:rsidP="00E0770F">
      <w:pPr>
        <w:spacing w:before="60" w:after="120"/>
        <w:rPr>
          <w:rFonts w:ascii="Arial" w:hAnsi="Arial"/>
          <w:sz w:val="24"/>
          <w:szCs w:val="24"/>
        </w:rPr>
      </w:pPr>
    </w:p>
    <w:p w14:paraId="7BD0219E" w14:textId="0EA93252" w:rsidR="00E0770F" w:rsidRPr="00E0770F" w:rsidRDefault="00E0770F" w:rsidP="00E0770F">
      <w:pPr>
        <w:spacing w:before="60" w:after="120"/>
        <w:rPr>
          <w:rFonts w:ascii="Arial" w:hAnsi="Arial" w:cs="Arial"/>
          <w:b/>
          <w:bCs/>
          <w:sz w:val="28"/>
          <w:szCs w:val="28"/>
        </w:rPr>
      </w:pPr>
      <w:r w:rsidRPr="00E0770F">
        <w:rPr>
          <w:rFonts w:ascii="Arial" w:hAnsi="Arial" w:cs="Arial"/>
          <w:b/>
          <w:bCs/>
          <w:sz w:val="28"/>
          <w:szCs w:val="28"/>
        </w:rPr>
        <w:lastRenderedPageBreak/>
        <w:t xml:space="preserve">Appendix C: CATWOE and Casual Logic </w:t>
      </w:r>
    </w:p>
    <w:tbl>
      <w:tblPr>
        <w:tblStyle w:val="TableGrid"/>
        <w:tblW w:w="0" w:type="auto"/>
        <w:jc w:val="center"/>
        <w:tblLayout w:type="fixed"/>
        <w:tblLook w:val="04A0" w:firstRow="1" w:lastRow="0" w:firstColumn="1" w:lastColumn="0" w:noHBand="0" w:noVBand="1"/>
      </w:tblPr>
      <w:tblGrid>
        <w:gridCol w:w="1800"/>
        <w:gridCol w:w="7560"/>
      </w:tblGrid>
      <w:tr w:rsidR="00E0770F" w14:paraId="2DC820D8" w14:textId="77777777" w:rsidTr="00E0770F">
        <w:trPr>
          <w:tblHeader/>
          <w:jc w:val="center"/>
        </w:trPr>
        <w:tc>
          <w:tcPr>
            <w:tcW w:w="1800" w:type="dxa"/>
            <w:shd w:val="clear" w:color="auto" w:fill="D1D1D1" w:themeFill="background2" w:themeFillShade="E6"/>
            <w:tcMar>
              <w:top w:w="80" w:type="dxa"/>
              <w:left w:w="80" w:type="dxa"/>
              <w:bottom w:w="80" w:type="dxa"/>
              <w:right w:w="80" w:type="dxa"/>
            </w:tcMar>
          </w:tcPr>
          <w:p w14:paraId="230F778B" w14:textId="77777777" w:rsidR="00E0770F" w:rsidRPr="00034DF4" w:rsidRDefault="00E0770F" w:rsidP="00C83AD0">
            <w:pPr>
              <w:spacing w:after="20"/>
              <w:rPr>
                <w:sz w:val="20"/>
                <w:szCs w:val="20"/>
              </w:rPr>
            </w:pPr>
            <w:r w:rsidRPr="00034DF4">
              <w:rPr>
                <w:rFonts w:ascii="Arial" w:eastAsia="Arial" w:hAnsi="Arial"/>
                <w:b/>
                <w:sz w:val="20"/>
                <w:szCs w:val="20"/>
              </w:rPr>
              <w:t>CATWOE element</w:t>
            </w:r>
          </w:p>
        </w:tc>
        <w:tc>
          <w:tcPr>
            <w:tcW w:w="7560" w:type="dxa"/>
            <w:shd w:val="clear" w:color="auto" w:fill="D1D1D1" w:themeFill="background2" w:themeFillShade="E6"/>
            <w:tcMar>
              <w:top w:w="80" w:type="dxa"/>
              <w:left w:w="80" w:type="dxa"/>
              <w:bottom w:w="80" w:type="dxa"/>
              <w:right w:w="80" w:type="dxa"/>
            </w:tcMar>
          </w:tcPr>
          <w:p w14:paraId="2369D2C9" w14:textId="77777777" w:rsidR="00E0770F" w:rsidRPr="00034DF4" w:rsidRDefault="00E0770F" w:rsidP="00C83AD0">
            <w:pPr>
              <w:spacing w:after="20"/>
              <w:rPr>
                <w:sz w:val="20"/>
                <w:szCs w:val="20"/>
              </w:rPr>
            </w:pPr>
            <w:r w:rsidRPr="00034DF4">
              <w:rPr>
                <w:rFonts w:ascii="Arial" w:eastAsia="Arial" w:hAnsi="Arial"/>
                <w:b/>
                <w:sz w:val="20"/>
                <w:szCs w:val="20"/>
              </w:rPr>
              <w:t>Application to LocalLink Digital</w:t>
            </w:r>
          </w:p>
        </w:tc>
      </w:tr>
      <w:tr w:rsidR="00E0770F" w14:paraId="41502DEB" w14:textId="77777777" w:rsidTr="00C83AD0">
        <w:trPr>
          <w:jc w:val="center"/>
        </w:trPr>
        <w:tc>
          <w:tcPr>
            <w:tcW w:w="1800" w:type="dxa"/>
            <w:tcMar>
              <w:top w:w="80" w:type="dxa"/>
              <w:left w:w="80" w:type="dxa"/>
              <w:bottom w:w="80" w:type="dxa"/>
              <w:right w:w="80" w:type="dxa"/>
            </w:tcMar>
          </w:tcPr>
          <w:p w14:paraId="71A0BE4E" w14:textId="77777777" w:rsidR="00E0770F" w:rsidRPr="00034DF4" w:rsidRDefault="00E0770F" w:rsidP="00C83AD0">
            <w:pPr>
              <w:spacing w:after="20"/>
              <w:rPr>
                <w:sz w:val="20"/>
                <w:szCs w:val="20"/>
              </w:rPr>
            </w:pPr>
            <w:r w:rsidRPr="00034DF4">
              <w:rPr>
                <w:rFonts w:ascii="Arial" w:eastAsia="Arial" w:hAnsi="Arial"/>
                <w:sz w:val="20"/>
                <w:szCs w:val="20"/>
              </w:rPr>
              <w:t>Customers</w:t>
            </w:r>
          </w:p>
        </w:tc>
        <w:tc>
          <w:tcPr>
            <w:tcW w:w="7560" w:type="dxa"/>
            <w:tcMar>
              <w:top w:w="80" w:type="dxa"/>
              <w:left w:w="80" w:type="dxa"/>
              <w:bottom w:w="80" w:type="dxa"/>
              <w:right w:w="80" w:type="dxa"/>
            </w:tcMar>
          </w:tcPr>
          <w:p w14:paraId="3EB1AD3F" w14:textId="77777777" w:rsidR="00E0770F" w:rsidRPr="00034DF4" w:rsidRDefault="00E0770F" w:rsidP="00C83AD0">
            <w:pPr>
              <w:spacing w:after="20"/>
              <w:rPr>
                <w:sz w:val="20"/>
                <w:szCs w:val="20"/>
              </w:rPr>
            </w:pPr>
            <w:r w:rsidRPr="00034DF4">
              <w:rPr>
                <w:rFonts w:ascii="Arial" w:eastAsia="Arial" w:hAnsi="Arial"/>
                <w:sz w:val="20"/>
                <w:szCs w:val="20"/>
              </w:rPr>
              <w:t>Small retailers, rural producers, consumers and delivery partners who benefit or suffer from the current fragmented journey.</w:t>
            </w:r>
          </w:p>
        </w:tc>
      </w:tr>
      <w:tr w:rsidR="00E0770F" w14:paraId="237FD9D0" w14:textId="77777777" w:rsidTr="00C83AD0">
        <w:trPr>
          <w:jc w:val="center"/>
        </w:trPr>
        <w:tc>
          <w:tcPr>
            <w:tcW w:w="1800" w:type="dxa"/>
            <w:tcMar>
              <w:top w:w="80" w:type="dxa"/>
              <w:left w:w="80" w:type="dxa"/>
              <w:bottom w:w="80" w:type="dxa"/>
              <w:right w:w="80" w:type="dxa"/>
            </w:tcMar>
          </w:tcPr>
          <w:p w14:paraId="3BFE56A8" w14:textId="77777777" w:rsidR="00E0770F" w:rsidRPr="00034DF4" w:rsidRDefault="00E0770F" w:rsidP="00C83AD0">
            <w:pPr>
              <w:spacing w:after="20"/>
              <w:rPr>
                <w:sz w:val="20"/>
                <w:szCs w:val="20"/>
              </w:rPr>
            </w:pPr>
            <w:r w:rsidRPr="00034DF4">
              <w:rPr>
                <w:rFonts w:ascii="Arial" w:eastAsia="Arial" w:hAnsi="Arial"/>
                <w:sz w:val="20"/>
                <w:szCs w:val="20"/>
              </w:rPr>
              <w:t>Actors</w:t>
            </w:r>
          </w:p>
        </w:tc>
        <w:tc>
          <w:tcPr>
            <w:tcW w:w="7560" w:type="dxa"/>
            <w:tcMar>
              <w:top w:w="80" w:type="dxa"/>
              <w:left w:w="80" w:type="dxa"/>
              <w:bottom w:w="80" w:type="dxa"/>
              <w:right w:w="80" w:type="dxa"/>
            </w:tcMar>
          </w:tcPr>
          <w:p w14:paraId="274F2D0B" w14:textId="77777777" w:rsidR="00E0770F" w:rsidRPr="00034DF4" w:rsidRDefault="00E0770F" w:rsidP="00C83AD0">
            <w:pPr>
              <w:spacing w:after="20"/>
              <w:rPr>
                <w:sz w:val="20"/>
                <w:szCs w:val="20"/>
              </w:rPr>
            </w:pPr>
            <w:r w:rsidRPr="00034DF4">
              <w:rPr>
                <w:rFonts w:ascii="Arial" w:eastAsia="Arial" w:hAnsi="Arial"/>
                <w:sz w:val="20"/>
                <w:szCs w:val="20"/>
              </w:rPr>
              <w:t>SME owners, customers, local couriers, payment providers and platform support staff.</w:t>
            </w:r>
          </w:p>
        </w:tc>
      </w:tr>
      <w:tr w:rsidR="00E0770F" w14:paraId="5455BA91" w14:textId="77777777" w:rsidTr="00C83AD0">
        <w:trPr>
          <w:jc w:val="center"/>
        </w:trPr>
        <w:tc>
          <w:tcPr>
            <w:tcW w:w="1800" w:type="dxa"/>
            <w:tcMar>
              <w:top w:w="80" w:type="dxa"/>
              <w:left w:w="80" w:type="dxa"/>
              <w:bottom w:w="80" w:type="dxa"/>
              <w:right w:w="80" w:type="dxa"/>
            </w:tcMar>
          </w:tcPr>
          <w:p w14:paraId="7AD3B9BB" w14:textId="77777777" w:rsidR="00E0770F" w:rsidRPr="00034DF4" w:rsidRDefault="00E0770F" w:rsidP="00C83AD0">
            <w:pPr>
              <w:spacing w:after="20"/>
              <w:rPr>
                <w:sz w:val="20"/>
                <w:szCs w:val="20"/>
              </w:rPr>
            </w:pPr>
            <w:r w:rsidRPr="00034DF4">
              <w:rPr>
                <w:rFonts w:ascii="Arial" w:eastAsia="Arial" w:hAnsi="Arial"/>
                <w:sz w:val="20"/>
                <w:szCs w:val="20"/>
              </w:rPr>
              <w:t>Transformation</w:t>
            </w:r>
          </w:p>
        </w:tc>
        <w:tc>
          <w:tcPr>
            <w:tcW w:w="7560" w:type="dxa"/>
            <w:tcMar>
              <w:top w:w="80" w:type="dxa"/>
              <w:left w:w="80" w:type="dxa"/>
              <w:bottom w:w="80" w:type="dxa"/>
              <w:right w:w="80" w:type="dxa"/>
            </w:tcMar>
          </w:tcPr>
          <w:p w14:paraId="27892B7A" w14:textId="77777777" w:rsidR="00E0770F" w:rsidRPr="00034DF4" w:rsidRDefault="00E0770F" w:rsidP="00C83AD0">
            <w:pPr>
              <w:spacing w:after="20"/>
              <w:rPr>
                <w:sz w:val="20"/>
                <w:szCs w:val="20"/>
              </w:rPr>
            </w:pPr>
            <w:r w:rsidRPr="00034DF4">
              <w:rPr>
                <w:rFonts w:ascii="Arial" w:eastAsia="Arial" w:hAnsi="Arial"/>
                <w:sz w:val="20"/>
                <w:szCs w:val="20"/>
              </w:rPr>
              <w:t>Informal social media interest is transformed into reliable digital orders, payment and fulfilment.</w:t>
            </w:r>
          </w:p>
        </w:tc>
      </w:tr>
      <w:tr w:rsidR="00E0770F" w14:paraId="795177A1" w14:textId="77777777" w:rsidTr="00C83AD0">
        <w:trPr>
          <w:jc w:val="center"/>
        </w:trPr>
        <w:tc>
          <w:tcPr>
            <w:tcW w:w="1800" w:type="dxa"/>
            <w:tcMar>
              <w:top w:w="80" w:type="dxa"/>
              <w:left w:w="80" w:type="dxa"/>
              <w:bottom w:w="80" w:type="dxa"/>
              <w:right w:w="80" w:type="dxa"/>
            </w:tcMar>
          </w:tcPr>
          <w:p w14:paraId="77E31EF2" w14:textId="77777777" w:rsidR="00E0770F" w:rsidRPr="00034DF4" w:rsidRDefault="00E0770F" w:rsidP="00C83AD0">
            <w:pPr>
              <w:spacing w:after="20"/>
              <w:rPr>
                <w:sz w:val="20"/>
                <w:szCs w:val="20"/>
              </w:rPr>
            </w:pPr>
            <w:r w:rsidRPr="00034DF4">
              <w:rPr>
                <w:rFonts w:ascii="Arial" w:eastAsia="Arial" w:hAnsi="Arial"/>
                <w:sz w:val="20"/>
                <w:szCs w:val="20"/>
              </w:rPr>
              <w:t>Worldview</w:t>
            </w:r>
          </w:p>
        </w:tc>
        <w:tc>
          <w:tcPr>
            <w:tcW w:w="7560" w:type="dxa"/>
            <w:tcMar>
              <w:top w:w="80" w:type="dxa"/>
              <w:left w:w="80" w:type="dxa"/>
              <w:bottom w:w="80" w:type="dxa"/>
              <w:right w:w="80" w:type="dxa"/>
            </w:tcMar>
          </w:tcPr>
          <w:p w14:paraId="5F2714AF" w14:textId="77777777" w:rsidR="00E0770F" w:rsidRPr="00034DF4" w:rsidRDefault="00E0770F" w:rsidP="00C83AD0">
            <w:pPr>
              <w:spacing w:after="20"/>
              <w:rPr>
                <w:sz w:val="20"/>
                <w:szCs w:val="20"/>
              </w:rPr>
            </w:pPr>
            <w:r w:rsidRPr="00034DF4">
              <w:rPr>
                <w:rFonts w:ascii="Arial" w:eastAsia="Arial" w:hAnsi="Arial"/>
                <w:sz w:val="20"/>
                <w:szCs w:val="20"/>
              </w:rPr>
              <w:t>Local commerce can remain competitive if digital adoption is simple, trusted and affordable.</w:t>
            </w:r>
          </w:p>
        </w:tc>
      </w:tr>
      <w:tr w:rsidR="00E0770F" w14:paraId="4F9B77DC" w14:textId="77777777" w:rsidTr="00C83AD0">
        <w:trPr>
          <w:jc w:val="center"/>
        </w:trPr>
        <w:tc>
          <w:tcPr>
            <w:tcW w:w="1800" w:type="dxa"/>
            <w:tcMar>
              <w:top w:w="80" w:type="dxa"/>
              <w:left w:w="80" w:type="dxa"/>
              <w:bottom w:w="80" w:type="dxa"/>
              <w:right w:w="80" w:type="dxa"/>
            </w:tcMar>
          </w:tcPr>
          <w:p w14:paraId="45675792" w14:textId="77777777" w:rsidR="00E0770F" w:rsidRPr="00034DF4" w:rsidRDefault="00E0770F" w:rsidP="00C83AD0">
            <w:pPr>
              <w:spacing w:after="20"/>
              <w:rPr>
                <w:sz w:val="20"/>
                <w:szCs w:val="20"/>
              </w:rPr>
            </w:pPr>
            <w:r w:rsidRPr="00034DF4">
              <w:rPr>
                <w:rFonts w:ascii="Arial" w:eastAsia="Arial" w:hAnsi="Arial"/>
                <w:sz w:val="20"/>
                <w:szCs w:val="20"/>
              </w:rPr>
              <w:t>Owners</w:t>
            </w:r>
          </w:p>
        </w:tc>
        <w:tc>
          <w:tcPr>
            <w:tcW w:w="7560" w:type="dxa"/>
            <w:tcMar>
              <w:top w:w="80" w:type="dxa"/>
              <w:left w:w="80" w:type="dxa"/>
              <w:bottom w:w="80" w:type="dxa"/>
              <w:right w:w="80" w:type="dxa"/>
            </w:tcMar>
          </w:tcPr>
          <w:p w14:paraId="28974E16" w14:textId="77777777" w:rsidR="00E0770F" w:rsidRPr="00034DF4" w:rsidRDefault="00E0770F" w:rsidP="00C83AD0">
            <w:pPr>
              <w:spacing w:after="20"/>
              <w:rPr>
                <w:sz w:val="20"/>
                <w:szCs w:val="20"/>
              </w:rPr>
            </w:pPr>
            <w:r w:rsidRPr="00034DF4">
              <w:rPr>
                <w:rFonts w:ascii="Arial" w:eastAsia="Arial" w:hAnsi="Arial"/>
                <w:sz w:val="20"/>
                <w:szCs w:val="20"/>
              </w:rPr>
              <w:t>LocalLink Digital founders, platform operators, SME subscribers and regulatory/payment partners.</w:t>
            </w:r>
          </w:p>
        </w:tc>
      </w:tr>
      <w:tr w:rsidR="00E0770F" w14:paraId="3AB77404" w14:textId="77777777" w:rsidTr="00C83AD0">
        <w:trPr>
          <w:jc w:val="center"/>
        </w:trPr>
        <w:tc>
          <w:tcPr>
            <w:tcW w:w="1800" w:type="dxa"/>
            <w:tcMar>
              <w:top w:w="80" w:type="dxa"/>
              <w:left w:w="80" w:type="dxa"/>
              <w:bottom w:w="80" w:type="dxa"/>
              <w:right w:w="80" w:type="dxa"/>
            </w:tcMar>
          </w:tcPr>
          <w:p w14:paraId="1A5212E8" w14:textId="77777777" w:rsidR="00E0770F" w:rsidRPr="00034DF4" w:rsidRDefault="00E0770F" w:rsidP="00C83AD0">
            <w:pPr>
              <w:spacing w:after="20"/>
              <w:rPr>
                <w:sz w:val="20"/>
                <w:szCs w:val="20"/>
              </w:rPr>
            </w:pPr>
            <w:r w:rsidRPr="00034DF4">
              <w:rPr>
                <w:rFonts w:ascii="Arial" w:eastAsia="Arial" w:hAnsi="Arial"/>
                <w:sz w:val="20"/>
                <w:szCs w:val="20"/>
              </w:rPr>
              <w:t>Environmental constraints</w:t>
            </w:r>
          </w:p>
        </w:tc>
        <w:tc>
          <w:tcPr>
            <w:tcW w:w="7560" w:type="dxa"/>
            <w:tcMar>
              <w:top w:w="80" w:type="dxa"/>
              <w:left w:w="80" w:type="dxa"/>
              <w:bottom w:w="80" w:type="dxa"/>
              <w:right w:w="80" w:type="dxa"/>
            </w:tcMar>
          </w:tcPr>
          <w:p w14:paraId="59AC1BE8" w14:textId="77777777" w:rsidR="00E0770F" w:rsidRPr="00034DF4" w:rsidRDefault="00E0770F" w:rsidP="00C83AD0">
            <w:pPr>
              <w:spacing w:after="20"/>
              <w:rPr>
                <w:sz w:val="20"/>
                <w:szCs w:val="20"/>
              </w:rPr>
            </w:pPr>
            <w:r w:rsidRPr="00034DF4">
              <w:rPr>
                <w:rFonts w:ascii="Arial" w:eastAsia="Arial" w:hAnsi="Arial"/>
                <w:sz w:val="20"/>
                <w:szCs w:val="20"/>
              </w:rPr>
              <w:t>Digital skills, rural connectivity, payment security, delivery density, cost pressures and data protection rules.</w:t>
            </w:r>
          </w:p>
        </w:tc>
      </w:tr>
    </w:tbl>
    <w:p w14:paraId="04649E09" w14:textId="77777777" w:rsidR="00E0770F" w:rsidRDefault="00E0770F" w:rsidP="00E0770F">
      <w:pPr>
        <w:spacing w:before="60" w:after="120"/>
        <w:rPr>
          <w:sz w:val="24"/>
          <w:szCs w:val="24"/>
        </w:rPr>
      </w:pPr>
    </w:p>
    <w:p w14:paraId="54928D09" w14:textId="77777777" w:rsidR="00E0770F" w:rsidRPr="00576E85" w:rsidRDefault="00E0770F" w:rsidP="00E0770F">
      <w:pPr>
        <w:spacing w:before="120" w:after="160"/>
        <w:rPr>
          <w:rFonts w:ascii="Arial" w:hAnsi="Arial"/>
        </w:rPr>
      </w:pPr>
      <w:r w:rsidRPr="00576E85">
        <w:rPr>
          <w:rFonts w:ascii="Arial" w:hAnsi="Arial"/>
          <w:b/>
          <w:bCs/>
        </w:rPr>
        <w:t>Summary:</w:t>
      </w:r>
      <w:r w:rsidRPr="00576E85">
        <w:rPr>
          <w:rFonts w:ascii="Arial" w:hAnsi="Arial"/>
        </w:rPr>
        <w:t xml:space="preserve"> The CATWOE and causal logic show that the venture must address the whole activity system, not just one software feature. The central constraint is the owner’s ability to manage a reliable transaction flow without adding more manual work.</w:t>
      </w:r>
    </w:p>
    <w:p w14:paraId="438EF034" w14:textId="77777777" w:rsidR="00034DF4" w:rsidRDefault="00034DF4" w:rsidP="00E0770F">
      <w:pPr>
        <w:spacing w:before="120" w:after="160"/>
        <w:rPr>
          <w:rFonts w:ascii="Arial" w:hAnsi="Arial"/>
          <w:sz w:val="24"/>
          <w:szCs w:val="24"/>
        </w:rPr>
      </w:pPr>
    </w:p>
    <w:p w14:paraId="14E57D4F" w14:textId="1E811FF3" w:rsidR="00957405" w:rsidRPr="000B426C" w:rsidRDefault="00957405" w:rsidP="00E0770F">
      <w:pPr>
        <w:spacing w:before="120" w:after="160"/>
        <w:rPr>
          <w:rFonts w:ascii="Arial" w:hAnsi="Arial"/>
          <w:b/>
          <w:bCs/>
          <w:sz w:val="28"/>
          <w:szCs w:val="28"/>
        </w:rPr>
      </w:pPr>
      <w:r w:rsidRPr="000B426C">
        <w:rPr>
          <w:rFonts w:ascii="Arial" w:hAnsi="Arial"/>
          <w:b/>
          <w:bCs/>
          <w:sz w:val="28"/>
          <w:szCs w:val="28"/>
        </w:rPr>
        <w:t>Appendix D: Innovation Ambition Matrix</w:t>
      </w:r>
    </w:p>
    <w:tbl>
      <w:tblPr>
        <w:tblStyle w:val="TableGrid"/>
        <w:tblW w:w="9360" w:type="dxa"/>
        <w:jc w:val="center"/>
        <w:tblLayout w:type="fixed"/>
        <w:tblLook w:val="04A0" w:firstRow="1" w:lastRow="0" w:firstColumn="1" w:lastColumn="0" w:noHBand="0" w:noVBand="1"/>
      </w:tblPr>
      <w:tblGrid>
        <w:gridCol w:w="1696"/>
        <w:gridCol w:w="2354"/>
        <w:gridCol w:w="3600"/>
        <w:gridCol w:w="1710"/>
      </w:tblGrid>
      <w:tr w:rsidR="00957405" w14:paraId="4653CB67" w14:textId="77777777" w:rsidTr="00957405">
        <w:trPr>
          <w:tblHeader/>
          <w:jc w:val="center"/>
        </w:trPr>
        <w:tc>
          <w:tcPr>
            <w:tcW w:w="1696" w:type="dxa"/>
            <w:shd w:val="clear" w:color="auto" w:fill="D1D1D1" w:themeFill="background2" w:themeFillShade="E6"/>
            <w:tcMar>
              <w:top w:w="80" w:type="dxa"/>
              <w:left w:w="80" w:type="dxa"/>
              <w:bottom w:w="80" w:type="dxa"/>
              <w:right w:w="80" w:type="dxa"/>
            </w:tcMar>
          </w:tcPr>
          <w:p w14:paraId="45CF9674" w14:textId="77777777" w:rsidR="00957405" w:rsidRPr="00957405" w:rsidRDefault="00957405" w:rsidP="00C83AD0">
            <w:pPr>
              <w:spacing w:after="20"/>
              <w:rPr>
                <w:sz w:val="20"/>
                <w:szCs w:val="20"/>
              </w:rPr>
            </w:pPr>
            <w:r w:rsidRPr="00957405">
              <w:rPr>
                <w:rFonts w:ascii="Arial" w:eastAsia="Arial" w:hAnsi="Arial"/>
                <w:b/>
                <w:sz w:val="20"/>
                <w:szCs w:val="20"/>
              </w:rPr>
              <w:t>Category</w:t>
            </w:r>
          </w:p>
        </w:tc>
        <w:tc>
          <w:tcPr>
            <w:tcW w:w="2354" w:type="dxa"/>
            <w:shd w:val="clear" w:color="auto" w:fill="D1D1D1" w:themeFill="background2" w:themeFillShade="E6"/>
            <w:tcMar>
              <w:top w:w="80" w:type="dxa"/>
              <w:left w:w="80" w:type="dxa"/>
              <w:bottom w:w="80" w:type="dxa"/>
              <w:right w:w="80" w:type="dxa"/>
            </w:tcMar>
          </w:tcPr>
          <w:p w14:paraId="47CBAA65" w14:textId="77777777" w:rsidR="00957405" w:rsidRPr="00957405" w:rsidRDefault="00957405" w:rsidP="00C83AD0">
            <w:pPr>
              <w:spacing w:after="20"/>
              <w:rPr>
                <w:sz w:val="20"/>
                <w:szCs w:val="20"/>
              </w:rPr>
            </w:pPr>
            <w:r w:rsidRPr="00957405">
              <w:rPr>
                <w:rFonts w:ascii="Arial" w:eastAsia="Arial" w:hAnsi="Arial"/>
                <w:b/>
                <w:sz w:val="20"/>
                <w:szCs w:val="20"/>
              </w:rPr>
              <w:t>Meaning</w:t>
            </w:r>
          </w:p>
        </w:tc>
        <w:tc>
          <w:tcPr>
            <w:tcW w:w="3600" w:type="dxa"/>
            <w:shd w:val="clear" w:color="auto" w:fill="D1D1D1" w:themeFill="background2" w:themeFillShade="E6"/>
            <w:tcMar>
              <w:top w:w="80" w:type="dxa"/>
              <w:left w:w="80" w:type="dxa"/>
              <w:bottom w:w="80" w:type="dxa"/>
              <w:right w:w="80" w:type="dxa"/>
            </w:tcMar>
          </w:tcPr>
          <w:p w14:paraId="6B54BEC1" w14:textId="77777777" w:rsidR="00957405" w:rsidRPr="00957405" w:rsidRDefault="00957405" w:rsidP="00C83AD0">
            <w:pPr>
              <w:spacing w:after="20"/>
              <w:rPr>
                <w:sz w:val="20"/>
                <w:szCs w:val="20"/>
              </w:rPr>
            </w:pPr>
            <w:r w:rsidRPr="00957405">
              <w:rPr>
                <w:rFonts w:ascii="Arial" w:eastAsia="Arial" w:hAnsi="Arial"/>
                <w:b/>
                <w:sz w:val="20"/>
                <w:szCs w:val="20"/>
              </w:rPr>
              <w:t>LocalLink application</w:t>
            </w:r>
          </w:p>
        </w:tc>
        <w:tc>
          <w:tcPr>
            <w:tcW w:w="1710" w:type="dxa"/>
            <w:shd w:val="clear" w:color="auto" w:fill="D1D1D1" w:themeFill="background2" w:themeFillShade="E6"/>
            <w:tcMar>
              <w:top w:w="80" w:type="dxa"/>
              <w:left w:w="80" w:type="dxa"/>
              <w:bottom w:w="80" w:type="dxa"/>
              <w:right w:w="80" w:type="dxa"/>
            </w:tcMar>
          </w:tcPr>
          <w:p w14:paraId="2D26D8B1" w14:textId="77777777" w:rsidR="00957405" w:rsidRPr="00957405" w:rsidRDefault="00957405" w:rsidP="00C83AD0">
            <w:pPr>
              <w:spacing w:after="20"/>
              <w:rPr>
                <w:sz w:val="20"/>
                <w:szCs w:val="20"/>
              </w:rPr>
            </w:pPr>
            <w:r w:rsidRPr="00957405">
              <w:rPr>
                <w:rFonts w:ascii="Arial" w:eastAsia="Arial" w:hAnsi="Arial"/>
                <w:b/>
                <w:sz w:val="20"/>
                <w:szCs w:val="20"/>
              </w:rPr>
              <w:t>Risk level</w:t>
            </w:r>
          </w:p>
        </w:tc>
      </w:tr>
      <w:tr w:rsidR="00957405" w14:paraId="0445103E" w14:textId="77777777" w:rsidTr="00957405">
        <w:trPr>
          <w:jc w:val="center"/>
        </w:trPr>
        <w:tc>
          <w:tcPr>
            <w:tcW w:w="1696" w:type="dxa"/>
            <w:tcMar>
              <w:top w:w="80" w:type="dxa"/>
              <w:left w:w="80" w:type="dxa"/>
              <w:bottom w:w="80" w:type="dxa"/>
              <w:right w:w="80" w:type="dxa"/>
            </w:tcMar>
          </w:tcPr>
          <w:p w14:paraId="17AF04BD" w14:textId="77777777" w:rsidR="00957405" w:rsidRPr="00957405" w:rsidRDefault="00957405" w:rsidP="00C83AD0">
            <w:pPr>
              <w:spacing w:after="20"/>
              <w:rPr>
                <w:sz w:val="20"/>
                <w:szCs w:val="20"/>
              </w:rPr>
            </w:pPr>
            <w:r w:rsidRPr="00957405">
              <w:rPr>
                <w:rFonts w:ascii="Arial" w:eastAsia="Arial" w:hAnsi="Arial"/>
                <w:sz w:val="20"/>
                <w:szCs w:val="20"/>
              </w:rPr>
              <w:t>Core</w:t>
            </w:r>
          </w:p>
        </w:tc>
        <w:tc>
          <w:tcPr>
            <w:tcW w:w="2354" w:type="dxa"/>
            <w:tcMar>
              <w:top w:w="80" w:type="dxa"/>
              <w:left w:w="80" w:type="dxa"/>
              <w:bottom w:w="80" w:type="dxa"/>
              <w:right w:w="80" w:type="dxa"/>
            </w:tcMar>
          </w:tcPr>
          <w:p w14:paraId="305583BA" w14:textId="77777777" w:rsidR="00957405" w:rsidRPr="00957405" w:rsidRDefault="00957405" w:rsidP="00C83AD0">
            <w:pPr>
              <w:spacing w:after="20"/>
              <w:rPr>
                <w:sz w:val="20"/>
                <w:szCs w:val="20"/>
              </w:rPr>
            </w:pPr>
            <w:r w:rsidRPr="00957405">
              <w:rPr>
                <w:rFonts w:ascii="Arial" w:eastAsia="Arial" w:hAnsi="Arial"/>
                <w:sz w:val="20"/>
                <w:szCs w:val="20"/>
              </w:rPr>
              <w:t>Improves existing SME selling processes</w:t>
            </w:r>
          </w:p>
        </w:tc>
        <w:tc>
          <w:tcPr>
            <w:tcW w:w="3600" w:type="dxa"/>
            <w:tcMar>
              <w:top w:w="80" w:type="dxa"/>
              <w:left w:w="80" w:type="dxa"/>
              <w:bottom w:w="80" w:type="dxa"/>
              <w:right w:w="80" w:type="dxa"/>
            </w:tcMar>
          </w:tcPr>
          <w:p w14:paraId="5BAB51D5" w14:textId="77777777" w:rsidR="00957405" w:rsidRPr="00957405" w:rsidRDefault="00957405" w:rsidP="00C83AD0">
            <w:pPr>
              <w:spacing w:after="20"/>
              <w:rPr>
                <w:sz w:val="20"/>
                <w:szCs w:val="20"/>
              </w:rPr>
            </w:pPr>
            <w:r w:rsidRPr="00957405">
              <w:rPr>
                <w:rFonts w:ascii="Arial" w:eastAsia="Arial" w:hAnsi="Arial"/>
                <w:sz w:val="20"/>
                <w:szCs w:val="20"/>
              </w:rPr>
              <w:t>Basic storefront, payment links and order dashboard</w:t>
            </w:r>
          </w:p>
        </w:tc>
        <w:tc>
          <w:tcPr>
            <w:tcW w:w="1710" w:type="dxa"/>
            <w:tcMar>
              <w:top w:w="80" w:type="dxa"/>
              <w:left w:w="80" w:type="dxa"/>
              <w:bottom w:w="80" w:type="dxa"/>
              <w:right w:w="80" w:type="dxa"/>
            </w:tcMar>
          </w:tcPr>
          <w:p w14:paraId="566F3B5C" w14:textId="77777777" w:rsidR="00957405" w:rsidRPr="00957405" w:rsidRDefault="00957405" w:rsidP="00C83AD0">
            <w:pPr>
              <w:spacing w:after="20"/>
              <w:rPr>
                <w:sz w:val="20"/>
                <w:szCs w:val="20"/>
              </w:rPr>
            </w:pPr>
            <w:r w:rsidRPr="00957405">
              <w:rPr>
                <w:rFonts w:ascii="Arial" w:eastAsia="Arial" w:hAnsi="Arial"/>
                <w:sz w:val="20"/>
                <w:szCs w:val="20"/>
              </w:rPr>
              <w:t>Low</w:t>
            </w:r>
          </w:p>
        </w:tc>
      </w:tr>
      <w:tr w:rsidR="00957405" w14:paraId="547AE26E" w14:textId="77777777" w:rsidTr="00957405">
        <w:trPr>
          <w:jc w:val="center"/>
        </w:trPr>
        <w:tc>
          <w:tcPr>
            <w:tcW w:w="1696" w:type="dxa"/>
            <w:tcMar>
              <w:top w:w="80" w:type="dxa"/>
              <w:left w:w="80" w:type="dxa"/>
              <w:bottom w:w="80" w:type="dxa"/>
              <w:right w:w="80" w:type="dxa"/>
            </w:tcMar>
          </w:tcPr>
          <w:p w14:paraId="688CC980" w14:textId="77777777" w:rsidR="00957405" w:rsidRPr="00957405" w:rsidRDefault="00957405" w:rsidP="00C83AD0">
            <w:pPr>
              <w:spacing w:after="20"/>
              <w:rPr>
                <w:sz w:val="20"/>
                <w:szCs w:val="20"/>
              </w:rPr>
            </w:pPr>
            <w:r w:rsidRPr="00957405">
              <w:rPr>
                <w:rFonts w:ascii="Arial" w:eastAsia="Arial" w:hAnsi="Arial"/>
                <w:sz w:val="20"/>
                <w:szCs w:val="20"/>
              </w:rPr>
              <w:t>Adjacent</w:t>
            </w:r>
          </w:p>
        </w:tc>
        <w:tc>
          <w:tcPr>
            <w:tcW w:w="2354" w:type="dxa"/>
            <w:tcMar>
              <w:top w:w="80" w:type="dxa"/>
              <w:left w:w="80" w:type="dxa"/>
              <w:bottom w:w="80" w:type="dxa"/>
              <w:right w:w="80" w:type="dxa"/>
            </w:tcMar>
          </w:tcPr>
          <w:p w14:paraId="7C1B2F6E" w14:textId="77777777" w:rsidR="00957405" w:rsidRPr="00957405" w:rsidRDefault="00957405" w:rsidP="00C83AD0">
            <w:pPr>
              <w:spacing w:after="20"/>
              <w:rPr>
                <w:sz w:val="20"/>
                <w:szCs w:val="20"/>
              </w:rPr>
            </w:pPr>
            <w:r w:rsidRPr="00957405">
              <w:rPr>
                <w:rFonts w:ascii="Arial" w:eastAsia="Arial" w:hAnsi="Arial"/>
                <w:sz w:val="20"/>
                <w:szCs w:val="20"/>
              </w:rPr>
              <w:t>Uses existing capabilities in a new combined offer</w:t>
            </w:r>
          </w:p>
        </w:tc>
        <w:tc>
          <w:tcPr>
            <w:tcW w:w="3600" w:type="dxa"/>
            <w:tcMar>
              <w:top w:w="80" w:type="dxa"/>
              <w:left w:w="80" w:type="dxa"/>
              <w:bottom w:w="80" w:type="dxa"/>
              <w:right w:w="80" w:type="dxa"/>
            </w:tcMar>
          </w:tcPr>
          <w:p w14:paraId="39F7796F" w14:textId="77777777" w:rsidR="00957405" w:rsidRPr="00957405" w:rsidRDefault="00957405" w:rsidP="00C83AD0">
            <w:pPr>
              <w:spacing w:after="20"/>
              <w:rPr>
                <w:sz w:val="20"/>
                <w:szCs w:val="20"/>
              </w:rPr>
            </w:pPr>
            <w:r w:rsidRPr="00957405">
              <w:rPr>
                <w:rFonts w:ascii="Arial" w:eastAsia="Arial" w:hAnsi="Arial"/>
                <w:sz w:val="20"/>
                <w:szCs w:val="20"/>
              </w:rPr>
              <w:t>Combines social commerce, payments and fulfilment for local SMEs</w:t>
            </w:r>
          </w:p>
        </w:tc>
        <w:tc>
          <w:tcPr>
            <w:tcW w:w="1710" w:type="dxa"/>
            <w:tcMar>
              <w:top w:w="80" w:type="dxa"/>
              <w:left w:w="80" w:type="dxa"/>
              <w:bottom w:w="80" w:type="dxa"/>
              <w:right w:w="80" w:type="dxa"/>
            </w:tcMar>
          </w:tcPr>
          <w:p w14:paraId="65FA7582" w14:textId="77777777" w:rsidR="00957405" w:rsidRPr="00957405" w:rsidRDefault="00957405" w:rsidP="00C83AD0">
            <w:pPr>
              <w:spacing w:after="20"/>
              <w:rPr>
                <w:sz w:val="20"/>
                <w:szCs w:val="20"/>
              </w:rPr>
            </w:pPr>
            <w:r w:rsidRPr="00957405">
              <w:rPr>
                <w:rFonts w:ascii="Arial" w:eastAsia="Arial" w:hAnsi="Arial"/>
                <w:sz w:val="20"/>
                <w:szCs w:val="20"/>
              </w:rPr>
              <w:t>Medium</w:t>
            </w:r>
          </w:p>
        </w:tc>
      </w:tr>
      <w:tr w:rsidR="00957405" w14:paraId="42C29E2D" w14:textId="77777777" w:rsidTr="00957405">
        <w:trPr>
          <w:jc w:val="center"/>
        </w:trPr>
        <w:tc>
          <w:tcPr>
            <w:tcW w:w="1696" w:type="dxa"/>
            <w:tcMar>
              <w:top w:w="80" w:type="dxa"/>
              <w:left w:w="80" w:type="dxa"/>
              <w:bottom w:w="80" w:type="dxa"/>
              <w:right w:w="80" w:type="dxa"/>
            </w:tcMar>
          </w:tcPr>
          <w:p w14:paraId="094D6683" w14:textId="77777777" w:rsidR="00957405" w:rsidRPr="00957405" w:rsidRDefault="00957405" w:rsidP="00C83AD0">
            <w:pPr>
              <w:spacing w:after="20"/>
              <w:rPr>
                <w:sz w:val="20"/>
                <w:szCs w:val="20"/>
              </w:rPr>
            </w:pPr>
            <w:r w:rsidRPr="00957405">
              <w:rPr>
                <w:rFonts w:ascii="Arial" w:eastAsia="Arial" w:hAnsi="Arial"/>
                <w:sz w:val="20"/>
                <w:szCs w:val="20"/>
              </w:rPr>
              <w:t>Transformational</w:t>
            </w:r>
          </w:p>
        </w:tc>
        <w:tc>
          <w:tcPr>
            <w:tcW w:w="2354" w:type="dxa"/>
            <w:tcMar>
              <w:top w:w="80" w:type="dxa"/>
              <w:left w:w="80" w:type="dxa"/>
              <w:bottom w:w="80" w:type="dxa"/>
              <w:right w:w="80" w:type="dxa"/>
            </w:tcMar>
          </w:tcPr>
          <w:p w14:paraId="79626D2D" w14:textId="77777777" w:rsidR="00957405" w:rsidRPr="00957405" w:rsidRDefault="00957405" w:rsidP="00C83AD0">
            <w:pPr>
              <w:spacing w:after="20"/>
              <w:rPr>
                <w:sz w:val="20"/>
                <w:szCs w:val="20"/>
              </w:rPr>
            </w:pPr>
            <w:r w:rsidRPr="00957405">
              <w:rPr>
                <w:rFonts w:ascii="Arial" w:eastAsia="Arial" w:hAnsi="Arial"/>
                <w:sz w:val="20"/>
                <w:szCs w:val="20"/>
              </w:rPr>
              <w:t>Creates a new local commerce coordination model</w:t>
            </w:r>
          </w:p>
        </w:tc>
        <w:tc>
          <w:tcPr>
            <w:tcW w:w="3600" w:type="dxa"/>
            <w:tcMar>
              <w:top w:w="80" w:type="dxa"/>
              <w:left w:w="80" w:type="dxa"/>
              <w:bottom w:w="80" w:type="dxa"/>
              <w:right w:w="80" w:type="dxa"/>
            </w:tcMar>
          </w:tcPr>
          <w:p w14:paraId="50036363" w14:textId="77777777" w:rsidR="00957405" w:rsidRPr="00957405" w:rsidRDefault="00957405" w:rsidP="00C83AD0">
            <w:pPr>
              <w:spacing w:after="20"/>
              <w:rPr>
                <w:sz w:val="20"/>
                <w:szCs w:val="20"/>
              </w:rPr>
            </w:pPr>
            <w:r w:rsidRPr="00957405">
              <w:rPr>
                <w:rFonts w:ascii="Arial" w:eastAsia="Arial" w:hAnsi="Arial"/>
                <w:sz w:val="20"/>
                <w:szCs w:val="20"/>
              </w:rPr>
              <w:t>Shared local delivery networks and data-led demand planning</w:t>
            </w:r>
          </w:p>
        </w:tc>
        <w:tc>
          <w:tcPr>
            <w:tcW w:w="1710" w:type="dxa"/>
            <w:tcMar>
              <w:top w:w="80" w:type="dxa"/>
              <w:left w:w="80" w:type="dxa"/>
              <w:bottom w:w="80" w:type="dxa"/>
              <w:right w:w="80" w:type="dxa"/>
            </w:tcMar>
          </w:tcPr>
          <w:p w14:paraId="2D08B98A" w14:textId="77777777" w:rsidR="00957405" w:rsidRPr="00957405" w:rsidRDefault="00957405" w:rsidP="00C83AD0">
            <w:pPr>
              <w:spacing w:after="20"/>
              <w:rPr>
                <w:sz w:val="20"/>
                <w:szCs w:val="20"/>
              </w:rPr>
            </w:pPr>
            <w:r w:rsidRPr="00957405">
              <w:rPr>
                <w:rFonts w:ascii="Arial" w:eastAsia="Arial" w:hAnsi="Arial"/>
                <w:sz w:val="20"/>
                <w:szCs w:val="20"/>
              </w:rPr>
              <w:t>High</w:t>
            </w:r>
          </w:p>
        </w:tc>
      </w:tr>
    </w:tbl>
    <w:p w14:paraId="302EAB4B" w14:textId="77777777" w:rsidR="00957405" w:rsidRDefault="00957405" w:rsidP="00E0770F">
      <w:pPr>
        <w:spacing w:before="120" w:after="160"/>
        <w:rPr>
          <w:rFonts w:ascii="Arial" w:hAnsi="Arial"/>
          <w:sz w:val="24"/>
          <w:szCs w:val="24"/>
        </w:rPr>
      </w:pPr>
    </w:p>
    <w:p w14:paraId="6E153288" w14:textId="77777777" w:rsidR="00957405" w:rsidRPr="00576E85" w:rsidRDefault="00957405" w:rsidP="00957405">
      <w:pPr>
        <w:spacing w:before="60" w:after="120"/>
      </w:pPr>
      <w:r w:rsidRPr="00576E85">
        <w:rPr>
          <w:rFonts w:ascii="Arial" w:hAnsi="Arial"/>
          <w:b/>
          <w:bCs/>
        </w:rPr>
        <w:t>Summary:</w:t>
      </w:r>
      <w:r w:rsidRPr="00576E85">
        <w:rPr>
          <w:rFonts w:ascii="Arial" w:hAnsi="Arial"/>
        </w:rPr>
        <w:t xml:space="preserve"> The matrix shows that the venture starts as adjacent innovation because it combines familiar digital tools for an underserved SME market. Its transformational potential depends on whether shared delivery and local data insights can be scaled later.</w:t>
      </w:r>
    </w:p>
    <w:p w14:paraId="72706CCA" w14:textId="77777777" w:rsidR="00957405" w:rsidRDefault="00957405" w:rsidP="00E0770F">
      <w:pPr>
        <w:spacing w:before="120" w:after="160"/>
        <w:rPr>
          <w:rFonts w:ascii="Arial" w:hAnsi="Arial"/>
          <w:sz w:val="24"/>
          <w:szCs w:val="24"/>
        </w:rPr>
      </w:pPr>
    </w:p>
    <w:p w14:paraId="1402C705" w14:textId="77777777" w:rsidR="00576E85" w:rsidRDefault="00576E85" w:rsidP="00E0770F">
      <w:pPr>
        <w:spacing w:before="120" w:after="160"/>
        <w:rPr>
          <w:rFonts w:ascii="Arial" w:hAnsi="Arial"/>
          <w:sz w:val="24"/>
          <w:szCs w:val="24"/>
        </w:rPr>
      </w:pPr>
    </w:p>
    <w:p w14:paraId="52F2167C" w14:textId="52EF4166" w:rsidR="00957405" w:rsidRPr="00576E85" w:rsidRDefault="00957405" w:rsidP="00E0770F">
      <w:pPr>
        <w:spacing w:before="120" w:after="160"/>
        <w:rPr>
          <w:rFonts w:ascii="Arial" w:hAnsi="Arial"/>
          <w:b/>
          <w:bCs/>
          <w:sz w:val="28"/>
          <w:szCs w:val="28"/>
        </w:rPr>
      </w:pPr>
      <w:r w:rsidRPr="00576E85">
        <w:rPr>
          <w:rFonts w:ascii="Arial" w:hAnsi="Arial"/>
          <w:b/>
          <w:bCs/>
          <w:sz w:val="28"/>
          <w:szCs w:val="28"/>
        </w:rPr>
        <w:lastRenderedPageBreak/>
        <w:t>Appendix E: Desirability, Viability And Feasibility</w:t>
      </w:r>
    </w:p>
    <w:tbl>
      <w:tblPr>
        <w:tblStyle w:val="TableGrid"/>
        <w:tblW w:w="0" w:type="auto"/>
        <w:jc w:val="center"/>
        <w:tblLayout w:type="fixed"/>
        <w:tblLook w:val="04A0" w:firstRow="1" w:lastRow="0" w:firstColumn="1" w:lastColumn="0" w:noHBand="0" w:noVBand="1"/>
      </w:tblPr>
      <w:tblGrid>
        <w:gridCol w:w="1800"/>
        <w:gridCol w:w="4300"/>
        <w:gridCol w:w="3260"/>
      </w:tblGrid>
      <w:tr w:rsidR="00957405" w14:paraId="31B88F1A" w14:textId="77777777" w:rsidTr="00957405">
        <w:trPr>
          <w:tblHeader/>
          <w:jc w:val="center"/>
        </w:trPr>
        <w:tc>
          <w:tcPr>
            <w:tcW w:w="1800" w:type="dxa"/>
            <w:shd w:val="clear" w:color="auto" w:fill="D1D1D1" w:themeFill="background2" w:themeFillShade="E6"/>
            <w:tcMar>
              <w:top w:w="80" w:type="dxa"/>
              <w:left w:w="80" w:type="dxa"/>
              <w:bottom w:w="80" w:type="dxa"/>
              <w:right w:w="80" w:type="dxa"/>
            </w:tcMar>
          </w:tcPr>
          <w:p w14:paraId="06043BF8" w14:textId="77777777" w:rsidR="00957405" w:rsidRPr="00957405" w:rsidRDefault="00957405" w:rsidP="00C83AD0">
            <w:pPr>
              <w:spacing w:after="20"/>
              <w:rPr>
                <w:sz w:val="20"/>
                <w:szCs w:val="20"/>
              </w:rPr>
            </w:pPr>
            <w:r w:rsidRPr="00957405">
              <w:rPr>
                <w:rFonts w:ascii="Arial" w:eastAsia="Arial" w:hAnsi="Arial"/>
                <w:b/>
                <w:sz w:val="20"/>
                <w:szCs w:val="20"/>
              </w:rPr>
              <w:t>Criterion</w:t>
            </w:r>
          </w:p>
        </w:tc>
        <w:tc>
          <w:tcPr>
            <w:tcW w:w="4300" w:type="dxa"/>
            <w:shd w:val="clear" w:color="auto" w:fill="D1D1D1" w:themeFill="background2" w:themeFillShade="E6"/>
            <w:tcMar>
              <w:top w:w="80" w:type="dxa"/>
              <w:left w:w="80" w:type="dxa"/>
              <w:bottom w:w="80" w:type="dxa"/>
              <w:right w:w="80" w:type="dxa"/>
            </w:tcMar>
          </w:tcPr>
          <w:p w14:paraId="6B7D4E37" w14:textId="77777777" w:rsidR="00957405" w:rsidRPr="00957405" w:rsidRDefault="00957405" w:rsidP="00C83AD0">
            <w:pPr>
              <w:spacing w:after="20"/>
              <w:rPr>
                <w:sz w:val="20"/>
                <w:szCs w:val="20"/>
              </w:rPr>
            </w:pPr>
            <w:r w:rsidRPr="00957405">
              <w:rPr>
                <w:rFonts w:ascii="Arial" w:eastAsia="Arial" w:hAnsi="Arial"/>
                <w:b/>
                <w:sz w:val="20"/>
                <w:szCs w:val="20"/>
              </w:rPr>
              <w:t>Evidence</w:t>
            </w:r>
          </w:p>
        </w:tc>
        <w:tc>
          <w:tcPr>
            <w:tcW w:w="3260" w:type="dxa"/>
            <w:shd w:val="clear" w:color="auto" w:fill="D1D1D1" w:themeFill="background2" w:themeFillShade="E6"/>
            <w:tcMar>
              <w:top w:w="80" w:type="dxa"/>
              <w:left w:w="80" w:type="dxa"/>
              <w:bottom w:w="80" w:type="dxa"/>
              <w:right w:w="80" w:type="dxa"/>
            </w:tcMar>
          </w:tcPr>
          <w:p w14:paraId="412E8BDE" w14:textId="77777777" w:rsidR="00957405" w:rsidRPr="00957405" w:rsidRDefault="00957405" w:rsidP="00C83AD0">
            <w:pPr>
              <w:spacing w:after="20"/>
              <w:rPr>
                <w:sz w:val="20"/>
                <w:szCs w:val="20"/>
              </w:rPr>
            </w:pPr>
            <w:r w:rsidRPr="00957405">
              <w:rPr>
                <w:rFonts w:ascii="Arial" w:eastAsia="Arial" w:hAnsi="Arial"/>
                <w:b/>
                <w:sz w:val="20"/>
                <w:szCs w:val="20"/>
              </w:rPr>
              <w:t>Implication</w:t>
            </w:r>
          </w:p>
        </w:tc>
      </w:tr>
      <w:tr w:rsidR="00957405" w14:paraId="2CE8A5E7" w14:textId="77777777" w:rsidTr="00C83AD0">
        <w:trPr>
          <w:jc w:val="center"/>
        </w:trPr>
        <w:tc>
          <w:tcPr>
            <w:tcW w:w="1800" w:type="dxa"/>
            <w:tcMar>
              <w:top w:w="80" w:type="dxa"/>
              <w:left w:w="80" w:type="dxa"/>
              <w:bottom w:w="80" w:type="dxa"/>
              <w:right w:w="80" w:type="dxa"/>
            </w:tcMar>
          </w:tcPr>
          <w:p w14:paraId="1056AEEA" w14:textId="77777777" w:rsidR="00957405" w:rsidRPr="00957405" w:rsidRDefault="00957405" w:rsidP="00C83AD0">
            <w:pPr>
              <w:spacing w:after="20"/>
              <w:rPr>
                <w:sz w:val="20"/>
                <w:szCs w:val="20"/>
              </w:rPr>
            </w:pPr>
            <w:r w:rsidRPr="00957405">
              <w:rPr>
                <w:rFonts w:ascii="Arial" w:eastAsia="Arial" w:hAnsi="Arial"/>
                <w:sz w:val="20"/>
                <w:szCs w:val="20"/>
              </w:rPr>
              <w:t>Desirability</w:t>
            </w:r>
          </w:p>
        </w:tc>
        <w:tc>
          <w:tcPr>
            <w:tcW w:w="4300" w:type="dxa"/>
            <w:tcMar>
              <w:top w:w="80" w:type="dxa"/>
              <w:left w:w="80" w:type="dxa"/>
              <w:bottom w:w="80" w:type="dxa"/>
              <w:right w:w="80" w:type="dxa"/>
            </w:tcMar>
          </w:tcPr>
          <w:p w14:paraId="68811202" w14:textId="77777777" w:rsidR="00957405" w:rsidRPr="00957405" w:rsidRDefault="00957405" w:rsidP="00C83AD0">
            <w:pPr>
              <w:spacing w:after="20"/>
              <w:rPr>
                <w:sz w:val="20"/>
                <w:szCs w:val="20"/>
              </w:rPr>
            </w:pPr>
            <w:r w:rsidRPr="00957405">
              <w:rPr>
                <w:rFonts w:ascii="Arial" w:eastAsia="Arial" w:hAnsi="Arial"/>
                <w:sz w:val="20"/>
                <w:szCs w:val="20"/>
              </w:rPr>
              <w:t>SME owners need simpler digital ordering; customers expect convenient local purchasing.</w:t>
            </w:r>
          </w:p>
        </w:tc>
        <w:tc>
          <w:tcPr>
            <w:tcW w:w="3260" w:type="dxa"/>
            <w:tcMar>
              <w:top w:w="80" w:type="dxa"/>
              <w:left w:w="80" w:type="dxa"/>
              <w:bottom w:w="80" w:type="dxa"/>
              <w:right w:w="80" w:type="dxa"/>
            </w:tcMar>
          </w:tcPr>
          <w:p w14:paraId="3A9CD01C" w14:textId="77777777" w:rsidR="00957405" w:rsidRPr="00957405" w:rsidRDefault="00957405" w:rsidP="00C83AD0">
            <w:pPr>
              <w:spacing w:after="20"/>
              <w:rPr>
                <w:sz w:val="20"/>
                <w:szCs w:val="20"/>
              </w:rPr>
            </w:pPr>
            <w:r w:rsidRPr="00957405">
              <w:rPr>
                <w:rFonts w:ascii="Arial" w:eastAsia="Arial" w:hAnsi="Arial"/>
                <w:sz w:val="20"/>
                <w:szCs w:val="20"/>
              </w:rPr>
              <w:t>Prototype must reduce effort and build trust.</w:t>
            </w:r>
          </w:p>
        </w:tc>
      </w:tr>
      <w:tr w:rsidR="00957405" w14:paraId="15D2CEBA" w14:textId="77777777" w:rsidTr="00C83AD0">
        <w:trPr>
          <w:jc w:val="center"/>
        </w:trPr>
        <w:tc>
          <w:tcPr>
            <w:tcW w:w="1800" w:type="dxa"/>
            <w:tcMar>
              <w:top w:w="80" w:type="dxa"/>
              <w:left w:w="80" w:type="dxa"/>
              <w:bottom w:w="80" w:type="dxa"/>
              <w:right w:w="80" w:type="dxa"/>
            </w:tcMar>
          </w:tcPr>
          <w:p w14:paraId="74315FB0" w14:textId="77777777" w:rsidR="00957405" w:rsidRPr="00957405" w:rsidRDefault="00957405" w:rsidP="00C83AD0">
            <w:pPr>
              <w:spacing w:after="20"/>
              <w:rPr>
                <w:sz w:val="20"/>
                <w:szCs w:val="20"/>
              </w:rPr>
            </w:pPr>
            <w:r w:rsidRPr="00957405">
              <w:rPr>
                <w:rFonts w:ascii="Arial" w:eastAsia="Arial" w:hAnsi="Arial"/>
                <w:sz w:val="20"/>
                <w:szCs w:val="20"/>
              </w:rPr>
              <w:t>Viability</w:t>
            </w:r>
          </w:p>
        </w:tc>
        <w:tc>
          <w:tcPr>
            <w:tcW w:w="4300" w:type="dxa"/>
            <w:tcMar>
              <w:top w:w="80" w:type="dxa"/>
              <w:left w:w="80" w:type="dxa"/>
              <w:bottom w:w="80" w:type="dxa"/>
              <w:right w:w="80" w:type="dxa"/>
            </w:tcMar>
          </w:tcPr>
          <w:p w14:paraId="2530DBCC" w14:textId="77777777" w:rsidR="00957405" w:rsidRPr="00957405" w:rsidRDefault="00957405" w:rsidP="00C83AD0">
            <w:pPr>
              <w:spacing w:after="20"/>
              <w:rPr>
                <w:sz w:val="20"/>
                <w:szCs w:val="20"/>
              </w:rPr>
            </w:pPr>
            <w:r w:rsidRPr="00957405">
              <w:rPr>
                <w:rFonts w:ascii="Arial" w:eastAsia="Arial" w:hAnsi="Arial"/>
                <w:sz w:val="20"/>
                <w:szCs w:val="20"/>
              </w:rPr>
              <w:t>Online retail remains above pre-pandemic levels and SME digital adoption is a policy priority.</w:t>
            </w:r>
          </w:p>
        </w:tc>
        <w:tc>
          <w:tcPr>
            <w:tcW w:w="3260" w:type="dxa"/>
            <w:tcMar>
              <w:top w:w="80" w:type="dxa"/>
              <w:left w:w="80" w:type="dxa"/>
              <w:bottom w:w="80" w:type="dxa"/>
              <w:right w:w="80" w:type="dxa"/>
            </w:tcMar>
          </w:tcPr>
          <w:p w14:paraId="5E6CFA7F" w14:textId="77777777" w:rsidR="00957405" w:rsidRPr="00957405" w:rsidRDefault="00957405" w:rsidP="00C83AD0">
            <w:pPr>
              <w:spacing w:after="20"/>
              <w:rPr>
                <w:sz w:val="20"/>
                <w:szCs w:val="20"/>
              </w:rPr>
            </w:pPr>
            <w:r w:rsidRPr="00957405">
              <w:rPr>
                <w:rFonts w:ascii="Arial" w:eastAsia="Arial" w:hAnsi="Arial"/>
                <w:sz w:val="20"/>
                <w:szCs w:val="20"/>
              </w:rPr>
              <w:t>Pricing must be affordable and linked to value created.</w:t>
            </w:r>
          </w:p>
        </w:tc>
      </w:tr>
      <w:tr w:rsidR="00957405" w14:paraId="624F2A9B" w14:textId="77777777" w:rsidTr="00C83AD0">
        <w:trPr>
          <w:jc w:val="center"/>
        </w:trPr>
        <w:tc>
          <w:tcPr>
            <w:tcW w:w="1800" w:type="dxa"/>
            <w:tcMar>
              <w:top w:w="80" w:type="dxa"/>
              <w:left w:w="80" w:type="dxa"/>
              <w:bottom w:w="80" w:type="dxa"/>
              <w:right w:w="80" w:type="dxa"/>
            </w:tcMar>
          </w:tcPr>
          <w:p w14:paraId="53518152" w14:textId="77777777" w:rsidR="00957405" w:rsidRPr="00957405" w:rsidRDefault="00957405" w:rsidP="00C83AD0">
            <w:pPr>
              <w:spacing w:after="20"/>
              <w:rPr>
                <w:sz w:val="20"/>
                <w:szCs w:val="20"/>
              </w:rPr>
            </w:pPr>
            <w:r w:rsidRPr="00957405">
              <w:rPr>
                <w:rFonts w:ascii="Arial" w:eastAsia="Arial" w:hAnsi="Arial"/>
                <w:sz w:val="20"/>
                <w:szCs w:val="20"/>
              </w:rPr>
              <w:t>Feasibility</w:t>
            </w:r>
          </w:p>
        </w:tc>
        <w:tc>
          <w:tcPr>
            <w:tcW w:w="4300" w:type="dxa"/>
            <w:tcMar>
              <w:top w:w="80" w:type="dxa"/>
              <w:left w:w="80" w:type="dxa"/>
              <w:bottom w:w="80" w:type="dxa"/>
              <w:right w:w="80" w:type="dxa"/>
            </w:tcMar>
          </w:tcPr>
          <w:p w14:paraId="78DB1920" w14:textId="77777777" w:rsidR="00957405" w:rsidRPr="00957405" w:rsidRDefault="00957405" w:rsidP="00C83AD0">
            <w:pPr>
              <w:spacing w:after="20"/>
              <w:rPr>
                <w:sz w:val="20"/>
                <w:szCs w:val="20"/>
              </w:rPr>
            </w:pPr>
            <w:r w:rsidRPr="00957405">
              <w:rPr>
                <w:rFonts w:ascii="Arial" w:eastAsia="Arial" w:hAnsi="Arial"/>
                <w:sz w:val="20"/>
                <w:szCs w:val="20"/>
              </w:rPr>
              <w:t>Low-code platforms, payment APIs and cloud tools already exist.</w:t>
            </w:r>
          </w:p>
        </w:tc>
        <w:tc>
          <w:tcPr>
            <w:tcW w:w="3260" w:type="dxa"/>
            <w:tcMar>
              <w:top w:w="80" w:type="dxa"/>
              <w:left w:w="80" w:type="dxa"/>
              <w:bottom w:w="80" w:type="dxa"/>
              <w:right w:w="80" w:type="dxa"/>
            </w:tcMar>
          </w:tcPr>
          <w:p w14:paraId="085FE7E0" w14:textId="77777777" w:rsidR="00957405" w:rsidRPr="00957405" w:rsidRDefault="00957405" w:rsidP="00C83AD0">
            <w:pPr>
              <w:spacing w:after="20"/>
              <w:rPr>
                <w:sz w:val="20"/>
                <w:szCs w:val="20"/>
              </w:rPr>
            </w:pPr>
            <w:r w:rsidRPr="00957405">
              <w:rPr>
                <w:rFonts w:ascii="Arial" w:eastAsia="Arial" w:hAnsi="Arial"/>
                <w:sz w:val="20"/>
                <w:szCs w:val="20"/>
              </w:rPr>
              <w:t>MVP should be narrow and avoid feature overload.</w:t>
            </w:r>
          </w:p>
        </w:tc>
      </w:tr>
    </w:tbl>
    <w:p w14:paraId="45025146" w14:textId="77777777" w:rsidR="00957405" w:rsidRDefault="00957405" w:rsidP="00957405">
      <w:pPr>
        <w:spacing w:before="60" w:after="120"/>
        <w:rPr>
          <w:rFonts w:ascii="Arial" w:hAnsi="Arial"/>
          <w:sz w:val="24"/>
          <w:szCs w:val="24"/>
        </w:rPr>
      </w:pPr>
    </w:p>
    <w:p w14:paraId="3C2CF0E3" w14:textId="36931E68" w:rsidR="00957405" w:rsidRPr="00576E85" w:rsidRDefault="00957405" w:rsidP="00957405">
      <w:pPr>
        <w:spacing w:before="60" w:after="120"/>
      </w:pPr>
      <w:r w:rsidRPr="00576E85">
        <w:rPr>
          <w:rFonts w:ascii="Arial" w:hAnsi="Arial"/>
          <w:b/>
          <w:bCs/>
        </w:rPr>
        <w:t>Summary:</w:t>
      </w:r>
      <w:r w:rsidRPr="00576E85">
        <w:rPr>
          <w:rFonts w:ascii="Arial" w:hAnsi="Arial"/>
        </w:rPr>
        <w:t xml:space="preserve"> The DVF check confirms that the concept is strongest where user need, commercial value and technical simplicity overlap. It also shows that affordability, trust and ease of use must be protected during development.</w:t>
      </w:r>
    </w:p>
    <w:p w14:paraId="52156EAB" w14:textId="77777777" w:rsidR="00957405" w:rsidRDefault="00957405" w:rsidP="00E0770F">
      <w:pPr>
        <w:spacing w:before="120" w:after="160"/>
        <w:rPr>
          <w:rFonts w:ascii="Arial" w:hAnsi="Arial"/>
          <w:sz w:val="24"/>
          <w:szCs w:val="24"/>
        </w:rPr>
      </w:pPr>
    </w:p>
    <w:p w14:paraId="675D2D6A" w14:textId="20D32F2A" w:rsidR="000B426C" w:rsidRPr="000B426C" w:rsidRDefault="000B426C" w:rsidP="00E0770F">
      <w:pPr>
        <w:spacing w:before="120" w:after="160"/>
        <w:rPr>
          <w:rFonts w:ascii="Arial" w:hAnsi="Arial"/>
          <w:b/>
          <w:bCs/>
          <w:sz w:val="28"/>
          <w:szCs w:val="28"/>
        </w:rPr>
      </w:pPr>
      <w:r w:rsidRPr="000B426C">
        <w:rPr>
          <w:rFonts w:ascii="Arial" w:hAnsi="Arial"/>
          <w:b/>
          <w:bCs/>
          <w:sz w:val="28"/>
          <w:szCs w:val="28"/>
        </w:rPr>
        <w:t>Appendix F: MVP Test Plan</w:t>
      </w:r>
    </w:p>
    <w:tbl>
      <w:tblPr>
        <w:tblStyle w:val="TableGrid"/>
        <w:tblW w:w="0" w:type="auto"/>
        <w:jc w:val="center"/>
        <w:tblLayout w:type="fixed"/>
        <w:tblLook w:val="04A0" w:firstRow="1" w:lastRow="0" w:firstColumn="1" w:lastColumn="0" w:noHBand="0" w:noVBand="1"/>
      </w:tblPr>
      <w:tblGrid>
        <w:gridCol w:w="1700"/>
        <w:gridCol w:w="2600"/>
        <w:gridCol w:w="2950"/>
        <w:gridCol w:w="2110"/>
      </w:tblGrid>
      <w:tr w:rsidR="000B426C" w14:paraId="7E9EC488" w14:textId="77777777" w:rsidTr="000B426C">
        <w:trPr>
          <w:tblHeader/>
          <w:jc w:val="center"/>
        </w:trPr>
        <w:tc>
          <w:tcPr>
            <w:tcW w:w="1700" w:type="dxa"/>
            <w:shd w:val="clear" w:color="auto" w:fill="D1D1D1" w:themeFill="background2" w:themeFillShade="E6"/>
            <w:tcMar>
              <w:top w:w="80" w:type="dxa"/>
              <w:left w:w="80" w:type="dxa"/>
              <w:bottom w:w="80" w:type="dxa"/>
              <w:right w:w="80" w:type="dxa"/>
            </w:tcMar>
          </w:tcPr>
          <w:p w14:paraId="685C29B6" w14:textId="77777777" w:rsidR="000B426C" w:rsidRPr="000B426C" w:rsidRDefault="000B426C" w:rsidP="00C83AD0">
            <w:pPr>
              <w:spacing w:after="20"/>
              <w:rPr>
                <w:sz w:val="20"/>
                <w:szCs w:val="20"/>
              </w:rPr>
            </w:pPr>
            <w:r w:rsidRPr="000B426C">
              <w:rPr>
                <w:rFonts w:ascii="Arial" w:eastAsia="Arial" w:hAnsi="Arial"/>
                <w:b/>
                <w:sz w:val="20"/>
                <w:szCs w:val="20"/>
              </w:rPr>
              <w:t>Test area</w:t>
            </w:r>
          </w:p>
        </w:tc>
        <w:tc>
          <w:tcPr>
            <w:tcW w:w="2600" w:type="dxa"/>
            <w:shd w:val="clear" w:color="auto" w:fill="D1D1D1" w:themeFill="background2" w:themeFillShade="E6"/>
            <w:tcMar>
              <w:top w:w="80" w:type="dxa"/>
              <w:left w:w="80" w:type="dxa"/>
              <w:bottom w:w="80" w:type="dxa"/>
              <w:right w:w="80" w:type="dxa"/>
            </w:tcMar>
          </w:tcPr>
          <w:p w14:paraId="32B913CB" w14:textId="77777777" w:rsidR="000B426C" w:rsidRPr="000B426C" w:rsidRDefault="000B426C" w:rsidP="00C83AD0">
            <w:pPr>
              <w:spacing w:after="20"/>
              <w:rPr>
                <w:sz w:val="20"/>
                <w:szCs w:val="20"/>
              </w:rPr>
            </w:pPr>
            <w:r w:rsidRPr="000B426C">
              <w:rPr>
                <w:rFonts w:ascii="Arial" w:eastAsia="Arial" w:hAnsi="Arial"/>
                <w:b/>
                <w:sz w:val="20"/>
                <w:szCs w:val="20"/>
              </w:rPr>
              <w:t>Method</w:t>
            </w:r>
          </w:p>
        </w:tc>
        <w:tc>
          <w:tcPr>
            <w:tcW w:w="2950" w:type="dxa"/>
            <w:shd w:val="clear" w:color="auto" w:fill="D1D1D1" w:themeFill="background2" w:themeFillShade="E6"/>
            <w:tcMar>
              <w:top w:w="80" w:type="dxa"/>
              <w:left w:w="80" w:type="dxa"/>
              <w:bottom w:w="80" w:type="dxa"/>
              <w:right w:w="80" w:type="dxa"/>
            </w:tcMar>
          </w:tcPr>
          <w:p w14:paraId="01392313" w14:textId="77777777" w:rsidR="000B426C" w:rsidRPr="000B426C" w:rsidRDefault="000B426C" w:rsidP="00C83AD0">
            <w:pPr>
              <w:spacing w:after="20"/>
              <w:rPr>
                <w:sz w:val="20"/>
                <w:szCs w:val="20"/>
              </w:rPr>
            </w:pPr>
            <w:r w:rsidRPr="000B426C">
              <w:rPr>
                <w:rFonts w:ascii="Arial" w:eastAsia="Arial" w:hAnsi="Arial"/>
                <w:b/>
                <w:sz w:val="20"/>
                <w:szCs w:val="20"/>
              </w:rPr>
              <w:t>Success indicator</w:t>
            </w:r>
          </w:p>
        </w:tc>
        <w:tc>
          <w:tcPr>
            <w:tcW w:w="2110" w:type="dxa"/>
            <w:shd w:val="clear" w:color="auto" w:fill="D1D1D1" w:themeFill="background2" w:themeFillShade="E6"/>
            <w:tcMar>
              <w:top w:w="80" w:type="dxa"/>
              <w:left w:w="80" w:type="dxa"/>
              <w:bottom w:w="80" w:type="dxa"/>
              <w:right w:w="80" w:type="dxa"/>
            </w:tcMar>
          </w:tcPr>
          <w:p w14:paraId="08033898" w14:textId="77777777" w:rsidR="000B426C" w:rsidRPr="000B426C" w:rsidRDefault="000B426C" w:rsidP="00C83AD0">
            <w:pPr>
              <w:spacing w:after="20"/>
              <w:rPr>
                <w:sz w:val="20"/>
                <w:szCs w:val="20"/>
              </w:rPr>
            </w:pPr>
            <w:r w:rsidRPr="000B426C">
              <w:rPr>
                <w:rFonts w:ascii="Arial" w:eastAsia="Arial" w:hAnsi="Arial"/>
                <w:b/>
                <w:sz w:val="20"/>
                <w:szCs w:val="20"/>
              </w:rPr>
              <w:t>Refinement trigger</w:t>
            </w:r>
          </w:p>
        </w:tc>
      </w:tr>
      <w:tr w:rsidR="000B426C" w14:paraId="6AFFF1EB" w14:textId="77777777" w:rsidTr="00C83AD0">
        <w:trPr>
          <w:jc w:val="center"/>
        </w:trPr>
        <w:tc>
          <w:tcPr>
            <w:tcW w:w="1700" w:type="dxa"/>
            <w:tcMar>
              <w:top w:w="80" w:type="dxa"/>
              <w:left w:w="80" w:type="dxa"/>
              <w:bottom w:w="80" w:type="dxa"/>
              <w:right w:w="80" w:type="dxa"/>
            </w:tcMar>
          </w:tcPr>
          <w:p w14:paraId="2BE68C48" w14:textId="77777777" w:rsidR="000B426C" w:rsidRPr="000B426C" w:rsidRDefault="000B426C" w:rsidP="00C83AD0">
            <w:pPr>
              <w:spacing w:after="20"/>
              <w:rPr>
                <w:sz w:val="20"/>
                <w:szCs w:val="20"/>
              </w:rPr>
            </w:pPr>
            <w:r w:rsidRPr="000B426C">
              <w:rPr>
                <w:rFonts w:ascii="Arial" w:eastAsia="Arial" w:hAnsi="Arial"/>
                <w:sz w:val="20"/>
                <w:szCs w:val="20"/>
              </w:rPr>
              <w:t>Owner onboarding</w:t>
            </w:r>
          </w:p>
        </w:tc>
        <w:tc>
          <w:tcPr>
            <w:tcW w:w="2600" w:type="dxa"/>
            <w:tcMar>
              <w:top w:w="80" w:type="dxa"/>
              <w:left w:w="80" w:type="dxa"/>
              <w:bottom w:w="80" w:type="dxa"/>
              <w:right w:w="80" w:type="dxa"/>
            </w:tcMar>
          </w:tcPr>
          <w:p w14:paraId="46A0738F" w14:textId="77777777" w:rsidR="000B426C" w:rsidRPr="000B426C" w:rsidRDefault="000B426C" w:rsidP="00C83AD0">
            <w:pPr>
              <w:spacing w:after="20"/>
              <w:rPr>
                <w:sz w:val="20"/>
                <w:szCs w:val="20"/>
              </w:rPr>
            </w:pPr>
            <w:r w:rsidRPr="000B426C">
              <w:rPr>
                <w:rFonts w:ascii="Arial" w:eastAsia="Arial" w:hAnsi="Arial"/>
                <w:sz w:val="20"/>
                <w:szCs w:val="20"/>
              </w:rPr>
              <w:t>Observed setup session</w:t>
            </w:r>
          </w:p>
        </w:tc>
        <w:tc>
          <w:tcPr>
            <w:tcW w:w="2950" w:type="dxa"/>
            <w:tcMar>
              <w:top w:w="80" w:type="dxa"/>
              <w:left w:w="80" w:type="dxa"/>
              <w:bottom w:w="80" w:type="dxa"/>
              <w:right w:w="80" w:type="dxa"/>
            </w:tcMar>
          </w:tcPr>
          <w:p w14:paraId="147E00C8" w14:textId="77777777" w:rsidR="000B426C" w:rsidRPr="000B426C" w:rsidRDefault="000B426C" w:rsidP="00C83AD0">
            <w:pPr>
              <w:spacing w:after="20"/>
              <w:rPr>
                <w:sz w:val="20"/>
                <w:szCs w:val="20"/>
              </w:rPr>
            </w:pPr>
            <w:r w:rsidRPr="000B426C">
              <w:rPr>
                <w:rFonts w:ascii="Arial" w:eastAsia="Arial" w:hAnsi="Arial"/>
                <w:sz w:val="20"/>
                <w:szCs w:val="20"/>
              </w:rPr>
              <w:t>80% complete setup unaided after guidance</w:t>
            </w:r>
          </w:p>
        </w:tc>
        <w:tc>
          <w:tcPr>
            <w:tcW w:w="2110" w:type="dxa"/>
            <w:tcMar>
              <w:top w:w="80" w:type="dxa"/>
              <w:left w:w="80" w:type="dxa"/>
              <w:bottom w:w="80" w:type="dxa"/>
              <w:right w:w="80" w:type="dxa"/>
            </w:tcMar>
          </w:tcPr>
          <w:p w14:paraId="40F0A53D" w14:textId="77777777" w:rsidR="000B426C" w:rsidRPr="000B426C" w:rsidRDefault="000B426C" w:rsidP="00C83AD0">
            <w:pPr>
              <w:spacing w:after="20"/>
              <w:rPr>
                <w:sz w:val="20"/>
                <w:szCs w:val="20"/>
              </w:rPr>
            </w:pPr>
            <w:r w:rsidRPr="000B426C">
              <w:rPr>
                <w:rFonts w:ascii="Arial" w:eastAsia="Arial" w:hAnsi="Arial"/>
                <w:sz w:val="20"/>
                <w:szCs w:val="20"/>
              </w:rPr>
              <w:t>Simplify prompts or add support</w:t>
            </w:r>
          </w:p>
        </w:tc>
      </w:tr>
      <w:tr w:rsidR="000B426C" w14:paraId="4AF72373" w14:textId="77777777" w:rsidTr="00C83AD0">
        <w:trPr>
          <w:jc w:val="center"/>
        </w:trPr>
        <w:tc>
          <w:tcPr>
            <w:tcW w:w="1700" w:type="dxa"/>
            <w:tcMar>
              <w:top w:w="80" w:type="dxa"/>
              <w:left w:w="80" w:type="dxa"/>
              <w:bottom w:w="80" w:type="dxa"/>
              <w:right w:w="80" w:type="dxa"/>
            </w:tcMar>
          </w:tcPr>
          <w:p w14:paraId="77F0BFA0" w14:textId="77777777" w:rsidR="000B426C" w:rsidRPr="000B426C" w:rsidRDefault="000B426C" w:rsidP="00C83AD0">
            <w:pPr>
              <w:spacing w:after="20"/>
              <w:rPr>
                <w:sz w:val="20"/>
                <w:szCs w:val="20"/>
              </w:rPr>
            </w:pPr>
            <w:r w:rsidRPr="000B426C">
              <w:rPr>
                <w:rFonts w:ascii="Arial" w:eastAsia="Arial" w:hAnsi="Arial"/>
                <w:sz w:val="20"/>
                <w:szCs w:val="20"/>
              </w:rPr>
              <w:t>Customer order flow</w:t>
            </w:r>
          </w:p>
        </w:tc>
        <w:tc>
          <w:tcPr>
            <w:tcW w:w="2600" w:type="dxa"/>
            <w:tcMar>
              <w:top w:w="80" w:type="dxa"/>
              <w:left w:w="80" w:type="dxa"/>
              <w:bottom w:w="80" w:type="dxa"/>
              <w:right w:w="80" w:type="dxa"/>
            </w:tcMar>
          </w:tcPr>
          <w:p w14:paraId="69F455AF" w14:textId="77777777" w:rsidR="000B426C" w:rsidRPr="000B426C" w:rsidRDefault="000B426C" w:rsidP="00C83AD0">
            <w:pPr>
              <w:spacing w:after="20"/>
              <w:rPr>
                <w:sz w:val="20"/>
                <w:szCs w:val="20"/>
              </w:rPr>
            </w:pPr>
            <w:r w:rsidRPr="000B426C">
              <w:rPr>
                <w:rFonts w:ascii="Arial" w:eastAsia="Arial" w:hAnsi="Arial"/>
                <w:sz w:val="20"/>
                <w:szCs w:val="20"/>
              </w:rPr>
              <w:t>Clickable prototype and live pilot</w:t>
            </w:r>
          </w:p>
        </w:tc>
        <w:tc>
          <w:tcPr>
            <w:tcW w:w="2950" w:type="dxa"/>
            <w:tcMar>
              <w:top w:w="80" w:type="dxa"/>
              <w:left w:w="80" w:type="dxa"/>
              <w:bottom w:w="80" w:type="dxa"/>
              <w:right w:w="80" w:type="dxa"/>
            </w:tcMar>
          </w:tcPr>
          <w:p w14:paraId="5D87FE74" w14:textId="77777777" w:rsidR="000B426C" w:rsidRPr="000B426C" w:rsidRDefault="000B426C" w:rsidP="00C83AD0">
            <w:pPr>
              <w:spacing w:after="20"/>
              <w:rPr>
                <w:sz w:val="20"/>
                <w:szCs w:val="20"/>
              </w:rPr>
            </w:pPr>
            <w:r w:rsidRPr="000B426C">
              <w:rPr>
                <w:rFonts w:ascii="Arial" w:eastAsia="Arial" w:hAnsi="Arial"/>
                <w:sz w:val="20"/>
                <w:szCs w:val="20"/>
              </w:rPr>
              <w:t>High order completion and positive confidence rating</w:t>
            </w:r>
          </w:p>
        </w:tc>
        <w:tc>
          <w:tcPr>
            <w:tcW w:w="2110" w:type="dxa"/>
            <w:tcMar>
              <w:top w:w="80" w:type="dxa"/>
              <w:left w:w="80" w:type="dxa"/>
              <w:bottom w:w="80" w:type="dxa"/>
              <w:right w:w="80" w:type="dxa"/>
            </w:tcMar>
          </w:tcPr>
          <w:p w14:paraId="453986DA" w14:textId="77777777" w:rsidR="000B426C" w:rsidRPr="000B426C" w:rsidRDefault="000B426C" w:rsidP="00C83AD0">
            <w:pPr>
              <w:spacing w:after="20"/>
              <w:rPr>
                <w:sz w:val="20"/>
                <w:szCs w:val="20"/>
              </w:rPr>
            </w:pPr>
            <w:r w:rsidRPr="000B426C">
              <w:rPr>
                <w:rFonts w:ascii="Arial" w:eastAsia="Arial" w:hAnsi="Arial"/>
                <w:sz w:val="20"/>
                <w:szCs w:val="20"/>
              </w:rPr>
              <w:t>Redesign product or payment page</w:t>
            </w:r>
          </w:p>
        </w:tc>
      </w:tr>
      <w:tr w:rsidR="000B426C" w14:paraId="73B873CB" w14:textId="77777777" w:rsidTr="00C83AD0">
        <w:trPr>
          <w:jc w:val="center"/>
        </w:trPr>
        <w:tc>
          <w:tcPr>
            <w:tcW w:w="1700" w:type="dxa"/>
            <w:tcMar>
              <w:top w:w="80" w:type="dxa"/>
              <w:left w:w="80" w:type="dxa"/>
              <w:bottom w:w="80" w:type="dxa"/>
              <w:right w:w="80" w:type="dxa"/>
            </w:tcMar>
          </w:tcPr>
          <w:p w14:paraId="0617CCD8" w14:textId="77777777" w:rsidR="000B426C" w:rsidRPr="000B426C" w:rsidRDefault="000B426C" w:rsidP="00C83AD0">
            <w:pPr>
              <w:spacing w:after="20"/>
              <w:rPr>
                <w:sz w:val="20"/>
                <w:szCs w:val="20"/>
              </w:rPr>
            </w:pPr>
            <w:r w:rsidRPr="000B426C">
              <w:rPr>
                <w:rFonts w:ascii="Arial" w:eastAsia="Arial" w:hAnsi="Arial"/>
                <w:sz w:val="20"/>
                <w:szCs w:val="20"/>
              </w:rPr>
              <w:t>Fulfilment</w:t>
            </w:r>
          </w:p>
        </w:tc>
        <w:tc>
          <w:tcPr>
            <w:tcW w:w="2600" w:type="dxa"/>
            <w:tcMar>
              <w:top w:w="80" w:type="dxa"/>
              <w:left w:w="80" w:type="dxa"/>
              <w:bottom w:w="80" w:type="dxa"/>
              <w:right w:w="80" w:type="dxa"/>
            </w:tcMar>
          </w:tcPr>
          <w:p w14:paraId="5A1A3AAE" w14:textId="77777777" w:rsidR="000B426C" w:rsidRPr="000B426C" w:rsidRDefault="000B426C" w:rsidP="00C83AD0">
            <w:pPr>
              <w:spacing w:after="20"/>
              <w:rPr>
                <w:sz w:val="20"/>
                <w:szCs w:val="20"/>
              </w:rPr>
            </w:pPr>
            <w:r w:rsidRPr="000B426C">
              <w:rPr>
                <w:rFonts w:ascii="Arial" w:eastAsia="Arial" w:hAnsi="Arial"/>
                <w:sz w:val="20"/>
                <w:szCs w:val="20"/>
              </w:rPr>
              <w:t>Four to six-week pilot</w:t>
            </w:r>
          </w:p>
        </w:tc>
        <w:tc>
          <w:tcPr>
            <w:tcW w:w="2950" w:type="dxa"/>
            <w:tcMar>
              <w:top w:w="80" w:type="dxa"/>
              <w:left w:w="80" w:type="dxa"/>
              <w:bottom w:w="80" w:type="dxa"/>
              <w:right w:w="80" w:type="dxa"/>
            </w:tcMar>
          </w:tcPr>
          <w:p w14:paraId="3B4A189A" w14:textId="77777777" w:rsidR="000B426C" w:rsidRPr="000B426C" w:rsidRDefault="000B426C" w:rsidP="00C83AD0">
            <w:pPr>
              <w:spacing w:after="20"/>
              <w:rPr>
                <w:sz w:val="20"/>
                <w:szCs w:val="20"/>
              </w:rPr>
            </w:pPr>
            <w:r w:rsidRPr="000B426C">
              <w:rPr>
                <w:rFonts w:ascii="Arial" w:eastAsia="Arial" w:hAnsi="Arial"/>
                <w:sz w:val="20"/>
                <w:szCs w:val="20"/>
              </w:rPr>
              <w:t>Reduced missed orders and clearer status updates</w:t>
            </w:r>
          </w:p>
        </w:tc>
        <w:tc>
          <w:tcPr>
            <w:tcW w:w="2110" w:type="dxa"/>
            <w:tcMar>
              <w:top w:w="80" w:type="dxa"/>
              <w:left w:w="80" w:type="dxa"/>
              <w:bottom w:w="80" w:type="dxa"/>
              <w:right w:w="80" w:type="dxa"/>
            </w:tcMar>
          </w:tcPr>
          <w:p w14:paraId="249E9B4C" w14:textId="77777777" w:rsidR="000B426C" w:rsidRPr="000B426C" w:rsidRDefault="000B426C" w:rsidP="00C83AD0">
            <w:pPr>
              <w:spacing w:after="20"/>
              <w:rPr>
                <w:sz w:val="20"/>
                <w:szCs w:val="20"/>
              </w:rPr>
            </w:pPr>
            <w:r w:rsidRPr="000B426C">
              <w:rPr>
                <w:rFonts w:ascii="Arial" w:eastAsia="Arial" w:hAnsi="Arial"/>
                <w:sz w:val="20"/>
                <w:szCs w:val="20"/>
              </w:rPr>
              <w:t>Limit to click-and-collect first</w:t>
            </w:r>
          </w:p>
        </w:tc>
      </w:tr>
      <w:tr w:rsidR="000B426C" w14:paraId="2764C374" w14:textId="77777777" w:rsidTr="00C83AD0">
        <w:trPr>
          <w:jc w:val="center"/>
        </w:trPr>
        <w:tc>
          <w:tcPr>
            <w:tcW w:w="1700" w:type="dxa"/>
            <w:tcMar>
              <w:top w:w="80" w:type="dxa"/>
              <w:left w:w="80" w:type="dxa"/>
              <w:bottom w:w="80" w:type="dxa"/>
              <w:right w:w="80" w:type="dxa"/>
            </w:tcMar>
          </w:tcPr>
          <w:p w14:paraId="063F3400" w14:textId="77777777" w:rsidR="000B426C" w:rsidRPr="000B426C" w:rsidRDefault="000B426C" w:rsidP="00C83AD0">
            <w:pPr>
              <w:spacing w:after="20"/>
              <w:rPr>
                <w:sz w:val="20"/>
                <w:szCs w:val="20"/>
              </w:rPr>
            </w:pPr>
            <w:r w:rsidRPr="000B426C">
              <w:rPr>
                <w:rFonts w:ascii="Arial" w:eastAsia="Arial" w:hAnsi="Arial"/>
                <w:sz w:val="20"/>
                <w:szCs w:val="20"/>
              </w:rPr>
              <w:t>Commercial model</w:t>
            </w:r>
          </w:p>
        </w:tc>
        <w:tc>
          <w:tcPr>
            <w:tcW w:w="2600" w:type="dxa"/>
            <w:tcMar>
              <w:top w:w="80" w:type="dxa"/>
              <w:left w:w="80" w:type="dxa"/>
              <w:bottom w:w="80" w:type="dxa"/>
              <w:right w:w="80" w:type="dxa"/>
            </w:tcMar>
          </w:tcPr>
          <w:p w14:paraId="41BAA437" w14:textId="77777777" w:rsidR="000B426C" w:rsidRPr="000B426C" w:rsidRDefault="000B426C" w:rsidP="00C83AD0">
            <w:pPr>
              <w:spacing w:after="20"/>
              <w:rPr>
                <w:sz w:val="20"/>
                <w:szCs w:val="20"/>
              </w:rPr>
            </w:pPr>
            <w:r w:rsidRPr="000B426C">
              <w:rPr>
                <w:rFonts w:ascii="Arial" w:eastAsia="Arial" w:hAnsi="Arial"/>
                <w:sz w:val="20"/>
                <w:szCs w:val="20"/>
              </w:rPr>
              <w:t>Trial to paid conversion</w:t>
            </w:r>
          </w:p>
        </w:tc>
        <w:tc>
          <w:tcPr>
            <w:tcW w:w="2950" w:type="dxa"/>
            <w:tcMar>
              <w:top w:w="80" w:type="dxa"/>
              <w:left w:w="80" w:type="dxa"/>
              <w:bottom w:w="80" w:type="dxa"/>
              <w:right w:w="80" w:type="dxa"/>
            </w:tcMar>
          </w:tcPr>
          <w:p w14:paraId="303A9F02" w14:textId="77777777" w:rsidR="000B426C" w:rsidRPr="000B426C" w:rsidRDefault="000B426C" w:rsidP="00C83AD0">
            <w:pPr>
              <w:spacing w:after="20"/>
              <w:rPr>
                <w:sz w:val="20"/>
                <w:szCs w:val="20"/>
              </w:rPr>
            </w:pPr>
            <w:r w:rsidRPr="000B426C">
              <w:rPr>
                <w:rFonts w:ascii="Arial" w:eastAsia="Arial" w:hAnsi="Arial"/>
                <w:sz w:val="20"/>
                <w:szCs w:val="20"/>
              </w:rPr>
              <w:t>Meaningful conversion after pilot</w:t>
            </w:r>
          </w:p>
        </w:tc>
        <w:tc>
          <w:tcPr>
            <w:tcW w:w="2110" w:type="dxa"/>
            <w:tcMar>
              <w:top w:w="80" w:type="dxa"/>
              <w:left w:w="80" w:type="dxa"/>
              <w:bottom w:w="80" w:type="dxa"/>
              <w:right w:w="80" w:type="dxa"/>
            </w:tcMar>
          </w:tcPr>
          <w:p w14:paraId="53F2DF13" w14:textId="77777777" w:rsidR="000B426C" w:rsidRPr="000B426C" w:rsidRDefault="000B426C" w:rsidP="00C83AD0">
            <w:pPr>
              <w:spacing w:after="20"/>
              <w:rPr>
                <w:sz w:val="20"/>
                <w:szCs w:val="20"/>
              </w:rPr>
            </w:pPr>
            <w:r w:rsidRPr="000B426C">
              <w:rPr>
                <w:rFonts w:ascii="Arial" w:eastAsia="Arial" w:hAnsi="Arial"/>
                <w:sz w:val="20"/>
                <w:szCs w:val="20"/>
              </w:rPr>
              <w:t>Adjust pricing or support offer</w:t>
            </w:r>
          </w:p>
        </w:tc>
      </w:tr>
    </w:tbl>
    <w:p w14:paraId="3EFEBB8E" w14:textId="77777777" w:rsidR="000B426C" w:rsidRDefault="000B426C" w:rsidP="00E0770F">
      <w:pPr>
        <w:spacing w:before="120" w:after="160"/>
        <w:rPr>
          <w:rFonts w:ascii="Arial" w:hAnsi="Arial"/>
          <w:sz w:val="24"/>
          <w:szCs w:val="24"/>
        </w:rPr>
      </w:pPr>
    </w:p>
    <w:p w14:paraId="47841ED1" w14:textId="77777777" w:rsidR="000B426C" w:rsidRPr="00576E85" w:rsidRDefault="000B426C" w:rsidP="000B426C">
      <w:pPr>
        <w:spacing w:before="60" w:after="120"/>
      </w:pPr>
      <w:r w:rsidRPr="00576E85">
        <w:rPr>
          <w:rFonts w:ascii="Arial" w:hAnsi="Arial"/>
          <w:b/>
          <w:bCs/>
        </w:rPr>
        <w:t>Summary:</w:t>
      </w:r>
      <w:r w:rsidRPr="00576E85">
        <w:rPr>
          <w:rFonts w:ascii="Arial" w:hAnsi="Arial"/>
        </w:rPr>
        <w:t xml:space="preserve"> The test plan turns the MVP into measurable learning by linking user behaviour, customer confidence and commercial risk. This supports refinement before wider rollout rather than assuming the first version is correct.</w:t>
      </w:r>
    </w:p>
    <w:p w14:paraId="55AC213E" w14:textId="77777777" w:rsidR="000B426C" w:rsidRDefault="000B426C" w:rsidP="00E0770F">
      <w:pPr>
        <w:spacing w:before="120" w:after="160"/>
        <w:rPr>
          <w:rFonts w:ascii="Arial" w:hAnsi="Arial"/>
          <w:sz w:val="24"/>
          <w:szCs w:val="24"/>
        </w:rPr>
      </w:pPr>
    </w:p>
    <w:p w14:paraId="2D0F2983" w14:textId="77777777" w:rsidR="00957405" w:rsidRDefault="00957405" w:rsidP="00E0770F">
      <w:pPr>
        <w:spacing w:before="120" w:after="160"/>
        <w:rPr>
          <w:rFonts w:ascii="Arial" w:hAnsi="Arial"/>
          <w:sz w:val="24"/>
          <w:szCs w:val="24"/>
        </w:rPr>
      </w:pPr>
    </w:p>
    <w:p w14:paraId="6C7B85A1" w14:textId="77777777" w:rsidR="00957405" w:rsidRDefault="00957405" w:rsidP="00E0770F">
      <w:pPr>
        <w:spacing w:before="120" w:after="160"/>
        <w:rPr>
          <w:rFonts w:ascii="Arial" w:hAnsi="Arial"/>
          <w:sz w:val="24"/>
          <w:szCs w:val="24"/>
        </w:rPr>
      </w:pPr>
    </w:p>
    <w:p w14:paraId="10B365F4" w14:textId="77777777" w:rsidR="00957405" w:rsidRDefault="00957405" w:rsidP="00E0770F">
      <w:pPr>
        <w:spacing w:before="120" w:after="160"/>
        <w:rPr>
          <w:rFonts w:ascii="Arial" w:hAnsi="Arial"/>
          <w:sz w:val="24"/>
          <w:szCs w:val="24"/>
        </w:rPr>
      </w:pPr>
    </w:p>
    <w:p w14:paraId="4D103984" w14:textId="77777777" w:rsidR="00830431" w:rsidRPr="00830431" w:rsidRDefault="00830431" w:rsidP="00830431">
      <w:pPr>
        <w:pStyle w:val="ListNumber"/>
        <w:numPr>
          <w:ilvl w:val="0"/>
          <w:numId w:val="0"/>
        </w:numPr>
        <w:spacing w:line="360" w:lineRule="auto"/>
        <w:rPr>
          <w:rFonts w:ascii="Arial" w:hAnsi="Arial" w:cs="Arial"/>
          <w:sz w:val="24"/>
          <w:szCs w:val="24"/>
          <w:lang w:val="en-GB"/>
        </w:rPr>
      </w:pPr>
    </w:p>
    <w:sectPr w:rsidR="00830431" w:rsidRPr="00830431" w:rsidSect="00180629">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F6A38B" w14:textId="77777777" w:rsidR="00976031" w:rsidRDefault="00976031" w:rsidP="00D93EC8">
      <w:pPr>
        <w:spacing w:after="0" w:line="240" w:lineRule="auto"/>
      </w:pPr>
      <w:r>
        <w:separator/>
      </w:r>
    </w:p>
  </w:endnote>
  <w:endnote w:type="continuationSeparator" w:id="0">
    <w:p w14:paraId="7209D02F" w14:textId="77777777" w:rsidR="00976031" w:rsidRDefault="00976031" w:rsidP="00D93E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5163390"/>
      <w:docPartObj>
        <w:docPartGallery w:val="Page Numbers (Bottom of Page)"/>
        <w:docPartUnique/>
      </w:docPartObj>
    </w:sdtPr>
    <w:sdtContent>
      <w:p w14:paraId="0F71E47E" w14:textId="61264C76" w:rsidR="00180629" w:rsidRDefault="00180629">
        <w:pPr>
          <w:pStyle w:val="Footer"/>
          <w:jc w:val="center"/>
        </w:pPr>
        <w:r>
          <w:fldChar w:fldCharType="begin"/>
        </w:r>
        <w:r>
          <w:instrText>PAGE   \* MERGEFORMAT</w:instrText>
        </w:r>
        <w:r>
          <w:fldChar w:fldCharType="separate"/>
        </w:r>
        <w:r>
          <w:rPr>
            <w:lang w:val="en-GB"/>
          </w:rPr>
          <w:t>2</w:t>
        </w:r>
        <w:r>
          <w:fldChar w:fldCharType="end"/>
        </w:r>
      </w:p>
    </w:sdtContent>
  </w:sdt>
  <w:p w14:paraId="1C2221C4" w14:textId="77777777" w:rsidR="009004A2" w:rsidRDefault="009004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41D15D" w14:textId="77777777" w:rsidR="00976031" w:rsidRDefault="00976031" w:rsidP="00D93EC8">
      <w:pPr>
        <w:spacing w:after="0" w:line="240" w:lineRule="auto"/>
      </w:pPr>
      <w:r>
        <w:separator/>
      </w:r>
    </w:p>
  </w:footnote>
  <w:footnote w:type="continuationSeparator" w:id="0">
    <w:p w14:paraId="44FBD701" w14:textId="77777777" w:rsidR="00976031" w:rsidRDefault="00976031" w:rsidP="00D93E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E2740D58"/>
    <w:lvl w:ilvl="0">
      <w:start w:val="1"/>
      <w:numFmt w:val="decimal"/>
      <w:pStyle w:val="ListNumber"/>
      <w:lvlText w:val="%1."/>
      <w:lvlJc w:val="left"/>
      <w:pPr>
        <w:tabs>
          <w:tab w:val="num" w:pos="360"/>
        </w:tabs>
        <w:ind w:left="360" w:hanging="360"/>
      </w:pPr>
    </w:lvl>
  </w:abstractNum>
  <w:abstractNum w:abstractNumId="1" w15:restartNumberingAfterBreak="0">
    <w:nsid w:val="00B26B84"/>
    <w:multiLevelType w:val="hybridMultilevel"/>
    <w:tmpl w:val="E84E8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EA0ACF"/>
    <w:multiLevelType w:val="hybridMultilevel"/>
    <w:tmpl w:val="5C688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4246E0"/>
    <w:multiLevelType w:val="hybridMultilevel"/>
    <w:tmpl w:val="746CC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6749D"/>
    <w:multiLevelType w:val="hybridMultilevel"/>
    <w:tmpl w:val="1116C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165A9B"/>
    <w:multiLevelType w:val="hybridMultilevel"/>
    <w:tmpl w:val="FA3C8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8E289C"/>
    <w:multiLevelType w:val="hybridMultilevel"/>
    <w:tmpl w:val="D79AD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1C12AD"/>
    <w:multiLevelType w:val="hybridMultilevel"/>
    <w:tmpl w:val="97B0BB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811377"/>
    <w:multiLevelType w:val="hybridMultilevel"/>
    <w:tmpl w:val="3D9CF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C733FA"/>
    <w:multiLevelType w:val="hybridMultilevel"/>
    <w:tmpl w:val="FD56514A"/>
    <w:lvl w:ilvl="0" w:tplc="81201D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46B4AF3"/>
    <w:multiLevelType w:val="hybridMultilevel"/>
    <w:tmpl w:val="28CEA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3A2007"/>
    <w:multiLevelType w:val="hybridMultilevel"/>
    <w:tmpl w:val="3EDA9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856DF3"/>
    <w:multiLevelType w:val="hybridMultilevel"/>
    <w:tmpl w:val="213C8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955485"/>
    <w:multiLevelType w:val="hybridMultilevel"/>
    <w:tmpl w:val="0ECE3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E74D96"/>
    <w:multiLevelType w:val="hybridMultilevel"/>
    <w:tmpl w:val="0874BA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2CC5B18"/>
    <w:multiLevelType w:val="hybridMultilevel"/>
    <w:tmpl w:val="947AB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25677B"/>
    <w:multiLevelType w:val="hybridMultilevel"/>
    <w:tmpl w:val="15F83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335215"/>
    <w:multiLevelType w:val="hybridMultilevel"/>
    <w:tmpl w:val="AE7A1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5490845">
    <w:abstractNumId w:val="0"/>
  </w:num>
  <w:num w:numId="2" w16cid:durableId="664285450">
    <w:abstractNumId w:val="14"/>
  </w:num>
  <w:num w:numId="3" w16cid:durableId="1801607145">
    <w:abstractNumId w:val="9"/>
  </w:num>
  <w:num w:numId="4" w16cid:durableId="2051028793">
    <w:abstractNumId w:val="7"/>
  </w:num>
  <w:num w:numId="5" w16cid:durableId="524095311">
    <w:abstractNumId w:val="2"/>
  </w:num>
  <w:num w:numId="6" w16cid:durableId="1913546104">
    <w:abstractNumId w:val="15"/>
  </w:num>
  <w:num w:numId="7" w16cid:durableId="1867523346">
    <w:abstractNumId w:val="10"/>
  </w:num>
  <w:num w:numId="8" w16cid:durableId="1716201150">
    <w:abstractNumId w:val="17"/>
  </w:num>
  <w:num w:numId="9" w16cid:durableId="1738893371">
    <w:abstractNumId w:val="12"/>
  </w:num>
  <w:num w:numId="10" w16cid:durableId="548539953">
    <w:abstractNumId w:val="5"/>
  </w:num>
  <w:num w:numId="11" w16cid:durableId="1631090069">
    <w:abstractNumId w:val="6"/>
  </w:num>
  <w:num w:numId="12" w16cid:durableId="317004560">
    <w:abstractNumId w:val="16"/>
  </w:num>
  <w:num w:numId="13" w16cid:durableId="303777593">
    <w:abstractNumId w:val="4"/>
  </w:num>
  <w:num w:numId="14" w16cid:durableId="960648830">
    <w:abstractNumId w:val="13"/>
  </w:num>
  <w:num w:numId="15" w16cid:durableId="521940635">
    <w:abstractNumId w:val="8"/>
  </w:num>
  <w:num w:numId="16" w16cid:durableId="1590239823">
    <w:abstractNumId w:val="11"/>
  </w:num>
  <w:num w:numId="17" w16cid:durableId="314728364">
    <w:abstractNumId w:val="3"/>
  </w:num>
  <w:num w:numId="18" w16cid:durableId="7069485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F97"/>
    <w:rsid w:val="00034DF4"/>
    <w:rsid w:val="0007124F"/>
    <w:rsid w:val="000B426C"/>
    <w:rsid w:val="00180629"/>
    <w:rsid w:val="001806BD"/>
    <w:rsid w:val="001D08A8"/>
    <w:rsid w:val="001D3FB1"/>
    <w:rsid w:val="001E7493"/>
    <w:rsid w:val="0022145D"/>
    <w:rsid w:val="00234527"/>
    <w:rsid w:val="00291E1A"/>
    <w:rsid w:val="00294ABD"/>
    <w:rsid w:val="002B7525"/>
    <w:rsid w:val="002E705A"/>
    <w:rsid w:val="0033352A"/>
    <w:rsid w:val="003D6070"/>
    <w:rsid w:val="003E318E"/>
    <w:rsid w:val="003F3735"/>
    <w:rsid w:val="004918DE"/>
    <w:rsid w:val="004B38B4"/>
    <w:rsid w:val="004B5BAF"/>
    <w:rsid w:val="004D5484"/>
    <w:rsid w:val="00502074"/>
    <w:rsid w:val="00555741"/>
    <w:rsid w:val="00573311"/>
    <w:rsid w:val="00576E85"/>
    <w:rsid w:val="00624706"/>
    <w:rsid w:val="00662472"/>
    <w:rsid w:val="00684ABD"/>
    <w:rsid w:val="006A5C99"/>
    <w:rsid w:val="006F4104"/>
    <w:rsid w:val="00791FC9"/>
    <w:rsid w:val="008034F9"/>
    <w:rsid w:val="00830431"/>
    <w:rsid w:val="00844D3F"/>
    <w:rsid w:val="008735F0"/>
    <w:rsid w:val="008E1736"/>
    <w:rsid w:val="009004A2"/>
    <w:rsid w:val="00957405"/>
    <w:rsid w:val="00976031"/>
    <w:rsid w:val="009B4C3E"/>
    <w:rsid w:val="00A47445"/>
    <w:rsid w:val="00A6673D"/>
    <w:rsid w:val="00B41A01"/>
    <w:rsid w:val="00B672A7"/>
    <w:rsid w:val="00BC4F22"/>
    <w:rsid w:val="00BC7A1C"/>
    <w:rsid w:val="00BD4548"/>
    <w:rsid w:val="00C9185E"/>
    <w:rsid w:val="00D836E0"/>
    <w:rsid w:val="00D93EC8"/>
    <w:rsid w:val="00E01C44"/>
    <w:rsid w:val="00E0770F"/>
    <w:rsid w:val="00E13426"/>
    <w:rsid w:val="00E44788"/>
    <w:rsid w:val="00E60F97"/>
    <w:rsid w:val="00EA2D38"/>
    <w:rsid w:val="00EC1F63"/>
    <w:rsid w:val="00F3695D"/>
    <w:rsid w:val="00F76CB8"/>
    <w:rsid w:val="00F84DA9"/>
    <w:rsid w:val="00F92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1B694A"/>
  <w15:chartTrackingRefBased/>
  <w15:docId w15:val="{69741071-DD1F-4215-B585-B3A6194B68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0F97"/>
    <w:pPr>
      <w:spacing w:after="200" w:line="276" w:lineRule="auto"/>
    </w:pPr>
    <w:rPr>
      <w:rFonts w:eastAsiaTheme="minorEastAsia"/>
      <w:kern w:val="0"/>
      <w:lang w:val="en-US"/>
      <w14:ligatures w14:val="none"/>
    </w:rPr>
  </w:style>
  <w:style w:type="paragraph" w:styleId="Heading1">
    <w:name w:val="heading 1"/>
    <w:basedOn w:val="Normal"/>
    <w:next w:val="Normal"/>
    <w:link w:val="Heading1Char"/>
    <w:uiPriority w:val="9"/>
    <w:qFormat/>
    <w:rsid w:val="00E60F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0F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0F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0F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0F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0F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0F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0F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0F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0F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0F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0F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0F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0F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0F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0F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0F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0F97"/>
    <w:rPr>
      <w:rFonts w:eastAsiaTheme="majorEastAsia" w:cstheme="majorBidi"/>
      <w:color w:val="272727" w:themeColor="text1" w:themeTint="D8"/>
    </w:rPr>
  </w:style>
  <w:style w:type="paragraph" w:styleId="Title">
    <w:name w:val="Title"/>
    <w:basedOn w:val="Normal"/>
    <w:next w:val="Normal"/>
    <w:link w:val="TitleChar"/>
    <w:uiPriority w:val="10"/>
    <w:qFormat/>
    <w:rsid w:val="00E60F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0F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0F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0F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0F97"/>
    <w:pPr>
      <w:spacing w:before="160"/>
      <w:jc w:val="center"/>
    </w:pPr>
    <w:rPr>
      <w:i/>
      <w:iCs/>
      <w:color w:val="404040" w:themeColor="text1" w:themeTint="BF"/>
    </w:rPr>
  </w:style>
  <w:style w:type="character" w:customStyle="1" w:styleId="QuoteChar">
    <w:name w:val="Quote Char"/>
    <w:basedOn w:val="DefaultParagraphFont"/>
    <w:link w:val="Quote"/>
    <w:uiPriority w:val="29"/>
    <w:rsid w:val="00E60F97"/>
    <w:rPr>
      <w:i/>
      <w:iCs/>
      <w:color w:val="404040" w:themeColor="text1" w:themeTint="BF"/>
    </w:rPr>
  </w:style>
  <w:style w:type="paragraph" w:styleId="ListParagraph">
    <w:name w:val="List Paragraph"/>
    <w:basedOn w:val="Normal"/>
    <w:uiPriority w:val="34"/>
    <w:qFormat/>
    <w:rsid w:val="00E60F97"/>
    <w:pPr>
      <w:ind w:left="720"/>
      <w:contextualSpacing/>
    </w:pPr>
  </w:style>
  <w:style w:type="character" w:styleId="IntenseEmphasis">
    <w:name w:val="Intense Emphasis"/>
    <w:basedOn w:val="DefaultParagraphFont"/>
    <w:uiPriority w:val="21"/>
    <w:qFormat/>
    <w:rsid w:val="00E60F97"/>
    <w:rPr>
      <w:i/>
      <w:iCs/>
      <w:color w:val="0F4761" w:themeColor="accent1" w:themeShade="BF"/>
    </w:rPr>
  </w:style>
  <w:style w:type="paragraph" w:styleId="IntenseQuote">
    <w:name w:val="Intense Quote"/>
    <w:basedOn w:val="Normal"/>
    <w:next w:val="Normal"/>
    <w:link w:val="IntenseQuoteChar"/>
    <w:uiPriority w:val="30"/>
    <w:qFormat/>
    <w:rsid w:val="00E60F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0F97"/>
    <w:rPr>
      <w:i/>
      <w:iCs/>
      <w:color w:val="0F4761" w:themeColor="accent1" w:themeShade="BF"/>
    </w:rPr>
  </w:style>
  <w:style w:type="character" w:styleId="IntenseReference">
    <w:name w:val="Intense Reference"/>
    <w:basedOn w:val="DefaultParagraphFont"/>
    <w:uiPriority w:val="32"/>
    <w:qFormat/>
    <w:rsid w:val="00E60F97"/>
    <w:rPr>
      <w:b/>
      <w:bCs/>
      <w:smallCaps/>
      <w:color w:val="0F4761" w:themeColor="accent1" w:themeShade="BF"/>
      <w:spacing w:val="5"/>
    </w:rPr>
  </w:style>
  <w:style w:type="paragraph" w:styleId="ListNumber">
    <w:name w:val="List Number"/>
    <w:basedOn w:val="Normal"/>
    <w:uiPriority w:val="99"/>
    <w:unhideWhenUsed/>
    <w:rsid w:val="00E60F97"/>
    <w:pPr>
      <w:numPr>
        <w:numId w:val="1"/>
      </w:numPr>
      <w:tabs>
        <w:tab w:val="clear" w:pos="360"/>
      </w:tabs>
      <w:ind w:left="0" w:firstLine="0"/>
      <w:contextualSpacing/>
    </w:pPr>
  </w:style>
  <w:style w:type="paragraph" w:styleId="Header">
    <w:name w:val="header"/>
    <w:basedOn w:val="Normal"/>
    <w:link w:val="HeaderChar"/>
    <w:uiPriority w:val="99"/>
    <w:unhideWhenUsed/>
    <w:rsid w:val="00D93E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3EC8"/>
    <w:rPr>
      <w:rFonts w:eastAsiaTheme="minorEastAsia"/>
      <w:kern w:val="0"/>
      <w:lang w:val="en-US"/>
      <w14:ligatures w14:val="none"/>
    </w:rPr>
  </w:style>
  <w:style w:type="paragraph" w:styleId="Footer">
    <w:name w:val="footer"/>
    <w:basedOn w:val="Normal"/>
    <w:link w:val="FooterChar"/>
    <w:uiPriority w:val="99"/>
    <w:unhideWhenUsed/>
    <w:rsid w:val="00D93E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3EC8"/>
    <w:rPr>
      <w:rFonts w:eastAsiaTheme="minorEastAsia"/>
      <w:kern w:val="0"/>
      <w:lang w:val="en-US"/>
      <w14:ligatures w14:val="none"/>
    </w:rPr>
  </w:style>
  <w:style w:type="character" w:styleId="Hyperlink">
    <w:name w:val="Hyperlink"/>
    <w:basedOn w:val="DefaultParagraphFont"/>
    <w:uiPriority w:val="99"/>
    <w:unhideWhenUsed/>
    <w:rsid w:val="00502074"/>
    <w:rPr>
      <w:color w:val="467886" w:themeColor="hyperlink"/>
      <w:u w:val="single"/>
    </w:rPr>
  </w:style>
  <w:style w:type="character" w:styleId="UnresolvedMention">
    <w:name w:val="Unresolved Mention"/>
    <w:basedOn w:val="DefaultParagraphFont"/>
    <w:uiPriority w:val="99"/>
    <w:semiHidden/>
    <w:unhideWhenUsed/>
    <w:rsid w:val="00502074"/>
    <w:rPr>
      <w:color w:val="605E5C"/>
      <w:shd w:val="clear" w:color="auto" w:fill="E1DFDD"/>
    </w:rPr>
  </w:style>
  <w:style w:type="table" w:styleId="TableGrid">
    <w:name w:val="Table Grid"/>
    <w:basedOn w:val="TableNormal"/>
    <w:uiPriority w:val="59"/>
    <w:rsid w:val="00844D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3737DE-5548-4560-9A45-4E58CE6AC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6448</Words>
  <Characters>36759</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Azar Hussain (2329830)</dc:creator>
  <cp:keywords/>
  <dc:description/>
  <cp:lastModifiedBy>Azar Hussain (2329830)</cp:lastModifiedBy>
  <cp:revision>2</cp:revision>
  <dcterms:created xsi:type="dcterms:W3CDTF">2026-07-18T17:06:00Z</dcterms:created>
  <dcterms:modified xsi:type="dcterms:W3CDTF">2026-07-18T17:06:00Z</dcterms:modified>
</cp:coreProperties>
</file>