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45BD1718" w14:textId="1B42BECF" w:rsidR="00F53BEB" w:rsidRDefault="00F31274" w:rsidP="008A0BDE">
      <w:pPr>
        <w:jc w:val="center"/>
      </w:pPr>
      <w:r>
        <w:rPr>
          <w:noProof/>
          <w14:ligatures w14:val="standardContextual"/>
        </w:rPr>
        <w:drawing>
          <wp:inline distT="0" distB="0" distL="0" distR="0" wp14:anchorId="6A9ED646" wp14:editId="506068C0">
            <wp:extent cx="3981786" cy="1808018"/>
            <wp:effectExtent l="0" t="0" r="0" b="1905"/>
            <wp:docPr id="1019703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03510" name="Picture 10197035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55883" cy="1841663"/>
                    </a:xfrm>
                    <a:prstGeom prst="rect">
                      <a:avLst/>
                    </a:prstGeom>
                  </pic:spPr>
                </pic:pic>
              </a:graphicData>
            </a:graphic>
          </wp:inline>
        </w:drawing>
      </w:r>
    </w:p>
    <w:p w14:paraId="6799002D" w14:textId="77777777" w:rsidR="00F53BEB" w:rsidRDefault="00F53BEB" w:rsidP="008A0BDE">
      <w:pPr>
        <w:jc w:val="center"/>
      </w:pPr>
    </w:p>
    <w:p w14:paraId="29D444B8" w14:textId="77777777" w:rsidR="00F53BEB" w:rsidRPr="000F2E3B" w:rsidRDefault="00F53BEB" w:rsidP="008A0BDE">
      <w:pPr>
        <w:jc w:val="center"/>
        <w:rPr>
          <w:lang w:val="en-IN"/>
        </w:rPr>
      </w:pPr>
    </w:p>
    <w:p w14:paraId="4DCA6147" w14:textId="73A8B27C" w:rsidR="008A0BDE" w:rsidRPr="00E81807" w:rsidRDefault="008A0BDE" w:rsidP="008A0BDE">
      <w:pPr>
        <w:jc w:val="center"/>
        <w:rPr>
          <w:b/>
          <w:bCs/>
          <w:sz w:val="32"/>
          <w:szCs w:val="32"/>
        </w:rPr>
      </w:pPr>
      <w:r w:rsidRPr="00E81807">
        <w:rPr>
          <w:b/>
          <w:bCs/>
          <w:sz w:val="32"/>
          <w:szCs w:val="32"/>
        </w:rPr>
        <w:t>Module: Community Care and Management of Longer-term Conditions</w:t>
      </w:r>
    </w:p>
    <w:p w14:paraId="23F290AD" w14:textId="77777777" w:rsidR="008A0BDE" w:rsidRPr="00E81807" w:rsidRDefault="008A0BDE" w:rsidP="008A0BDE">
      <w:pPr>
        <w:jc w:val="center"/>
        <w:rPr>
          <w:b/>
          <w:bCs/>
          <w:sz w:val="32"/>
          <w:szCs w:val="32"/>
        </w:rPr>
      </w:pPr>
      <w:r w:rsidRPr="00E81807">
        <w:rPr>
          <w:b/>
          <w:bCs/>
          <w:sz w:val="32"/>
          <w:szCs w:val="32"/>
        </w:rPr>
        <w:t>Module code: LCHS7003</w:t>
      </w:r>
    </w:p>
    <w:p w14:paraId="3F8748D3" w14:textId="77777777" w:rsidR="008A0BDE" w:rsidRPr="00E81807" w:rsidRDefault="008A0BDE" w:rsidP="008A0BDE">
      <w:pPr>
        <w:jc w:val="center"/>
        <w:rPr>
          <w:b/>
          <w:bCs/>
          <w:sz w:val="32"/>
          <w:szCs w:val="32"/>
        </w:rPr>
      </w:pPr>
      <w:r w:rsidRPr="00E81807">
        <w:rPr>
          <w:b/>
          <w:bCs/>
          <w:sz w:val="32"/>
          <w:szCs w:val="32"/>
        </w:rPr>
        <w:t>Lecturer: Muhammed Khan</w:t>
      </w:r>
    </w:p>
    <w:p w14:paraId="6C8A50B6" w14:textId="77777777" w:rsidR="008A0BDE" w:rsidRPr="00E81807" w:rsidRDefault="008A0BDE" w:rsidP="008A0BDE">
      <w:pPr>
        <w:jc w:val="center"/>
        <w:rPr>
          <w:b/>
          <w:bCs/>
          <w:sz w:val="32"/>
          <w:szCs w:val="32"/>
        </w:rPr>
      </w:pPr>
      <w:r w:rsidRPr="00E81807">
        <w:rPr>
          <w:b/>
          <w:bCs/>
          <w:sz w:val="32"/>
          <w:szCs w:val="32"/>
        </w:rPr>
        <w:t>Assignment Title: Component 1</w:t>
      </w:r>
    </w:p>
    <w:p w14:paraId="700A3F8C" w14:textId="52C1633B" w:rsidR="008A0BDE" w:rsidRPr="00E81807" w:rsidRDefault="008A0BDE" w:rsidP="008A0BDE">
      <w:pPr>
        <w:jc w:val="center"/>
        <w:rPr>
          <w:b/>
          <w:bCs/>
          <w:sz w:val="32"/>
          <w:szCs w:val="32"/>
        </w:rPr>
      </w:pPr>
      <w:r w:rsidRPr="00E81807">
        <w:rPr>
          <w:b/>
          <w:bCs/>
          <w:sz w:val="32"/>
          <w:szCs w:val="32"/>
        </w:rPr>
        <w:lastRenderedPageBreak/>
        <w:t xml:space="preserve">Information Booklet of </w:t>
      </w:r>
      <w:r w:rsidR="00E13EC9" w:rsidRPr="00E81807">
        <w:rPr>
          <w:b/>
          <w:bCs/>
          <w:sz w:val="32"/>
          <w:szCs w:val="32"/>
        </w:rPr>
        <w:t>Long-term</w:t>
      </w:r>
      <w:r w:rsidRPr="00E81807">
        <w:rPr>
          <w:b/>
          <w:bCs/>
          <w:sz w:val="32"/>
          <w:szCs w:val="32"/>
        </w:rPr>
        <w:t xml:space="preserve"> Condition Management </w:t>
      </w:r>
    </w:p>
    <w:p w14:paraId="68FDD5A0" w14:textId="4883BD1A" w:rsidR="008A0BDE" w:rsidRPr="00E81807" w:rsidRDefault="008A0BDE" w:rsidP="008A0BDE">
      <w:pPr>
        <w:jc w:val="center"/>
        <w:rPr>
          <w:b/>
          <w:bCs/>
          <w:sz w:val="32"/>
          <w:szCs w:val="32"/>
        </w:rPr>
      </w:pPr>
      <w:r w:rsidRPr="00E81807">
        <w:rPr>
          <w:b/>
          <w:bCs/>
          <w:sz w:val="32"/>
          <w:szCs w:val="32"/>
        </w:rPr>
        <w:t>Name</w:t>
      </w:r>
      <w:r w:rsidR="007C03EA" w:rsidRPr="00E81807">
        <w:rPr>
          <w:b/>
          <w:bCs/>
          <w:sz w:val="32"/>
          <w:szCs w:val="32"/>
        </w:rPr>
        <w:t xml:space="preserve">: Darshankumar </w:t>
      </w:r>
      <w:proofErr w:type="spellStart"/>
      <w:r w:rsidR="0043112E" w:rsidRPr="00E81807">
        <w:rPr>
          <w:b/>
          <w:bCs/>
          <w:sz w:val="32"/>
          <w:szCs w:val="32"/>
        </w:rPr>
        <w:t>Suresh</w:t>
      </w:r>
      <w:r w:rsidR="0043112E">
        <w:rPr>
          <w:b/>
          <w:bCs/>
          <w:sz w:val="32"/>
          <w:szCs w:val="32"/>
        </w:rPr>
        <w:t>b</w:t>
      </w:r>
      <w:r w:rsidR="0043112E" w:rsidRPr="00E81807">
        <w:rPr>
          <w:b/>
          <w:bCs/>
          <w:sz w:val="32"/>
          <w:szCs w:val="32"/>
        </w:rPr>
        <w:t>hai</w:t>
      </w:r>
      <w:proofErr w:type="spellEnd"/>
      <w:r w:rsidR="007C03EA" w:rsidRPr="00E81807">
        <w:rPr>
          <w:b/>
          <w:bCs/>
          <w:sz w:val="32"/>
          <w:szCs w:val="32"/>
        </w:rPr>
        <w:t xml:space="preserve"> Patel </w:t>
      </w:r>
    </w:p>
    <w:p w14:paraId="5B6F5C16" w14:textId="3E458C2C" w:rsidR="00947F21" w:rsidRDefault="008A0BDE" w:rsidP="008A0BDE">
      <w:pPr>
        <w:jc w:val="center"/>
      </w:pPr>
      <w:r w:rsidRPr="00E81807">
        <w:rPr>
          <w:b/>
          <w:bCs/>
          <w:sz w:val="32"/>
          <w:szCs w:val="32"/>
        </w:rPr>
        <w:t>Student Number</w:t>
      </w:r>
      <w:r w:rsidR="00F71F3D" w:rsidRPr="00E81807">
        <w:rPr>
          <w:b/>
          <w:bCs/>
          <w:sz w:val="32"/>
          <w:szCs w:val="32"/>
        </w:rPr>
        <w:t>s</w:t>
      </w:r>
      <w:r w:rsidRPr="00E81807">
        <w:rPr>
          <w:b/>
          <w:bCs/>
          <w:sz w:val="32"/>
          <w:szCs w:val="32"/>
        </w:rPr>
        <w:t xml:space="preserve">: </w:t>
      </w:r>
      <w:r w:rsidR="007C03EA" w:rsidRPr="00E81807">
        <w:rPr>
          <w:b/>
          <w:bCs/>
          <w:sz w:val="32"/>
          <w:szCs w:val="32"/>
        </w:rPr>
        <w:t>2515501</w:t>
      </w:r>
      <w:r w:rsidR="00947F21">
        <w:br w:type="page"/>
      </w:r>
    </w:p>
    <w:p w14:paraId="192C42CD" w14:textId="77777777" w:rsidR="008351BB" w:rsidRDefault="008351BB" w:rsidP="00083198">
      <w:pPr>
        <w:pStyle w:val="TOCHeading"/>
        <w:rPr>
          <w:rFonts w:eastAsia="Calibri"/>
        </w:rPr>
        <w:sectPr w:rsidR="008351BB" w:rsidSect="008351BB">
          <w:footerReference w:type="default" r:id="rId9"/>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sdt>
      <w:sdtPr>
        <w:rPr>
          <w:rFonts w:eastAsia="Calibri" w:cs="Times New Roman"/>
          <w:b w:val="0"/>
          <w:i w:val="0"/>
          <w:sz w:val="22"/>
          <w:szCs w:val="22"/>
          <w:lang w:eastAsia="en-US" w:bidi="ar-SA"/>
        </w:rPr>
        <w:id w:val="-1542359480"/>
        <w:docPartObj>
          <w:docPartGallery w:val="Table of Contents"/>
          <w:docPartUnique/>
        </w:docPartObj>
      </w:sdtPr>
      <w:sdtEndPr>
        <w:rPr>
          <w:bCs/>
        </w:rPr>
      </w:sdtEndPr>
      <w:sdtContent>
        <w:p w14:paraId="6DCD3BBE" w14:textId="77777777" w:rsidR="008351BB" w:rsidRDefault="008351BB" w:rsidP="00083198">
          <w:pPr>
            <w:pStyle w:val="TOCHeading"/>
            <w:rPr>
              <w:rFonts w:eastAsia="Calibri"/>
            </w:rPr>
            <w:sectPr w:rsidR="008351BB" w:rsidSect="008351BB">
              <w:type w:val="continuous"/>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3593B458" w14:textId="34A8EB4D" w:rsidR="00947F21" w:rsidRPr="00F613F1" w:rsidRDefault="00947F21" w:rsidP="00083198">
          <w:pPr>
            <w:pStyle w:val="TOCHeading"/>
          </w:pPr>
          <w:r w:rsidRPr="00F613F1">
            <w:t>Table of Contents</w:t>
          </w:r>
        </w:p>
        <w:p w14:paraId="502D3AF4" w14:textId="77777777" w:rsidR="008351BB" w:rsidRPr="00F613F1" w:rsidRDefault="00947F21">
          <w:pPr>
            <w:pStyle w:val="TOC1"/>
            <w:tabs>
              <w:tab w:val="right" w:leader="dot" w:pos="4149"/>
            </w:tabs>
            <w:rPr>
              <w:sz w:val="24"/>
              <w:szCs w:val="24"/>
            </w:rPr>
            <w:sectPr w:rsidR="008351BB" w:rsidRPr="00F613F1" w:rsidSect="008351BB">
              <w:type w:val="continuous"/>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613F1">
            <w:rPr>
              <w:sz w:val="24"/>
              <w:szCs w:val="24"/>
            </w:rPr>
            <w:fldChar w:fldCharType="begin"/>
          </w:r>
          <w:r w:rsidRPr="00F613F1">
            <w:rPr>
              <w:sz w:val="24"/>
              <w:szCs w:val="24"/>
            </w:rPr>
            <w:instrText xml:space="preserve"> TOC \o "1-3" \h \z \u </w:instrText>
          </w:r>
          <w:r w:rsidRPr="00F613F1">
            <w:rPr>
              <w:sz w:val="24"/>
              <w:szCs w:val="24"/>
            </w:rPr>
            <w:fldChar w:fldCharType="separate"/>
          </w:r>
        </w:p>
        <w:p w14:paraId="2B685AD9" w14:textId="69E5D3B8"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77" w:history="1">
            <w:r w:rsidR="007D3D76" w:rsidRPr="00F613F1">
              <w:rPr>
                <w:rStyle w:val="Hyperlink"/>
                <w:noProof/>
                <w:sz w:val="24"/>
                <w:szCs w:val="24"/>
                <w:lang w:bidi="hi-IN"/>
              </w:rPr>
              <w:t>1. Introduction</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_Toc224158677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3</w:t>
            </w:r>
            <w:r w:rsidR="007D3D76" w:rsidRPr="00F613F1">
              <w:rPr>
                <w:noProof/>
                <w:webHidden/>
                <w:sz w:val="24"/>
                <w:szCs w:val="24"/>
              </w:rPr>
              <w:fldChar w:fldCharType="end"/>
            </w:r>
          </w:hyperlink>
        </w:p>
        <w:p w14:paraId="5D71F4A5" w14:textId="3CCF4765"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78" w:history="1">
            <w:r w:rsidR="007D3D76" w:rsidRPr="00F613F1">
              <w:rPr>
                <w:rStyle w:val="Hyperlink"/>
                <w:noProof/>
                <w:sz w:val="24"/>
                <w:szCs w:val="24"/>
                <w:lang w:bidi="hi-IN"/>
              </w:rPr>
              <w:t>2. Understanding Type 2 Diabetes Mellitus</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_Toc224158678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4</w:t>
            </w:r>
            <w:r w:rsidR="007D3D76" w:rsidRPr="00F613F1">
              <w:rPr>
                <w:noProof/>
                <w:webHidden/>
                <w:sz w:val="24"/>
                <w:szCs w:val="24"/>
              </w:rPr>
              <w:fldChar w:fldCharType="end"/>
            </w:r>
          </w:hyperlink>
        </w:p>
        <w:p w14:paraId="77C35885" w14:textId="58EC3473"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79" w:history="1">
            <w:r w:rsidR="007D3D76" w:rsidRPr="00F613F1">
              <w:rPr>
                <w:rStyle w:val="Hyperlink"/>
                <w:noProof/>
                <w:sz w:val="24"/>
                <w:szCs w:val="24"/>
                <w:lang w:bidi="hi-IN"/>
              </w:rPr>
              <w:t>2.1 Definition and Pathophysiology</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_Toc224158679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4</w:t>
            </w:r>
            <w:r w:rsidR="007D3D76" w:rsidRPr="00F613F1">
              <w:rPr>
                <w:noProof/>
                <w:webHidden/>
                <w:sz w:val="24"/>
                <w:szCs w:val="24"/>
              </w:rPr>
              <w:fldChar w:fldCharType="end"/>
            </w:r>
          </w:hyperlink>
        </w:p>
        <w:p w14:paraId="1C27ECD1" w14:textId="6F560E0C"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0" w:history="1">
            <w:r w:rsidR="007D3D76" w:rsidRPr="00F613F1">
              <w:rPr>
                <w:rStyle w:val="Hyperlink"/>
                <w:noProof/>
                <w:sz w:val="24"/>
                <w:szCs w:val="24"/>
                <w:lang w:bidi="hi-IN"/>
              </w:rPr>
              <w:t>2.2 Global and UK Prevalence</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_Toc224158680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4</w:t>
            </w:r>
            <w:r w:rsidR="007D3D76" w:rsidRPr="00F613F1">
              <w:rPr>
                <w:noProof/>
                <w:webHidden/>
                <w:sz w:val="24"/>
                <w:szCs w:val="24"/>
              </w:rPr>
              <w:fldChar w:fldCharType="end"/>
            </w:r>
          </w:hyperlink>
        </w:p>
        <w:p w14:paraId="42B4C333" w14:textId="0347A761"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1" w:history="1">
            <w:r w:rsidR="007D3D76" w:rsidRPr="00F613F1">
              <w:rPr>
                <w:rStyle w:val="Hyperlink"/>
                <w:noProof/>
                <w:sz w:val="24"/>
                <w:szCs w:val="24"/>
                <w:lang w:bidi="hi-IN"/>
              </w:rPr>
              <w:t>2.3 Economic Burden</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_Toc224158681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5</w:t>
            </w:r>
            <w:r w:rsidR="007D3D76" w:rsidRPr="00F613F1">
              <w:rPr>
                <w:noProof/>
                <w:webHidden/>
                <w:sz w:val="24"/>
                <w:szCs w:val="24"/>
              </w:rPr>
              <w:fldChar w:fldCharType="end"/>
            </w:r>
          </w:hyperlink>
        </w:p>
        <w:p w14:paraId="2BB15AFD" w14:textId="108254AB"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2" w:history="1">
            <w:r w:rsidR="007D3D76" w:rsidRPr="00F613F1">
              <w:rPr>
                <w:rStyle w:val="Hyperlink"/>
                <w:noProof/>
                <w:sz w:val="24"/>
                <w:szCs w:val="24"/>
                <w:lang w:bidi="hi-IN"/>
              </w:rPr>
              <w:t>3. Risk Factors and Aetiology</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_Toc224158682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6</w:t>
            </w:r>
            <w:r w:rsidR="007D3D76" w:rsidRPr="00F613F1">
              <w:rPr>
                <w:noProof/>
                <w:webHidden/>
                <w:sz w:val="24"/>
                <w:szCs w:val="24"/>
              </w:rPr>
              <w:fldChar w:fldCharType="end"/>
            </w:r>
          </w:hyperlink>
        </w:p>
        <w:p w14:paraId="4DFC5F1F" w14:textId="0394506E"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3" w:history="1">
            <w:r w:rsidR="007D3D76" w:rsidRPr="00F613F1">
              <w:rPr>
                <w:rStyle w:val="Hyperlink"/>
                <w:noProof/>
                <w:sz w:val="24"/>
                <w:szCs w:val="24"/>
                <w:lang w:bidi="hi-IN"/>
              </w:rPr>
              <w:t>3.1 Non-modifiable risk factors</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_Toc224158683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6</w:t>
            </w:r>
            <w:r w:rsidR="007D3D76" w:rsidRPr="00F613F1">
              <w:rPr>
                <w:noProof/>
                <w:webHidden/>
                <w:sz w:val="24"/>
                <w:szCs w:val="24"/>
              </w:rPr>
              <w:fldChar w:fldCharType="end"/>
            </w:r>
          </w:hyperlink>
        </w:p>
        <w:p w14:paraId="65D9FF7A" w14:textId="473788BD"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4" w:history="1">
            <w:r w:rsidR="007D3D76" w:rsidRPr="00F613F1">
              <w:rPr>
                <w:rStyle w:val="Hyperlink"/>
                <w:noProof/>
                <w:sz w:val="24"/>
                <w:szCs w:val="24"/>
                <w:lang w:bidi="hi-IN"/>
              </w:rPr>
              <w:t>3.2 Modifiable risk factors</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_Toc224158684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6</w:t>
            </w:r>
            <w:r w:rsidR="007D3D76" w:rsidRPr="00F613F1">
              <w:rPr>
                <w:noProof/>
                <w:webHidden/>
                <w:sz w:val="24"/>
                <w:szCs w:val="24"/>
              </w:rPr>
              <w:fldChar w:fldCharType="end"/>
            </w:r>
          </w:hyperlink>
        </w:p>
        <w:p w14:paraId="772AD5A4" w14:textId="7A2E26AF"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5" w:history="1">
            <w:r w:rsidR="007D3D76" w:rsidRPr="00F613F1">
              <w:rPr>
                <w:rStyle w:val="Hyperlink"/>
                <w:noProof/>
                <w:sz w:val="24"/>
                <w:szCs w:val="24"/>
                <w:lang w:bidi="hi-IN"/>
              </w:rPr>
              <w:t>4. Physical, Psychological and Social Impact</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_Toc224158685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7</w:t>
            </w:r>
            <w:r w:rsidR="007D3D76" w:rsidRPr="00F613F1">
              <w:rPr>
                <w:noProof/>
                <w:webHidden/>
                <w:sz w:val="24"/>
                <w:szCs w:val="24"/>
              </w:rPr>
              <w:fldChar w:fldCharType="end"/>
            </w:r>
          </w:hyperlink>
        </w:p>
        <w:p w14:paraId="4152EB1D" w14:textId="22449068"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6" w:history="1">
            <w:r w:rsidR="007D3D76" w:rsidRPr="00F613F1">
              <w:rPr>
                <w:rStyle w:val="Hyperlink"/>
                <w:noProof/>
                <w:sz w:val="24"/>
                <w:szCs w:val="24"/>
                <w:lang w:bidi="hi-IN"/>
              </w:rPr>
              <w:t>4.1 Physical Impact</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_Toc224158686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7</w:t>
            </w:r>
            <w:r w:rsidR="007D3D76" w:rsidRPr="00F613F1">
              <w:rPr>
                <w:noProof/>
                <w:webHidden/>
                <w:sz w:val="24"/>
                <w:szCs w:val="24"/>
              </w:rPr>
              <w:fldChar w:fldCharType="end"/>
            </w:r>
          </w:hyperlink>
        </w:p>
        <w:p w14:paraId="25129F2A" w14:textId="226E7011"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7" w:history="1">
            <w:r w:rsidR="007D3D76" w:rsidRPr="00F613F1">
              <w:rPr>
                <w:rStyle w:val="Hyperlink"/>
                <w:noProof/>
                <w:sz w:val="24"/>
                <w:szCs w:val="24"/>
                <w:lang w:bidi="hi-IN"/>
              </w:rPr>
              <w:t>4.2 Psychological Impact</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_Toc224158687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7</w:t>
            </w:r>
            <w:r w:rsidR="007D3D76" w:rsidRPr="00F613F1">
              <w:rPr>
                <w:noProof/>
                <w:webHidden/>
                <w:sz w:val="24"/>
                <w:szCs w:val="24"/>
              </w:rPr>
              <w:fldChar w:fldCharType="end"/>
            </w:r>
          </w:hyperlink>
        </w:p>
        <w:p w14:paraId="5670C9C0" w14:textId="564FB5BE"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8" w:history="1">
            <w:r w:rsidR="007D3D76" w:rsidRPr="00F613F1">
              <w:rPr>
                <w:rStyle w:val="Hyperlink"/>
                <w:noProof/>
                <w:sz w:val="24"/>
                <w:szCs w:val="24"/>
                <w:lang w:bidi="hi-IN"/>
              </w:rPr>
              <w:t>4.3 Social Impact</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_Toc224158688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8</w:t>
            </w:r>
            <w:r w:rsidR="007D3D76" w:rsidRPr="00F613F1">
              <w:rPr>
                <w:noProof/>
                <w:webHidden/>
                <w:sz w:val="24"/>
                <w:szCs w:val="24"/>
              </w:rPr>
              <w:fldChar w:fldCharType="end"/>
            </w:r>
          </w:hyperlink>
        </w:p>
        <w:p w14:paraId="3FF8AD22" w14:textId="43DACABA"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89" w:history="1">
            <w:r w:rsidR="007D3D76" w:rsidRPr="00F613F1">
              <w:rPr>
                <w:rStyle w:val="Hyperlink"/>
                <w:noProof/>
                <w:sz w:val="24"/>
                <w:szCs w:val="24"/>
                <w:lang w:bidi="hi-IN"/>
              </w:rPr>
              <w:t>4.4 Impact on Families</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_Toc224158689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8</w:t>
            </w:r>
            <w:r w:rsidR="007D3D76" w:rsidRPr="00F613F1">
              <w:rPr>
                <w:noProof/>
                <w:webHidden/>
                <w:sz w:val="24"/>
                <w:szCs w:val="24"/>
              </w:rPr>
              <w:fldChar w:fldCharType="end"/>
            </w:r>
          </w:hyperlink>
        </w:p>
        <w:p w14:paraId="4216B7C9" w14:textId="08AA186C"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0" w:history="1">
            <w:r w:rsidR="007D3D76" w:rsidRPr="00F613F1">
              <w:rPr>
                <w:rStyle w:val="Hyperlink"/>
                <w:noProof/>
                <w:sz w:val="24"/>
                <w:szCs w:val="24"/>
                <w:lang w:bidi="hi-IN"/>
              </w:rPr>
              <w:t>5. Evidence-Based Management in the UK</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_Toc224158690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9</w:t>
            </w:r>
            <w:r w:rsidR="007D3D76" w:rsidRPr="00F613F1">
              <w:rPr>
                <w:noProof/>
                <w:webHidden/>
                <w:sz w:val="24"/>
                <w:szCs w:val="24"/>
              </w:rPr>
              <w:fldChar w:fldCharType="end"/>
            </w:r>
          </w:hyperlink>
        </w:p>
        <w:p w14:paraId="7C9569F7" w14:textId="0965738C"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1" w:history="1">
            <w:r w:rsidR="007D3D76" w:rsidRPr="00F613F1">
              <w:rPr>
                <w:rStyle w:val="Hyperlink"/>
                <w:noProof/>
                <w:sz w:val="24"/>
                <w:szCs w:val="24"/>
                <w:lang w:bidi="hi-IN"/>
              </w:rPr>
              <w:t>5.1 NHS and NICE Guidelines</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_Toc224158691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9</w:t>
            </w:r>
            <w:r w:rsidR="007D3D76" w:rsidRPr="00F613F1">
              <w:rPr>
                <w:noProof/>
                <w:webHidden/>
                <w:sz w:val="24"/>
                <w:szCs w:val="24"/>
              </w:rPr>
              <w:fldChar w:fldCharType="end"/>
            </w:r>
          </w:hyperlink>
        </w:p>
        <w:p w14:paraId="0B0F21AB" w14:textId="0CA95F89"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2" w:history="1">
            <w:r w:rsidR="007D3D76" w:rsidRPr="00F613F1">
              <w:rPr>
                <w:rStyle w:val="Hyperlink"/>
                <w:noProof/>
                <w:sz w:val="24"/>
                <w:szCs w:val="24"/>
                <w:lang w:bidi="hi-IN"/>
              </w:rPr>
              <w:t>5.2 Lifestyle Intervention and Prevention</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_Toc224158692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9</w:t>
            </w:r>
            <w:r w:rsidR="007D3D76" w:rsidRPr="00F613F1">
              <w:rPr>
                <w:noProof/>
                <w:webHidden/>
                <w:sz w:val="24"/>
                <w:szCs w:val="24"/>
              </w:rPr>
              <w:fldChar w:fldCharType="end"/>
            </w:r>
          </w:hyperlink>
        </w:p>
        <w:p w14:paraId="5E8B5730" w14:textId="4355499F"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3" w:history="1">
            <w:r w:rsidR="007D3D76" w:rsidRPr="00F613F1">
              <w:rPr>
                <w:rStyle w:val="Hyperlink"/>
                <w:noProof/>
                <w:sz w:val="24"/>
                <w:szCs w:val="24"/>
                <w:lang w:bidi="hi-IN"/>
              </w:rPr>
              <w:t>5.3 Technology and Innovation</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_Toc224158693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9</w:t>
            </w:r>
            <w:r w:rsidR="007D3D76" w:rsidRPr="00F613F1">
              <w:rPr>
                <w:noProof/>
                <w:webHidden/>
                <w:sz w:val="24"/>
                <w:szCs w:val="24"/>
              </w:rPr>
              <w:fldChar w:fldCharType="end"/>
            </w:r>
          </w:hyperlink>
        </w:p>
        <w:p w14:paraId="229CC3E0" w14:textId="3575EA51"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4" w:history="1">
            <w:r w:rsidR="007D3D76" w:rsidRPr="00F613F1">
              <w:rPr>
                <w:rStyle w:val="Hyperlink"/>
                <w:noProof/>
                <w:sz w:val="24"/>
                <w:szCs w:val="24"/>
                <w:lang w:bidi="hi-IN"/>
              </w:rPr>
              <w:t>6. Theoretical Models and Frameworks</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_Toc224158694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11</w:t>
            </w:r>
            <w:r w:rsidR="007D3D76" w:rsidRPr="00F613F1">
              <w:rPr>
                <w:noProof/>
                <w:webHidden/>
                <w:sz w:val="24"/>
                <w:szCs w:val="24"/>
              </w:rPr>
              <w:fldChar w:fldCharType="end"/>
            </w:r>
          </w:hyperlink>
        </w:p>
        <w:p w14:paraId="73133061" w14:textId="43AB60EC"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5" w:history="1">
            <w:r w:rsidR="007D3D76" w:rsidRPr="00F613F1">
              <w:rPr>
                <w:rStyle w:val="Hyperlink"/>
                <w:noProof/>
                <w:sz w:val="24"/>
                <w:szCs w:val="24"/>
                <w:lang w:bidi="hi-IN"/>
              </w:rPr>
              <w:t>6.1 UK Model - The House of Care</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_Toc224158695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11</w:t>
            </w:r>
            <w:r w:rsidR="007D3D76" w:rsidRPr="00F613F1">
              <w:rPr>
                <w:noProof/>
                <w:webHidden/>
                <w:sz w:val="24"/>
                <w:szCs w:val="24"/>
              </w:rPr>
              <w:fldChar w:fldCharType="end"/>
            </w:r>
          </w:hyperlink>
        </w:p>
        <w:p w14:paraId="4233E86F" w14:textId="6A7E9CBD" w:rsidR="007D3D76" w:rsidRPr="00F613F1" w:rsidRDefault="00043FB3">
          <w:pPr>
            <w:pStyle w:val="TOC2"/>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6" w:history="1">
            <w:r w:rsidR="007D3D76" w:rsidRPr="00F613F1">
              <w:rPr>
                <w:rStyle w:val="Hyperlink"/>
                <w:noProof/>
                <w:sz w:val="24"/>
                <w:szCs w:val="24"/>
                <w:lang w:bidi="hi-IN"/>
              </w:rPr>
              <w:t>6.2 International Model - WHO Innovative Care for Chronic Conditions (ICCC)</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_Toc224158696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11</w:t>
            </w:r>
            <w:r w:rsidR="007D3D76" w:rsidRPr="00F613F1">
              <w:rPr>
                <w:noProof/>
                <w:webHidden/>
                <w:sz w:val="24"/>
                <w:szCs w:val="24"/>
              </w:rPr>
              <w:fldChar w:fldCharType="end"/>
            </w:r>
          </w:hyperlink>
        </w:p>
        <w:p w14:paraId="5C68B314" w14:textId="11428BE4"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7" w:history="1">
            <w:r w:rsidR="007D3D76" w:rsidRPr="00F613F1">
              <w:rPr>
                <w:rStyle w:val="Hyperlink"/>
                <w:noProof/>
                <w:sz w:val="24"/>
                <w:szCs w:val="24"/>
                <w:lang w:bidi="hi-IN"/>
              </w:rPr>
              <w:t>7. Political and Policy Context</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_Toc224158697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13</w:t>
            </w:r>
            <w:r w:rsidR="007D3D76" w:rsidRPr="00F613F1">
              <w:rPr>
                <w:noProof/>
                <w:webHidden/>
                <w:sz w:val="24"/>
                <w:szCs w:val="24"/>
              </w:rPr>
              <w:fldChar w:fldCharType="end"/>
            </w:r>
          </w:hyperlink>
        </w:p>
        <w:p w14:paraId="37AAEE6B" w14:textId="51B2395D"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8" w:history="1">
            <w:r w:rsidR="007D3D76" w:rsidRPr="00F613F1">
              <w:rPr>
                <w:rStyle w:val="Hyperlink"/>
                <w:noProof/>
                <w:sz w:val="24"/>
                <w:szCs w:val="24"/>
                <w:lang w:bidi="hi-IN"/>
              </w:rPr>
              <w:t>8. Recommendations for Improvement</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_Toc224158698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14</w:t>
            </w:r>
            <w:r w:rsidR="007D3D76" w:rsidRPr="00F613F1">
              <w:rPr>
                <w:noProof/>
                <w:webHidden/>
                <w:sz w:val="24"/>
                <w:szCs w:val="24"/>
              </w:rPr>
              <w:fldChar w:fldCharType="end"/>
            </w:r>
          </w:hyperlink>
        </w:p>
        <w:p w14:paraId="338944C8" w14:textId="2D38379E"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699" w:history="1">
            <w:r w:rsidR="007D3D76" w:rsidRPr="00F613F1">
              <w:rPr>
                <w:rStyle w:val="Hyperlink"/>
                <w:noProof/>
                <w:sz w:val="24"/>
                <w:szCs w:val="24"/>
                <w:lang w:bidi="hi-IN"/>
              </w:rPr>
              <w:t>9. Conclusion</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_Toc224158699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15</w:t>
            </w:r>
            <w:r w:rsidR="007D3D76" w:rsidRPr="00F613F1">
              <w:rPr>
                <w:noProof/>
                <w:webHidden/>
                <w:sz w:val="24"/>
                <w:szCs w:val="24"/>
              </w:rPr>
              <w:fldChar w:fldCharType="end"/>
            </w:r>
          </w:hyperlink>
        </w:p>
        <w:p w14:paraId="34207231" w14:textId="6D1D9B99" w:rsidR="007D3D76" w:rsidRPr="00F613F1" w:rsidRDefault="00043FB3">
          <w:pPr>
            <w:pStyle w:val="TOC1"/>
            <w:tabs>
              <w:tab w:val="right" w:leader="dot" w:pos="4149"/>
            </w:tabs>
            <w:rPr>
              <w:rFonts w:asciiTheme="minorHAnsi" w:eastAsiaTheme="minorEastAsia" w:hAnsiTheme="minorHAnsi" w:cstheme="minorBidi"/>
              <w:noProof/>
              <w:kern w:val="2"/>
              <w:sz w:val="24"/>
              <w:szCs w:val="24"/>
              <w:lang w:val="en-IN" w:eastAsia="en-IN"/>
              <w14:ligatures w14:val="standardContextual"/>
            </w:rPr>
          </w:pPr>
          <w:hyperlink w:anchor="_Toc224158700" w:history="1">
            <w:r w:rsidR="007D3D76" w:rsidRPr="00F613F1">
              <w:rPr>
                <w:rStyle w:val="Hyperlink"/>
                <w:noProof/>
                <w:sz w:val="24"/>
                <w:szCs w:val="24"/>
                <w:lang w:bidi="hi-IN"/>
              </w:rPr>
              <w:t>References</w:t>
            </w:r>
            <w:r w:rsidR="007D3D76" w:rsidRPr="00F613F1">
              <w:rPr>
                <w:noProof/>
                <w:webHidden/>
                <w:sz w:val="24"/>
                <w:szCs w:val="24"/>
              </w:rPr>
              <w:tab/>
            </w:r>
            <w:r w:rsidR="007D3D76" w:rsidRPr="00F613F1">
              <w:rPr>
                <w:noProof/>
                <w:webHidden/>
                <w:sz w:val="24"/>
                <w:szCs w:val="24"/>
              </w:rPr>
              <w:fldChar w:fldCharType="begin"/>
            </w:r>
            <w:r w:rsidR="007D3D76" w:rsidRPr="00F613F1">
              <w:rPr>
                <w:noProof/>
                <w:webHidden/>
                <w:sz w:val="24"/>
                <w:szCs w:val="24"/>
              </w:rPr>
              <w:instrText xml:space="preserve"> PAGEREF _Toc224158700 \h </w:instrText>
            </w:r>
            <w:r w:rsidR="007D3D76" w:rsidRPr="00F613F1">
              <w:rPr>
                <w:noProof/>
                <w:webHidden/>
                <w:sz w:val="24"/>
                <w:szCs w:val="24"/>
              </w:rPr>
            </w:r>
            <w:r w:rsidR="007D3D76" w:rsidRPr="00F613F1">
              <w:rPr>
                <w:noProof/>
                <w:webHidden/>
                <w:sz w:val="24"/>
                <w:szCs w:val="24"/>
              </w:rPr>
              <w:fldChar w:fldCharType="separate"/>
            </w:r>
            <w:r w:rsidR="007D3D76" w:rsidRPr="00F613F1">
              <w:rPr>
                <w:noProof/>
                <w:webHidden/>
                <w:sz w:val="24"/>
                <w:szCs w:val="24"/>
              </w:rPr>
              <w:t>16</w:t>
            </w:r>
            <w:r w:rsidR="007D3D76" w:rsidRPr="00F613F1">
              <w:rPr>
                <w:noProof/>
                <w:webHidden/>
                <w:sz w:val="24"/>
                <w:szCs w:val="24"/>
              </w:rPr>
              <w:fldChar w:fldCharType="end"/>
            </w:r>
          </w:hyperlink>
        </w:p>
        <w:p w14:paraId="723B738F" w14:textId="77777777" w:rsidR="008351BB" w:rsidRPr="00F613F1" w:rsidRDefault="008351BB">
          <w:pPr>
            <w:rPr>
              <w:b/>
              <w:bCs/>
              <w:sz w:val="24"/>
              <w:szCs w:val="24"/>
            </w:rPr>
            <w:sectPr w:rsidR="008351BB" w:rsidRPr="00F613F1" w:rsidSect="008351BB">
              <w:type w:val="continuous"/>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2C56F95" w14:textId="77777777" w:rsidR="008351BB" w:rsidRDefault="00947F21">
          <w:pPr>
            <w:rPr>
              <w:b/>
              <w:bCs/>
            </w:rPr>
            <w:sectPr w:rsidR="008351BB" w:rsidSect="008351BB">
              <w:type w:val="continuous"/>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pPr>
          <w:r w:rsidRPr="00F613F1">
            <w:rPr>
              <w:b/>
              <w:bCs/>
              <w:sz w:val="24"/>
              <w:szCs w:val="24"/>
            </w:rPr>
            <w:fldChar w:fldCharType="end"/>
          </w:r>
        </w:p>
        <w:p w14:paraId="7E7A75BF" w14:textId="5BC98ADB" w:rsidR="00947F21" w:rsidRDefault="00043FB3"/>
      </w:sdtContent>
    </w:sdt>
    <w:p w14:paraId="77D19171" w14:textId="3DC59C54" w:rsidR="00947F21" w:rsidRDefault="00947F21" w:rsidP="00947F21">
      <w:r>
        <w:br w:type="page"/>
      </w:r>
    </w:p>
    <w:p w14:paraId="720029C0" w14:textId="77777777" w:rsidR="005858ED" w:rsidRDefault="005858ED" w:rsidP="00083198">
      <w:pPr>
        <w:pStyle w:val="Heading1"/>
        <w:sectPr w:rsidR="005858ED" w:rsidSect="008351BB">
          <w:type w:val="continuous"/>
          <w:pgSz w:w="11906" w:h="16838" w:code="9"/>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0991CD4B" w14:textId="320ED163" w:rsidR="00A40F66" w:rsidRPr="0043112E" w:rsidRDefault="00A40F66" w:rsidP="00805BF6">
      <w:pPr>
        <w:jc w:val="left"/>
        <w:rPr>
          <w:rFonts w:eastAsiaTheme="majorEastAsia" w:cstheme="majorBidi"/>
          <w:b/>
          <w:bCs/>
          <w:color w:val="000000" w:themeColor="text1"/>
          <w:sz w:val="28"/>
          <w:szCs w:val="28"/>
          <w:lang w:bidi="hi-IN"/>
        </w:rPr>
      </w:pPr>
      <w:bookmarkStart w:id="0" w:name="_Toc224158677"/>
      <w:r w:rsidRPr="0043112E">
        <w:rPr>
          <w:b/>
          <w:bCs/>
          <w:sz w:val="28"/>
          <w:szCs w:val="28"/>
        </w:rPr>
        <w:lastRenderedPageBreak/>
        <w:t>1. Introduction</w:t>
      </w:r>
      <w:bookmarkEnd w:id="0"/>
    </w:p>
    <w:p w14:paraId="23FA1FD5" w14:textId="4C1819F1" w:rsidR="00A40F66" w:rsidRPr="00F613F1" w:rsidRDefault="00D65585" w:rsidP="00A40F66">
      <w:pPr>
        <w:rPr>
          <w:sz w:val="24"/>
          <w:szCs w:val="24"/>
        </w:rPr>
      </w:pPr>
      <w:r w:rsidRPr="00F613F1">
        <w:rPr>
          <w:sz w:val="24"/>
          <w:szCs w:val="24"/>
        </w:rPr>
        <w:t>Type 2 Diabetes Mellitus (T2DM) is a long-term metabolic disease associated with insulin resistance or lack of secretion, which hinders the capacity of an organism to regulate the level of glucose in the body</w:t>
      </w:r>
      <w:r w:rsidR="003F0322" w:rsidRPr="00F613F1">
        <w:rPr>
          <w:sz w:val="24"/>
          <w:szCs w:val="24"/>
        </w:rPr>
        <w:t xml:space="preserve"> (Młynarska, et al., 2025)</w:t>
      </w:r>
      <w:r w:rsidRPr="00F613F1">
        <w:rPr>
          <w:sz w:val="24"/>
          <w:szCs w:val="24"/>
        </w:rPr>
        <w:t>. The cardiac, renal, ocular and nervous system vascular complications are severe conditions that patients are predisposed to after continuous hyperglycaemia caused by the disease. Unlike Type 1 diabetes, T2DM is mainly related to lifestyle elements, ageing and socioeconomic elements, but genetic disposition also plays a significant role</w:t>
      </w:r>
      <w:r w:rsidR="005B4573" w:rsidRPr="00F613F1">
        <w:rPr>
          <w:sz w:val="24"/>
          <w:szCs w:val="24"/>
        </w:rPr>
        <w:t xml:space="preserve"> (Park, et al., 2025)</w:t>
      </w:r>
      <w:r w:rsidRPr="00F613F1">
        <w:rPr>
          <w:sz w:val="24"/>
          <w:szCs w:val="24"/>
        </w:rPr>
        <w:t>.</w:t>
      </w:r>
    </w:p>
    <w:p w14:paraId="267AB96F" w14:textId="4774B484" w:rsidR="00A40F66" w:rsidRPr="00F613F1" w:rsidRDefault="005F2FFD" w:rsidP="00A40F66">
      <w:pPr>
        <w:rPr>
          <w:sz w:val="24"/>
          <w:szCs w:val="24"/>
        </w:rPr>
      </w:pPr>
      <w:r w:rsidRPr="00F613F1">
        <w:rPr>
          <w:sz w:val="24"/>
          <w:szCs w:val="24"/>
        </w:rPr>
        <w:t xml:space="preserve">As of </w:t>
      </w:r>
      <w:r w:rsidR="000C2983" w:rsidRPr="00F613F1">
        <w:rPr>
          <w:sz w:val="24"/>
          <w:szCs w:val="24"/>
        </w:rPr>
        <w:t>2024</w:t>
      </w:r>
      <w:r w:rsidRPr="00F613F1">
        <w:rPr>
          <w:sz w:val="24"/>
          <w:szCs w:val="24"/>
        </w:rPr>
        <w:t>, there are about 5</w:t>
      </w:r>
      <w:r w:rsidR="000C2983" w:rsidRPr="00F613F1">
        <w:rPr>
          <w:sz w:val="24"/>
          <w:szCs w:val="24"/>
        </w:rPr>
        <w:t>89</w:t>
      </w:r>
      <w:r w:rsidRPr="00F613F1">
        <w:rPr>
          <w:sz w:val="24"/>
          <w:szCs w:val="24"/>
        </w:rPr>
        <w:t xml:space="preserve"> million adults with diabetes, and this figure is expected to grow to </w:t>
      </w:r>
      <w:r w:rsidR="000C2983" w:rsidRPr="00F613F1">
        <w:rPr>
          <w:sz w:val="24"/>
          <w:szCs w:val="24"/>
        </w:rPr>
        <w:lastRenderedPageBreak/>
        <w:t>853</w:t>
      </w:r>
      <w:r w:rsidRPr="00F613F1">
        <w:rPr>
          <w:sz w:val="24"/>
          <w:szCs w:val="24"/>
        </w:rPr>
        <w:t xml:space="preserve"> million by the year 20</w:t>
      </w:r>
      <w:r w:rsidR="000C2983" w:rsidRPr="00F613F1">
        <w:rPr>
          <w:sz w:val="24"/>
          <w:szCs w:val="24"/>
        </w:rPr>
        <w:t>50</w:t>
      </w:r>
      <w:r w:rsidR="002A1659" w:rsidRPr="00F613F1">
        <w:rPr>
          <w:sz w:val="24"/>
          <w:szCs w:val="24"/>
        </w:rPr>
        <w:t xml:space="preserve">. </w:t>
      </w:r>
      <w:r w:rsidR="000404E6" w:rsidRPr="00F613F1">
        <w:rPr>
          <w:sz w:val="24"/>
          <w:szCs w:val="24"/>
        </w:rPr>
        <w:t>Over</w:t>
      </w:r>
      <w:r w:rsidRPr="00F613F1">
        <w:rPr>
          <w:sz w:val="24"/>
          <w:szCs w:val="24"/>
        </w:rPr>
        <w:t xml:space="preserve"> 90</w:t>
      </w:r>
      <w:r w:rsidR="000404E6" w:rsidRPr="00F613F1">
        <w:rPr>
          <w:sz w:val="24"/>
          <w:szCs w:val="24"/>
        </w:rPr>
        <w:t xml:space="preserve">% </w:t>
      </w:r>
      <w:r w:rsidRPr="00F613F1">
        <w:rPr>
          <w:sz w:val="24"/>
          <w:szCs w:val="24"/>
        </w:rPr>
        <w:t>of them are diagnosed with Type 2</w:t>
      </w:r>
      <w:r w:rsidR="000404E6" w:rsidRPr="00F613F1">
        <w:rPr>
          <w:sz w:val="24"/>
          <w:szCs w:val="24"/>
        </w:rPr>
        <w:t xml:space="preserve"> (International Diabetes Federation, 2026)</w:t>
      </w:r>
      <w:r w:rsidRPr="00F613F1">
        <w:rPr>
          <w:sz w:val="24"/>
          <w:szCs w:val="24"/>
        </w:rPr>
        <w:t>. The United Kingdom has an estimated prevalence of 4.</w:t>
      </w:r>
      <w:r w:rsidR="000404E6" w:rsidRPr="00F613F1">
        <w:rPr>
          <w:sz w:val="24"/>
          <w:szCs w:val="24"/>
        </w:rPr>
        <w:t>6</w:t>
      </w:r>
      <w:r w:rsidRPr="00F613F1">
        <w:rPr>
          <w:sz w:val="24"/>
          <w:szCs w:val="24"/>
        </w:rPr>
        <w:t xml:space="preserve"> million diagnosed cases, and a large number of people</w:t>
      </w:r>
      <w:r w:rsidR="000404E6" w:rsidRPr="00F613F1">
        <w:rPr>
          <w:sz w:val="24"/>
          <w:szCs w:val="24"/>
        </w:rPr>
        <w:t xml:space="preserve"> (1.3 million)</w:t>
      </w:r>
      <w:r w:rsidRPr="00F613F1">
        <w:rPr>
          <w:sz w:val="24"/>
          <w:szCs w:val="24"/>
        </w:rPr>
        <w:t xml:space="preserve"> are still undiagnosed</w:t>
      </w:r>
      <w:r w:rsidR="000404E6" w:rsidRPr="00F613F1">
        <w:rPr>
          <w:sz w:val="24"/>
          <w:szCs w:val="24"/>
        </w:rPr>
        <w:t xml:space="preserve"> (Diabetes</w:t>
      </w:r>
      <w:r w:rsidR="000663B2" w:rsidRPr="00F613F1">
        <w:rPr>
          <w:sz w:val="24"/>
          <w:szCs w:val="24"/>
        </w:rPr>
        <w:t xml:space="preserve"> UK</w:t>
      </w:r>
      <w:r w:rsidR="000404E6" w:rsidRPr="00F613F1">
        <w:rPr>
          <w:sz w:val="24"/>
          <w:szCs w:val="24"/>
        </w:rPr>
        <w:t>, 2025)</w:t>
      </w:r>
      <w:r w:rsidRPr="00F613F1">
        <w:rPr>
          <w:sz w:val="24"/>
          <w:szCs w:val="24"/>
        </w:rPr>
        <w:t>. The economic implication is immense, where the NHS expenditure is approaching £10 bn each year, which is nearly 10</w:t>
      </w:r>
      <w:r w:rsidR="00DD6474" w:rsidRPr="00F613F1">
        <w:rPr>
          <w:sz w:val="24"/>
          <w:szCs w:val="24"/>
        </w:rPr>
        <w:t xml:space="preserve">% </w:t>
      </w:r>
      <w:r w:rsidRPr="00F613F1">
        <w:rPr>
          <w:sz w:val="24"/>
          <w:szCs w:val="24"/>
        </w:rPr>
        <w:t>of the overall NHS expenditure</w:t>
      </w:r>
      <w:r w:rsidR="00DD6474" w:rsidRPr="00F613F1">
        <w:rPr>
          <w:sz w:val="24"/>
          <w:szCs w:val="24"/>
        </w:rPr>
        <w:t xml:space="preserve"> (Health Awareness, 2026)</w:t>
      </w:r>
      <w:r w:rsidRPr="00F613F1">
        <w:rPr>
          <w:sz w:val="24"/>
          <w:szCs w:val="24"/>
        </w:rPr>
        <w:t>.</w:t>
      </w:r>
    </w:p>
    <w:p w14:paraId="50D4EFFD" w14:textId="77777777" w:rsidR="000C2983" w:rsidRPr="00F613F1" w:rsidRDefault="000C2983" w:rsidP="00185E81">
      <w:pPr>
        <w:keepNext/>
        <w:jc w:val="center"/>
        <w:rPr>
          <w:b/>
          <w:bCs/>
          <w:i/>
          <w:iCs/>
          <w:sz w:val="24"/>
          <w:szCs w:val="24"/>
        </w:rPr>
      </w:pPr>
      <w:r w:rsidRPr="00F613F1">
        <w:rPr>
          <w:b/>
          <w:bCs/>
          <w:i/>
          <w:iCs/>
          <w:noProof/>
          <w:sz w:val="24"/>
          <w:szCs w:val="24"/>
        </w:rPr>
        <w:lastRenderedPageBreak/>
        <w:drawing>
          <wp:inline distT="0" distB="0" distL="0" distR="0" wp14:anchorId="4E5959DC" wp14:editId="56196372">
            <wp:extent cx="2417379" cy="2336800"/>
            <wp:effectExtent l="76200" t="76200" r="135890" b="139700"/>
            <wp:docPr id="2141291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91070" name=""/>
                    <pic:cNvPicPr/>
                  </pic:nvPicPr>
                  <pic:blipFill>
                    <a:blip r:embed="rId10"/>
                    <a:stretch>
                      <a:fillRect/>
                    </a:stretch>
                  </pic:blipFill>
                  <pic:spPr>
                    <a:xfrm>
                      <a:off x="0" y="0"/>
                      <a:ext cx="2428544" cy="23475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313190" w14:textId="642B9FA8" w:rsidR="000C2983" w:rsidRPr="00F613F1" w:rsidRDefault="000C2983" w:rsidP="00185E81">
      <w:pPr>
        <w:pStyle w:val="Caption"/>
        <w:rPr>
          <w:bCs/>
          <w:sz w:val="24"/>
          <w:szCs w:val="24"/>
        </w:rPr>
      </w:pPr>
      <w:r w:rsidRPr="00F613F1">
        <w:rPr>
          <w:bCs/>
          <w:sz w:val="24"/>
          <w:szCs w:val="24"/>
        </w:rPr>
        <w:t xml:space="preserve">Figure </w:t>
      </w:r>
      <w:r w:rsidRPr="00F613F1">
        <w:rPr>
          <w:bCs/>
          <w:sz w:val="24"/>
          <w:szCs w:val="24"/>
        </w:rPr>
        <w:fldChar w:fldCharType="begin"/>
      </w:r>
      <w:r w:rsidRPr="00F613F1">
        <w:rPr>
          <w:bCs/>
          <w:sz w:val="24"/>
          <w:szCs w:val="24"/>
        </w:rPr>
        <w:instrText xml:space="preserve"> SEQ Figure \* ARABIC </w:instrText>
      </w:r>
      <w:r w:rsidRPr="00F613F1">
        <w:rPr>
          <w:bCs/>
          <w:sz w:val="24"/>
          <w:szCs w:val="24"/>
        </w:rPr>
        <w:fldChar w:fldCharType="separate"/>
      </w:r>
      <w:r w:rsidR="00FC6918" w:rsidRPr="00F613F1">
        <w:rPr>
          <w:bCs/>
          <w:noProof/>
          <w:sz w:val="24"/>
          <w:szCs w:val="24"/>
        </w:rPr>
        <w:t>1</w:t>
      </w:r>
      <w:r w:rsidRPr="00F613F1">
        <w:rPr>
          <w:bCs/>
          <w:sz w:val="24"/>
          <w:szCs w:val="24"/>
        </w:rPr>
        <w:fldChar w:fldCharType="end"/>
      </w:r>
      <w:r w:rsidRPr="00F613F1">
        <w:rPr>
          <w:bCs/>
          <w:sz w:val="24"/>
          <w:szCs w:val="24"/>
        </w:rPr>
        <w:t>: Diabetes around the world in 2024</w:t>
      </w:r>
    </w:p>
    <w:p w14:paraId="0F7DBB58" w14:textId="051D30BA" w:rsidR="000C2983" w:rsidRPr="00F613F1" w:rsidRDefault="000C2983" w:rsidP="00185E81">
      <w:pPr>
        <w:jc w:val="center"/>
        <w:rPr>
          <w:b/>
          <w:bCs/>
          <w:i/>
          <w:iCs/>
          <w:sz w:val="24"/>
          <w:szCs w:val="24"/>
        </w:rPr>
      </w:pPr>
      <w:r w:rsidRPr="00F613F1">
        <w:rPr>
          <w:b/>
          <w:bCs/>
          <w:i/>
          <w:iCs/>
          <w:sz w:val="24"/>
          <w:szCs w:val="24"/>
        </w:rPr>
        <w:t>(Source: International Diabetes Federation, 2026)</w:t>
      </w:r>
    </w:p>
    <w:p w14:paraId="1FACE281" w14:textId="7CFF33DF" w:rsidR="00A40F66" w:rsidRPr="00F613F1" w:rsidRDefault="004253AD" w:rsidP="00D52C54">
      <w:pPr>
        <w:rPr>
          <w:sz w:val="24"/>
          <w:szCs w:val="24"/>
        </w:rPr>
      </w:pPr>
      <w:r w:rsidRPr="00F613F1">
        <w:rPr>
          <w:sz w:val="24"/>
          <w:szCs w:val="24"/>
        </w:rPr>
        <w:t>The current booklet will help to clarify the pathophysiology of T2DM, consider the personal and family consequences of the disease, and critically analyse the management approach used in the UK community care.</w:t>
      </w:r>
    </w:p>
    <w:p w14:paraId="6D000AE0" w14:textId="0C1E1A50" w:rsidR="005F71FB" w:rsidRPr="0043112E" w:rsidRDefault="005F71FB" w:rsidP="008D21C0">
      <w:pPr>
        <w:jc w:val="left"/>
        <w:rPr>
          <w:rFonts w:eastAsiaTheme="majorEastAsia" w:cstheme="majorBidi"/>
          <w:b/>
          <w:bCs/>
          <w:color w:val="000000" w:themeColor="text1"/>
          <w:sz w:val="28"/>
          <w:szCs w:val="28"/>
          <w:lang w:bidi="hi-IN"/>
        </w:rPr>
      </w:pPr>
      <w:bookmarkStart w:id="1" w:name="_Toc224158678"/>
      <w:r w:rsidRPr="0043112E">
        <w:rPr>
          <w:b/>
          <w:bCs/>
          <w:sz w:val="28"/>
          <w:szCs w:val="28"/>
        </w:rPr>
        <w:t>2. Understanding Type 2 Diabetes Mellitus</w:t>
      </w:r>
      <w:bookmarkEnd w:id="1"/>
    </w:p>
    <w:p w14:paraId="77764114" w14:textId="2E9A38B6" w:rsidR="005F71FB" w:rsidRPr="00F613F1" w:rsidRDefault="005F71FB" w:rsidP="005F71FB">
      <w:pPr>
        <w:pStyle w:val="Heading2"/>
        <w:rPr>
          <w:sz w:val="24"/>
          <w:szCs w:val="24"/>
        </w:rPr>
      </w:pPr>
      <w:bookmarkStart w:id="2" w:name="_Toc224158679"/>
      <w:r w:rsidRPr="00F613F1">
        <w:rPr>
          <w:sz w:val="24"/>
          <w:szCs w:val="24"/>
        </w:rPr>
        <w:lastRenderedPageBreak/>
        <w:t>2.1 Definition and Pathophysiology</w:t>
      </w:r>
      <w:bookmarkEnd w:id="2"/>
    </w:p>
    <w:p w14:paraId="4CCC3379" w14:textId="375D48D4" w:rsidR="005F71FB" w:rsidRPr="00F613F1" w:rsidRDefault="005A2425" w:rsidP="005F71FB">
      <w:pPr>
        <w:rPr>
          <w:sz w:val="24"/>
          <w:szCs w:val="24"/>
        </w:rPr>
      </w:pPr>
      <w:r w:rsidRPr="00F613F1">
        <w:rPr>
          <w:sz w:val="24"/>
          <w:szCs w:val="24"/>
        </w:rPr>
        <w:t xml:space="preserve">T2DM is a chronic disease which interferes with blood glucose regulation levels. Its pathogenesis consists mainly of insulin resistance and dysfunction of the </w:t>
      </w:r>
      <w:r w:rsidR="00F42899" w:rsidRPr="00F613F1">
        <w:rPr>
          <w:sz w:val="24"/>
          <w:szCs w:val="24"/>
        </w:rPr>
        <w:t>beta</w:t>
      </w:r>
      <w:r w:rsidRPr="00F613F1">
        <w:rPr>
          <w:sz w:val="24"/>
          <w:szCs w:val="24"/>
        </w:rPr>
        <w:t xml:space="preserve">-cells. Insulin, a peptide hormone secreted by the pancreatic </w:t>
      </w:r>
      <w:r w:rsidR="00F42899" w:rsidRPr="00F613F1">
        <w:rPr>
          <w:sz w:val="24"/>
          <w:szCs w:val="24"/>
        </w:rPr>
        <w:t>beta-</w:t>
      </w:r>
      <w:r w:rsidRPr="00F613F1">
        <w:rPr>
          <w:sz w:val="24"/>
          <w:szCs w:val="24"/>
        </w:rPr>
        <w:t xml:space="preserve">cells, assists in the movement of glucose in </w:t>
      </w:r>
      <w:r w:rsidR="00EA4042" w:rsidRPr="00F613F1">
        <w:rPr>
          <w:sz w:val="24"/>
          <w:szCs w:val="24"/>
        </w:rPr>
        <w:t xml:space="preserve">the </w:t>
      </w:r>
      <w:r w:rsidRPr="00F613F1">
        <w:rPr>
          <w:sz w:val="24"/>
          <w:szCs w:val="24"/>
        </w:rPr>
        <w:t>blood to cells to be utilised in their metabolism</w:t>
      </w:r>
      <w:r w:rsidR="009B0648" w:rsidRPr="00F613F1">
        <w:rPr>
          <w:sz w:val="24"/>
          <w:szCs w:val="24"/>
        </w:rPr>
        <w:t xml:space="preserve"> (Shen, et al., 2024)</w:t>
      </w:r>
      <w:r w:rsidRPr="00F613F1">
        <w:rPr>
          <w:sz w:val="24"/>
          <w:szCs w:val="24"/>
        </w:rPr>
        <w:t xml:space="preserve">. Peripheral tissues in T2DM are becoming less responsive to insulin, which triggers an increase in insulin production by the pancreas. Once the </w:t>
      </w:r>
      <w:r w:rsidR="00F42899" w:rsidRPr="00F613F1">
        <w:rPr>
          <w:sz w:val="24"/>
          <w:szCs w:val="24"/>
        </w:rPr>
        <w:t>beta</w:t>
      </w:r>
      <w:r w:rsidRPr="00F613F1">
        <w:rPr>
          <w:sz w:val="24"/>
          <w:szCs w:val="24"/>
        </w:rPr>
        <w:t>-cells reach their maximum secretory capacity, hyperglycaemia develops, and it becomes chronic.</w:t>
      </w:r>
      <w:r w:rsidR="00D75E20" w:rsidRPr="00F613F1">
        <w:rPr>
          <w:sz w:val="24"/>
          <w:szCs w:val="24"/>
        </w:rPr>
        <w:t xml:space="preserve"> </w:t>
      </w:r>
      <w:r w:rsidR="00F42899" w:rsidRPr="00F613F1">
        <w:rPr>
          <w:sz w:val="24"/>
          <w:szCs w:val="24"/>
        </w:rPr>
        <w:t xml:space="preserve">The progressive nature of T2DM means that the clinical severity increases with time, where people may initially be treated using </w:t>
      </w:r>
      <w:r w:rsidR="00F42899" w:rsidRPr="00F613F1">
        <w:rPr>
          <w:sz w:val="24"/>
          <w:szCs w:val="24"/>
        </w:rPr>
        <w:lastRenderedPageBreak/>
        <w:t xml:space="preserve">lifestyle change and oral </w:t>
      </w:r>
      <w:r w:rsidR="00B143A7" w:rsidRPr="00F613F1">
        <w:rPr>
          <w:sz w:val="24"/>
          <w:szCs w:val="24"/>
        </w:rPr>
        <w:t>antidiabetics,</w:t>
      </w:r>
      <w:r w:rsidR="00F42899" w:rsidRPr="00F613F1">
        <w:rPr>
          <w:sz w:val="24"/>
          <w:szCs w:val="24"/>
        </w:rPr>
        <w:t xml:space="preserve"> but as pancreatic </w:t>
      </w:r>
      <w:r w:rsidR="006102EB" w:rsidRPr="00F613F1">
        <w:rPr>
          <w:sz w:val="24"/>
          <w:szCs w:val="24"/>
        </w:rPr>
        <w:t>beta</w:t>
      </w:r>
      <w:r w:rsidR="00F42899" w:rsidRPr="00F613F1">
        <w:rPr>
          <w:sz w:val="24"/>
          <w:szCs w:val="24"/>
        </w:rPr>
        <w:t>-cells degenerate, the severity advances to include insulin treatment</w:t>
      </w:r>
      <w:r w:rsidR="00332E71" w:rsidRPr="00F613F1">
        <w:rPr>
          <w:sz w:val="24"/>
          <w:szCs w:val="24"/>
        </w:rPr>
        <w:t xml:space="preserve"> (Tegegne, et al., 2024)</w:t>
      </w:r>
      <w:r w:rsidR="00F42899" w:rsidRPr="00F613F1">
        <w:rPr>
          <w:sz w:val="24"/>
          <w:szCs w:val="24"/>
        </w:rPr>
        <w:t>.</w:t>
      </w:r>
    </w:p>
    <w:p w14:paraId="648B1E51" w14:textId="77777777" w:rsidR="006B7AC3" w:rsidRPr="00F613F1" w:rsidRDefault="006B7AC3" w:rsidP="005E1A7F">
      <w:pPr>
        <w:keepNext/>
        <w:rPr>
          <w:b/>
          <w:bCs/>
          <w:i/>
          <w:iCs/>
          <w:sz w:val="24"/>
          <w:szCs w:val="24"/>
        </w:rPr>
      </w:pPr>
      <w:r w:rsidRPr="00F613F1">
        <w:rPr>
          <w:b/>
          <w:bCs/>
          <w:i/>
          <w:iCs/>
          <w:noProof/>
          <w:sz w:val="24"/>
          <w:szCs w:val="24"/>
        </w:rPr>
        <w:drawing>
          <wp:inline distT="0" distB="0" distL="0" distR="0" wp14:anchorId="38093C17" wp14:editId="7709DE8C">
            <wp:extent cx="2349500" cy="2277896"/>
            <wp:effectExtent l="76200" t="76200" r="127000" b="141605"/>
            <wp:docPr id="1386124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24901" name=""/>
                    <pic:cNvPicPr/>
                  </pic:nvPicPr>
                  <pic:blipFill>
                    <a:blip r:embed="rId11"/>
                    <a:stretch>
                      <a:fillRect/>
                    </a:stretch>
                  </pic:blipFill>
                  <pic:spPr>
                    <a:xfrm>
                      <a:off x="0" y="0"/>
                      <a:ext cx="2357237" cy="22853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006DDD" w14:textId="0BDA3EA8" w:rsidR="006B7AC3" w:rsidRPr="00F613F1" w:rsidRDefault="006B7AC3" w:rsidP="00682575">
      <w:pPr>
        <w:pStyle w:val="Caption"/>
        <w:rPr>
          <w:bCs/>
          <w:sz w:val="24"/>
          <w:szCs w:val="24"/>
        </w:rPr>
      </w:pPr>
      <w:r w:rsidRPr="00F613F1">
        <w:rPr>
          <w:bCs/>
          <w:sz w:val="24"/>
          <w:szCs w:val="24"/>
        </w:rPr>
        <w:t xml:space="preserve">Figure </w:t>
      </w:r>
      <w:r w:rsidRPr="00F613F1">
        <w:rPr>
          <w:bCs/>
          <w:sz w:val="24"/>
          <w:szCs w:val="24"/>
        </w:rPr>
        <w:fldChar w:fldCharType="begin"/>
      </w:r>
      <w:r w:rsidRPr="00F613F1">
        <w:rPr>
          <w:bCs/>
          <w:sz w:val="24"/>
          <w:szCs w:val="24"/>
        </w:rPr>
        <w:instrText xml:space="preserve"> SEQ Figure \* ARABIC </w:instrText>
      </w:r>
      <w:r w:rsidRPr="00F613F1">
        <w:rPr>
          <w:bCs/>
          <w:sz w:val="24"/>
          <w:szCs w:val="24"/>
        </w:rPr>
        <w:fldChar w:fldCharType="separate"/>
      </w:r>
      <w:r w:rsidR="00FC6918" w:rsidRPr="00F613F1">
        <w:rPr>
          <w:bCs/>
          <w:noProof/>
          <w:sz w:val="24"/>
          <w:szCs w:val="24"/>
        </w:rPr>
        <w:t>2</w:t>
      </w:r>
      <w:r w:rsidRPr="00F613F1">
        <w:rPr>
          <w:bCs/>
          <w:sz w:val="24"/>
          <w:szCs w:val="24"/>
        </w:rPr>
        <w:fldChar w:fldCharType="end"/>
      </w:r>
      <w:r w:rsidRPr="00F613F1">
        <w:rPr>
          <w:bCs/>
          <w:sz w:val="24"/>
          <w:szCs w:val="24"/>
        </w:rPr>
        <w:t>: Pathophysiology – Basic Cycle</w:t>
      </w:r>
    </w:p>
    <w:p w14:paraId="120144BF" w14:textId="15B9F7BA" w:rsidR="006B7AC3" w:rsidRPr="00F613F1" w:rsidRDefault="006B7AC3" w:rsidP="00682575">
      <w:pPr>
        <w:jc w:val="center"/>
        <w:rPr>
          <w:b/>
          <w:bCs/>
          <w:i/>
          <w:iCs/>
          <w:sz w:val="24"/>
          <w:szCs w:val="24"/>
        </w:rPr>
      </w:pPr>
      <w:r w:rsidRPr="00F613F1">
        <w:rPr>
          <w:b/>
          <w:bCs/>
          <w:i/>
          <w:iCs/>
          <w:sz w:val="24"/>
          <w:szCs w:val="24"/>
        </w:rPr>
        <w:t>(Source: By Author)</w:t>
      </w:r>
    </w:p>
    <w:p w14:paraId="2795D5B5" w14:textId="2BF45AFF" w:rsidR="005F71FB" w:rsidRPr="00F613F1" w:rsidRDefault="005F71FB" w:rsidP="005F71FB">
      <w:pPr>
        <w:pStyle w:val="Heading2"/>
        <w:rPr>
          <w:sz w:val="24"/>
          <w:szCs w:val="24"/>
        </w:rPr>
      </w:pPr>
      <w:bookmarkStart w:id="3" w:name="_Toc224158680"/>
      <w:r w:rsidRPr="00F613F1">
        <w:rPr>
          <w:sz w:val="24"/>
          <w:szCs w:val="24"/>
        </w:rPr>
        <w:t>2.2 Global and UK Prevalence</w:t>
      </w:r>
      <w:bookmarkEnd w:id="3"/>
    </w:p>
    <w:p w14:paraId="4117822C" w14:textId="5BBDA699" w:rsidR="005F71FB" w:rsidRPr="00F613F1" w:rsidRDefault="00FB3D93" w:rsidP="005F71FB">
      <w:pPr>
        <w:rPr>
          <w:sz w:val="24"/>
          <w:szCs w:val="24"/>
        </w:rPr>
      </w:pPr>
      <w:r w:rsidRPr="00F613F1">
        <w:rPr>
          <w:sz w:val="24"/>
          <w:szCs w:val="24"/>
        </w:rPr>
        <w:t>T2DM is an emerging global health issue with approximately 1 out of every 10 adults at risk. The mortality rate due to diabetes and other related com</w:t>
      </w:r>
      <w:r w:rsidRPr="00F613F1">
        <w:rPr>
          <w:sz w:val="24"/>
          <w:szCs w:val="24"/>
        </w:rPr>
        <w:lastRenderedPageBreak/>
        <w:t>plications is estimated to be 6.7 million a year</w:t>
      </w:r>
      <w:r w:rsidR="00087A8A" w:rsidRPr="00F613F1">
        <w:rPr>
          <w:sz w:val="24"/>
          <w:szCs w:val="24"/>
        </w:rPr>
        <w:t xml:space="preserve"> (Magliano</w:t>
      </w:r>
      <w:r w:rsidR="007A2BAF" w:rsidRPr="00F613F1">
        <w:rPr>
          <w:sz w:val="24"/>
          <w:szCs w:val="24"/>
        </w:rPr>
        <w:t xml:space="preserve"> </w:t>
      </w:r>
      <w:r w:rsidR="00087A8A" w:rsidRPr="00F613F1">
        <w:rPr>
          <w:sz w:val="24"/>
          <w:szCs w:val="24"/>
        </w:rPr>
        <w:t>and Boyko, 2021)</w:t>
      </w:r>
      <w:r w:rsidRPr="00F613F1">
        <w:rPr>
          <w:sz w:val="24"/>
          <w:szCs w:val="24"/>
        </w:rPr>
        <w:t>. The prevalence is increasing rapidly</w:t>
      </w:r>
      <w:r w:rsidR="004E4E48" w:rsidRPr="00F613F1">
        <w:rPr>
          <w:sz w:val="24"/>
          <w:szCs w:val="24"/>
        </w:rPr>
        <w:t>,</w:t>
      </w:r>
      <w:r w:rsidRPr="00F613F1">
        <w:rPr>
          <w:sz w:val="24"/>
          <w:szCs w:val="24"/>
        </w:rPr>
        <w:t xml:space="preserve"> especially in the low- and middle-income countries, where the effects of urbanisation, poor diets and lack of healthcare contribute to the growth of prevalence.</w:t>
      </w:r>
      <w:r w:rsidR="007F2FD6" w:rsidRPr="00F613F1">
        <w:rPr>
          <w:sz w:val="24"/>
          <w:szCs w:val="24"/>
        </w:rPr>
        <w:t xml:space="preserve"> </w:t>
      </w:r>
      <w:r w:rsidR="0020057C" w:rsidRPr="00F613F1">
        <w:rPr>
          <w:sz w:val="24"/>
          <w:szCs w:val="24"/>
        </w:rPr>
        <w:t>The number of cases in the UK that are already diagnosed is 4.3 million</w:t>
      </w:r>
      <w:r w:rsidR="004E4E48" w:rsidRPr="00F613F1">
        <w:rPr>
          <w:sz w:val="24"/>
          <w:szCs w:val="24"/>
        </w:rPr>
        <w:t xml:space="preserve"> (in 2024)</w:t>
      </w:r>
      <w:r w:rsidR="00676F4C" w:rsidRPr="00F613F1">
        <w:rPr>
          <w:sz w:val="24"/>
          <w:szCs w:val="24"/>
        </w:rPr>
        <w:t>,</w:t>
      </w:r>
      <w:r w:rsidR="0020057C" w:rsidRPr="00F613F1">
        <w:rPr>
          <w:sz w:val="24"/>
          <w:szCs w:val="24"/>
        </w:rPr>
        <w:t xml:space="preserve"> and there are about 850,000 who have not been diagnosed</w:t>
      </w:r>
      <w:r w:rsidR="004E4E48" w:rsidRPr="00F613F1">
        <w:rPr>
          <w:sz w:val="24"/>
          <w:szCs w:val="24"/>
        </w:rPr>
        <w:t xml:space="preserve"> (Diabetes UK, 2023)</w:t>
      </w:r>
      <w:r w:rsidR="0020057C" w:rsidRPr="00F613F1">
        <w:rPr>
          <w:sz w:val="24"/>
          <w:szCs w:val="24"/>
        </w:rPr>
        <w:t>. The incidence is also overrepresented in socioeconomically deprived regions, with South Asian ethnicity and Black ethnicity showing an earlier age onset and increased risk.</w:t>
      </w:r>
    </w:p>
    <w:p w14:paraId="494EE55E" w14:textId="6F6375A2" w:rsidR="005F71FB" w:rsidRPr="00F613F1" w:rsidRDefault="005F71FB" w:rsidP="005F71FB">
      <w:pPr>
        <w:pStyle w:val="Heading2"/>
        <w:rPr>
          <w:sz w:val="24"/>
          <w:szCs w:val="24"/>
        </w:rPr>
      </w:pPr>
      <w:bookmarkStart w:id="4" w:name="_Toc224158681"/>
      <w:r w:rsidRPr="00F613F1">
        <w:rPr>
          <w:sz w:val="24"/>
          <w:szCs w:val="24"/>
        </w:rPr>
        <w:t>2.3 Economic Burden</w:t>
      </w:r>
      <w:bookmarkEnd w:id="4"/>
    </w:p>
    <w:p w14:paraId="352B692C" w14:textId="1EAAC5F0" w:rsidR="005F71FB" w:rsidRPr="00F613F1" w:rsidRDefault="001B6FE1" w:rsidP="005F71FB">
      <w:pPr>
        <w:rPr>
          <w:sz w:val="24"/>
          <w:szCs w:val="24"/>
        </w:rPr>
      </w:pPr>
      <w:r w:rsidRPr="00F613F1">
        <w:rPr>
          <w:sz w:val="24"/>
          <w:szCs w:val="24"/>
        </w:rPr>
        <w:t>NHS spending on diabetes is estimated to be approximately around 10 billion every year with approx</w:t>
      </w:r>
      <w:r w:rsidRPr="00F613F1">
        <w:rPr>
          <w:sz w:val="24"/>
          <w:szCs w:val="24"/>
        </w:rPr>
        <w:lastRenderedPageBreak/>
        <w:t xml:space="preserve">imately </w:t>
      </w:r>
      <w:r w:rsidR="00EB561F" w:rsidRPr="00F613F1">
        <w:rPr>
          <w:sz w:val="24"/>
          <w:szCs w:val="24"/>
        </w:rPr>
        <w:t>10</w:t>
      </w:r>
      <w:r w:rsidR="00DF181D" w:rsidRPr="00F613F1">
        <w:rPr>
          <w:sz w:val="24"/>
          <w:szCs w:val="24"/>
        </w:rPr>
        <w:t>%</w:t>
      </w:r>
      <w:r w:rsidRPr="00F613F1">
        <w:rPr>
          <w:sz w:val="24"/>
          <w:szCs w:val="24"/>
        </w:rPr>
        <w:t xml:space="preserve"> of the amount spent in management of </w:t>
      </w:r>
      <w:r w:rsidR="00EA4042" w:rsidRPr="00F613F1">
        <w:rPr>
          <w:sz w:val="24"/>
          <w:szCs w:val="24"/>
        </w:rPr>
        <w:t>complications</w:t>
      </w:r>
      <w:r w:rsidRPr="00F613F1">
        <w:rPr>
          <w:sz w:val="24"/>
          <w:szCs w:val="24"/>
        </w:rPr>
        <w:t xml:space="preserve"> like cardiovascular disease, renal failure and amputations</w:t>
      </w:r>
      <w:r w:rsidR="00EB561F" w:rsidRPr="00F613F1">
        <w:rPr>
          <w:sz w:val="24"/>
          <w:szCs w:val="24"/>
        </w:rPr>
        <w:t xml:space="preserve"> (NHS England, 2022)</w:t>
      </w:r>
      <w:r w:rsidRPr="00F613F1">
        <w:rPr>
          <w:sz w:val="24"/>
          <w:szCs w:val="24"/>
        </w:rPr>
        <w:t>. The economic burden is further increased by indirect costs</w:t>
      </w:r>
      <w:r w:rsidR="00EB561F" w:rsidRPr="00F613F1">
        <w:rPr>
          <w:sz w:val="24"/>
          <w:szCs w:val="24"/>
        </w:rPr>
        <w:t>,</w:t>
      </w:r>
      <w:r w:rsidRPr="00F613F1">
        <w:rPr>
          <w:sz w:val="24"/>
          <w:szCs w:val="24"/>
        </w:rPr>
        <w:t xml:space="preserve"> which comprise less involvement of the workforce, early retirement and disability. Although this is an increasing burden, it is still not clear how m</w:t>
      </w:r>
      <w:r w:rsidR="00EA4042" w:rsidRPr="00F613F1">
        <w:rPr>
          <w:sz w:val="24"/>
          <w:szCs w:val="24"/>
        </w:rPr>
        <w:t>any</w:t>
      </w:r>
      <w:r w:rsidRPr="00F613F1">
        <w:rPr>
          <w:sz w:val="24"/>
          <w:szCs w:val="24"/>
        </w:rPr>
        <w:t xml:space="preserve"> resources are allocated to prevention over treatment.</w:t>
      </w:r>
    </w:p>
    <w:p w14:paraId="66D4CE05" w14:textId="0D59F291" w:rsidR="00880FDF" w:rsidRPr="0043112E" w:rsidRDefault="00880FDF" w:rsidP="0043610A">
      <w:pPr>
        <w:jc w:val="left"/>
        <w:rPr>
          <w:rFonts w:eastAsiaTheme="majorEastAsia" w:cstheme="majorBidi"/>
          <w:b/>
          <w:bCs/>
          <w:color w:val="000000" w:themeColor="text1"/>
          <w:sz w:val="28"/>
          <w:szCs w:val="28"/>
          <w:lang w:bidi="hi-IN"/>
        </w:rPr>
      </w:pPr>
      <w:bookmarkStart w:id="5" w:name="_Toc224158682"/>
      <w:r w:rsidRPr="0043112E">
        <w:rPr>
          <w:b/>
          <w:bCs/>
          <w:sz w:val="28"/>
          <w:szCs w:val="28"/>
        </w:rPr>
        <w:t>3. Risk Factors and Aetiology</w:t>
      </w:r>
      <w:bookmarkEnd w:id="5"/>
    </w:p>
    <w:p w14:paraId="0CF07A00" w14:textId="244B8821" w:rsidR="00880FDF" w:rsidRPr="00F613F1" w:rsidRDefault="002C3118" w:rsidP="00880FDF">
      <w:pPr>
        <w:rPr>
          <w:sz w:val="24"/>
          <w:szCs w:val="24"/>
        </w:rPr>
      </w:pPr>
      <w:r w:rsidRPr="00F613F1">
        <w:rPr>
          <w:sz w:val="24"/>
          <w:szCs w:val="24"/>
        </w:rPr>
        <w:t>Type 2 Diabetes Mellitus is an emergence of a set of non-modifiable and modifiable risk factors.</w:t>
      </w:r>
    </w:p>
    <w:p w14:paraId="095854B2" w14:textId="16BEC3CD" w:rsidR="00880FDF" w:rsidRPr="00F613F1" w:rsidRDefault="00880FDF" w:rsidP="00880FDF">
      <w:pPr>
        <w:pStyle w:val="Heading2"/>
        <w:rPr>
          <w:sz w:val="24"/>
          <w:szCs w:val="24"/>
        </w:rPr>
      </w:pPr>
      <w:bookmarkStart w:id="6" w:name="_Toc224158683"/>
      <w:r w:rsidRPr="00F613F1">
        <w:rPr>
          <w:sz w:val="24"/>
          <w:szCs w:val="24"/>
        </w:rPr>
        <w:t xml:space="preserve">3.1 </w:t>
      </w:r>
      <w:r w:rsidR="00F40936" w:rsidRPr="00F613F1">
        <w:rPr>
          <w:sz w:val="24"/>
          <w:szCs w:val="24"/>
        </w:rPr>
        <w:t>non-modifiable</w:t>
      </w:r>
      <w:r w:rsidRPr="00F613F1">
        <w:rPr>
          <w:sz w:val="24"/>
          <w:szCs w:val="24"/>
        </w:rPr>
        <w:t xml:space="preserve"> risk factors</w:t>
      </w:r>
      <w:bookmarkEnd w:id="6"/>
    </w:p>
    <w:p w14:paraId="09403348" w14:textId="3F9DA1EE" w:rsidR="00880FDF" w:rsidRPr="00F613F1" w:rsidRDefault="00386F8D" w:rsidP="00880FDF">
      <w:pPr>
        <w:rPr>
          <w:sz w:val="24"/>
          <w:szCs w:val="24"/>
        </w:rPr>
      </w:pPr>
      <w:r w:rsidRPr="00F613F1">
        <w:rPr>
          <w:sz w:val="24"/>
          <w:szCs w:val="24"/>
        </w:rPr>
        <w:t xml:space="preserve">Some demographic and biological traits cannot be changed. One of the key factors is age, in which </w:t>
      </w:r>
      <w:r w:rsidRPr="00F613F1">
        <w:rPr>
          <w:sz w:val="24"/>
          <w:szCs w:val="24"/>
        </w:rPr>
        <w:lastRenderedPageBreak/>
        <w:t>risk increases with age above 40 years, or above 25 years in South Asian groups. Ethnicity has a significant impact</w:t>
      </w:r>
      <w:r w:rsidR="00726BDE" w:rsidRPr="00F613F1">
        <w:rPr>
          <w:sz w:val="24"/>
          <w:szCs w:val="24"/>
        </w:rPr>
        <w:t xml:space="preserve"> as</w:t>
      </w:r>
      <w:r w:rsidRPr="00F613F1">
        <w:rPr>
          <w:sz w:val="24"/>
          <w:szCs w:val="24"/>
        </w:rPr>
        <w:t xml:space="preserve"> people of South Asian, Black African and Caribbean origin have a much higher risk and are affected earlier</w:t>
      </w:r>
      <w:r w:rsidR="00E7713A" w:rsidRPr="00F613F1">
        <w:rPr>
          <w:sz w:val="24"/>
          <w:szCs w:val="24"/>
        </w:rPr>
        <w:t xml:space="preserve"> (Rivera, 2025)</w:t>
      </w:r>
      <w:r w:rsidRPr="00F613F1">
        <w:rPr>
          <w:sz w:val="24"/>
          <w:szCs w:val="24"/>
        </w:rPr>
        <w:t xml:space="preserve">. Evidence of genetic predisposition exists in that family history of T2DM grants </w:t>
      </w:r>
      <w:r w:rsidR="00EA4042" w:rsidRPr="00F613F1">
        <w:rPr>
          <w:sz w:val="24"/>
          <w:szCs w:val="24"/>
        </w:rPr>
        <w:t xml:space="preserve">an </w:t>
      </w:r>
      <w:r w:rsidRPr="00F613F1">
        <w:rPr>
          <w:sz w:val="24"/>
          <w:szCs w:val="24"/>
        </w:rPr>
        <w:t>increased risk of getting the disease</w:t>
      </w:r>
      <w:r w:rsidR="00AD4279" w:rsidRPr="00F613F1">
        <w:rPr>
          <w:sz w:val="24"/>
          <w:szCs w:val="24"/>
        </w:rPr>
        <w:t xml:space="preserve"> (Laakso</w:t>
      </w:r>
      <w:r w:rsidR="0034094E" w:rsidRPr="00F613F1">
        <w:rPr>
          <w:sz w:val="24"/>
          <w:szCs w:val="24"/>
        </w:rPr>
        <w:t xml:space="preserve"> </w:t>
      </w:r>
      <w:r w:rsidR="00AD4279" w:rsidRPr="00F613F1">
        <w:rPr>
          <w:sz w:val="24"/>
          <w:szCs w:val="24"/>
        </w:rPr>
        <w:t>and Fernandes Silva, 2022)</w:t>
      </w:r>
      <w:r w:rsidRPr="00F613F1">
        <w:rPr>
          <w:sz w:val="24"/>
          <w:szCs w:val="24"/>
        </w:rPr>
        <w:t>.</w:t>
      </w:r>
      <w:r w:rsidR="000F2E3B" w:rsidRPr="00F613F1">
        <w:rPr>
          <w:sz w:val="24"/>
          <w:szCs w:val="24"/>
        </w:rPr>
        <w:t xml:space="preserve"> </w:t>
      </w:r>
    </w:p>
    <w:p w14:paraId="08D37CD1" w14:textId="0BA7D97D" w:rsidR="00880FDF" w:rsidRPr="00F613F1" w:rsidRDefault="00880FDF" w:rsidP="00880FDF">
      <w:pPr>
        <w:pStyle w:val="Heading2"/>
        <w:rPr>
          <w:sz w:val="24"/>
          <w:szCs w:val="24"/>
        </w:rPr>
      </w:pPr>
      <w:bookmarkStart w:id="7" w:name="_Toc224158684"/>
      <w:r w:rsidRPr="00F613F1">
        <w:rPr>
          <w:sz w:val="24"/>
          <w:szCs w:val="24"/>
        </w:rPr>
        <w:t>3.2 Modifiable risk factors</w:t>
      </w:r>
      <w:bookmarkEnd w:id="7"/>
    </w:p>
    <w:p w14:paraId="173F904B" w14:textId="7F78ED99" w:rsidR="00880FDF" w:rsidRPr="00F613F1" w:rsidRDefault="00A2583F" w:rsidP="00880FDF">
      <w:pPr>
        <w:rPr>
          <w:sz w:val="24"/>
          <w:szCs w:val="24"/>
        </w:rPr>
      </w:pPr>
      <w:r w:rsidRPr="00F613F1">
        <w:rPr>
          <w:sz w:val="24"/>
          <w:szCs w:val="24"/>
        </w:rPr>
        <w:t xml:space="preserve">Lifestyle and environmental exposures are linked to a large number of risk factors. Modifiable predictors are </w:t>
      </w:r>
      <w:r w:rsidR="00EA4042" w:rsidRPr="00F613F1">
        <w:rPr>
          <w:sz w:val="24"/>
          <w:szCs w:val="24"/>
        </w:rPr>
        <w:t xml:space="preserve">the </w:t>
      </w:r>
      <w:r w:rsidRPr="00F613F1">
        <w:rPr>
          <w:sz w:val="24"/>
          <w:szCs w:val="24"/>
        </w:rPr>
        <w:t xml:space="preserve">most powerful and the most influential, with obesity explaining about </w:t>
      </w:r>
      <w:r w:rsidR="00F76AD6" w:rsidRPr="00F613F1">
        <w:rPr>
          <w:sz w:val="24"/>
          <w:szCs w:val="24"/>
        </w:rPr>
        <w:t>7</w:t>
      </w:r>
      <w:r w:rsidRPr="00F613F1">
        <w:rPr>
          <w:sz w:val="24"/>
          <w:szCs w:val="24"/>
        </w:rPr>
        <w:t>0</w:t>
      </w:r>
      <w:r w:rsidR="00BF0183" w:rsidRPr="00F613F1">
        <w:rPr>
          <w:sz w:val="24"/>
          <w:szCs w:val="24"/>
        </w:rPr>
        <w:t xml:space="preserve">% of </w:t>
      </w:r>
      <w:r w:rsidRPr="00F613F1">
        <w:rPr>
          <w:sz w:val="24"/>
          <w:szCs w:val="24"/>
        </w:rPr>
        <w:t>T2DM</w:t>
      </w:r>
      <w:r w:rsidR="00F76AD6" w:rsidRPr="00F613F1">
        <w:rPr>
          <w:sz w:val="24"/>
          <w:szCs w:val="24"/>
        </w:rPr>
        <w:t xml:space="preserve"> (</w:t>
      </w:r>
      <w:proofErr w:type="spellStart"/>
      <w:r w:rsidR="00F76AD6" w:rsidRPr="00F613F1">
        <w:rPr>
          <w:sz w:val="24"/>
          <w:szCs w:val="24"/>
        </w:rPr>
        <w:t>Chamarthi</w:t>
      </w:r>
      <w:proofErr w:type="spellEnd"/>
      <w:r w:rsidR="00F76AD6" w:rsidRPr="00F613F1">
        <w:rPr>
          <w:sz w:val="24"/>
          <w:szCs w:val="24"/>
        </w:rPr>
        <w:t>, et al., 2025)</w:t>
      </w:r>
      <w:r w:rsidRPr="00F613F1">
        <w:rPr>
          <w:sz w:val="24"/>
          <w:szCs w:val="24"/>
        </w:rPr>
        <w:t xml:space="preserve">. The prevalence of overweight and obesity in the UK is approximately </w:t>
      </w:r>
      <w:r w:rsidR="00776179" w:rsidRPr="00F613F1">
        <w:rPr>
          <w:sz w:val="24"/>
          <w:szCs w:val="24"/>
        </w:rPr>
        <w:t xml:space="preserve">42.4% </w:t>
      </w:r>
      <w:r w:rsidRPr="00F613F1">
        <w:rPr>
          <w:sz w:val="24"/>
          <w:szCs w:val="24"/>
        </w:rPr>
        <w:t xml:space="preserve">of </w:t>
      </w:r>
      <w:r w:rsidR="004010CD" w:rsidRPr="00F613F1">
        <w:rPr>
          <w:sz w:val="24"/>
          <w:szCs w:val="24"/>
        </w:rPr>
        <w:t xml:space="preserve">adults </w:t>
      </w:r>
      <w:r w:rsidR="004010CD" w:rsidRPr="00F613F1">
        <w:rPr>
          <w:sz w:val="24"/>
          <w:szCs w:val="24"/>
        </w:rPr>
        <w:lastRenderedPageBreak/>
        <w:t>and</w:t>
      </w:r>
      <w:r w:rsidRPr="00F613F1">
        <w:rPr>
          <w:sz w:val="24"/>
          <w:szCs w:val="24"/>
        </w:rPr>
        <w:t xml:space="preserve"> therefore increases the risk at the population level</w:t>
      </w:r>
      <w:r w:rsidR="00776179" w:rsidRPr="00F613F1">
        <w:rPr>
          <w:sz w:val="24"/>
          <w:szCs w:val="24"/>
        </w:rPr>
        <w:t xml:space="preserve"> (NIH, 2026)</w:t>
      </w:r>
      <w:r w:rsidRPr="00F613F1">
        <w:rPr>
          <w:sz w:val="24"/>
          <w:szCs w:val="24"/>
        </w:rPr>
        <w:t>.</w:t>
      </w:r>
      <w:r w:rsidR="00E11925" w:rsidRPr="00F613F1">
        <w:rPr>
          <w:sz w:val="24"/>
          <w:szCs w:val="24"/>
        </w:rPr>
        <w:t xml:space="preserve"> </w:t>
      </w:r>
      <w:r w:rsidRPr="00F613F1">
        <w:rPr>
          <w:sz w:val="24"/>
          <w:szCs w:val="24"/>
        </w:rPr>
        <w:t>Also contributing to the insulin resistance are physical inactivity and dietary excess especially eating processed high-sugar foods. Smoking also increases the risk of developing and further progressing the disease.</w:t>
      </w:r>
    </w:p>
    <w:p w14:paraId="4DC699F3" w14:textId="4665FAC8" w:rsidR="00880FDF" w:rsidRPr="00F613F1" w:rsidRDefault="00DA76EA" w:rsidP="005858ED">
      <w:pPr>
        <w:rPr>
          <w:sz w:val="24"/>
          <w:szCs w:val="24"/>
        </w:rPr>
      </w:pPr>
      <w:r w:rsidRPr="00F613F1">
        <w:rPr>
          <w:sz w:val="24"/>
          <w:szCs w:val="24"/>
        </w:rPr>
        <w:t xml:space="preserve">Risk is increased by socioeconomic deprivation, and the lowest income groups have </w:t>
      </w:r>
      <w:r w:rsidR="00EA4042" w:rsidRPr="00F613F1">
        <w:rPr>
          <w:sz w:val="24"/>
          <w:szCs w:val="24"/>
        </w:rPr>
        <w:t xml:space="preserve">a </w:t>
      </w:r>
      <w:r w:rsidRPr="00F613F1">
        <w:rPr>
          <w:sz w:val="24"/>
          <w:szCs w:val="24"/>
        </w:rPr>
        <w:t xml:space="preserve">significantly </w:t>
      </w:r>
      <w:r w:rsidR="00EA4042" w:rsidRPr="00F613F1">
        <w:rPr>
          <w:sz w:val="24"/>
          <w:szCs w:val="24"/>
        </w:rPr>
        <w:t>higher</w:t>
      </w:r>
      <w:r w:rsidRPr="00F613F1">
        <w:rPr>
          <w:sz w:val="24"/>
          <w:szCs w:val="24"/>
        </w:rPr>
        <w:t xml:space="preserve"> prevalence of T2DM. The rate of childhood obesity is rising dramatically in deprived regions, which increases the occurrence in adulthood. Access to healthy foods, secure recreational areas and health education is limited which increases vulnerability</w:t>
      </w:r>
      <w:r w:rsidR="009F5973" w:rsidRPr="00F613F1">
        <w:rPr>
          <w:sz w:val="24"/>
          <w:szCs w:val="24"/>
        </w:rPr>
        <w:t xml:space="preserve"> (Cacciatore, et al., 2025)</w:t>
      </w:r>
      <w:r w:rsidRPr="00F613F1">
        <w:rPr>
          <w:sz w:val="24"/>
          <w:szCs w:val="24"/>
        </w:rPr>
        <w:t>.</w:t>
      </w:r>
      <w:r w:rsidR="00B90A2F" w:rsidRPr="00F613F1">
        <w:rPr>
          <w:sz w:val="24"/>
          <w:szCs w:val="24"/>
        </w:rPr>
        <w:t xml:space="preserve"> </w:t>
      </w:r>
      <w:r w:rsidR="000212E9" w:rsidRPr="00F613F1">
        <w:rPr>
          <w:sz w:val="24"/>
          <w:szCs w:val="24"/>
        </w:rPr>
        <w:t xml:space="preserve">The multifactorial character of T2DM is simplified by describing it as a lifestyle </w:t>
      </w:r>
      <w:r w:rsidR="000212E9" w:rsidRPr="00F613F1">
        <w:rPr>
          <w:sz w:val="24"/>
          <w:szCs w:val="24"/>
        </w:rPr>
        <w:lastRenderedPageBreak/>
        <w:t xml:space="preserve">disease only. Although individual behaviour matters, the social determinants are broader in nature and include poverty, education, access to housing, and access to healthcare that have significant influences on health. </w:t>
      </w:r>
    </w:p>
    <w:p w14:paraId="50A94D57" w14:textId="22B9D641" w:rsidR="00863BFA" w:rsidRPr="0043112E" w:rsidRDefault="00863BFA" w:rsidP="0043610A">
      <w:pPr>
        <w:jc w:val="left"/>
        <w:rPr>
          <w:rFonts w:eastAsiaTheme="majorEastAsia" w:cstheme="majorBidi"/>
          <w:b/>
          <w:bCs/>
          <w:color w:val="000000" w:themeColor="text1"/>
          <w:sz w:val="28"/>
          <w:szCs w:val="28"/>
          <w:lang w:bidi="hi-IN"/>
        </w:rPr>
      </w:pPr>
      <w:bookmarkStart w:id="8" w:name="_Toc224158685"/>
      <w:r w:rsidRPr="0043112E">
        <w:rPr>
          <w:b/>
          <w:bCs/>
          <w:sz w:val="28"/>
          <w:szCs w:val="28"/>
        </w:rPr>
        <w:t>4. Physical, Psychological and Social Impact</w:t>
      </w:r>
      <w:bookmarkEnd w:id="8"/>
    </w:p>
    <w:p w14:paraId="11796D87" w14:textId="4D64F373" w:rsidR="00863BFA" w:rsidRPr="00F613F1" w:rsidRDefault="00582603" w:rsidP="00863BFA">
      <w:pPr>
        <w:rPr>
          <w:sz w:val="24"/>
          <w:szCs w:val="24"/>
        </w:rPr>
      </w:pPr>
      <w:r w:rsidRPr="00F613F1">
        <w:rPr>
          <w:sz w:val="24"/>
          <w:szCs w:val="24"/>
        </w:rPr>
        <w:t>T2DM has multidimensional implications on patients, not only physical, mental and social, but often family-based.</w:t>
      </w:r>
    </w:p>
    <w:p w14:paraId="0C5A128D" w14:textId="77777777" w:rsidR="00863BFA" w:rsidRPr="00F613F1" w:rsidRDefault="00863BFA" w:rsidP="00863BFA">
      <w:pPr>
        <w:pStyle w:val="Heading2"/>
        <w:rPr>
          <w:sz w:val="24"/>
          <w:szCs w:val="24"/>
        </w:rPr>
      </w:pPr>
      <w:bookmarkStart w:id="9" w:name="_Toc224158686"/>
      <w:r w:rsidRPr="00F613F1">
        <w:rPr>
          <w:sz w:val="24"/>
          <w:szCs w:val="24"/>
        </w:rPr>
        <w:t>4.1 Physical Impact</w:t>
      </w:r>
      <w:bookmarkEnd w:id="9"/>
    </w:p>
    <w:p w14:paraId="1A1FDF65" w14:textId="6554B1F2" w:rsidR="00863BFA" w:rsidRPr="00F613F1" w:rsidRDefault="00AD6862" w:rsidP="00863BFA">
      <w:pPr>
        <w:rPr>
          <w:sz w:val="24"/>
          <w:szCs w:val="24"/>
        </w:rPr>
      </w:pPr>
      <w:r w:rsidRPr="00F613F1">
        <w:rPr>
          <w:sz w:val="24"/>
          <w:szCs w:val="24"/>
        </w:rPr>
        <w:t>Initial effects are fatigue, polyuria, polydipsia and frequent infections, in particular urinary or cutaneous infections. The asymptomatic disease can last sev</w:t>
      </w:r>
      <w:r w:rsidRPr="00F613F1">
        <w:rPr>
          <w:sz w:val="24"/>
          <w:szCs w:val="24"/>
        </w:rPr>
        <w:lastRenderedPageBreak/>
        <w:t>eral years</w:t>
      </w:r>
      <w:r w:rsidR="00EA4042" w:rsidRPr="00F613F1">
        <w:rPr>
          <w:sz w:val="24"/>
          <w:szCs w:val="24"/>
        </w:rPr>
        <w:t>,</w:t>
      </w:r>
      <w:r w:rsidRPr="00F613F1">
        <w:rPr>
          <w:sz w:val="24"/>
          <w:szCs w:val="24"/>
        </w:rPr>
        <w:t xml:space="preserve"> postpone the diagnosis and increase the risk of </w:t>
      </w:r>
      <w:r w:rsidR="00EA4042" w:rsidRPr="00F613F1">
        <w:rPr>
          <w:sz w:val="24"/>
          <w:szCs w:val="24"/>
        </w:rPr>
        <w:t>complications</w:t>
      </w:r>
      <w:r w:rsidR="001656C8" w:rsidRPr="00F613F1">
        <w:rPr>
          <w:sz w:val="24"/>
          <w:szCs w:val="24"/>
        </w:rPr>
        <w:t xml:space="preserve"> (Zorlu, et al., 2025)</w:t>
      </w:r>
      <w:r w:rsidRPr="00F613F1">
        <w:rPr>
          <w:sz w:val="24"/>
          <w:szCs w:val="24"/>
        </w:rPr>
        <w:t>.</w:t>
      </w:r>
    </w:p>
    <w:p w14:paraId="5CA5E418" w14:textId="26129E0B" w:rsidR="00863BFA" w:rsidRPr="00F613F1" w:rsidRDefault="00693010" w:rsidP="00863BFA">
      <w:pPr>
        <w:rPr>
          <w:sz w:val="24"/>
          <w:szCs w:val="24"/>
        </w:rPr>
      </w:pPr>
      <w:r w:rsidRPr="00F613F1">
        <w:rPr>
          <w:sz w:val="24"/>
          <w:szCs w:val="24"/>
        </w:rPr>
        <w:t xml:space="preserve">Hyperglycaemia that is not controlled exposes the individual to long-term complications. </w:t>
      </w:r>
      <w:r w:rsidR="00EA4042" w:rsidRPr="00F613F1">
        <w:rPr>
          <w:sz w:val="24"/>
          <w:szCs w:val="24"/>
        </w:rPr>
        <w:t>C</w:t>
      </w:r>
      <w:r w:rsidRPr="00F613F1">
        <w:rPr>
          <w:sz w:val="24"/>
          <w:szCs w:val="24"/>
        </w:rPr>
        <w:t>ardiovascular disease is the leading cause of death among patients with T2DM, as people have two to three times more risk of myocardial infarction than non-diabetic individuals</w:t>
      </w:r>
      <w:r w:rsidR="00420ABC" w:rsidRPr="00F613F1">
        <w:rPr>
          <w:sz w:val="24"/>
          <w:szCs w:val="24"/>
        </w:rPr>
        <w:t xml:space="preserve">, </w:t>
      </w:r>
      <w:r w:rsidR="00EA4042" w:rsidRPr="00F613F1">
        <w:rPr>
          <w:sz w:val="24"/>
          <w:szCs w:val="24"/>
        </w:rPr>
        <w:t xml:space="preserve">and </w:t>
      </w:r>
      <w:r w:rsidRPr="00F613F1">
        <w:rPr>
          <w:sz w:val="24"/>
          <w:szCs w:val="24"/>
        </w:rPr>
        <w:t xml:space="preserve">the risk of cerebrovascular </w:t>
      </w:r>
      <w:r w:rsidR="00EA4042" w:rsidRPr="00F613F1">
        <w:rPr>
          <w:sz w:val="24"/>
          <w:szCs w:val="24"/>
        </w:rPr>
        <w:t xml:space="preserve">disease </w:t>
      </w:r>
      <w:r w:rsidRPr="00F613F1">
        <w:rPr>
          <w:sz w:val="24"/>
          <w:szCs w:val="24"/>
        </w:rPr>
        <w:t>is also doubled. Renal impairment is high with about 40</w:t>
      </w:r>
      <w:r w:rsidR="007B2942" w:rsidRPr="00F613F1">
        <w:rPr>
          <w:sz w:val="24"/>
          <w:szCs w:val="24"/>
        </w:rPr>
        <w:t xml:space="preserve">% </w:t>
      </w:r>
      <w:r w:rsidRPr="00F613F1">
        <w:rPr>
          <w:sz w:val="24"/>
          <w:szCs w:val="24"/>
        </w:rPr>
        <w:t xml:space="preserve">of dialysis patients in </w:t>
      </w:r>
      <w:r w:rsidR="00EA4042" w:rsidRPr="00F613F1">
        <w:rPr>
          <w:sz w:val="24"/>
          <w:szCs w:val="24"/>
        </w:rPr>
        <w:t xml:space="preserve">the </w:t>
      </w:r>
      <w:r w:rsidRPr="00F613F1">
        <w:rPr>
          <w:sz w:val="24"/>
          <w:szCs w:val="24"/>
        </w:rPr>
        <w:t>UK having diabetes induced nephropathy</w:t>
      </w:r>
      <w:r w:rsidR="007B2942" w:rsidRPr="00F613F1">
        <w:rPr>
          <w:sz w:val="24"/>
          <w:szCs w:val="24"/>
        </w:rPr>
        <w:t xml:space="preserve"> (Hussain, et al., 2021)</w:t>
      </w:r>
      <w:r w:rsidRPr="00F613F1">
        <w:rPr>
          <w:sz w:val="24"/>
          <w:szCs w:val="24"/>
        </w:rPr>
        <w:t xml:space="preserve">. Peripheral arterial disease and neuropathy increase the risks of foot ulceration and lower-limb amputation, and the incidences increase 20 times. Diabetic retinopathy is the </w:t>
      </w:r>
      <w:r w:rsidRPr="00F613F1">
        <w:rPr>
          <w:sz w:val="24"/>
          <w:szCs w:val="24"/>
        </w:rPr>
        <w:lastRenderedPageBreak/>
        <w:t>most common preventable cause of adult blindness (below 65 years)</w:t>
      </w:r>
      <w:r w:rsidR="00776179" w:rsidRPr="00F613F1">
        <w:rPr>
          <w:sz w:val="24"/>
          <w:szCs w:val="24"/>
        </w:rPr>
        <w:t xml:space="preserve"> (Addis, et al., 2025)</w:t>
      </w:r>
      <w:r w:rsidRPr="00F613F1">
        <w:rPr>
          <w:sz w:val="24"/>
          <w:szCs w:val="24"/>
        </w:rPr>
        <w:t>.</w:t>
      </w:r>
    </w:p>
    <w:p w14:paraId="39221981" w14:textId="22EE68C9" w:rsidR="00863BFA" w:rsidRPr="00F613F1" w:rsidRDefault="00DE30F9" w:rsidP="00863BFA">
      <w:pPr>
        <w:rPr>
          <w:sz w:val="24"/>
          <w:szCs w:val="24"/>
        </w:rPr>
      </w:pPr>
      <w:r w:rsidRPr="00F613F1">
        <w:rPr>
          <w:sz w:val="24"/>
          <w:szCs w:val="24"/>
        </w:rPr>
        <w:t xml:space="preserve">The complication rates are high due to the late diagnosis, ineffective medication use, limited access to specialists and </w:t>
      </w:r>
      <w:r w:rsidR="004E16A9" w:rsidRPr="00F613F1">
        <w:rPr>
          <w:sz w:val="24"/>
          <w:szCs w:val="24"/>
        </w:rPr>
        <w:t>deep-rooted</w:t>
      </w:r>
      <w:r w:rsidRPr="00F613F1">
        <w:rPr>
          <w:sz w:val="24"/>
          <w:szCs w:val="24"/>
        </w:rPr>
        <w:t xml:space="preserve"> social disparities. T2DM management requires long-term changes in lifestyle and frequent monitoring, which are a significant challenge over the long-term</w:t>
      </w:r>
      <w:r w:rsidR="00797129" w:rsidRPr="00F613F1">
        <w:rPr>
          <w:sz w:val="24"/>
          <w:szCs w:val="24"/>
        </w:rPr>
        <w:t xml:space="preserve"> (Espinola, et al., 2025)</w:t>
      </w:r>
      <w:r w:rsidRPr="00F613F1">
        <w:rPr>
          <w:sz w:val="24"/>
          <w:szCs w:val="24"/>
        </w:rPr>
        <w:t>. Health systems usually focus on treatment after the emergence of complications, but do not focus on the prevention of those complications in the early stages.</w:t>
      </w:r>
    </w:p>
    <w:p w14:paraId="6A29961B" w14:textId="5328D479" w:rsidR="00863BFA" w:rsidRPr="00F613F1" w:rsidRDefault="008741C1" w:rsidP="00863BFA">
      <w:pPr>
        <w:pStyle w:val="Heading2"/>
        <w:rPr>
          <w:sz w:val="24"/>
          <w:szCs w:val="24"/>
        </w:rPr>
      </w:pPr>
      <w:bookmarkStart w:id="10" w:name="_Toc224158687"/>
      <w:r>
        <w:rPr>
          <w:sz w:val="24"/>
          <w:szCs w:val="24"/>
        </w:rPr>
        <w:t xml:space="preserve">4.2 </w:t>
      </w:r>
      <w:r w:rsidR="00CA64DC">
        <w:rPr>
          <w:sz w:val="24"/>
          <w:szCs w:val="24"/>
        </w:rPr>
        <w:t>P</w:t>
      </w:r>
      <w:r w:rsidR="00863BFA" w:rsidRPr="00F613F1">
        <w:rPr>
          <w:sz w:val="24"/>
          <w:szCs w:val="24"/>
        </w:rPr>
        <w:t>sychological Impact</w:t>
      </w:r>
      <w:bookmarkEnd w:id="10"/>
    </w:p>
    <w:p w14:paraId="58B640E4" w14:textId="1B57CD49" w:rsidR="00863BFA" w:rsidRPr="00F613F1" w:rsidRDefault="004E16A9" w:rsidP="00863BFA">
      <w:pPr>
        <w:rPr>
          <w:sz w:val="24"/>
          <w:szCs w:val="24"/>
        </w:rPr>
      </w:pPr>
      <w:r w:rsidRPr="00F613F1">
        <w:rPr>
          <w:sz w:val="24"/>
          <w:szCs w:val="24"/>
        </w:rPr>
        <w:t>The psychological morbidity is significant</w:t>
      </w:r>
      <w:r w:rsidR="00A84100" w:rsidRPr="00F613F1">
        <w:rPr>
          <w:sz w:val="24"/>
          <w:szCs w:val="24"/>
        </w:rPr>
        <w:t xml:space="preserve"> as</w:t>
      </w:r>
      <w:r w:rsidRPr="00F613F1">
        <w:rPr>
          <w:sz w:val="24"/>
          <w:szCs w:val="24"/>
        </w:rPr>
        <w:t xml:space="preserve"> diabetic patients are twice as prevalent with depression as compared to the rest of the population</w:t>
      </w:r>
      <w:r w:rsidR="009009DB" w:rsidRPr="00F613F1">
        <w:rPr>
          <w:sz w:val="24"/>
          <w:szCs w:val="24"/>
        </w:rPr>
        <w:t xml:space="preserve"> which </w:t>
      </w:r>
      <w:r w:rsidR="009009DB" w:rsidRPr="00F613F1">
        <w:rPr>
          <w:sz w:val="24"/>
          <w:szCs w:val="24"/>
        </w:rPr>
        <w:lastRenderedPageBreak/>
        <w:t xml:space="preserve">is </w:t>
      </w:r>
      <w:r w:rsidRPr="00F613F1">
        <w:rPr>
          <w:sz w:val="24"/>
          <w:szCs w:val="24"/>
        </w:rPr>
        <w:t xml:space="preserve">a result of having </w:t>
      </w:r>
      <w:r w:rsidR="00DB4653" w:rsidRPr="00F613F1">
        <w:rPr>
          <w:sz w:val="24"/>
          <w:szCs w:val="24"/>
        </w:rPr>
        <w:t>to manage the disease continuously</w:t>
      </w:r>
      <w:r w:rsidR="000747A6" w:rsidRPr="00F613F1">
        <w:rPr>
          <w:sz w:val="24"/>
          <w:szCs w:val="24"/>
        </w:rPr>
        <w:t xml:space="preserve"> (Kassem, et al., 2025)</w:t>
      </w:r>
      <w:r w:rsidRPr="00F613F1">
        <w:rPr>
          <w:sz w:val="24"/>
          <w:szCs w:val="24"/>
        </w:rPr>
        <w:t xml:space="preserve">. The fears of glycaemic regulation, future complications, and self-care needs </w:t>
      </w:r>
      <w:r w:rsidR="00BA048D" w:rsidRPr="00F613F1">
        <w:rPr>
          <w:sz w:val="24"/>
          <w:szCs w:val="24"/>
        </w:rPr>
        <w:t>are widespread daily</w:t>
      </w:r>
      <w:r w:rsidR="005829F1" w:rsidRPr="00F613F1">
        <w:rPr>
          <w:sz w:val="24"/>
          <w:szCs w:val="24"/>
        </w:rPr>
        <w:t xml:space="preserve"> (Xiao, et al., 2025)</w:t>
      </w:r>
      <w:r w:rsidRPr="00F613F1">
        <w:rPr>
          <w:sz w:val="24"/>
          <w:szCs w:val="24"/>
        </w:rPr>
        <w:t>.</w:t>
      </w:r>
      <w:r w:rsidR="00FB55AC" w:rsidRPr="00F613F1">
        <w:rPr>
          <w:sz w:val="24"/>
          <w:szCs w:val="24"/>
        </w:rPr>
        <w:t xml:space="preserve"> </w:t>
      </w:r>
      <w:r w:rsidR="0063634F" w:rsidRPr="00F613F1">
        <w:rPr>
          <w:sz w:val="24"/>
          <w:szCs w:val="24"/>
        </w:rPr>
        <w:t xml:space="preserve">The mental burden of regular glucose monitoring, medication compliance, diet control and behaviour change </w:t>
      </w:r>
      <w:r w:rsidR="00F40936" w:rsidRPr="00F613F1">
        <w:rPr>
          <w:sz w:val="24"/>
          <w:szCs w:val="24"/>
        </w:rPr>
        <w:t>cause</w:t>
      </w:r>
      <w:r w:rsidR="0063634F" w:rsidRPr="00F613F1">
        <w:rPr>
          <w:sz w:val="24"/>
          <w:szCs w:val="24"/>
        </w:rPr>
        <w:t xml:space="preserve"> a long-term psychological burden, with the risk of an emotional drain or burnout. Psychosocial consequences of insulin treatment</w:t>
      </w:r>
      <w:r w:rsidR="00A84100" w:rsidRPr="00F613F1">
        <w:rPr>
          <w:sz w:val="24"/>
          <w:szCs w:val="24"/>
        </w:rPr>
        <w:t>,</w:t>
      </w:r>
      <w:r w:rsidR="0063634F" w:rsidRPr="00F613F1">
        <w:rPr>
          <w:sz w:val="24"/>
          <w:szCs w:val="24"/>
        </w:rPr>
        <w:t xml:space="preserve"> such as perceived stigma and low self-esteem</w:t>
      </w:r>
      <w:r w:rsidR="00A84100" w:rsidRPr="00F613F1">
        <w:rPr>
          <w:sz w:val="24"/>
          <w:szCs w:val="24"/>
        </w:rPr>
        <w:t>,</w:t>
      </w:r>
      <w:r w:rsidR="0063634F" w:rsidRPr="00F613F1">
        <w:rPr>
          <w:sz w:val="24"/>
          <w:szCs w:val="24"/>
        </w:rPr>
        <w:t xml:space="preserve"> could also hinder self-management. In addition, the concerns of severe complications (blindness or amputation) highlight long-term psychological stress</w:t>
      </w:r>
      <w:r w:rsidR="00EC5C72" w:rsidRPr="00F613F1">
        <w:rPr>
          <w:sz w:val="24"/>
          <w:szCs w:val="24"/>
        </w:rPr>
        <w:t xml:space="preserve"> (Religioni, et al., 2025)</w:t>
      </w:r>
      <w:r w:rsidR="0063634F" w:rsidRPr="00F613F1">
        <w:rPr>
          <w:sz w:val="24"/>
          <w:szCs w:val="24"/>
        </w:rPr>
        <w:t>.</w:t>
      </w:r>
    </w:p>
    <w:p w14:paraId="69117277" w14:textId="77777777" w:rsidR="00863BFA" w:rsidRPr="00F613F1" w:rsidRDefault="00863BFA" w:rsidP="00863BFA">
      <w:pPr>
        <w:pStyle w:val="Heading2"/>
        <w:rPr>
          <w:sz w:val="24"/>
          <w:szCs w:val="24"/>
        </w:rPr>
      </w:pPr>
      <w:bookmarkStart w:id="11" w:name="_Toc224158688"/>
      <w:r w:rsidRPr="00F613F1">
        <w:rPr>
          <w:sz w:val="24"/>
          <w:szCs w:val="24"/>
        </w:rPr>
        <w:lastRenderedPageBreak/>
        <w:t>4.3 Social Impact</w:t>
      </w:r>
      <w:bookmarkEnd w:id="11"/>
    </w:p>
    <w:p w14:paraId="015A3BFF" w14:textId="77777777" w:rsidR="005858ED" w:rsidRPr="00F613F1" w:rsidRDefault="00331D49" w:rsidP="005858ED">
      <w:pPr>
        <w:rPr>
          <w:sz w:val="24"/>
          <w:szCs w:val="24"/>
        </w:rPr>
      </w:pPr>
      <w:r w:rsidRPr="00F613F1">
        <w:rPr>
          <w:sz w:val="24"/>
          <w:szCs w:val="24"/>
        </w:rPr>
        <w:t>T2DM has an effect on occupational activity and social involvement. The complications may decrease the work output, trigger sickness leave or force early retirement. Social isolation can follow</w:t>
      </w:r>
      <w:r w:rsidR="00712EDF" w:rsidRPr="00F613F1">
        <w:rPr>
          <w:sz w:val="24"/>
          <w:szCs w:val="24"/>
        </w:rPr>
        <w:t>,</w:t>
      </w:r>
      <w:r w:rsidRPr="00F613F1">
        <w:rPr>
          <w:sz w:val="24"/>
          <w:szCs w:val="24"/>
        </w:rPr>
        <w:t xml:space="preserve"> especially where dietary restrictions limit involvement in communal activities</w:t>
      </w:r>
      <w:r w:rsidR="00712EDF" w:rsidRPr="00F613F1">
        <w:rPr>
          <w:sz w:val="24"/>
          <w:szCs w:val="24"/>
        </w:rPr>
        <w:t xml:space="preserve"> (Thompson</w:t>
      </w:r>
      <w:r w:rsidR="00712EDF" w:rsidRPr="00F613F1">
        <w:rPr>
          <w:rFonts w:ascii="Cambria Math" w:hAnsi="Cambria Math" w:cs="Cambria Math"/>
          <w:sz w:val="24"/>
          <w:szCs w:val="24"/>
        </w:rPr>
        <w:t>‐</w:t>
      </w:r>
      <w:r w:rsidR="00712EDF" w:rsidRPr="00F613F1">
        <w:rPr>
          <w:sz w:val="24"/>
          <w:szCs w:val="24"/>
        </w:rPr>
        <w:t>Lastad, et al., 2025)</w:t>
      </w:r>
      <w:r w:rsidRPr="00F613F1">
        <w:rPr>
          <w:sz w:val="24"/>
          <w:szCs w:val="24"/>
        </w:rPr>
        <w:t>.</w:t>
      </w:r>
      <w:r w:rsidR="00C17190" w:rsidRPr="00F613F1">
        <w:rPr>
          <w:sz w:val="24"/>
          <w:szCs w:val="24"/>
        </w:rPr>
        <w:t xml:space="preserve"> </w:t>
      </w:r>
      <w:r w:rsidRPr="00F613F1">
        <w:rPr>
          <w:sz w:val="24"/>
          <w:szCs w:val="24"/>
        </w:rPr>
        <w:t>Medical advice and social norms may be in conflict over cultural eating habits, particularly where traditional food is based on carbohydrates and high</w:t>
      </w:r>
      <w:r w:rsidR="00BA048D" w:rsidRPr="00F613F1">
        <w:rPr>
          <w:sz w:val="24"/>
          <w:szCs w:val="24"/>
        </w:rPr>
        <w:t>-</w:t>
      </w:r>
      <w:r w:rsidRPr="00F613F1">
        <w:rPr>
          <w:sz w:val="24"/>
          <w:szCs w:val="24"/>
        </w:rPr>
        <w:t>fat foods. Moreover, T2DM is more common in deprived regions where people have limited access to affordable, healthy food and exercise safe environments, hence, increasing health inequities.</w:t>
      </w:r>
    </w:p>
    <w:p w14:paraId="52A0CBDC" w14:textId="3849C6BE" w:rsidR="00863BFA" w:rsidRPr="00F613F1" w:rsidRDefault="00863BFA" w:rsidP="005858ED">
      <w:pPr>
        <w:pStyle w:val="Heading2"/>
        <w:rPr>
          <w:sz w:val="24"/>
          <w:szCs w:val="24"/>
        </w:rPr>
      </w:pPr>
      <w:bookmarkStart w:id="12" w:name="_Toc224158689"/>
      <w:r w:rsidRPr="00F613F1">
        <w:rPr>
          <w:sz w:val="24"/>
          <w:szCs w:val="24"/>
        </w:rPr>
        <w:lastRenderedPageBreak/>
        <w:t>4.4 Impact on Families</w:t>
      </w:r>
      <w:bookmarkEnd w:id="12"/>
    </w:p>
    <w:p w14:paraId="319363C8" w14:textId="2EC46767" w:rsidR="00863BFA" w:rsidRPr="00F613F1" w:rsidRDefault="005C17B8" w:rsidP="00863BFA">
      <w:pPr>
        <w:rPr>
          <w:sz w:val="24"/>
          <w:szCs w:val="24"/>
        </w:rPr>
      </w:pPr>
      <w:r w:rsidRPr="00F613F1">
        <w:rPr>
          <w:sz w:val="24"/>
          <w:szCs w:val="24"/>
        </w:rPr>
        <w:t xml:space="preserve">Family members tend to become critical </w:t>
      </w:r>
      <w:r w:rsidR="00BA048D" w:rsidRPr="00F613F1">
        <w:rPr>
          <w:sz w:val="24"/>
          <w:szCs w:val="24"/>
        </w:rPr>
        <w:t xml:space="preserve">and </w:t>
      </w:r>
      <w:r w:rsidRPr="00F613F1">
        <w:rPr>
          <w:sz w:val="24"/>
          <w:szCs w:val="24"/>
        </w:rPr>
        <w:t>supportive, but this duty can cause caregiver burden, emotional stress and financial distress. The help can include medication supervision, setting and promoting lifestyle modification. Caretaker roles may also be reversed in geriatric patients, where adult children become the primary caretakers of a parent</w:t>
      </w:r>
      <w:r w:rsidR="00B817AF" w:rsidRPr="00F613F1">
        <w:rPr>
          <w:sz w:val="24"/>
          <w:szCs w:val="24"/>
        </w:rPr>
        <w:t xml:space="preserve"> (Willems, et al., 2025)</w:t>
      </w:r>
      <w:r w:rsidRPr="00F613F1">
        <w:rPr>
          <w:sz w:val="24"/>
          <w:szCs w:val="24"/>
        </w:rPr>
        <w:t>.</w:t>
      </w:r>
      <w:r w:rsidR="00C97773" w:rsidRPr="00F613F1">
        <w:rPr>
          <w:sz w:val="24"/>
          <w:szCs w:val="24"/>
        </w:rPr>
        <w:t xml:space="preserve"> </w:t>
      </w:r>
      <w:r w:rsidR="00AE77D8" w:rsidRPr="00F613F1">
        <w:rPr>
          <w:sz w:val="24"/>
          <w:szCs w:val="24"/>
        </w:rPr>
        <w:t xml:space="preserve">Informal family support helps in relieving the burden on the NHS, but it is little known or </w:t>
      </w:r>
      <w:r w:rsidR="00FC0497" w:rsidRPr="00F613F1">
        <w:rPr>
          <w:sz w:val="24"/>
          <w:szCs w:val="24"/>
        </w:rPr>
        <w:t>underfunded</w:t>
      </w:r>
      <w:r w:rsidR="00AE77D8" w:rsidRPr="00F613F1">
        <w:rPr>
          <w:sz w:val="24"/>
          <w:szCs w:val="24"/>
        </w:rPr>
        <w:t>. Lacking extensive support systems, the patients and caregivers are at risk of burnout, which explains why holistic and family-centred care should be employed in managing diabetes.</w:t>
      </w:r>
    </w:p>
    <w:p w14:paraId="54559550" w14:textId="77777777" w:rsidR="00682575" w:rsidRPr="00F613F1" w:rsidRDefault="00682575" w:rsidP="00DA27C6">
      <w:pPr>
        <w:keepNext/>
        <w:jc w:val="center"/>
        <w:rPr>
          <w:b/>
          <w:bCs/>
          <w:i/>
          <w:iCs/>
          <w:sz w:val="24"/>
          <w:szCs w:val="24"/>
        </w:rPr>
      </w:pPr>
      <w:r w:rsidRPr="00F613F1">
        <w:rPr>
          <w:b/>
          <w:bCs/>
          <w:i/>
          <w:iCs/>
          <w:noProof/>
          <w:sz w:val="24"/>
          <w:szCs w:val="24"/>
        </w:rPr>
        <w:lastRenderedPageBreak/>
        <w:drawing>
          <wp:inline distT="0" distB="0" distL="0" distR="0" wp14:anchorId="7637E44B" wp14:editId="204CBD80">
            <wp:extent cx="2457450" cy="1767356"/>
            <wp:effectExtent l="76200" t="76200" r="133350" b="137795"/>
            <wp:docPr id="112239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390348" name=""/>
                    <pic:cNvPicPr/>
                  </pic:nvPicPr>
                  <pic:blipFill rotWithShape="1">
                    <a:blip r:embed="rId12"/>
                    <a:srcRect r="2578"/>
                    <a:stretch>
                      <a:fillRect/>
                    </a:stretch>
                  </pic:blipFill>
                  <pic:spPr bwMode="auto">
                    <a:xfrm>
                      <a:off x="0" y="0"/>
                      <a:ext cx="2474657" cy="17797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C290607" w14:textId="2A802A13" w:rsidR="00682575" w:rsidRPr="00F613F1" w:rsidRDefault="00682575" w:rsidP="00DA27C6">
      <w:pPr>
        <w:pStyle w:val="Caption"/>
        <w:rPr>
          <w:bCs/>
          <w:sz w:val="24"/>
          <w:szCs w:val="24"/>
        </w:rPr>
      </w:pPr>
      <w:r w:rsidRPr="00F613F1">
        <w:rPr>
          <w:bCs/>
          <w:sz w:val="24"/>
          <w:szCs w:val="24"/>
        </w:rPr>
        <w:t xml:space="preserve">Figure </w:t>
      </w:r>
      <w:r w:rsidRPr="00F613F1">
        <w:rPr>
          <w:bCs/>
          <w:sz w:val="24"/>
          <w:szCs w:val="24"/>
        </w:rPr>
        <w:fldChar w:fldCharType="begin"/>
      </w:r>
      <w:r w:rsidRPr="00F613F1">
        <w:rPr>
          <w:bCs/>
          <w:sz w:val="24"/>
          <w:szCs w:val="24"/>
        </w:rPr>
        <w:instrText xml:space="preserve"> SEQ Figure \* ARABIC </w:instrText>
      </w:r>
      <w:r w:rsidRPr="00F613F1">
        <w:rPr>
          <w:bCs/>
          <w:sz w:val="24"/>
          <w:szCs w:val="24"/>
        </w:rPr>
        <w:fldChar w:fldCharType="separate"/>
      </w:r>
      <w:r w:rsidR="00FC6918" w:rsidRPr="00F613F1">
        <w:rPr>
          <w:bCs/>
          <w:noProof/>
          <w:sz w:val="24"/>
          <w:szCs w:val="24"/>
        </w:rPr>
        <w:t>3</w:t>
      </w:r>
      <w:r w:rsidRPr="00F613F1">
        <w:rPr>
          <w:bCs/>
          <w:sz w:val="24"/>
          <w:szCs w:val="24"/>
        </w:rPr>
        <w:fldChar w:fldCharType="end"/>
      </w:r>
      <w:r w:rsidRPr="00F613F1">
        <w:rPr>
          <w:bCs/>
          <w:sz w:val="24"/>
          <w:szCs w:val="24"/>
        </w:rPr>
        <w:t>: Impact Analysis</w:t>
      </w:r>
    </w:p>
    <w:p w14:paraId="6FB532C7" w14:textId="5A30031C" w:rsidR="00863BFA" w:rsidRPr="00F613F1" w:rsidRDefault="00682575" w:rsidP="005858ED">
      <w:pPr>
        <w:jc w:val="center"/>
        <w:rPr>
          <w:b/>
          <w:bCs/>
          <w:i/>
          <w:iCs/>
          <w:sz w:val="24"/>
          <w:szCs w:val="24"/>
        </w:rPr>
      </w:pPr>
      <w:r w:rsidRPr="00F613F1">
        <w:rPr>
          <w:b/>
          <w:bCs/>
          <w:i/>
          <w:iCs/>
          <w:sz w:val="24"/>
          <w:szCs w:val="24"/>
        </w:rPr>
        <w:t>(Source: By Author)</w:t>
      </w:r>
    </w:p>
    <w:p w14:paraId="14256098" w14:textId="009E2EF8" w:rsidR="00577799" w:rsidRPr="0043112E" w:rsidRDefault="00577799" w:rsidP="0043610A">
      <w:pPr>
        <w:jc w:val="left"/>
        <w:rPr>
          <w:rFonts w:eastAsiaTheme="majorEastAsia" w:cstheme="majorBidi"/>
          <w:b/>
          <w:bCs/>
          <w:color w:val="000000" w:themeColor="text1"/>
          <w:sz w:val="28"/>
          <w:szCs w:val="28"/>
          <w:lang w:bidi="hi-IN"/>
        </w:rPr>
      </w:pPr>
      <w:bookmarkStart w:id="13" w:name="_Toc224158690"/>
      <w:r w:rsidRPr="0043112E">
        <w:rPr>
          <w:b/>
          <w:bCs/>
          <w:sz w:val="28"/>
          <w:szCs w:val="28"/>
        </w:rPr>
        <w:t>5. Evidence-Based Management in the UK</w:t>
      </w:r>
      <w:bookmarkEnd w:id="13"/>
    </w:p>
    <w:p w14:paraId="45CC3FE9" w14:textId="1FDED29E" w:rsidR="00577799" w:rsidRPr="00F613F1" w:rsidRDefault="00FC0497" w:rsidP="00577799">
      <w:pPr>
        <w:rPr>
          <w:sz w:val="24"/>
          <w:szCs w:val="24"/>
        </w:rPr>
      </w:pPr>
      <w:r w:rsidRPr="00F613F1">
        <w:rPr>
          <w:sz w:val="24"/>
          <w:szCs w:val="24"/>
        </w:rPr>
        <w:t>T2DM management in the UK follows evidence-based recommendations that have been issued by NICE and implemented via the NHS, which are geared towards glucose control, prevention of complications and long-term self-management.</w:t>
      </w:r>
    </w:p>
    <w:p w14:paraId="2D71BAB3" w14:textId="77777777" w:rsidR="00577799" w:rsidRPr="00F613F1" w:rsidRDefault="00577799" w:rsidP="00577799">
      <w:pPr>
        <w:pStyle w:val="Heading2"/>
        <w:rPr>
          <w:sz w:val="24"/>
          <w:szCs w:val="24"/>
        </w:rPr>
      </w:pPr>
      <w:bookmarkStart w:id="14" w:name="_Toc224158691"/>
      <w:r w:rsidRPr="00F613F1">
        <w:rPr>
          <w:sz w:val="24"/>
          <w:szCs w:val="24"/>
        </w:rPr>
        <w:lastRenderedPageBreak/>
        <w:t>5.1 NHS and NICE Guidelines</w:t>
      </w:r>
      <w:bookmarkEnd w:id="14"/>
    </w:p>
    <w:p w14:paraId="4598224C" w14:textId="596811B8" w:rsidR="00577799" w:rsidRPr="00F613F1" w:rsidRDefault="004E6C80" w:rsidP="00577799">
      <w:pPr>
        <w:rPr>
          <w:sz w:val="24"/>
          <w:szCs w:val="24"/>
        </w:rPr>
      </w:pPr>
      <w:r w:rsidRPr="00F613F1">
        <w:rPr>
          <w:sz w:val="24"/>
          <w:szCs w:val="24"/>
        </w:rPr>
        <w:t>Frequent observation, especially through HbA1c evaluation of mean glycaemic control over two to three months, is of central importance. NICE suggests a target HbA1c of 48-53</w:t>
      </w:r>
      <w:r w:rsidR="000C3678" w:rsidRPr="00F613F1">
        <w:rPr>
          <w:sz w:val="24"/>
          <w:szCs w:val="24"/>
        </w:rPr>
        <w:t xml:space="preserve"> </w:t>
      </w:r>
      <w:r w:rsidRPr="00F613F1">
        <w:rPr>
          <w:sz w:val="24"/>
          <w:szCs w:val="24"/>
        </w:rPr>
        <w:t>mmol/mol (6.5%), based on age, comorbidities and risk of hypoglycaemia</w:t>
      </w:r>
      <w:r w:rsidR="007C7836" w:rsidRPr="00F613F1">
        <w:rPr>
          <w:sz w:val="24"/>
          <w:szCs w:val="24"/>
        </w:rPr>
        <w:t xml:space="preserve"> (NICE, 2026)</w:t>
      </w:r>
      <w:r w:rsidRPr="00F613F1">
        <w:rPr>
          <w:sz w:val="24"/>
          <w:szCs w:val="24"/>
        </w:rPr>
        <w:t>.</w:t>
      </w:r>
      <w:r w:rsidR="008114FB" w:rsidRPr="00F613F1">
        <w:rPr>
          <w:sz w:val="24"/>
          <w:szCs w:val="24"/>
        </w:rPr>
        <w:t xml:space="preserve"> </w:t>
      </w:r>
      <w:r w:rsidR="0031189B" w:rsidRPr="00F613F1">
        <w:rPr>
          <w:sz w:val="24"/>
          <w:szCs w:val="24"/>
        </w:rPr>
        <w:t>The primary component of treatment at both disease stages, including dietary changes, weight regulation and exercise, is lifestyle modification. The first-line pharmacotherapy without contraindication is metformin, which has the action of hepatic glucose suppression and increased insulin sensitivity</w:t>
      </w:r>
      <w:r w:rsidR="00766434" w:rsidRPr="00F613F1">
        <w:rPr>
          <w:sz w:val="24"/>
          <w:szCs w:val="24"/>
        </w:rPr>
        <w:t xml:space="preserve"> (Silva-Moreira, et al., 2025)</w:t>
      </w:r>
      <w:r w:rsidR="0031189B" w:rsidRPr="00F613F1">
        <w:rPr>
          <w:sz w:val="24"/>
          <w:szCs w:val="24"/>
        </w:rPr>
        <w:t>.</w:t>
      </w:r>
      <w:r w:rsidR="0088617D" w:rsidRPr="00F613F1">
        <w:rPr>
          <w:sz w:val="24"/>
          <w:szCs w:val="24"/>
        </w:rPr>
        <w:t xml:space="preserve"> </w:t>
      </w:r>
    </w:p>
    <w:p w14:paraId="0B0106C0" w14:textId="23655713" w:rsidR="00577799" w:rsidRPr="00F613F1" w:rsidRDefault="004D0D7E" w:rsidP="00577799">
      <w:pPr>
        <w:rPr>
          <w:sz w:val="24"/>
          <w:szCs w:val="24"/>
        </w:rPr>
      </w:pPr>
      <w:r w:rsidRPr="00F613F1">
        <w:rPr>
          <w:sz w:val="24"/>
          <w:szCs w:val="24"/>
        </w:rPr>
        <w:t xml:space="preserve">In the event of failure to achieve glycaemic targets, NICE supports the use of other pharmacologic </w:t>
      </w:r>
      <w:r w:rsidRPr="00F613F1">
        <w:rPr>
          <w:sz w:val="24"/>
          <w:szCs w:val="24"/>
        </w:rPr>
        <w:lastRenderedPageBreak/>
        <w:t xml:space="preserve">choices depending on the risk factors of an individual. Sodium-glucose cotransporter-2 (SGLT2) inhibitors are able to reduce </w:t>
      </w:r>
      <w:r w:rsidR="008114FB" w:rsidRPr="00F613F1">
        <w:rPr>
          <w:sz w:val="24"/>
          <w:szCs w:val="24"/>
        </w:rPr>
        <w:t>hyperglycaemia and</w:t>
      </w:r>
      <w:r w:rsidRPr="00F613F1">
        <w:rPr>
          <w:sz w:val="24"/>
          <w:szCs w:val="24"/>
        </w:rPr>
        <w:t xml:space="preserve"> provide cardiovascular and renal safety</w:t>
      </w:r>
      <w:r w:rsidR="00534D46" w:rsidRPr="00F613F1">
        <w:rPr>
          <w:sz w:val="24"/>
          <w:szCs w:val="24"/>
        </w:rPr>
        <w:t xml:space="preserve"> (Liang, et al., 2025)</w:t>
      </w:r>
      <w:r w:rsidRPr="00F613F1">
        <w:rPr>
          <w:sz w:val="24"/>
          <w:szCs w:val="24"/>
        </w:rPr>
        <w:t>. GLP-1 receptor agonists augment insulin release, reduce appetite and enhance weight loss</w:t>
      </w:r>
      <w:r w:rsidR="0077230A" w:rsidRPr="00F613F1">
        <w:rPr>
          <w:sz w:val="24"/>
          <w:szCs w:val="24"/>
        </w:rPr>
        <w:t>,</w:t>
      </w:r>
      <w:r w:rsidRPr="00F613F1">
        <w:rPr>
          <w:sz w:val="24"/>
          <w:szCs w:val="24"/>
        </w:rPr>
        <w:t xml:space="preserve"> especially when used in obese patients or cardiovascular disease patients with established cardiovascular disease.</w:t>
      </w:r>
      <w:r w:rsidR="00753E04" w:rsidRPr="00F613F1">
        <w:rPr>
          <w:sz w:val="24"/>
          <w:szCs w:val="24"/>
        </w:rPr>
        <w:t xml:space="preserve"> </w:t>
      </w:r>
      <w:r w:rsidR="008114FB" w:rsidRPr="00F613F1">
        <w:rPr>
          <w:sz w:val="24"/>
          <w:szCs w:val="24"/>
        </w:rPr>
        <w:t>In progressive disease where non-insulin oral and injectable agents are no longer effective, the insulin therapy appears, with the regimen being customised and re-evaluated on an ongoing basis</w:t>
      </w:r>
      <w:r w:rsidR="00F5082F" w:rsidRPr="00F613F1">
        <w:rPr>
          <w:sz w:val="24"/>
          <w:szCs w:val="24"/>
        </w:rPr>
        <w:t xml:space="preserve"> (Jude, et al., 2022)</w:t>
      </w:r>
      <w:r w:rsidR="008114FB" w:rsidRPr="00F613F1">
        <w:rPr>
          <w:sz w:val="24"/>
          <w:szCs w:val="24"/>
        </w:rPr>
        <w:t>.</w:t>
      </w:r>
    </w:p>
    <w:p w14:paraId="7E8C426E" w14:textId="77777777" w:rsidR="00577799" w:rsidRPr="00F613F1" w:rsidRDefault="00577799" w:rsidP="00577799">
      <w:pPr>
        <w:pStyle w:val="Heading2"/>
        <w:rPr>
          <w:sz w:val="24"/>
          <w:szCs w:val="24"/>
        </w:rPr>
      </w:pPr>
      <w:bookmarkStart w:id="15" w:name="_Toc224158692"/>
      <w:r w:rsidRPr="00F613F1">
        <w:rPr>
          <w:sz w:val="24"/>
          <w:szCs w:val="24"/>
        </w:rPr>
        <w:lastRenderedPageBreak/>
        <w:t>5.2 Lifestyle Intervention and Prevention</w:t>
      </w:r>
      <w:bookmarkEnd w:id="15"/>
    </w:p>
    <w:p w14:paraId="4B89F68F" w14:textId="72D3E6B3" w:rsidR="00577799" w:rsidRPr="00F613F1" w:rsidRDefault="007662CD" w:rsidP="00577799">
      <w:pPr>
        <w:rPr>
          <w:sz w:val="24"/>
          <w:szCs w:val="24"/>
        </w:rPr>
      </w:pPr>
      <w:r w:rsidRPr="00F613F1">
        <w:rPr>
          <w:sz w:val="24"/>
          <w:szCs w:val="24"/>
        </w:rPr>
        <w:t xml:space="preserve">The NHS Diabetes Prevention Programme (DPP) is a national intervention aimed at high-risk people </w:t>
      </w:r>
      <w:r w:rsidR="005215D4" w:rsidRPr="00F613F1">
        <w:rPr>
          <w:sz w:val="24"/>
          <w:szCs w:val="24"/>
        </w:rPr>
        <w:t>at</w:t>
      </w:r>
      <w:r w:rsidRPr="00F613F1">
        <w:rPr>
          <w:sz w:val="24"/>
          <w:szCs w:val="24"/>
        </w:rPr>
        <w:t xml:space="preserve"> risk of T2DM</w:t>
      </w:r>
      <w:r w:rsidR="003E4D13" w:rsidRPr="00F613F1">
        <w:rPr>
          <w:sz w:val="24"/>
          <w:szCs w:val="24"/>
        </w:rPr>
        <w:t xml:space="preserve"> (NHS England, 2026)</w:t>
      </w:r>
      <w:r w:rsidRPr="00F613F1">
        <w:rPr>
          <w:sz w:val="24"/>
          <w:szCs w:val="24"/>
        </w:rPr>
        <w:t xml:space="preserve">. It provides a formal </w:t>
      </w:r>
      <w:r w:rsidR="00A129E7" w:rsidRPr="00F613F1">
        <w:rPr>
          <w:sz w:val="24"/>
          <w:szCs w:val="24"/>
        </w:rPr>
        <w:t>9–</w:t>
      </w:r>
      <w:r w:rsidR="00F40936" w:rsidRPr="00F613F1">
        <w:rPr>
          <w:sz w:val="24"/>
          <w:szCs w:val="24"/>
        </w:rPr>
        <w:t>12</w:t>
      </w:r>
      <w:r w:rsidR="00F40936">
        <w:rPr>
          <w:sz w:val="24"/>
          <w:szCs w:val="24"/>
        </w:rPr>
        <w:t>-month</w:t>
      </w:r>
      <w:r w:rsidRPr="00F613F1">
        <w:rPr>
          <w:sz w:val="24"/>
          <w:szCs w:val="24"/>
        </w:rPr>
        <w:t xml:space="preserve"> behavioural programme that focuses on dietary optimisation, physical activity and weight control. The empirical evidence shows that </w:t>
      </w:r>
      <w:r w:rsidR="005215D4" w:rsidRPr="00F613F1">
        <w:rPr>
          <w:sz w:val="24"/>
          <w:szCs w:val="24"/>
        </w:rPr>
        <w:t>a</w:t>
      </w:r>
      <w:r w:rsidRPr="00F613F1">
        <w:rPr>
          <w:sz w:val="24"/>
          <w:szCs w:val="24"/>
        </w:rPr>
        <w:t xml:space="preserve"> small reduction </w:t>
      </w:r>
      <w:r w:rsidR="005215D4" w:rsidRPr="00F613F1">
        <w:rPr>
          <w:sz w:val="24"/>
          <w:szCs w:val="24"/>
        </w:rPr>
        <w:t>in</w:t>
      </w:r>
      <w:r w:rsidRPr="00F613F1">
        <w:rPr>
          <w:sz w:val="24"/>
          <w:szCs w:val="24"/>
        </w:rPr>
        <w:t xml:space="preserve"> weight significantly prevents the development of diabetes.</w:t>
      </w:r>
      <w:r w:rsidR="0015781C" w:rsidRPr="00F613F1">
        <w:rPr>
          <w:sz w:val="24"/>
          <w:szCs w:val="24"/>
        </w:rPr>
        <w:t xml:space="preserve"> </w:t>
      </w:r>
      <w:r w:rsidR="007516C0" w:rsidRPr="00F613F1">
        <w:rPr>
          <w:sz w:val="24"/>
          <w:szCs w:val="24"/>
        </w:rPr>
        <w:t xml:space="preserve">As </w:t>
      </w:r>
      <w:r w:rsidR="005215D4" w:rsidRPr="00F613F1">
        <w:rPr>
          <w:sz w:val="24"/>
          <w:szCs w:val="24"/>
        </w:rPr>
        <w:t xml:space="preserve">the </w:t>
      </w:r>
      <w:r w:rsidR="007516C0" w:rsidRPr="00F613F1">
        <w:rPr>
          <w:sz w:val="24"/>
          <w:szCs w:val="24"/>
        </w:rPr>
        <w:t>DiRECT trial proved, weight loss treatment of that intensity results in remission in 46</w:t>
      </w:r>
      <w:r w:rsidR="00B54DA0" w:rsidRPr="00F613F1">
        <w:rPr>
          <w:sz w:val="24"/>
          <w:szCs w:val="24"/>
        </w:rPr>
        <w:t xml:space="preserve">% </w:t>
      </w:r>
      <w:r w:rsidR="007516C0" w:rsidRPr="00F613F1">
        <w:rPr>
          <w:sz w:val="24"/>
          <w:szCs w:val="24"/>
        </w:rPr>
        <w:t>of the participants, and weight reduction of 10-15kg provided the best effect</w:t>
      </w:r>
      <w:r w:rsidR="00766434" w:rsidRPr="00F613F1">
        <w:rPr>
          <w:sz w:val="24"/>
          <w:szCs w:val="24"/>
        </w:rPr>
        <w:t xml:space="preserve"> (NIH, 2025)</w:t>
      </w:r>
      <w:r w:rsidR="007516C0" w:rsidRPr="00F613F1">
        <w:rPr>
          <w:sz w:val="24"/>
          <w:szCs w:val="24"/>
        </w:rPr>
        <w:t>. These results indicate that early, formal intervention is extremely vital.</w:t>
      </w:r>
      <w:r w:rsidR="00283368" w:rsidRPr="00F613F1">
        <w:rPr>
          <w:sz w:val="24"/>
          <w:szCs w:val="24"/>
        </w:rPr>
        <w:t xml:space="preserve"> </w:t>
      </w:r>
    </w:p>
    <w:p w14:paraId="43498ED6" w14:textId="77777777" w:rsidR="00577799" w:rsidRPr="00F613F1" w:rsidRDefault="00577799" w:rsidP="00577799">
      <w:pPr>
        <w:pStyle w:val="Heading2"/>
        <w:rPr>
          <w:sz w:val="24"/>
          <w:szCs w:val="24"/>
        </w:rPr>
      </w:pPr>
      <w:bookmarkStart w:id="16" w:name="_Toc224158693"/>
      <w:r w:rsidRPr="00F613F1">
        <w:rPr>
          <w:sz w:val="24"/>
          <w:szCs w:val="24"/>
        </w:rPr>
        <w:lastRenderedPageBreak/>
        <w:t>5.3 Technology and Innovation</w:t>
      </w:r>
      <w:bookmarkEnd w:id="16"/>
    </w:p>
    <w:p w14:paraId="567E8E59" w14:textId="194C785A" w:rsidR="00577799" w:rsidRPr="00F613F1" w:rsidRDefault="003B739B" w:rsidP="005858ED">
      <w:pPr>
        <w:rPr>
          <w:sz w:val="24"/>
          <w:szCs w:val="24"/>
        </w:rPr>
      </w:pPr>
      <w:r w:rsidRPr="00F613F1">
        <w:rPr>
          <w:sz w:val="24"/>
          <w:szCs w:val="24"/>
        </w:rPr>
        <w:t>Diabetes management has been supported by more and more digital and technological solutions. The continual glucose monitoring (CGM) technology will provide blood glucose levels in real-time and reduce the use of the finger-prick inspection</w:t>
      </w:r>
      <w:r w:rsidR="003031E9" w:rsidRPr="00F613F1">
        <w:rPr>
          <w:sz w:val="24"/>
          <w:szCs w:val="24"/>
        </w:rPr>
        <w:t xml:space="preserve"> (Dey, et al., 2025)</w:t>
      </w:r>
      <w:r w:rsidRPr="00F613F1">
        <w:rPr>
          <w:sz w:val="24"/>
          <w:szCs w:val="24"/>
        </w:rPr>
        <w:t>. There are medication reminders, remote monitoring and dietary logging using mobile applications. Telemedicine has increased access</w:t>
      </w:r>
      <w:r w:rsidR="003B0385" w:rsidRPr="00F613F1">
        <w:rPr>
          <w:sz w:val="24"/>
          <w:szCs w:val="24"/>
        </w:rPr>
        <w:t>,</w:t>
      </w:r>
      <w:r w:rsidRPr="00F613F1">
        <w:rPr>
          <w:sz w:val="24"/>
          <w:szCs w:val="24"/>
        </w:rPr>
        <w:t xml:space="preserve"> especially </w:t>
      </w:r>
      <w:r w:rsidR="005215D4" w:rsidRPr="00F613F1">
        <w:rPr>
          <w:sz w:val="24"/>
          <w:szCs w:val="24"/>
        </w:rPr>
        <w:t>during</w:t>
      </w:r>
      <w:r w:rsidRPr="00F613F1">
        <w:rPr>
          <w:sz w:val="24"/>
          <w:szCs w:val="24"/>
        </w:rPr>
        <w:t xml:space="preserve"> the times of the COVID-19 pandemic and also post-COVID-19.</w:t>
      </w:r>
      <w:r w:rsidR="00F46755" w:rsidRPr="00F613F1">
        <w:rPr>
          <w:sz w:val="24"/>
          <w:szCs w:val="24"/>
        </w:rPr>
        <w:t xml:space="preserve"> </w:t>
      </w:r>
      <w:r w:rsidR="00DC50AA" w:rsidRPr="00F613F1">
        <w:rPr>
          <w:sz w:val="24"/>
          <w:szCs w:val="24"/>
        </w:rPr>
        <w:t>However, this access is not guaranteed</w:t>
      </w:r>
      <w:r w:rsidR="003B0385" w:rsidRPr="00F613F1">
        <w:rPr>
          <w:sz w:val="24"/>
          <w:szCs w:val="24"/>
        </w:rPr>
        <w:t xml:space="preserve"> as</w:t>
      </w:r>
      <w:r w:rsidR="00DC50AA" w:rsidRPr="00F613F1">
        <w:rPr>
          <w:sz w:val="24"/>
          <w:szCs w:val="24"/>
        </w:rPr>
        <w:t xml:space="preserve"> high-tech therapy and technologies might not include all geographic areas and socioeconomic groups</w:t>
      </w:r>
      <w:r w:rsidR="00CB006B" w:rsidRPr="00F613F1">
        <w:rPr>
          <w:sz w:val="24"/>
          <w:szCs w:val="24"/>
        </w:rPr>
        <w:t xml:space="preserve"> (</w:t>
      </w:r>
      <w:proofErr w:type="spellStart"/>
      <w:r w:rsidR="00CB006B" w:rsidRPr="00F613F1">
        <w:rPr>
          <w:sz w:val="24"/>
          <w:szCs w:val="24"/>
        </w:rPr>
        <w:t>Prestinoni</w:t>
      </w:r>
      <w:proofErr w:type="spellEnd"/>
      <w:r w:rsidR="00DE7412" w:rsidRPr="00F613F1">
        <w:rPr>
          <w:sz w:val="24"/>
          <w:szCs w:val="24"/>
        </w:rPr>
        <w:t xml:space="preserve"> </w:t>
      </w:r>
      <w:r w:rsidR="00CB006B" w:rsidRPr="00F613F1">
        <w:rPr>
          <w:sz w:val="24"/>
          <w:szCs w:val="24"/>
        </w:rPr>
        <w:t>and Romaniello, 2025)</w:t>
      </w:r>
      <w:r w:rsidR="00DC50AA" w:rsidRPr="00F613F1">
        <w:rPr>
          <w:sz w:val="24"/>
          <w:szCs w:val="24"/>
        </w:rPr>
        <w:t xml:space="preserve">. Digital literacy differences, cost, and local funding priorities </w:t>
      </w:r>
      <w:r w:rsidR="00DC50AA" w:rsidRPr="00F613F1">
        <w:rPr>
          <w:sz w:val="24"/>
          <w:szCs w:val="24"/>
        </w:rPr>
        <w:lastRenderedPageBreak/>
        <w:t xml:space="preserve">have the potential to create inequalities, with the resultant outcome being that people living in a deprived community might </w:t>
      </w:r>
      <w:r w:rsidR="00E32A61" w:rsidRPr="00F613F1">
        <w:rPr>
          <w:sz w:val="24"/>
          <w:szCs w:val="24"/>
        </w:rPr>
        <w:t>gain</w:t>
      </w:r>
      <w:r w:rsidR="00DC50AA" w:rsidRPr="00F613F1">
        <w:rPr>
          <w:sz w:val="24"/>
          <w:szCs w:val="24"/>
        </w:rPr>
        <w:t xml:space="preserve"> fewer benefits of innovation despite the high disease burden.</w:t>
      </w:r>
    </w:p>
    <w:p w14:paraId="68CFE876" w14:textId="78A55328" w:rsidR="00CC70FA" w:rsidRPr="0043112E" w:rsidRDefault="00CC70FA" w:rsidP="0043610A">
      <w:pPr>
        <w:jc w:val="left"/>
        <w:rPr>
          <w:rFonts w:eastAsiaTheme="majorEastAsia" w:cstheme="majorBidi"/>
          <w:b/>
          <w:bCs/>
          <w:color w:val="000000" w:themeColor="text1"/>
          <w:sz w:val="28"/>
          <w:szCs w:val="28"/>
          <w:lang w:bidi="hi-IN"/>
        </w:rPr>
      </w:pPr>
      <w:bookmarkStart w:id="17" w:name="_Toc224158694"/>
      <w:r w:rsidRPr="0043112E">
        <w:rPr>
          <w:b/>
          <w:bCs/>
          <w:sz w:val="28"/>
          <w:szCs w:val="28"/>
        </w:rPr>
        <w:t>6. Theoretical Models and Frameworks</w:t>
      </w:r>
      <w:bookmarkEnd w:id="17"/>
    </w:p>
    <w:p w14:paraId="5F507D49" w14:textId="666EC853" w:rsidR="00CC70FA" w:rsidRPr="00F613F1" w:rsidRDefault="00D0623B" w:rsidP="00CC70FA">
      <w:pPr>
        <w:rPr>
          <w:sz w:val="24"/>
          <w:szCs w:val="24"/>
        </w:rPr>
      </w:pPr>
      <w:r w:rsidRPr="00F613F1">
        <w:rPr>
          <w:sz w:val="24"/>
          <w:szCs w:val="24"/>
        </w:rPr>
        <w:t>The management of Type 2 Diabetes Mellitus (T2DM) requires systematic models of care that go beyond the use of pharmacotherapy</w:t>
      </w:r>
      <w:r w:rsidR="00E0382A" w:rsidRPr="00F613F1">
        <w:rPr>
          <w:sz w:val="24"/>
          <w:szCs w:val="24"/>
        </w:rPr>
        <w:t xml:space="preserve"> (Młynarska, et al., 2025)</w:t>
      </w:r>
      <w:r w:rsidRPr="00F613F1">
        <w:rPr>
          <w:sz w:val="24"/>
          <w:szCs w:val="24"/>
        </w:rPr>
        <w:t>. The United Kingdom (UK) and global systems are aimed at maximising results by using person-focused approaches that are coordinated.</w:t>
      </w:r>
    </w:p>
    <w:p w14:paraId="0360BDA1" w14:textId="496C0973" w:rsidR="00CC70FA" w:rsidRPr="00F613F1" w:rsidRDefault="00CC70FA" w:rsidP="00CC70FA">
      <w:pPr>
        <w:pStyle w:val="Heading2"/>
        <w:rPr>
          <w:sz w:val="24"/>
          <w:szCs w:val="24"/>
        </w:rPr>
      </w:pPr>
      <w:bookmarkStart w:id="18" w:name="_Toc224158695"/>
      <w:r w:rsidRPr="00F613F1">
        <w:rPr>
          <w:sz w:val="24"/>
          <w:szCs w:val="24"/>
        </w:rPr>
        <w:t xml:space="preserve">6.1 UK Model </w:t>
      </w:r>
      <w:r w:rsidR="00B7187B" w:rsidRPr="00F613F1">
        <w:rPr>
          <w:sz w:val="24"/>
          <w:szCs w:val="24"/>
        </w:rPr>
        <w:t>-</w:t>
      </w:r>
      <w:r w:rsidRPr="00F613F1">
        <w:rPr>
          <w:sz w:val="24"/>
          <w:szCs w:val="24"/>
        </w:rPr>
        <w:t xml:space="preserve"> The House of Care</w:t>
      </w:r>
      <w:bookmarkEnd w:id="18"/>
    </w:p>
    <w:p w14:paraId="02A17595" w14:textId="16F6824A" w:rsidR="00CC70FA" w:rsidRPr="00F613F1" w:rsidRDefault="007443B3" w:rsidP="00CC70FA">
      <w:pPr>
        <w:rPr>
          <w:sz w:val="24"/>
          <w:szCs w:val="24"/>
        </w:rPr>
      </w:pPr>
      <w:r w:rsidRPr="00F613F1">
        <w:rPr>
          <w:sz w:val="24"/>
          <w:szCs w:val="24"/>
        </w:rPr>
        <w:t>The House of Care is a UK system that is designed to assist people with chronic diseases like T2DM. It focuses more on collaborative care planning, where the healthcare professionals and patients collectively set goals and make joint decisions</w:t>
      </w:r>
      <w:r w:rsidR="00095ECB" w:rsidRPr="00F613F1">
        <w:rPr>
          <w:sz w:val="24"/>
          <w:szCs w:val="24"/>
        </w:rPr>
        <w:t xml:space="preserve"> (Coulter, et al., 2016)</w:t>
      </w:r>
      <w:r w:rsidRPr="00F613F1">
        <w:rPr>
          <w:sz w:val="24"/>
          <w:szCs w:val="24"/>
        </w:rPr>
        <w:t>. Patients are viewed as partners but not as passive receivers of care.</w:t>
      </w:r>
    </w:p>
    <w:p w14:paraId="3797C4CC" w14:textId="0934E20F" w:rsidR="00CC70FA" w:rsidRPr="00F613F1" w:rsidRDefault="00E75F18" w:rsidP="00CC70FA">
      <w:pPr>
        <w:rPr>
          <w:sz w:val="24"/>
          <w:szCs w:val="24"/>
        </w:rPr>
      </w:pPr>
      <w:r w:rsidRPr="00F613F1">
        <w:rPr>
          <w:sz w:val="24"/>
          <w:szCs w:val="24"/>
        </w:rPr>
        <w:t>The model includes four major elements</w:t>
      </w:r>
      <w:r w:rsidR="00CC70FA" w:rsidRPr="00F613F1">
        <w:rPr>
          <w:sz w:val="24"/>
          <w:szCs w:val="24"/>
        </w:rPr>
        <w:t>:</w:t>
      </w:r>
    </w:p>
    <w:p w14:paraId="159B3C2C" w14:textId="77777777" w:rsidR="00D24FFF" w:rsidRPr="00F613F1" w:rsidRDefault="00D24FFF" w:rsidP="00D24FFF">
      <w:pPr>
        <w:pStyle w:val="ListParagraph"/>
        <w:numPr>
          <w:ilvl w:val="0"/>
          <w:numId w:val="2"/>
        </w:numPr>
        <w:rPr>
          <w:sz w:val="24"/>
          <w:szCs w:val="24"/>
        </w:rPr>
      </w:pPr>
      <w:r w:rsidRPr="00F613F1">
        <w:rPr>
          <w:sz w:val="24"/>
          <w:szCs w:val="24"/>
        </w:rPr>
        <w:t>This is the outcome of engagement and informed patients who understand their condition and are involved in their self-management.</w:t>
      </w:r>
    </w:p>
    <w:p w14:paraId="7F602C49" w14:textId="4D0BBA14" w:rsidR="00D24FFF" w:rsidRPr="00F613F1" w:rsidRDefault="00D24FFF" w:rsidP="00D24FFF">
      <w:pPr>
        <w:pStyle w:val="ListParagraph"/>
        <w:numPr>
          <w:ilvl w:val="0"/>
          <w:numId w:val="2"/>
        </w:numPr>
        <w:rPr>
          <w:sz w:val="24"/>
          <w:szCs w:val="24"/>
        </w:rPr>
      </w:pPr>
      <w:r w:rsidRPr="00F613F1">
        <w:rPr>
          <w:sz w:val="24"/>
          <w:szCs w:val="24"/>
        </w:rPr>
        <w:t xml:space="preserve">Healthcare workers </w:t>
      </w:r>
      <w:r w:rsidR="005215D4" w:rsidRPr="00F613F1">
        <w:rPr>
          <w:sz w:val="24"/>
          <w:szCs w:val="24"/>
        </w:rPr>
        <w:t xml:space="preserve">are </w:t>
      </w:r>
      <w:r w:rsidRPr="00F613F1">
        <w:rPr>
          <w:sz w:val="24"/>
          <w:szCs w:val="24"/>
        </w:rPr>
        <w:t xml:space="preserve">committed to working in </w:t>
      </w:r>
      <w:r w:rsidR="00BD60FF" w:rsidRPr="00F613F1">
        <w:rPr>
          <w:sz w:val="24"/>
          <w:szCs w:val="24"/>
        </w:rPr>
        <w:t>partnerships</w:t>
      </w:r>
      <w:r w:rsidRPr="00F613F1">
        <w:rPr>
          <w:sz w:val="24"/>
          <w:szCs w:val="24"/>
        </w:rPr>
        <w:t>.</w:t>
      </w:r>
    </w:p>
    <w:p w14:paraId="278FF797" w14:textId="503A24E8" w:rsidR="00D24FFF" w:rsidRPr="00F613F1" w:rsidRDefault="00D24FFF" w:rsidP="00D24FFF">
      <w:pPr>
        <w:pStyle w:val="ListParagraph"/>
        <w:numPr>
          <w:ilvl w:val="0"/>
          <w:numId w:val="2"/>
        </w:numPr>
        <w:rPr>
          <w:sz w:val="24"/>
          <w:szCs w:val="24"/>
        </w:rPr>
      </w:pPr>
      <w:r w:rsidRPr="00F613F1">
        <w:rPr>
          <w:sz w:val="24"/>
          <w:szCs w:val="24"/>
        </w:rPr>
        <w:t xml:space="preserve">The </w:t>
      </w:r>
      <w:r w:rsidR="009834CE" w:rsidRPr="00F613F1">
        <w:rPr>
          <w:sz w:val="24"/>
          <w:szCs w:val="24"/>
        </w:rPr>
        <w:t>organizational</w:t>
      </w:r>
      <w:r w:rsidRPr="00F613F1">
        <w:rPr>
          <w:sz w:val="24"/>
          <w:szCs w:val="24"/>
        </w:rPr>
        <w:t xml:space="preserve"> processes</w:t>
      </w:r>
      <w:r w:rsidR="002B3310" w:rsidRPr="00F613F1">
        <w:rPr>
          <w:sz w:val="24"/>
          <w:szCs w:val="24"/>
        </w:rPr>
        <w:t>,</w:t>
      </w:r>
      <w:r w:rsidRPr="00F613F1">
        <w:rPr>
          <w:sz w:val="24"/>
          <w:szCs w:val="24"/>
        </w:rPr>
        <w:t xml:space="preserve"> such as information technology systems and structured review</w:t>
      </w:r>
      <w:r w:rsidR="002B3310" w:rsidRPr="00F613F1">
        <w:rPr>
          <w:sz w:val="24"/>
          <w:szCs w:val="24"/>
        </w:rPr>
        <w:t>,</w:t>
      </w:r>
      <w:r w:rsidRPr="00F613F1">
        <w:rPr>
          <w:sz w:val="24"/>
          <w:szCs w:val="24"/>
        </w:rPr>
        <w:t xml:space="preserve"> can aid coordinated care.</w:t>
      </w:r>
    </w:p>
    <w:p w14:paraId="3903D8C9" w14:textId="05111CCA" w:rsidR="00CC70FA" w:rsidRPr="00F613F1" w:rsidRDefault="00D24FFF" w:rsidP="00D24FFF">
      <w:pPr>
        <w:pStyle w:val="ListParagraph"/>
        <w:numPr>
          <w:ilvl w:val="0"/>
          <w:numId w:val="2"/>
        </w:numPr>
        <w:rPr>
          <w:sz w:val="24"/>
          <w:szCs w:val="24"/>
        </w:rPr>
      </w:pPr>
      <w:r w:rsidRPr="00F613F1">
        <w:rPr>
          <w:sz w:val="24"/>
          <w:szCs w:val="24"/>
        </w:rPr>
        <w:t>Commissioning and system support</w:t>
      </w:r>
      <w:r w:rsidR="002B3310" w:rsidRPr="00F613F1">
        <w:rPr>
          <w:sz w:val="24"/>
          <w:szCs w:val="24"/>
        </w:rPr>
        <w:t>,</w:t>
      </w:r>
      <w:r w:rsidRPr="00F613F1">
        <w:rPr>
          <w:sz w:val="24"/>
          <w:szCs w:val="24"/>
        </w:rPr>
        <w:t xml:space="preserve"> which ensures funding and integration of both primary and community care.</w:t>
      </w:r>
    </w:p>
    <w:p w14:paraId="1B532DE7" w14:textId="7953321E" w:rsidR="00CC70FA" w:rsidRPr="00F613F1" w:rsidRDefault="00FD15AE" w:rsidP="00CC70FA">
      <w:pPr>
        <w:rPr>
          <w:sz w:val="24"/>
          <w:szCs w:val="24"/>
        </w:rPr>
      </w:pPr>
      <w:r w:rsidRPr="00F613F1">
        <w:rPr>
          <w:sz w:val="24"/>
          <w:szCs w:val="24"/>
        </w:rPr>
        <w:t>Although the House of Care encourages a person-centred practise, its performance in deprived societies is disputable. Poverty, lack of health literacy and language barriers may prevent full participation of individuals in shared decision-making</w:t>
      </w:r>
      <w:r w:rsidR="0012665F" w:rsidRPr="00F613F1">
        <w:rPr>
          <w:sz w:val="24"/>
          <w:szCs w:val="24"/>
        </w:rPr>
        <w:t xml:space="preserve"> (Kim, et al., 2025)</w:t>
      </w:r>
      <w:r w:rsidRPr="00F613F1">
        <w:rPr>
          <w:sz w:val="24"/>
          <w:szCs w:val="24"/>
        </w:rPr>
        <w:t>. Without measures to target wider social barriers, the model can favour more socially privileged groups of people.</w:t>
      </w:r>
    </w:p>
    <w:p w14:paraId="7002200F" w14:textId="43B58184" w:rsidR="00CC70FA" w:rsidRPr="00F613F1" w:rsidRDefault="00CC70FA" w:rsidP="00CC70FA">
      <w:pPr>
        <w:pStyle w:val="Heading2"/>
        <w:rPr>
          <w:sz w:val="24"/>
          <w:szCs w:val="24"/>
        </w:rPr>
      </w:pPr>
      <w:bookmarkStart w:id="19" w:name="_Toc224158696"/>
      <w:r w:rsidRPr="00F613F1">
        <w:rPr>
          <w:sz w:val="24"/>
          <w:szCs w:val="24"/>
        </w:rPr>
        <w:t xml:space="preserve">6.2 International Model </w:t>
      </w:r>
      <w:r w:rsidR="008F639E" w:rsidRPr="00F613F1">
        <w:rPr>
          <w:sz w:val="24"/>
          <w:szCs w:val="24"/>
        </w:rPr>
        <w:t>-</w:t>
      </w:r>
      <w:r w:rsidRPr="00F613F1">
        <w:rPr>
          <w:sz w:val="24"/>
          <w:szCs w:val="24"/>
        </w:rPr>
        <w:t xml:space="preserve"> WHO Innovative Care for Chronic Conditions (ICCC)</w:t>
      </w:r>
      <w:bookmarkEnd w:id="19"/>
    </w:p>
    <w:p w14:paraId="1696F885" w14:textId="62876F19" w:rsidR="00CC70FA" w:rsidRPr="00F613F1" w:rsidRDefault="003F05F3" w:rsidP="003F05F3">
      <w:pPr>
        <w:rPr>
          <w:sz w:val="24"/>
          <w:szCs w:val="24"/>
        </w:rPr>
      </w:pPr>
      <w:r w:rsidRPr="00F613F1">
        <w:rPr>
          <w:sz w:val="24"/>
          <w:szCs w:val="24"/>
        </w:rPr>
        <w:t>The WHO ICCC model takes a systems approach and works at three levels:</w:t>
      </w:r>
    </w:p>
    <w:p w14:paraId="0D927589" w14:textId="204B2ED1" w:rsidR="00610107" w:rsidRPr="00F613F1" w:rsidRDefault="00610107" w:rsidP="00610107">
      <w:pPr>
        <w:pStyle w:val="ListParagraph"/>
        <w:numPr>
          <w:ilvl w:val="0"/>
          <w:numId w:val="3"/>
        </w:numPr>
        <w:rPr>
          <w:sz w:val="24"/>
          <w:szCs w:val="24"/>
        </w:rPr>
      </w:pPr>
      <w:r w:rsidRPr="00F613F1">
        <w:rPr>
          <w:sz w:val="24"/>
          <w:szCs w:val="24"/>
        </w:rPr>
        <w:t xml:space="preserve">Micro level: </w:t>
      </w:r>
      <w:r w:rsidR="00005DE4" w:rsidRPr="00F613F1">
        <w:rPr>
          <w:sz w:val="24"/>
          <w:szCs w:val="24"/>
        </w:rPr>
        <w:t>W</w:t>
      </w:r>
      <w:r w:rsidRPr="00F613F1">
        <w:rPr>
          <w:sz w:val="24"/>
          <w:szCs w:val="24"/>
        </w:rPr>
        <w:t>here emphasis is laid on the patient and family to support self-management.</w:t>
      </w:r>
    </w:p>
    <w:p w14:paraId="46B3CC94" w14:textId="13984E84" w:rsidR="00610107" w:rsidRPr="00F613F1" w:rsidRDefault="00610107" w:rsidP="00610107">
      <w:pPr>
        <w:pStyle w:val="ListParagraph"/>
        <w:numPr>
          <w:ilvl w:val="0"/>
          <w:numId w:val="3"/>
        </w:numPr>
        <w:rPr>
          <w:sz w:val="24"/>
          <w:szCs w:val="24"/>
        </w:rPr>
      </w:pPr>
      <w:r w:rsidRPr="00F613F1">
        <w:rPr>
          <w:sz w:val="24"/>
          <w:szCs w:val="24"/>
        </w:rPr>
        <w:t xml:space="preserve">Meso level: </w:t>
      </w:r>
      <w:r w:rsidR="00005DE4" w:rsidRPr="00F613F1">
        <w:rPr>
          <w:sz w:val="24"/>
          <w:szCs w:val="24"/>
        </w:rPr>
        <w:t>I</w:t>
      </w:r>
      <w:r w:rsidRPr="00F613F1">
        <w:rPr>
          <w:sz w:val="24"/>
          <w:szCs w:val="24"/>
        </w:rPr>
        <w:t xml:space="preserve">ncreasing the quality of healthcare </w:t>
      </w:r>
      <w:r w:rsidR="009834CE" w:rsidRPr="00F613F1">
        <w:rPr>
          <w:sz w:val="24"/>
          <w:szCs w:val="24"/>
        </w:rPr>
        <w:t>organizations</w:t>
      </w:r>
      <w:r w:rsidRPr="00F613F1">
        <w:rPr>
          <w:sz w:val="24"/>
          <w:szCs w:val="24"/>
        </w:rPr>
        <w:t xml:space="preserve"> and community relationships.</w:t>
      </w:r>
    </w:p>
    <w:p w14:paraId="6A3FF884" w14:textId="50682A70" w:rsidR="00CC70FA" w:rsidRPr="00F613F1" w:rsidRDefault="00610107" w:rsidP="00610107">
      <w:pPr>
        <w:pStyle w:val="ListParagraph"/>
        <w:numPr>
          <w:ilvl w:val="0"/>
          <w:numId w:val="3"/>
        </w:numPr>
        <w:rPr>
          <w:sz w:val="24"/>
          <w:szCs w:val="24"/>
        </w:rPr>
      </w:pPr>
      <w:r w:rsidRPr="00F613F1">
        <w:rPr>
          <w:sz w:val="24"/>
          <w:szCs w:val="24"/>
        </w:rPr>
        <w:t xml:space="preserve">Macro level: </w:t>
      </w:r>
      <w:r w:rsidR="00005DE4" w:rsidRPr="00F613F1">
        <w:rPr>
          <w:sz w:val="24"/>
          <w:szCs w:val="24"/>
        </w:rPr>
        <w:t>I</w:t>
      </w:r>
      <w:r w:rsidRPr="00F613F1">
        <w:rPr>
          <w:sz w:val="24"/>
          <w:szCs w:val="24"/>
        </w:rPr>
        <w:t>nfluencing the national policies, funding structures and laws.</w:t>
      </w:r>
    </w:p>
    <w:p w14:paraId="120BEE80" w14:textId="386AB9FD" w:rsidR="00CC70FA" w:rsidRDefault="00A27518" w:rsidP="00CC70FA">
      <w:pPr>
        <w:rPr>
          <w:sz w:val="24"/>
          <w:szCs w:val="24"/>
        </w:rPr>
      </w:pPr>
      <w:r w:rsidRPr="00F613F1">
        <w:rPr>
          <w:sz w:val="24"/>
          <w:szCs w:val="24"/>
        </w:rPr>
        <w:t>The ICCC model focuses on policy reform and health</w:t>
      </w:r>
      <w:r w:rsidR="005215D4" w:rsidRPr="00F613F1">
        <w:rPr>
          <w:sz w:val="24"/>
          <w:szCs w:val="24"/>
        </w:rPr>
        <w:t xml:space="preserve"> </w:t>
      </w:r>
      <w:r w:rsidRPr="00F613F1">
        <w:rPr>
          <w:sz w:val="24"/>
          <w:szCs w:val="24"/>
        </w:rPr>
        <w:t>determinants as compared to the House of Care. It recognises that the management of chronic diseases needs political commitment and structural transformation.</w:t>
      </w:r>
      <w:r w:rsidR="00245432" w:rsidRPr="00F613F1">
        <w:rPr>
          <w:sz w:val="24"/>
          <w:szCs w:val="24"/>
        </w:rPr>
        <w:t xml:space="preserve"> </w:t>
      </w:r>
      <w:r w:rsidR="00983251" w:rsidRPr="00F613F1">
        <w:rPr>
          <w:sz w:val="24"/>
          <w:szCs w:val="24"/>
        </w:rPr>
        <w:t xml:space="preserve">The ICCC model can be </w:t>
      </w:r>
      <w:r w:rsidR="005215D4" w:rsidRPr="00F613F1">
        <w:rPr>
          <w:sz w:val="24"/>
          <w:szCs w:val="24"/>
        </w:rPr>
        <w:t>more</w:t>
      </w:r>
      <w:r w:rsidR="00983251" w:rsidRPr="00F613F1">
        <w:rPr>
          <w:sz w:val="24"/>
          <w:szCs w:val="24"/>
        </w:rPr>
        <w:t xml:space="preserve"> exhaustive in terms of inequality reduction as it will combine health systems with other wider social polic</w:t>
      </w:r>
      <w:r w:rsidR="005215D4" w:rsidRPr="00F613F1">
        <w:rPr>
          <w:sz w:val="24"/>
          <w:szCs w:val="24"/>
        </w:rPr>
        <w:t>ies</w:t>
      </w:r>
      <w:r w:rsidR="00BD201B" w:rsidRPr="00F613F1">
        <w:rPr>
          <w:sz w:val="24"/>
          <w:szCs w:val="24"/>
        </w:rPr>
        <w:t xml:space="preserve"> (Matos, et al., 2025)</w:t>
      </w:r>
      <w:r w:rsidR="00983251" w:rsidRPr="00F613F1">
        <w:rPr>
          <w:sz w:val="24"/>
          <w:szCs w:val="24"/>
        </w:rPr>
        <w:t>. However, effective execution depends on strong governance and sustained investment, and it may not be the same in the national context.</w:t>
      </w:r>
    </w:p>
    <w:p w14:paraId="0D972320" w14:textId="77777777" w:rsidR="009C10A3" w:rsidRPr="00F613F1" w:rsidRDefault="009C10A3" w:rsidP="00CC70FA">
      <w:pPr>
        <w:rPr>
          <w:sz w:val="24"/>
          <w:szCs w:val="24"/>
        </w:rPr>
      </w:pPr>
    </w:p>
    <w:p w14:paraId="3B8D0CEB" w14:textId="28760B58" w:rsidR="00A0380A" w:rsidRPr="0043112E" w:rsidRDefault="00A0380A" w:rsidP="0043610A">
      <w:pPr>
        <w:jc w:val="left"/>
        <w:rPr>
          <w:rFonts w:eastAsiaTheme="majorEastAsia" w:cstheme="majorBidi"/>
          <w:b/>
          <w:bCs/>
          <w:color w:val="000000" w:themeColor="text1"/>
          <w:sz w:val="28"/>
          <w:szCs w:val="28"/>
          <w:lang w:bidi="hi-IN"/>
        </w:rPr>
      </w:pPr>
      <w:bookmarkStart w:id="20" w:name="_Toc224158697"/>
      <w:r w:rsidRPr="0043112E">
        <w:rPr>
          <w:b/>
          <w:bCs/>
          <w:sz w:val="28"/>
          <w:szCs w:val="28"/>
        </w:rPr>
        <w:t>7. Political and Policy Context</w:t>
      </w:r>
      <w:bookmarkEnd w:id="20"/>
    </w:p>
    <w:p w14:paraId="38C140C0" w14:textId="4700603E" w:rsidR="00705BCD" w:rsidRPr="00F613F1" w:rsidRDefault="000641DB" w:rsidP="00A0380A">
      <w:pPr>
        <w:rPr>
          <w:sz w:val="24"/>
          <w:szCs w:val="24"/>
        </w:rPr>
      </w:pPr>
      <w:r w:rsidRPr="00F613F1">
        <w:rPr>
          <w:sz w:val="24"/>
          <w:szCs w:val="24"/>
        </w:rPr>
        <w:t>In the UK, the national health policies have a significant impact on the management of T2DM. Prevention, early diagnosis and personalised care are predicted in the NHS Long Term Plan, which recommends the growth of the NHS Diabetes Prevention Programme, more extensive use of digital technology, and improved collaboration between primary and community services. Personalised care methods are also supported by the plan, which promotes shared decision-making and customi</w:t>
      </w:r>
      <w:r w:rsidR="007C2445" w:rsidRPr="00F613F1">
        <w:rPr>
          <w:sz w:val="24"/>
          <w:szCs w:val="24"/>
        </w:rPr>
        <w:t>s</w:t>
      </w:r>
      <w:r w:rsidRPr="00F613F1">
        <w:rPr>
          <w:sz w:val="24"/>
          <w:szCs w:val="24"/>
        </w:rPr>
        <w:t>ed treatment plans</w:t>
      </w:r>
      <w:r w:rsidR="00F85BF7" w:rsidRPr="00F613F1">
        <w:rPr>
          <w:sz w:val="24"/>
          <w:szCs w:val="24"/>
        </w:rPr>
        <w:t xml:space="preserve"> (Lyu, 2025)</w:t>
      </w:r>
      <w:r w:rsidRPr="00F613F1">
        <w:rPr>
          <w:sz w:val="24"/>
          <w:szCs w:val="24"/>
        </w:rPr>
        <w:t>.</w:t>
      </w:r>
    </w:p>
    <w:p w14:paraId="6F962F91" w14:textId="01BF0873" w:rsidR="00A0380A" w:rsidRPr="00F613F1" w:rsidRDefault="00483C5B" w:rsidP="00A0380A">
      <w:pPr>
        <w:rPr>
          <w:sz w:val="24"/>
          <w:szCs w:val="24"/>
        </w:rPr>
      </w:pPr>
      <w:r w:rsidRPr="00F613F1">
        <w:rPr>
          <w:sz w:val="24"/>
          <w:szCs w:val="24"/>
        </w:rPr>
        <w:t>The other priority area is digital expansion. Remote consultations, electronic health records, and constant glucose monitoring are becoming more actively encouraged to help secure an increase in access and efficiency</w:t>
      </w:r>
      <w:r w:rsidR="00A8423C" w:rsidRPr="00F613F1">
        <w:rPr>
          <w:sz w:val="24"/>
          <w:szCs w:val="24"/>
        </w:rPr>
        <w:t xml:space="preserve"> (Naous, et al., 2025)</w:t>
      </w:r>
      <w:r w:rsidRPr="00F613F1">
        <w:rPr>
          <w:sz w:val="24"/>
          <w:szCs w:val="24"/>
        </w:rPr>
        <w:t>. Nevertheless, not all groups of the population might be equally helped by digital solutions, especially older adults or individuals with low digital skills.</w:t>
      </w:r>
      <w:r w:rsidR="00904162" w:rsidRPr="00F613F1">
        <w:rPr>
          <w:sz w:val="24"/>
          <w:szCs w:val="24"/>
        </w:rPr>
        <w:t xml:space="preserve"> </w:t>
      </w:r>
      <w:r w:rsidR="00077ED6" w:rsidRPr="00F613F1">
        <w:rPr>
          <w:sz w:val="24"/>
          <w:szCs w:val="24"/>
        </w:rPr>
        <w:t>The National Diabetes Audit (NDA) is an important tool in the care quality monitoring</w:t>
      </w:r>
      <w:r w:rsidR="0061741A" w:rsidRPr="00F613F1">
        <w:rPr>
          <w:sz w:val="24"/>
          <w:szCs w:val="24"/>
        </w:rPr>
        <w:t xml:space="preserve"> (NHS England, 2026)</w:t>
      </w:r>
      <w:r w:rsidR="00077ED6" w:rsidRPr="00F613F1">
        <w:rPr>
          <w:sz w:val="24"/>
          <w:szCs w:val="24"/>
        </w:rPr>
        <w:t>. It sums up national statistics of treatment goals, morbidity, and performance of services and helps pinpoint regional disparities and regions that need improvement.</w:t>
      </w:r>
    </w:p>
    <w:p w14:paraId="6491B3F6" w14:textId="77777777" w:rsidR="00705BCD" w:rsidRPr="00F613F1" w:rsidRDefault="00077ED6" w:rsidP="00E1793F">
      <w:pPr>
        <w:rPr>
          <w:sz w:val="24"/>
          <w:szCs w:val="24"/>
        </w:rPr>
      </w:pPr>
      <w:r w:rsidRPr="00F613F1">
        <w:rPr>
          <w:sz w:val="24"/>
          <w:szCs w:val="24"/>
        </w:rPr>
        <w:t xml:space="preserve">Even with policy intentions being proactive, there are questions as to whether outcomes portray the rhetoric. Complications and health disparities rates are still acute, particularly within poor communities. </w:t>
      </w:r>
      <w:r w:rsidR="007C2445" w:rsidRPr="00F613F1">
        <w:rPr>
          <w:sz w:val="24"/>
          <w:szCs w:val="24"/>
        </w:rPr>
        <w:t>A</w:t>
      </w:r>
      <w:r w:rsidRPr="00F613F1">
        <w:rPr>
          <w:sz w:val="24"/>
          <w:szCs w:val="24"/>
        </w:rPr>
        <w:t xml:space="preserve">ccess to new therapies and community programmes can be restricted by </w:t>
      </w:r>
      <w:r w:rsidR="007C2445" w:rsidRPr="00F613F1">
        <w:rPr>
          <w:sz w:val="24"/>
          <w:szCs w:val="24"/>
        </w:rPr>
        <w:t xml:space="preserve">the </w:t>
      </w:r>
      <w:r w:rsidRPr="00F613F1">
        <w:rPr>
          <w:sz w:val="24"/>
          <w:szCs w:val="24"/>
        </w:rPr>
        <w:t>financial constraints of NHS funding</w:t>
      </w:r>
      <w:r w:rsidR="001253D5" w:rsidRPr="00F613F1">
        <w:rPr>
          <w:sz w:val="24"/>
          <w:szCs w:val="24"/>
        </w:rPr>
        <w:t xml:space="preserve"> (Matos, et al., 2025)</w:t>
      </w:r>
      <w:r w:rsidRPr="00F613F1">
        <w:rPr>
          <w:sz w:val="24"/>
          <w:szCs w:val="24"/>
        </w:rPr>
        <w:t xml:space="preserve">. Also, the lack of workforce in primary care and specialist diabetes services leads to strains that undermine continuity of care. </w:t>
      </w:r>
    </w:p>
    <w:p w14:paraId="2F950BE2" w14:textId="032AF38E" w:rsidR="00113AE2" w:rsidRPr="0043112E" w:rsidRDefault="00113AE2" w:rsidP="0030240A">
      <w:pPr>
        <w:jc w:val="left"/>
        <w:rPr>
          <w:rFonts w:eastAsiaTheme="majorEastAsia" w:cstheme="majorBidi"/>
          <w:b/>
          <w:bCs/>
          <w:color w:val="000000" w:themeColor="text1"/>
          <w:sz w:val="28"/>
          <w:szCs w:val="28"/>
          <w:lang w:bidi="hi-IN"/>
        </w:rPr>
      </w:pPr>
      <w:bookmarkStart w:id="21" w:name="_Toc224158698"/>
      <w:r w:rsidRPr="0043112E">
        <w:rPr>
          <w:b/>
          <w:bCs/>
          <w:sz w:val="28"/>
          <w:szCs w:val="28"/>
        </w:rPr>
        <w:t>8. Recommendations for Improvement</w:t>
      </w:r>
      <w:bookmarkEnd w:id="21"/>
    </w:p>
    <w:p w14:paraId="7FE341FC" w14:textId="09270622" w:rsidR="00113AE2" w:rsidRPr="00F613F1" w:rsidRDefault="001241B8" w:rsidP="00113AE2">
      <w:pPr>
        <w:rPr>
          <w:sz w:val="24"/>
          <w:szCs w:val="24"/>
        </w:rPr>
      </w:pPr>
      <w:r w:rsidRPr="00F613F1">
        <w:rPr>
          <w:sz w:val="24"/>
          <w:szCs w:val="24"/>
        </w:rPr>
        <w:t>To enhance the management of T2DM, it is essential to have more person-centred and equality-oriented approaches.</w:t>
      </w:r>
    </w:p>
    <w:p w14:paraId="7E78B272" w14:textId="77777777" w:rsidR="00FC6918" w:rsidRPr="00F613F1" w:rsidRDefault="00FC6918" w:rsidP="00B71851">
      <w:pPr>
        <w:keepNext/>
        <w:jc w:val="center"/>
        <w:rPr>
          <w:b/>
          <w:bCs/>
          <w:i/>
          <w:iCs/>
          <w:sz w:val="24"/>
          <w:szCs w:val="24"/>
        </w:rPr>
      </w:pPr>
      <w:r w:rsidRPr="00F613F1">
        <w:rPr>
          <w:b/>
          <w:bCs/>
          <w:i/>
          <w:iCs/>
          <w:noProof/>
          <w:sz w:val="24"/>
          <w:szCs w:val="24"/>
        </w:rPr>
        <w:drawing>
          <wp:inline distT="0" distB="0" distL="0" distR="0" wp14:anchorId="653EC296" wp14:editId="6F4C850F">
            <wp:extent cx="2310863" cy="1907371"/>
            <wp:effectExtent l="76200" t="76200" r="127635" b="131445"/>
            <wp:docPr id="31848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480542" name=""/>
                    <pic:cNvPicPr/>
                  </pic:nvPicPr>
                  <pic:blipFill>
                    <a:blip r:embed="rId13"/>
                    <a:stretch>
                      <a:fillRect/>
                    </a:stretch>
                  </pic:blipFill>
                  <pic:spPr>
                    <a:xfrm>
                      <a:off x="0" y="0"/>
                      <a:ext cx="2317386" cy="1912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1F6249" w14:textId="7219E1A5" w:rsidR="00FC6918" w:rsidRPr="00383B5F" w:rsidRDefault="00FC6918" w:rsidP="00043FB3">
      <w:pPr>
        <w:pStyle w:val="Caption"/>
        <w:rPr>
          <w:bCs/>
          <w:sz w:val="24"/>
          <w:szCs w:val="24"/>
        </w:rPr>
      </w:pPr>
      <w:r w:rsidRPr="00F613F1">
        <w:rPr>
          <w:bCs/>
          <w:sz w:val="24"/>
          <w:szCs w:val="24"/>
        </w:rPr>
        <w:t xml:space="preserve">Figure </w:t>
      </w:r>
      <w:r w:rsidRPr="00F613F1">
        <w:rPr>
          <w:bCs/>
          <w:sz w:val="24"/>
          <w:szCs w:val="24"/>
        </w:rPr>
        <w:fldChar w:fldCharType="begin"/>
      </w:r>
      <w:r w:rsidRPr="00F613F1">
        <w:rPr>
          <w:bCs/>
          <w:sz w:val="24"/>
          <w:szCs w:val="24"/>
        </w:rPr>
        <w:instrText xml:space="preserve"> SEQ Figure \* ARABIC </w:instrText>
      </w:r>
      <w:r w:rsidRPr="00F613F1">
        <w:rPr>
          <w:bCs/>
          <w:sz w:val="24"/>
          <w:szCs w:val="24"/>
        </w:rPr>
        <w:fldChar w:fldCharType="separate"/>
      </w:r>
      <w:r w:rsidRPr="00F613F1">
        <w:rPr>
          <w:bCs/>
          <w:noProof/>
          <w:sz w:val="24"/>
          <w:szCs w:val="24"/>
        </w:rPr>
        <w:t>4</w:t>
      </w:r>
      <w:r w:rsidRPr="00F613F1">
        <w:rPr>
          <w:bCs/>
          <w:sz w:val="24"/>
          <w:szCs w:val="24"/>
        </w:rPr>
        <w:fldChar w:fldCharType="end"/>
      </w:r>
      <w:r w:rsidRPr="00F613F1">
        <w:rPr>
          <w:bCs/>
          <w:sz w:val="24"/>
          <w:szCs w:val="24"/>
        </w:rPr>
        <w:t>: Recommendations</w:t>
      </w:r>
      <w:r w:rsidR="00043FB3">
        <w:rPr>
          <w:bCs/>
          <w:sz w:val="24"/>
          <w:szCs w:val="24"/>
        </w:rPr>
        <w:t xml:space="preserve"> </w:t>
      </w:r>
      <w:r w:rsidRPr="00F613F1">
        <w:rPr>
          <w:bCs/>
          <w:sz w:val="24"/>
          <w:szCs w:val="24"/>
        </w:rPr>
        <w:t>(Source: By Author)</w:t>
      </w:r>
    </w:p>
    <w:p w14:paraId="33E943A8" w14:textId="7954CEF5" w:rsidR="00113AE2" w:rsidRPr="00F613F1" w:rsidRDefault="001241B8" w:rsidP="00113AE2">
      <w:pPr>
        <w:rPr>
          <w:sz w:val="24"/>
          <w:szCs w:val="24"/>
        </w:rPr>
      </w:pPr>
      <w:r w:rsidRPr="00F613F1">
        <w:rPr>
          <w:sz w:val="24"/>
          <w:szCs w:val="24"/>
        </w:rPr>
        <w:t>To begin with, person-centred care should be culturally modified. Cultural diet and beliefs should also be reflected in education programmes, especially to the South Asian communities and black people</w:t>
      </w:r>
      <w:r w:rsidR="00B143A7" w:rsidRPr="00F613F1">
        <w:rPr>
          <w:sz w:val="24"/>
          <w:szCs w:val="24"/>
        </w:rPr>
        <w:t>,</w:t>
      </w:r>
      <w:r w:rsidRPr="00F613F1">
        <w:rPr>
          <w:sz w:val="24"/>
          <w:szCs w:val="24"/>
        </w:rPr>
        <w:t xml:space="preserve"> since they are at a high risk</w:t>
      </w:r>
      <w:r w:rsidR="00B143A7" w:rsidRPr="00F613F1">
        <w:rPr>
          <w:sz w:val="24"/>
          <w:szCs w:val="24"/>
        </w:rPr>
        <w:t xml:space="preserve"> (Katangwe-Chigamba, et al., 2025)</w:t>
      </w:r>
      <w:r w:rsidRPr="00F613F1">
        <w:rPr>
          <w:sz w:val="24"/>
          <w:szCs w:val="24"/>
        </w:rPr>
        <w:t xml:space="preserve">. Understanding and interaction can be improved by the provision of multilingual learning material and the presence of qualified interpreters. Psychological assistance should </w:t>
      </w:r>
      <w:r w:rsidR="009922EB" w:rsidRPr="00F613F1">
        <w:rPr>
          <w:sz w:val="24"/>
          <w:szCs w:val="24"/>
        </w:rPr>
        <w:t>also be</w:t>
      </w:r>
      <w:r w:rsidRPr="00F613F1">
        <w:rPr>
          <w:sz w:val="24"/>
          <w:szCs w:val="24"/>
        </w:rPr>
        <w:t xml:space="preserve"> introduced on a routine basis</w:t>
      </w:r>
      <w:r w:rsidR="00E914E6" w:rsidRPr="00F613F1">
        <w:rPr>
          <w:sz w:val="24"/>
          <w:szCs w:val="24"/>
        </w:rPr>
        <w:t>,</w:t>
      </w:r>
      <w:r w:rsidRPr="00F613F1">
        <w:rPr>
          <w:sz w:val="24"/>
          <w:szCs w:val="24"/>
        </w:rPr>
        <w:t xml:space="preserve"> depression and distress screening during annual che</w:t>
      </w:r>
      <w:r w:rsidR="009922EB" w:rsidRPr="00F613F1">
        <w:rPr>
          <w:sz w:val="24"/>
          <w:szCs w:val="24"/>
        </w:rPr>
        <w:t>ck</w:t>
      </w:r>
      <w:r w:rsidRPr="00F613F1">
        <w:rPr>
          <w:sz w:val="24"/>
          <w:szCs w:val="24"/>
        </w:rPr>
        <w:t>-ups may allow earlier interventions and better results.</w:t>
      </w:r>
    </w:p>
    <w:p w14:paraId="0E49162F" w14:textId="6EFC790E" w:rsidR="00113AE2" w:rsidRPr="00F613F1" w:rsidRDefault="009117FD" w:rsidP="00113AE2">
      <w:pPr>
        <w:rPr>
          <w:sz w:val="24"/>
          <w:szCs w:val="24"/>
        </w:rPr>
      </w:pPr>
      <w:r w:rsidRPr="00F613F1">
        <w:rPr>
          <w:sz w:val="24"/>
          <w:szCs w:val="24"/>
        </w:rPr>
        <w:t>Second, self-management support ought to be reinforced. Health coaching may enable people to achieve realistic objectives and make lifestyle changes. Isolation can be reduced through peer support groups, which are offered in the community and enhance motivation</w:t>
      </w:r>
      <w:r w:rsidR="00D21031" w:rsidRPr="00F613F1">
        <w:rPr>
          <w:sz w:val="24"/>
          <w:szCs w:val="24"/>
        </w:rPr>
        <w:t xml:space="preserve"> (Hamid</w:t>
      </w:r>
      <w:r w:rsidR="00C230A6" w:rsidRPr="00F613F1">
        <w:rPr>
          <w:sz w:val="24"/>
          <w:szCs w:val="24"/>
        </w:rPr>
        <w:t xml:space="preserve"> </w:t>
      </w:r>
      <w:r w:rsidR="00D21031" w:rsidRPr="00F613F1">
        <w:rPr>
          <w:sz w:val="24"/>
          <w:szCs w:val="24"/>
        </w:rPr>
        <w:t>and Awhinawhi, 2025)</w:t>
      </w:r>
      <w:r w:rsidRPr="00F613F1">
        <w:rPr>
          <w:sz w:val="24"/>
          <w:szCs w:val="24"/>
        </w:rPr>
        <w:t xml:space="preserve">. At the same time </w:t>
      </w:r>
      <w:r w:rsidR="009922EB" w:rsidRPr="00F613F1">
        <w:rPr>
          <w:sz w:val="24"/>
          <w:szCs w:val="24"/>
        </w:rPr>
        <w:t>that</w:t>
      </w:r>
      <w:r w:rsidRPr="00F613F1">
        <w:rPr>
          <w:sz w:val="24"/>
          <w:szCs w:val="24"/>
        </w:rPr>
        <w:t xml:space="preserve"> digital tools are used more, digital inclusion is also an issue, and older adults and people in deprived regions might have to undergo training or device access to enjoy the advantages of digital monitoring and remote consultations.</w:t>
      </w:r>
    </w:p>
    <w:p w14:paraId="25478B80" w14:textId="5ADCAFE4" w:rsidR="00113AE2" w:rsidRPr="00F613F1" w:rsidRDefault="00B00EFD" w:rsidP="003866D5">
      <w:pPr>
        <w:rPr>
          <w:sz w:val="24"/>
          <w:szCs w:val="24"/>
        </w:rPr>
      </w:pPr>
      <w:r w:rsidRPr="00F613F1">
        <w:rPr>
          <w:sz w:val="24"/>
          <w:szCs w:val="24"/>
        </w:rPr>
        <w:t xml:space="preserve">To reduce the inequalities, prevention should not be based on individual behaviour change. Physical activity and </w:t>
      </w:r>
      <w:r w:rsidR="009922EB" w:rsidRPr="00F613F1">
        <w:rPr>
          <w:sz w:val="24"/>
          <w:szCs w:val="24"/>
        </w:rPr>
        <w:t xml:space="preserve">a </w:t>
      </w:r>
      <w:r w:rsidRPr="00F613F1">
        <w:rPr>
          <w:sz w:val="24"/>
          <w:szCs w:val="24"/>
        </w:rPr>
        <w:t>healthy diet can be encouraged through community</w:t>
      </w:r>
      <w:r w:rsidR="002F088D" w:rsidRPr="00F613F1">
        <w:rPr>
          <w:sz w:val="24"/>
          <w:szCs w:val="24"/>
        </w:rPr>
        <w:t>-</w:t>
      </w:r>
      <w:r w:rsidRPr="00F613F1">
        <w:rPr>
          <w:sz w:val="24"/>
          <w:szCs w:val="24"/>
        </w:rPr>
        <w:t xml:space="preserve">based programmes in </w:t>
      </w:r>
      <w:r w:rsidR="002F088D" w:rsidRPr="00F613F1">
        <w:rPr>
          <w:sz w:val="24"/>
          <w:szCs w:val="24"/>
        </w:rPr>
        <w:t>high-risk</w:t>
      </w:r>
      <w:r w:rsidRPr="00F613F1">
        <w:rPr>
          <w:sz w:val="24"/>
          <w:szCs w:val="24"/>
        </w:rPr>
        <w:t xml:space="preserve"> areas. School-based obesity prevention programmes are essential as a way of managing the increasing obesity in children</w:t>
      </w:r>
      <w:r w:rsidR="00E33C92" w:rsidRPr="00F613F1">
        <w:rPr>
          <w:sz w:val="24"/>
          <w:szCs w:val="24"/>
        </w:rPr>
        <w:t xml:space="preserve"> (Nikooyeh, et al., 2025)</w:t>
      </w:r>
      <w:r w:rsidRPr="00F613F1">
        <w:rPr>
          <w:sz w:val="24"/>
          <w:szCs w:val="24"/>
        </w:rPr>
        <w:t>. Long-term prevention can also be enhanced through urban planning policies, which enhance access to healthy food and green space.</w:t>
      </w:r>
    </w:p>
    <w:p w14:paraId="4535C6B5" w14:textId="7D743C38" w:rsidR="00113AE2" w:rsidRPr="0043112E" w:rsidRDefault="00113AE2" w:rsidP="008351BB">
      <w:pPr>
        <w:jc w:val="left"/>
        <w:rPr>
          <w:rFonts w:eastAsiaTheme="majorEastAsia" w:cstheme="majorBidi"/>
          <w:b/>
          <w:bCs/>
          <w:color w:val="000000" w:themeColor="text1"/>
          <w:sz w:val="28"/>
          <w:szCs w:val="28"/>
          <w:lang w:bidi="hi-IN"/>
        </w:rPr>
      </w:pPr>
      <w:bookmarkStart w:id="22" w:name="_Toc224158699"/>
      <w:r w:rsidRPr="0043112E">
        <w:rPr>
          <w:b/>
          <w:bCs/>
          <w:sz w:val="28"/>
          <w:szCs w:val="28"/>
        </w:rPr>
        <w:t>9. Conclusion</w:t>
      </w:r>
      <w:bookmarkEnd w:id="22"/>
    </w:p>
    <w:p w14:paraId="29A41F4F" w14:textId="42C5EE08" w:rsidR="00113AE2" w:rsidRPr="00F613F1" w:rsidRDefault="001C1999" w:rsidP="00113AE2">
      <w:pPr>
        <w:rPr>
          <w:sz w:val="24"/>
          <w:szCs w:val="24"/>
        </w:rPr>
      </w:pPr>
      <w:r w:rsidRPr="00F613F1">
        <w:rPr>
          <w:sz w:val="24"/>
          <w:szCs w:val="24"/>
        </w:rPr>
        <w:t xml:space="preserve">T2DM is a </w:t>
      </w:r>
      <w:r w:rsidR="00B30F0B" w:rsidRPr="00F613F1">
        <w:rPr>
          <w:sz w:val="24"/>
          <w:szCs w:val="24"/>
        </w:rPr>
        <w:t>fast-spreading</w:t>
      </w:r>
      <w:r w:rsidRPr="00F613F1">
        <w:rPr>
          <w:sz w:val="24"/>
          <w:szCs w:val="24"/>
        </w:rPr>
        <w:t xml:space="preserve"> chronic disease in the world and in the United Kingdom. Its growing rate of prevalence puts a heavy burden on individuals, families, and the NHS. The condition has multidimensional effects, as it has an impact on physical health in terms of extreme complications like cardiovascular disease and kidney failure and also psychologically in terms of distress, social burden and economic hardships.</w:t>
      </w:r>
    </w:p>
    <w:p w14:paraId="199A1696" w14:textId="594DDC51" w:rsidR="00113AE2" w:rsidRPr="00F613F1" w:rsidRDefault="00552002" w:rsidP="00113AE2">
      <w:pPr>
        <w:rPr>
          <w:sz w:val="24"/>
          <w:szCs w:val="24"/>
        </w:rPr>
      </w:pPr>
      <w:r w:rsidRPr="00F613F1">
        <w:rPr>
          <w:sz w:val="24"/>
          <w:szCs w:val="24"/>
        </w:rPr>
        <w:t>Despite the existing clear NHS strategies, NICE guidelines and national programmes to assist in prevention and management, there are still considerable gaps. The rates of complications and health disparities are still high, especially in deprived populations and high-risk ethnic groups. Labour strains, budgetary limitations and lack of equal access to innovation also hinder the advancement.</w:t>
      </w:r>
    </w:p>
    <w:p w14:paraId="0B4EA9FB" w14:textId="77777777" w:rsidR="005858ED" w:rsidRPr="00F613F1" w:rsidRDefault="00AA6480" w:rsidP="00113AE2">
      <w:pPr>
        <w:rPr>
          <w:sz w:val="24"/>
          <w:szCs w:val="24"/>
        </w:rPr>
        <w:sectPr w:rsidR="005858ED" w:rsidRPr="00F613F1" w:rsidSect="008351BB">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pPr>
      <w:r w:rsidRPr="00F613F1">
        <w:rPr>
          <w:sz w:val="24"/>
          <w:szCs w:val="24"/>
        </w:rPr>
        <w:t>T2DM management needs more than pharmacotherapy. It is urgent to have a strengthened emphasis on person-centred care, cultural sensitivity, psychological support, and inequality reduction. Social determinants of health, together with clinical treatment, will be important in improving long-term outcomes and decreasing the general disease burden.</w:t>
      </w:r>
    </w:p>
    <w:p w14:paraId="610B1B27" w14:textId="0918D8F8" w:rsidR="00947F21" w:rsidRPr="00F613F1" w:rsidRDefault="00947F21" w:rsidP="00113AE2">
      <w:pPr>
        <w:rPr>
          <w:sz w:val="24"/>
          <w:szCs w:val="24"/>
        </w:rPr>
      </w:pPr>
      <w:r w:rsidRPr="00F613F1">
        <w:rPr>
          <w:sz w:val="24"/>
          <w:szCs w:val="24"/>
        </w:rPr>
        <w:br w:type="page"/>
      </w:r>
    </w:p>
    <w:p w14:paraId="45FB6113" w14:textId="5842C182" w:rsidR="001974CC" w:rsidRPr="00083198" w:rsidRDefault="00947F21" w:rsidP="00083198">
      <w:pPr>
        <w:pStyle w:val="Heading1"/>
      </w:pPr>
      <w:bookmarkStart w:id="23" w:name="_Toc224158700"/>
      <w:r w:rsidRPr="00083198">
        <w:t>References</w:t>
      </w:r>
      <w:bookmarkEnd w:id="23"/>
    </w:p>
    <w:p w14:paraId="74420917" w14:textId="77777777" w:rsidR="00CF7EC1" w:rsidRPr="00F613F1" w:rsidRDefault="00CF7EC1" w:rsidP="000C79CA">
      <w:pPr>
        <w:rPr>
          <w:sz w:val="24"/>
          <w:szCs w:val="24"/>
        </w:rPr>
      </w:pPr>
      <w:r w:rsidRPr="00F613F1">
        <w:rPr>
          <w:sz w:val="24"/>
          <w:szCs w:val="24"/>
        </w:rPr>
        <w:t xml:space="preserve">Addis, W.D., Admas, W.T., Ayalew, A.A., </w:t>
      </w:r>
      <w:proofErr w:type="spellStart"/>
      <w:r w:rsidRPr="00F613F1">
        <w:rPr>
          <w:sz w:val="24"/>
          <w:szCs w:val="24"/>
        </w:rPr>
        <w:t>Yirdaw</w:t>
      </w:r>
      <w:proofErr w:type="spellEnd"/>
      <w:r w:rsidRPr="00F613F1">
        <w:rPr>
          <w:sz w:val="24"/>
          <w:szCs w:val="24"/>
        </w:rPr>
        <w:t>, G., Ayele, W.M., Ahmed, A.F., Kassa, A.A., Tsega, T.D., Shimels, T., Anteneh, R.M. and Temesgen, A. (2025) Determinants of diabetic retinopathy among adult and elderly individuals with diabetes. Cardiovascular Diabetology–Endocrinology Reports, 11(1), p.28.</w:t>
      </w:r>
    </w:p>
    <w:p w14:paraId="24639CBC" w14:textId="77777777" w:rsidR="00CF7EC1" w:rsidRPr="00F613F1" w:rsidRDefault="00CF7EC1" w:rsidP="00480AFA">
      <w:pPr>
        <w:rPr>
          <w:sz w:val="24"/>
          <w:szCs w:val="24"/>
        </w:rPr>
      </w:pPr>
      <w:r w:rsidRPr="00F613F1">
        <w:rPr>
          <w:sz w:val="24"/>
          <w:szCs w:val="24"/>
        </w:rPr>
        <w:t xml:space="preserve">Cacciatore, S., Mao, S., Nuñez, M.V., Massaro, C., Spadafora, L., Bernardi, M., Perone, F., </w:t>
      </w:r>
      <w:proofErr w:type="spellStart"/>
      <w:r w:rsidRPr="00F613F1">
        <w:rPr>
          <w:sz w:val="24"/>
          <w:szCs w:val="24"/>
        </w:rPr>
        <w:t>Sabouret</w:t>
      </w:r>
      <w:proofErr w:type="spellEnd"/>
      <w:r w:rsidRPr="00F613F1">
        <w:rPr>
          <w:sz w:val="24"/>
          <w:szCs w:val="24"/>
        </w:rPr>
        <w:t>, P., Biondi-Zoccai, G., Banach, M. and Calvani, R. (2025) Urban health inequities and healthy longevity: traditional and emerging risk factors across the cities and policy implications. Aging clinical and experimental research, 37(1), p.143.</w:t>
      </w:r>
    </w:p>
    <w:p w14:paraId="1C80A8FF" w14:textId="77777777" w:rsidR="00CF7EC1" w:rsidRPr="00F613F1" w:rsidRDefault="00CF7EC1" w:rsidP="00480AFA">
      <w:pPr>
        <w:rPr>
          <w:sz w:val="24"/>
          <w:szCs w:val="24"/>
        </w:rPr>
      </w:pPr>
      <w:proofErr w:type="spellStart"/>
      <w:r w:rsidRPr="00F613F1">
        <w:rPr>
          <w:sz w:val="24"/>
          <w:szCs w:val="24"/>
        </w:rPr>
        <w:t>Chamarthi</w:t>
      </w:r>
      <w:proofErr w:type="spellEnd"/>
      <w:r w:rsidRPr="00F613F1">
        <w:rPr>
          <w:sz w:val="24"/>
          <w:szCs w:val="24"/>
        </w:rPr>
        <w:t xml:space="preserve">, V.S., Garg, C. and Daley, S.F. (2025) Obesity and Type 2 Diabetes. [Online]. Available at: </w:t>
      </w:r>
      <w:hyperlink r:id="rId14" w:anchor=":~:text=Continuing%20Education%20Activity,risk%20at%20lower%20BMI%20levels" w:history="1">
        <w:r w:rsidRPr="00F613F1">
          <w:rPr>
            <w:rStyle w:val="Hyperlink"/>
            <w:sz w:val="24"/>
            <w:szCs w:val="24"/>
          </w:rPr>
          <w:t>https://www.ncbi.nlm.nih.gov/books/NBK592412/#:~:text=Continuing%20Education%20Activity,risk%20at%20lower%20BMI%20levels</w:t>
        </w:r>
      </w:hyperlink>
      <w:r w:rsidRPr="00F613F1">
        <w:rPr>
          <w:sz w:val="24"/>
          <w:szCs w:val="24"/>
        </w:rPr>
        <w:t xml:space="preserve"> [Accessed on: 24 February 2026].</w:t>
      </w:r>
    </w:p>
    <w:p w14:paraId="0EE00A2B" w14:textId="77777777" w:rsidR="00CF7EC1" w:rsidRPr="00F613F1" w:rsidRDefault="00CF7EC1" w:rsidP="00480AFA">
      <w:pPr>
        <w:rPr>
          <w:sz w:val="24"/>
          <w:szCs w:val="24"/>
        </w:rPr>
      </w:pPr>
      <w:r w:rsidRPr="00F613F1">
        <w:rPr>
          <w:sz w:val="24"/>
          <w:szCs w:val="24"/>
        </w:rPr>
        <w:t>Coulter, A., Kramer, G., Warren, T. and Salisbury, C. (2016) Building the House of Care for people with long-term conditions: the foundation of the House of Care framework. The British Journal of General Practice, 66(645), p.e288.</w:t>
      </w:r>
    </w:p>
    <w:p w14:paraId="43F2CAB2" w14:textId="77777777" w:rsidR="00CF7EC1" w:rsidRPr="00F613F1" w:rsidRDefault="00CF7EC1" w:rsidP="00480AFA">
      <w:pPr>
        <w:rPr>
          <w:sz w:val="24"/>
          <w:szCs w:val="24"/>
        </w:rPr>
      </w:pPr>
      <w:r w:rsidRPr="00F613F1">
        <w:rPr>
          <w:sz w:val="24"/>
          <w:szCs w:val="24"/>
        </w:rPr>
        <w:t>Dey, K., Santra, T.S. and Tseng, F.G. (2025) Advancements in Glucose Monitoring: From Traditional Methods to Wearable Sensors. Applied Sciences, 15(5), p.2523.</w:t>
      </w:r>
    </w:p>
    <w:p w14:paraId="5456D58C" w14:textId="77777777" w:rsidR="00CF7EC1" w:rsidRPr="00F613F1" w:rsidRDefault="00CF7EC1" w:rsidP="00480AFA">
      <w:pPr>
        <w:rPr>
          <w:sz w:val="24"/>
          <w:szCs w:val="24"/>
        </w:rPr>
      </w:pPr>
      <w:r w:rsidRPr="00F613F1">
        <w:rPr>
          <w:sz w:val="24"/>
          <w:szCs w:val="24"/>
        </w:rPr>
        <w:t xml:space="preserve">Diabetes UK. (2023) Number of people living with diabetes in the UK tops 5 million for the first time. [Online]. Available at: </w:t>
      </w:r>
      <w:hyperlink r:id="rId15" w:history="1">
        <w:r w:rsidRPr="00F613F1">
          <w:rPr>
            <w:rStyle w:val="Hyperlink"/>
            <w:sz w:val="24"/>
            <w:szCs w:val="24"/>
          </w:rPr>
          <w:t>https://www.diabetes.org.uk/about-us/news-and-views/number-people-living-diabetes-uk-tops-5-million-first-time</w:t>
        </w:r>
      </w:hyperlink>
      <w:r w:rsidRPr="00F613F1">
        <w:rPr>
          <w:sz w:val="24"/>
          <w:szCs w:val="24"/>
        </w:rPr>
        <w:t xml:space="preserve"> [Accessed on: 24 February 2026].</w:t>
      </w:r>
    </w:p>
    <w:p w14:paraId="224B2F42" w14:textId="77777777" w:rsidR="00CF7EC1" w:rsidRPr="00F613F1" w:rsidRDefault="00CF7EC1" w:rsidP="00480AFA">
      <w:pPr>
        <w:rPr>
          <w:sz w:val="24"/>
          <w:szCs w:val="24"/>
        </w:rPr>
      </w:pPr>
      <w:r w:rsidRPr="00F613F1">
        <w:rPr>
          <w:sz w:val="24"/>
          <w:szCs w:val="24"/>
        </w:rPr>
        <w:t xml:space="preserve">Diabetes UK. (2025) One in five adults now live with diabetes or prediabetes in the UK. [Online]. Available at: </w:t>
      </w:r>
      <w:hyperlink r:id="rId16" w:anchor=":~:text=Our%20new%20data%20shows%20that,have%20either%20diabetes%20or%20prediabetes" w:history="1">
        <w:r w:rsidRPr="00F613F1">
          <w:rPr>
            <w:rStyle w:val="Hyperlink"/>
            <w:sz w:val="24"/>
            <w:szCs w:val="24"/>
          </w:rPr>
          <w:t>https://www.diabetes.org.uk/about-us/news-and-views/one-five-adults-now-live-diabetes-or-prediabetes-uk#:~:text=Our%20new%20data%20shows%20that,have%20either%20diabetes%20or%20prediabetes</w:t>
        </w:r>
      </w:hyperlink>
      <w:r w:rsidRPr="00F613F1">
        <w:rPr>
          <w:sz w:val="24"/>
          <w:szCs w:val="24"/>
        </w:rPr>
        <w:t xml:space="preserve"> [Accessed on: 24 February 2026].</w:t>
      </w:r>
    </w:p>
    <w:p w14:paraId="3960B0D2" w14:textId="77777777" w:rsidR="00CF7EC1" w:rsidRPr="00F613F1" w:rsidRDefault="00CF7EC1" w:rsidP="00480AFA">
      <w:pPr>
        <w:rPr>
          <w:sz w:val="24"/>
          <w:szCs w:val="24"/>
        </w:rPr>
      </w:pPr>
      <w:r w:rsidRPr="00F613F1">
        <w:rPr>
          <w:sz w:val="24"/>
          <w:szCs w:val="24"/>
        </w:rPr>
        <w:t>Espinola, O.P., Tobias, D.K. and Manson, J.E. (2025) The role of lifestyle interventions for the prevention and treatment of type 2 diabetes: a narrative review. American Journal of Lifestyle Medicine, p.15598276251372427.</w:t>
      </w:r>
    </w:p>
    <w:p w14:paraId="4D6C4AD2" w14:textId="7E96E251" w:rsidR="00CF7EC1" w:rsidRPr="00F613F1" w:rsidRDefault="00CF7EC1" w:rsidP="00480AFA">
      <w:pPr>
        <w:rPr>
          <w:sz w:val="24"/>
          <w:szCs w:val="24"/>
        </w:rPr>
      </w:pPr>
      <w:r w:rsidRPr="00F613F1">
        <w:rPr>
          <w:sz w:val="24"/>
          <w:szCs w:val="24"/>
        </w:rPr>
        <w:t xml:space="preserve">Hamid, S. and Awhinawhi, A. (2025) From isolation to interaction: The role of language and digital communication tools in empowering adolescent virtual collaboration. Language, Technology, and </w:t>
      </w:r>
      <w:r w:rsidR="00E72C40" w:rsidRPr="00F613F1">
        <w:rPr>
          <w:sz w:val="24"/>
          <w:szCs w:val="24"/>
        </w:rPr>
        <w:t>social media</w:t>
      </w:r>
      <w:r w:rsidRPr="00F613F1">
        <w:rPr>
          <w:sz w:val="24"/>
          <w:szCs w:val="24"/>
        </w:rPr>
        <w:t xml:space="preserve">, 3(2), pp.199-213. </w:t>
      </w:r>
    </w:p>
    <w:p w14:paraId="4E7F2EA8" w14:textId="77777777" w:rsidR="00CF7EC1" w:rsidRPr="00F613F1" w:rsidRDefault="00CF7EC1" w:rsidP="00480AFA">
      <w:pPr>
        <w:rPr>
          <w:sz w:val="24"/>
          <w:szCs w:val="24"/>
        </w:rPr>
      </w:pPr>
      <w:r w:rsidRPr="00F613F1">
        <w:rPr>
          <w:sz w:val="24"/>
          <w:szCs w:val="24"/>
        </w:rPr>
        <w:t xml:space="preserve">Health Awareness. (2026) Diabetes costs the NHS approximately £1 million an hour. [Online]. Available at: </w:t>
      </w:r>
      <w:hyperlink r:id="rId17" w:anchor=":~:text=80%25%20of%20NHS%20money%20on,are%20achieved%20in%20this%20country" w:history="1">
        <w:r w:rsidRPr="00F613F1">
          <w:rPr>
            <w:rStyle w:val="Hyperlink"/>
            <w:sz w:val="24"/>
            <w:szCs w:val="24"/>
          </w:rPr>
          <w:t>https://www.healthawareness.co.uk/diabetes/diabetes-costs-the-nhs-approx-1-million-an-hour/#:~:text=80%25%20of%20NHS%20money%20on,are%20achieved%20in%20this%20country</w:t>
        </w:r>
      </w:hyperlink>
      <w:r w:rsidRPr="00F613F1">
        <w:rPr>
          <w:sz w:val="24"/>
          <w:szCs w:val="24"/>
        </w:rPr>
        <w:t xml:space="preserve"> [Accessed on: 24 February 2026].</w:t>
      </w:r>
    </w:p>
    <w:p w14:paraId="5FAD541B" w14:textId="77777777" w:rsidR="00153285" w:rsidRPr="00F613F1" w:rsidRDefault="00153285" w:rsidP="00480AFA">
      <w:pPr>
        <w:rPr>
          <w:sz w:val="24"/>
          <w:szCs w:val="24"/>
        </w:rPr>
      </w:pPr>
      <w:r w:rsidRPr="00F613F1">
        <w:rPr>
          <w:sz w:val="24"/>
          <w:szCs w:val="24"/>
        </w:rPr>
        <w:t>Hussain, S., Jamali, M.C., Habib, A., Hussain, M.S., Akhtar, M. and Najmi, A.K. (2021) Diabetic kidney disease: An overview of prevalence, risk factors, and biomarkers. Clinical Epidemiology and Global Health, 9, pp.2-6.</w:t>
      </w:r>
    </w:p>
    <w:p w14:paraId="178070FE" w14:textId="77777777" w:rsidR="00153285" w:rsidRPr="00F613F1" w:rsidRDefault="00153285" w:rsidP="00480AFA">
      <w:pPr>
        <w:rPr>
          <w:sz w:val="24"/>
          <w:szCs w:val="24"/>
        </w:rPr>
      </w:pPr>
      <w:r w:rsidRPr="00F613F1">
        <w:rPr>
          <w:sz w:val="24"/>
          <w:szCs w:val="24"/>
        </w:rPr>
        <w:t xml:space="preserve">International Diabetes Federation. (2026) Facts and Figures. [Online]. Available at: </w:t>
      </w:r>
      <w:hyperlink r:id="rId18" w:history="1">
        <w:r w:rsidRPr="00F613F1">
          <w:rPr>
            <w:rStyle w:val="Hyperlink"/>
            <w:sz w:val="24"/>
            <w:szCs w:val="24"/>
          </w:rPr>
          <w:t>https://idf.org/about-diabetes/diabetes-facts-figures/</w:t>
        </w:r>
      </w:hyperlink>
      <w:r w:rsidRPr="00F613F1">
        <w:rPr>
          <w:sz w:val="24"/>
          <w:szCs w:val="24"/>
        </w:rPr>
        <w:t xml:space="preserve"> [Accessed on: 24 February 2026].</w:t>
      </w:r>
    </w:p>
    <w:p w14:paraId="357B8A4E" w14:textId="77777777" w:rsidR="00153285" w:rsidRPr="00F613F1" w:rsidRDefault="00153285" w:rsidP="00480AFA">
      <w:pPr>
        <w:rPr>
          <w:sz w:val="24"/>
          <w:szCs w:val="24"/>
        </w:rPr>
      </w:pPr>
      <w:r w:rsidRPr="00F613F1">
        <w:rPr>
          <w:sz w:val="24"/>
          <w:szCs w:val="24"/>
        </w:rPr>
        <w:t xml:space="preserve">Jude, E.B., Malecki, M.T., Gomez </w:t>
      </w:r>
      <w:proofErr w:type="spellStart"/>
      <w:r w:rsidRPr="00F613F1">
        <w:rPr>
          <w:sz w:val="24"/>
          <w:szCs w:val="24"/>
        </w:rPr>
        <w:t>Huelgas</w:t>
      </w:r>
      <w:proofErr w:type="spellEnd"/>
      <w:r w:rsidRPr="00F613F1">
        <w:rPr>
          <w:sz w:val="24"/>
          <w:szCs w:val="24"/>
        </w:rPr>
        <w:t xml:space="preserve">, R., Prazny, M., Snoek, F., </w:t>
      </w:r>
      <w:proofErr w:type="spellStart"/>
      <w:r w:rsidRPr="00F613F1">
        <w:rPr>
          <w:sz w:val="24"/>
          <w:szCs w:val="24"/>
        </w:rPr>
        <w:t>Tankova</w:t>
      </w:r>
      <w:proofErr w:type="spellEnd"/>
      <w:r w:rsidRPr="00F613F1">
        <w:rPr>
          <w:sz w:val="24"/>
          <w:szCs w:val="24"/>
        </w:rPr>
        <w:t>, T., Giugliano, D. and Khunti, K. (2022) Expert panel guidance and narrative review of treatment simplification of complex insulin regimens to improve outcomes in type 2 diabetes. Diabetes Therapy, 13(4), pp.619-634.</w:t>
      </w:r>
    </w:p>
    <w:p w14:paraId="5F75977E" w14:textId="77777777" w:rsidR="00153285" w:rsidRPr="00F613F1" w:rsidRDefault="00153285" w:rsidP="00480AFA">
      <w:pPr>
        <w:rPr>
          <w:sz w:val="24"/>
          <w:szCs w:val="24"/>
        </w:rPr>
      </w:pPr>
      <w:r w:rsidRPr="00F613F1">
        <w:rPr>
          <w:sz w:val="24"/>
          <w:szCs w:val="24"/>
        </w:rPr>
        <w:t>Kassem, S., Samuels, N. and Ben-Arye, E. (2025) Integrative medicine for patients with diabetes and mental health disorders: a narrative review. Current Psychiatry Reports, 27(9), pp.509-518.</w:t>
      </w:r>
    </w:p>
    <w:p w14:paraId="3D41AFB7" w14:textId="77777777" w:rsidR="00153285" w:rsidRPr="00F613F1" w:rsidRDefault="00153285" w:rsidP="00480AFA">
      <w:pPr>
        <w:rPr>
          <w:sz w:val="24"/>
          <w:szCs w:val="24"/>
        </w:rPr>
      </w:pPr>
      <w:r w:rsidRPr="00F613F1">
        <w:rPr>
          <w:sz w:val="24"/>
          <w:szCs w:val="24"/>
        </w:rPr>
        <w:t xml:space="preserve">Katangwe-Chigamba, T., Kantilal, K., Hartley-Palmer, J., Salisu-Olatunji, S.O., Seeley, C., Naughton, F. and Chester, R. (2025) Diet and Physical Activity interventions for people from Minority ethnic backgrounds in the UK: a scoping review exploring barriers, enablers and Cultural adaptations. Journal of Racial and Ethnic Health Disparities, 12(5), pp.3024-3068. </w:t>
      </w:r>
    </w:p>
    <w:p w14:paraId="1BFECB63" w14:textId="77777777" w:rsidR="00153285" w:rsidRPr="00F613F1" w:rsidRDefault="00153285" w:rsidP="00480AFA">
      <w:pPr>
        <w:rPr>
          <w:sz w:val="24"/>
          <w:szCs w:val="24"/>
        </w:rPr>
      </w:pPr>
      <w:r w:rsidRPr="00F613F1">
        <w:rPr>
          <w:sz w:val="24"/>
          <w:szCs w:val="24"/>
        </w:rPr>
        <w:t>Kim, J., Heazell, A.E., Whittaker, M., Stacey, T. and Watson, K. (2025) Impact of health literacy on pregnancy outcomes in socioeconomically disadvantaged and ethnic minority populations: A scoping review. International Journal of Gynecology &amp; Obstetrics, 168(1), pp.69-81.</w:t>
      </w:r>
    </w:p>
    <w:p w14:paraId="18CD4885" w14:textId="77777777" w:rsidR="00153285" w:rsidRPr="00F613F1" w:rsidRDefault="00153285" w:rsidP="000C79CA">
      <w:pPr>
        <w:rPr>
          <w:sz w:val="24"/>
          <w:szCs w:val="24"/>
        </w:rPr>
      </w:pPr>
      <w:r w:rsidRPr="00F613F1">
        <w:rPr>
          <w:sz w:val="24"/>
          <w:szCs w:val="24"/>
        </w:rPr>
        <w:t>Laakso, M. and Fernandes Silva, L. (2022) Genetics of type 2 diabetes: past, present, and future. Nutrients, 14(15), p.3201.</w:t>
      </w:r>
    </w:p>
    <w:p w14:paraId="7A05CADB" w14:textId="77777777" w:rsidR="00CF7EC1" w:rsidRPr="00F613F1" w:rsidRDefault="00CF7EC1" w:rsidP="00480AFA">
      <w:pPr>
        <w:rPr>
          <w:sz w:val="24"/>
          <w:szCs w:val="24"/>
        </w:rPr>
      </w:pPr>
      <w:r w:rsidRPr="00F613F1">
        <w:rPr>
          <w:sz w:val="24"/>
          <w:szCs w:val="24"/>
        </w:rPr>
        <w:t xml:space="preserve">Liang, I.C., Chang, H.H., Lai, Y.J., Chan, C.M., Sung, C.H., Pu, C.M., Chang, D.C., Ho, C.C. and Hung, C.F. (2025) Update on the efficacy and safety of sodium–glucose co-transporter 2 inhibitors in patients with chronic diseases: a systematic review and meta-analysis. </w:t>
      </w:r>
      <w:proofErr w:type="spellStart"/>
      <w:r w:rsidRPr="00F613F1">
        <w:rPr>
          <w:sz w:val="24"/>
          <w:szCs w:val="24"/>
        </w:rPr>
        <w:t>Medicina</w:t>
      </w:r>
      <w:proofErr w:type="spellEnd"/>
      <w:r w:rsidRPr="00F613F1">
        <w:rPr>
          <w:sz w:val="24"/>
          <w:szCs w:val="24"/>
        </w:rPr>
        <w:t>, 61(2), p.202.</w:t>
      </w:r>
    </w:p>
    <w:p w14:paraId="4B443C27" w14:textId="173A0AAF" w:rsidR="00CF7EC1" w:rsidRPr="00F613F1" w:rsidRDefault="00CF7EC1" w:rsidP="00480AFA">
      <w:pPr>
        <w:rPr>
          <w:sz w:val="24"/>
          <w:szCs w:val="24"/>
        </w:rPr>
      </w:pPr>
      <w:r w:rsidRPr="00F613F1">
        <w:rPr>
          <w:sz w:val="24"/>
          <w:szCs w:val="24"/>
        </w:rPr>
        <w:t xml:space="preserve">Lyu, G. (2025) Data-driven </w:t>
      </w:r>
      <w:r w:rsidR="00E72C40" w:rsidRPr="00F613F1">
        <w:rPr>
          <w:sz w:val="24"/>
          <w:szCs w:val="24"/>
        </w:rPr>
        <w:t>decision-making in-patient</w:t>
      </w:r>
      <w:r w:rsidRPr="00F613F1">
        <w:rPr>
          <w:sz w:val="24"/>
          <w:szCs w:val="24"/>
        </w:rPr>
        <w:t xml:space="preserve"> management: a systematic review. BMC medical informatics and decision making, 25(1), p.239. </w:t>
      </w:r>
    </w:p>
    <w:p w14:paraId="13C4831B" w14:textId="77777777" w:rsidR="00CF7EC1" w:rsidRPr="00F613F1" w:rsidRDefault="00CF7EC1" w:rsidP="00480AFA">
      <w:pPr>
        <w:rPr>
          <w:sz w:val="24"/>
          <w:szCs w:val="24"/>
        </w:rPr>
      </w:pPr>
      <w:r w:rsidRPr="00F613F1">
        <w:rPr>
          <w:sz w:val="24"/>
          <w:szCs w:val="24"/>
        </w:rPr>
        <w:t xml:space="preserve">Magliano, D.J. and Boyko, E.J. (2021) IDF DIABETES ATLAS, 10th edition. [Online]. Available at: </w:t>
      </w:r>
      <w:hyperlink r:id="rId19" w:anchor=":~:text=In%202021%2C%20it%20is%20estimated,adolescents%20have%20type%201%20diabetes" w:history="1">
        <w:r w:rsidRPr="00F613F1">
          <w:rPr>
            <w:rStyle w:val="Hyperlink"/>
            <w:sz w:val="24"/>
            <w:szCs w:val="24"/>
          </w:rPr>
          <w:t>https://www.ncbi.nlm.nih.gov/books/NBK581934/#:~:text=In%202021%2C%20it%20is%20estimated,adolescents%20have%20type%201%20diabetes</w:t>
        </w:r>
      </w:hyperlink>
      <w:r w:rsidRPr="00F613F1">
        <w:rPr>
          <w:sz w:val="24"/>
          <w:szCs w:val="24"/>
        </w:rPr>
        <w:t xml:space="preserve"> [Accessed on: 24 February 2026].</w:t>
      </w:r>
    </w:p>
    <w:p w14:paraId="74E65B9A" w14:textId="77777777" w:rsidR="00CF7EC1" w:rsidRPr="00F613F1" w:rsidRDefault="00CF7EC1" w:rsidP="00480AFA">
      <w:pPr>
        <w:rPr>
          <w:sz w:val="24"/>
          <w:szCs w:val="24"/>
        </w:rPr>
      </w:pPr>
      <w:r w:rsidRPr="00F613F1">
        <w:rPr>
          <w:sz w:val="24"/>
          <w:szCs w:val="24"/>
        </w:rPr>
        <w:t>Matos, R.C.D., Nascimento, G.D., Campos Fernandes, A. and Matos, C. (2025) Health and social care integration: insights from international implementation cases. Journal of Market Access &amp; Health Policy, 13(2), p.28.</w:t>
      </w:r>
    </w:p>
    <w:p w14:paraId="44551702" w14:textId="77777777" w:rsidR="00CF7EC1" w:rsidRPr="00F613F1" w:rsidRDefault="00CF7EC1" w:rsidP="00480AFA">
      <w:pPr>
        <w:rPr>
          <w:sz w:val="24"/>
          <w:szCs w:val="24"/>
        </w:rPr>
      </w:pPr>
      <w:r w:rsidRPr="00F613F1">
        <w:rPr>
          <w:sz w:val="24"/>
          <w:szCs w:val="24"/>
        </w:rPr>
        <w:t>Młynarska, E., Czarnik, W., Dzieża, N., Jędraszak, W., Majchrowicz, G., Prusinowski, F., Stabrawa, M., Rysz, J. and Franczyk, B. (2025) Type 2 diabetes mellitus: new pathogenetic mechanisms, treatment and the most important complications. International journal of molecular sciences, 26(3), p.1094.</w:t>
      </w:r>
    </w:p>
    <w:p w14:paraId="0F608F81" w14:textId="77777777" w:rsidR="00CF7EC1" w:rsidRPr="00F613F1" w:rsidRDefault="00CF7EC1" w:rsidP="00480AFA">
      <w:pPr>
        <w:rPr>
          <w:sz w:val="24"/>
          <w:szCs w:val="24"/>
        </w:rPr>
      </w:pPr>
      <w:r w:rsidRPr="00F613F1">
        <w:rPr>
          <w:sz w:val="24"/>
          <w:szCs w:val="24"/>
        </w:rPr>
        <w:t xml:space="preserve">Naous, E., Achkar, A., Morin, R.A. and Mitri, J. (2025) A Systematic Review on the Impact of Electronic Consultations on Diabetes Care. Endocrine Practice, 31(6), pp.829-838. </w:t>
      </w:r>
    </w:p>
    <w:p w14:paraId="066E114C" w14:textId="77777777" w:rsidR="00CF7EC1" w:rsidRPr="00F613F1" w:rsidRDefault="00CF7EC1" w:rsidP="00480AFA">
      <w:pPr>
        <w:rPr>
          <w:sz w:val="24"/>
          <w:szCs w:val="24"/>
        </w:rPr>
      </w:pPr>
      <w:r w:rsidRPr="00F613F1">
        <w:rPr>
          <w:sz w:val="24"/>
          <w:szCs w:val="24"/>
        </w:rPr>
        <w:t xml:space="preserve">NHS England. (2022) NHS Prevention Programme cuts chances of Type 2 diabetes for thousands. [Online]. Available at: </w:t>
      </w:r>
      <w:hyperlink r:id="rId20" w:history="1">
        <w:r w:rsidRPr="00F613F1">
          <w:rPr>
            <w:rStyle w:val="Hyperlink"/>
            <w:sz w:val="24"/>
            <w:szCs w:val="24"/>
          </w:rPr>
          <w:t>https://www.england.nhs.uk/2022/03/nhs-prevention-programme-cuts-chances-of-type-2-diabetes-for-thousands/</w:t>
        </w:r>
      </w:hyperlink>
      <w:r w:rsidRPr="00F613F1">
        <w:rPr>
          <w:sz w:val="24"/>
          <w:szCs w:val="24"/>
        </w:rPr>
        <w:t xml:space="preserve"> [Accessed on: 24 February 2026].</w:t>
      </w:r>
    </w:p>
    <w:p w14:paraId="479A4462" w14:textId="77777777" w:rsidR="00CF7EC1" w:rsidRPr="00F613F1" w:rsidRDefault="00CF7EC1" w:rsidP="00480AFA">
      <w:pPr>
        <w:rPr>
          <w:sz w:val="24"/>
          <w:szCs w:val="24"/>
        </w:rPr>
      </w:pPr>
      <w:r w:rsidRPr="00F613F1">
        <w:rPr>
          <w:sz w:val="24"/>
          <w:szCs w:val="24"/>
        </w:rPr>
        <w:t xml:space="preserve">NHS England. (2026) National Diabetes Audit Programme. [Online]. Available at: </w:t>
      </w:r>
      <w:hyperlink r:id="rId21" w:history="1">
        <w:r w:rsidRPr="00F613F1">
          <w:rPr>
            <w:rStyle w:val="Hyperlink"/>
            <w:sz w:val="24"/>
            <w:szCs w:val="24"/>
          </w:rPr>
          <w:t>https://digital.nhs.uk/data-and-information/clinical-audits-and-registries/national-diabetes-audit</w:t>
        </w:r>
      </w:hyperlink>
      <w:r w:rsidRPr="00F613F1">
        <w:rPr>
          <w:sz w:val="24"/>
          <w:szCs w:val="24"/>
        </w:rPr>
        <w:t xml:space="preserve"> [Accessed on: 24 February 2026].</w:t>
      </w:r>
    </w:p>
    <w:p w14:paraId="043E5127" w14:textId="77777777" w:rsidR="00CF7EC1" w:rsidRPr="00F613F1" w:rsidRDefault="00CF7EC1" w:rsidP="00480AFA">
      <w:pPr>
        <w:rPr>
          <w:sz w:val="24"/>
          <w:szCs w:val="24"/>
        </w:rPr>
      </w:pPr>
      <w:r w:rsidRPr="00F613F1">
        <w:rPr>
          <w:sz w:val="24"/>
          <w:szCs w:val="24"/>
        </w:rPr>
        <w:t xml:space="preserve">NHS England. (2026) NHS Diabetes Prevention Programme (NHS DPP). [Online]. Available at: </w:t>
      </w:r>
      <w:hyperlink r:id="rId22" w:history="1">
        <w:r w:rsidRPr="00F613F1">
          <w:rPr>
            <w:rStyle w:val="Hyperlink"/>
            <w:sz w:val="24"/>
            <w:szCs w:val="24"/>
          </w:rPr>
          <w:t>https://www.england.nhs.uk/diabetes/diabetes-prevention/</w:t>
        </w:r>
      </w:hyperlink>
      <w:r w:rsidRPr="00F613F1">
        <w:rPr>
          <w:sz w:val="24"/>
          <w:szCs w:val="24"/>
        </w:rPr>
        <w:t xml:space="preserve"> [Accessed on: 24 February 2026].</w:t>
      </w:r>
    </w:p>
    <w:p w14:paraId="65BBE7B5" w14:textId="77777777" w:rsidR="00CF7EC1" w:rsidRPr="00F613F1" w:rsidRDefault="00CF7EC1" w:rsidP="00480AFA">
      <w:pPr>
        <w:rPr>
          <w:sz w:val="24"/>
          <w:szCs w:val="24"/>
        </w:rPr>
      </w:pPr>
      <w:r w:rsidRPr="00F613F1">
        <w:rPr>
          <w:sz w:val="24"/>
          <w:szCs w:val="24"/>
        </w:rPr>
        <w:t xml:space="preserve">NICE. (2026) Type 2 diabetes in adults: management. [Online]. Available at: </w:t>
      </w:r>
      <w:hyperlink r:id="rId23" w:anchor=":~:text=1.5.5,2015%2C%20amended%202026%5D" w:history="1">
        <w:r w:rsidRPr="00F613F1">
          <w:rPr>
            <w:rStyle w:val="Hyperlink"/>
            <w:sz w:val="24"/>
            <w:szCs w:val="24"/>
          </w:rPr>
          <w:t>https://www.nice.org.uk/guidance/ng28/chapter/Blood-glucose-management#:~:text=1.5.5,2015%2C%20amended%202026%5D</w:t>
        </w:r>
      </w:hyperlink>
      <w:r w:rsidRPr="00F613F1">
        <w:rPr>
          <w:sz w:val="24"/>
          <w:szCs w:val="24"/>
        </w:rPr>
        <w:t xml:space="preserve"> [Accessed on: 24 February 2026].</w:t>
      </w:r>
    </w:p>
    <w:p w14:paraId="74B500D7" w14:textId="77777777" w:rsidR="00CF7EC1" w:rsidRPr="00F613F1" w:rsidRDefault="00CF7EC1" w:rsidP="00480AFA">
      <w:pPr>
        <w:rPr>
          <w:sz w:val="24"/>
          <w:szCs w:val="24"/>
        </w:rPr>
      </w:pPr>
      <w:r w:rsidRPr="00F613F1">
        <w:rPr>
          <w:sz w:val="24"/>
          <w:szCs w:val="24"/>
        </w:rPr>
        <w:t xml:space="preserve">NIH. (2025) Remission of Type 2 Diabetes </w:t>
      </w:r>
      <w:proofErr w:type="gramStart"/>
      <w:r w:rsidRPr="00F613F1">
        <w:rPr>
          <w:sz w:val="24"/>
          <w:szCs w:val="24"/>
        </w:rPr>
        <w:t>With</w:t>
      </w:r>
      <w:proofErr w:type="gramEnd"/>
      <w:r w:rsidRPr="00F613F1">
        <w:rPr>
          <w:sz w:val="24"/>
          <w:szCs w:val="24"/>
        </w:rPr>
        <w:t xml:space="preserve"> Lifestyle Intervention (REMeDI2M. [Online]. Available at: </w:t>
      </w:r>
      <w:hyperlink r:id="rId24" w:history="1">
        <w:r w:rsidRPr="00F613F1">
          <w:rPr>
            <w:rStyle w:val="Hyperlink"/>
            <w:sz w:val="24"/>
            <w:szCs w:val="24"/>
          </w:rPr>
          <w:t>https://clinicaltrials.gov/study/NCT07017127</w:t>
        </w:r>
      </w:hyperlink>
      <w:r w:rsidRPr="00F613F1">
        <w:rPr>
          <w:sz w:val="24"/>
          <w:szCs w:val="24"/>
        </w:rPr>
        <w:t xml:space="preserve"> [Accessed on: 24 February 2026]. </w:t>
      </w:r>
    </w:p>
    <w:p w14:paraId="5EEE1C22" w14:textId="77777777" w:rsidR="00CF7EC1" w:rsidRPr="00F613F1" w:rsidRDefault="00CF7EC1" w:rsidP="000C79CA">
      <w:pPr>
        <w:rPr>
          <w:sz w:val="24"/>
          <w:szCs w:val="24"/>
        </w:rPr>
      </w:pPr>
      <w:r w:rsidRPr="00F613F1">
        <w:rPr>
          <w:sz w:val="24"/>
          <w:szCs w:val="24"/>
        </w:rPr>
        <w:t xml:space="preserve">NIH. (2026) Overweight &amp; Obesity Statistics. [Online]. Available at: </w:t>
      </w:r>
      <w:hyperlink r:id="rId25" w:anchor=":~:text=Adults,-Age-adjusted%20percentage&amp;text=the%20above%20table-,Nearly%201%20in%203%20adults%20(30.7%25)%20are%20overweight.,obesity%20(including%20severe%20obesity)" w:history="1">
        <w:r w:rsidRPr="00F613F1">
          <w:rPr>
            <w:rStyle w:val="Hyperlink"/>
            <w:sz w:val="24"/>
            <w:szCs w:val="24"/>
          </w:rPr>
          <w:t>https://www.niddk.nih.gov/health-information/health-statistics/overweight-obesity#:~:text=Adults,-Age-adjusted%20percentage&amp;text=the%20above%20table-,Nearly%201%20in%203%20adults%20(30.7%25)%20are%20overweight.,obesity%20(including%20severe%20obesity)</w:t>
        </w:r>
      </w:hyperlink>
      <w:r w:rsidRPr="00F613F1">
        <w:rPr>
          <w:sz w:val="24"/>
          <w:szCs w:val="24"/>
        </w:rPr>
        <w:t xml:space="preserve"> [Accessed on: 24 February 2026].</w:t>
      </w:r>
    </w:p>
    <w:p w14:paraId="6FBA3112" w14:textId="77777777" w:rsidR="00CF7EC1" w:rsidRPr="00F613F1" w:rsidRDefault="00CF7EC1" w:rsidP="00480AFA">
      <w:pPr>
        <w:rPr>
          <w:sz w:val="24"/>
          <w:szCs w:val="24"/>
        </w:rPr>
      </w:pPr>
      <w:r w:rsidRPr="00F613F1">
        <w:rPr>
          <w:sz w:val="24"/>
          <w:szCs w:val="24"/>
        </w:rPr>
        <w:t xml:space="preserve">Nikooyeh, B., Yari, Z., Hariri, Z., Baghdadi, G., Yazdani, H., Motlagh, M.E. and </w:t>
      </w:r>
      <w:proofErr w:type="spellStart"/>
      <w:r w:rsidRPr="00F613F1">
        <w:rPr>
          <w:sz w:val="24"/>
          <w:szCs w:val="24"/>
        </w:rPr>
        <w:t>Neyestani</w:t>
      </w:r>
      <w:proofErr w:type="spellEnd"/>
      <w:r w:rsidRPr="00F613F1">
        <w:rPr>
          <w:sz w:val="24"/>
          <w:szCs w:val="24"/>
        </w:rPr>
        <w:t xml:space="preserve">, T.R. (2025) Which school-based interventions work better to combat obesity in children? A network meta-analysis. Systematic Reviews, 14(1), p.125. </w:t>
      </w:r>
    </w:p>
    <w:p w14:paraId="54F96EE2" w14:textId="77777777" w:rsidR="00CF7EC1" w:rsidRPr="00F613F1" w:rsidRDefault="00CF7EC1" w:rsidP="00480AFA">
      <w:pPr>
        <w:rPr>
          <w:sz w:val="24"/>
          <w:szCs w:val="24"/>
        </w:rPr>
      </w:pPr>
      <w:r w:rsidRPr="00F613F1">
        <w:rPr>
          <w:sz w:val="24"/>
          <w:szCs w:val="24"/>
        </w:rPr>
        <w:t>Park, Y., Ko, K.S. and Rhee, B.D. (2025) New Perspectives in Studying Type 1 Diabetes Susceptibility Biomarkers. International Journal of Molecular Sciences, 26(7), p.3249.</w:t>
      </w:r>
    </w:p>
    <w:p w14:paraId="001FAAF3" w14:textId="77777777" w:rsidR="00CF7EC1" w:rsidRPr="00F613F1" w:rsidRDefault="00CF7EC1" w:rsidP="00480AFA">
      <w:pPr>
        <w:rPr>
          <w:sz w:val="24"/>
          <w:szCs w:val="24"/>
        </w:rPr>
      </w:pPr>
      <w:proofErr w:type="spellStart"/>
      <w:r w:rsidRPr="00F613F1">
        <w:rPr>
          <w:sz w:val="24"/>
          <w:szCs w:val="24"/>
        </w:rPr>
        <w:t>Prestinoni</w:t>
      </w:r>
      <w:proofErr w:type="spellEnd"/>
      <w:r w:rsidRPr="00F613F1">
        <w:rPr>
          <w:sz w:val="24"/>
          <w:szCs w:val="24"/>
        </w:rPr>
        <w:t>, G. and Romaniello, A. (2025) Relevance of Medical Devices to Humans and Their Impact in Different Geographical Areas. In Medical Device Management: A Comprehensive Guide to Markets, Marketing, and Regulations (pp. 21-47). Cham: Springer Nature Switzerland.</w:t>
      </w:r>
    </w:p>
    <w:p w14:paraId="59EDCD65" w14:textId="77777777" w:rsidR="00CF7EC1" w:rsidRPr="00F613F1" w:rsidRDefault="00CF7EC1" w:rsidP="00480AFA">
      <w:pPr>
        <w:rPr>
          <w:sz w:val="24"/>
          <w:szCs w:val="24"/>
        </w:rPr>
      </w:pPr>
      <w:r w:rsidRPr="00F613F1">
        <w:rPr>
          <w:sz w:val="24"/>
          <w:szCs w:val="24"/>
        </w:rPr>
        <w:t xml:space="preserve">Religioni, U., Barrios-Rodríguez, R., Requena, P., Borowska, M. and Ostrowski, J. (2025) Enhancing therapy adherence: impact on clinical outcomes, healthcare costs, and patient quality of life. </w:t>
      </w:r>
      <w:proofErr w:type="spellStart"/>
      <w:r w:rsidRPr="00F613F1">
        <w:rPr>
          <w:sz w:val="24"/>
          <w:szCs w:val="24"/>
        </w:rPr>
        <w:t>Medicina</w:t>
      </w:r>
      <w:proofErr w:type="spellEnd"/>
      <w:r w:rsidRPr="00F613F1">
        <w:rPr>
          <w:sz w:val="24"/>
          <w:szCs w:val="24"/>
        </w:rPr>
        <w:t>, 61(1), p.153.</w:t>
      </w:r>
    </w:p>
    <w:p w14:paraId="12ED8079" w14:textId="77777777" w:rsidR="00CF7EC1" w:rsidRPr="00F613F1" w:rsidRDefault="00CF7EC1" w:rsidP="00480AFA">
      <w:pPr>
        <w:rPr>
          <w:sz w:val="24"/>
          <w:szCs w:val="24"/>
        </w:rPr>
      </w:pPr>
      <w:r w:rsidRPr="00F613F1">
        <w:rPr>
          <w:sz w:val="24"/>
          <w:szCs w:val="24"/>
        </w:rPr>
        <w:t>Rivera, V.M. (2025) Multiple Sclerosis: An Ethnically Diverse Disease with Worldwide Equity Challenges Accessing Care. Neurology International, 18(1), p.2.</w:t>
      </w:r>
    </w:p>
    <w:p w14:paraId="3C666F95" w14:textId="77777777" w:rsidR="00CF7EC1" w:rsidRPr="00F613F1" w:rsidRDefault="00CF7EC1" w:rsidP="00480AFA">
      <w:pPr>
        <w:rPr>
          <w:sz w:val="24"/>
          <w:szCs w:val="24"/>
        </w:rPr>
      </w:pPr>
      <w:r w:rsidRPr="00F613F1">
        <w:rPr>
          <w:sz w:val="24"/>
          <w:szCs w:val="24"/>
        </w:rPr>
        <w:t>Shen, Z., Hou, Y., Zhao, G., Tan, L., Chen, J., Dong, Z., Ni, C. and Pei, L. (2024) Physiological functions of glucose transporter-2: From cell physiology to links with diabetes mellitus. Heliyon, 10(3).</w:t>
      </w:r>
    </w:p>
    <w:p w14:paraId="40D387DD" w14:textId="77777777" w:rsidR="00CF7EC1" w:rsidRPr="00F613F1" w:rsidRDefault="00CF7EC1" w:rsidP="000C79CA">
      <w:pPr>
        <w:rPr>
          <w:sz w:val="24"/>
          <w:szCs w:val="24"/>
        </w:rPr>
      </w:pPr>
      <w:r w:rsidRPr="00F613F1">
        <w:rPr>
          <w:sz w:val="24"/>
          <w:szCs w:val="24"/>
        </w:rPr>
        <w:t xml:space="preserve"> Silva-Moreira, H., Moreira, F., Jesus, Â., Monteiro-Soares, M. and Santos, P. (2025) Factors Influencing the Prescription of First-Line Treatment for Type 2 Diabetes Mellitus: A Systematic Review. Diabetology, 6(10), p.114.</w:t>
      </w:r>
    </w:p>
    <w:p w14:paraId="0E0FEFDF" w14:textId="77777777" w:rsidR="00CF7EC1" w:rsidRPr="00F613F1" w:rsidRDefault="00CF7EC1" w:rsidP="00480AFA">
      <w:pPr>
        <w:rPr>
          <w:sz w:val="24"/>
          <w:szCs w:val="24"/>
        </w:rPr>
      </w:pPr>
      <w:r w:rsidRPr="00F613F1">
        <w:rPr>
          <w:sz w:val="24"/>
          <w:szCs w:val="24"/>
        </w:rPr>
        <w:t>Tegegne, B.A., Adugna, A., Yenet, A., Yihunie Belay, W., Yibeltal, Y., Dagne, A., Hibstu Teffera, Z., Amare, G.A., Abebaw, D., Tewabe, H. and Abebe, R.B. (2024) A critical review on diabetes mellitus type 1 and type 2 management approaches: from lifestyle modification to current and novel targets and therapeutic agents. Frontiers in Endocrinology, 15, p.1440456.</w:t>
      </w:r>
    </w:p>
    <w:p w14:paraId="1471F589" w14:textId="77777777" w:rsidR="00CF7EC1" w:rsidRPr="00F613F1" w:rsidRDefault="00CF7EC1" w:rsidP="00480AFA">
      <w:pPr>
        <w:rPr>
          <w:sz w:val="24"/>
          <w:szCs w:val="24"/>
        </w:rPr>
      </w:pPr>
      <w:r w:rsidRPr="00F613F1">
        <w:rPr>
          <w:sz w:val="24"/>
          <w:szCs w:val="24"/>
        </w:rPr>
        <w:t>Thompson‐Lastad, A., Chiu, D.T., Ruvalcaba, D., Chen, W.T., Tester, J., Xiao, L., Emmert‐Aronson, B.O., Chen, S. and Rosas, L.G. (2025) Food as medicine, community as medicine: mental health effects of a social care intervention. Health Services Research, 60, p.e14431.</w:t>
      </w:r>
    </w:p>
    <w:p w14:paraId="72E55318" w14:textId="77777777" w:rsidR="00CF7EC1" w:rsidRPr="00F613F1" w:rsidRDefault="00CF7EC1" w:rsidP="00480AFA">
      <w:pPr>
        <w:rPr>
          <w:sz w:val="24"/>
          <w:szCs w:val="24"/>
        </w:rPr>
      </w:pPr>
      <w:r w:rsidRPr="00F613F1">
        <w:rPr>
          <w:sz w:val="24"/>
          <w:szCs w:val="24"/>
        </w:rPr>
        <w:t>Willems, A., Mortelmans, D. and Vercruyssen, A. (2025) Perceptions of Fairness of Support Between Older Parents and Adult Children. Social Sciences, 14(1), p.44.</w:t>
      </w:r>
    </w:p>
    <w:p w14:paraId="62B1C71D" w14:textId="77777777" w:rsidR="00CF7EC1" w:rsidRPr="00F613F1" w:rsidRDefault="00CF7EC1" w:rsidP="00480AFA">
      <w:pPr>
        <w:rPr>
          <w:sz w:val="24"/>
          <w:szCs w:val="24"/>
        </w:rPr>
      </w:pPr>
      <w:r w:rsidRPr="00F613F1">
        <w:rPr>
          <w:sz w:val="24"/>
          <w:szCs w:val="24"/>
        </w:rPr>
        <w:t>Xiao, Y., Song, Z., Wei, Z., Xie, N. and Wang, Z. (2025) The experience of fear of complications among patients with type 2 diabetes mellitus: a qualitative study. Patient preference and adherence, pp.2553-2563.</w:t>
      </w:r>
    </w:p>
    <w:p w14:paraId="59308611" w14:textId="77777777" w:rsidR="00CF7EC1" w:rsidRPr="00F613F1" w:rsidRDefault="00CF7EC1" w:rsidP="00480AFA">
      <w:pPr>
        <w:rPr>
          <w:sz w:val="24"/>
          <w:szCs w:val="24"/>
        </w:rPr>
      </w:pPr>
      <w:r w:rsidRPr="00F613F1">
        <w:rPr>
          <w:sz w:val="24"/>
          <w:szCs w:val="24"/>
        </w:rPr>
        <w:t>Zorlu, T., Kayer, M.A., Okumus, N., Ulaş, T., Dal, M.S. and Altuntas, F. (2025) Challenges, difficulties, and delayed diagnosis of multiple myeloma. Diagnostics, 15(13), p.1708.</w:t>
      </w:r>
    </w:p>
    <w:p w14:paraId="3CBF1B77" w14:textId="77777777" w:rsidR="00480AFA" w:rsidRPr="00F613F1" w:rsidRDefault="00480AFA" w:rsidP="00480AFA">
      <w:pPr>
        <w:rPr>
          <w:sz w:val="24"/>
          <w:szCs w:val="24"/>
        </w:rPr>
      </w:pPr>
    </w:p>
    <w:p w14:paraId="0F72DF8A" w14:textId="77777777" w:rsidR="00947F21" w:rsidRPr="00F613F1" w:rsidRDefault="00947F21">
      <w:pPr>
        <w:rPr>
          <w:sz w:val="24"/>
          <w:szCs w:val="24"/>
        </w:rPr>
      </w:pPr>
    </w:p>
    <w:sectPr w:rsidR="00947F21" w:rsidRPr="00F613F1" w:rsidSect="008351BB">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ep="1" w:space="709"/>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88FC43" w14:textId="77777777" w:rsidR="00466066" w:rsidRDefault="00466066" w:rsidP="008C78F7">
      <w:pPr>
        <w:spacing w:before="0" w:after="0" w:line="240" w:lineRule="auto"/>
      </w:pPr>
      <w:r>
        <w:separator/>
      </w:r>
    </w:p>
  </w:endnote>
  <w:endnote w:type="continuationSeparator" w:id="0">
    <w:p w14:paraId="5E4E72FC" w14:textId="77777777" w:rsidR="00466066" w:rsidRDefault="00466066" w:rsidP="008C78F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2486236"/>
      <w:docPartObj>
        <w:docPartGallery w:val="Page Numbers (Bottom of Page)"/>
        <w:docPartUnique/>
      </w:docPartObj>
    </w:sdtPr>
    <w:sdtEndPr/>
    <w:sdtContent>
      <w:p w14:paraId="5137C996" w14:textId="5221A17C" w:rsidR="00F92527" w:rsidRDefault="00F92527">
        <w:pPr>
          <w:pStyle w:val="Footer"/>
          <w:jc w:val="right"/>
        </w:pPr>
        <w:r>
          <w:fldChar w:fldCharType="begin"/>
        </w:r>
        <w:r>
          <w:instrText>PAGE   \* MERGEFORMAT</w:instrText>
        </w:r>
        <w:r>
          <w:fldChar w:fldCharType="separate"/>
        </w:r>
        <w:r>
          <w:t>2</w:t>
        </w:r>
        <w:r>
          <w:fldChar w:fldCharType="end"/>
        </w:r>
      </w:p>
    </w:sdtContent>
  </w:sdt>
  <w:p w14:paraId="1D801F64" w14:textId="77777777" w:rsidR="00F92527" w:rsidRDefault="00F92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8FF498" w14:textId="77777777" w:rsidR="00466066" w:rsidRDefault="00466066" w:rsidP="008C78F7">
      <w:pPr>
        <w:spacing w:before="0" w:after="0" w:line="240" w:lineRule="auto"/>
      </w:pPr>
      <w:r>
        <w:separator/>
      </w:r>
    </w:p>
  </w:footnote>
  <w:footnote w:type="continuationSeparator" w:id="0">
    <w:p w14:paraId="6A127E33" w14:textId="77777777" w:rsidR="00466066" w:rsidRDefault="00466066" w:rsidP="008C78F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8D413F"/>
    <w:multiLevelType w:val="hybridMultilevel"/>
    <w:tmpl w:val="349CB622"/>
    <w:lvl w:ilvl="0" w:tplc="CF8CEBD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DEE45DB"/>
    <w:multiLevelType w:val="hybridMultilevel"/>
    <w:tmpl w:val="4DF874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6466A45"/>
    <w:multiLevelType w:val="hybridMultilevel"/>
    <w:tmpl w:val="667650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1414452">
    <w:abstractNumId w:val="0"/>
  </w:num>
  <w:num w:numId="2" w16cid:durableId="501703582">
    <w:abstractNumId w:val="2"/>
  </w:num>
  <w:num w:numId="3" w16cid:durableId="14999548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O2NDQ1MzY3MDU3NjJQ0lEKTi0uzszPAykwrAUAjUgngCwAAAA="/>
  </w:docVars>
  <w:rsids>
    <w:rsidRoot w:val="00C71619"/>
    <w:rsid w:val="00005DE4"/>
    <w:rsid w:val="000116AC"/>
    <w:rsid w:val="000147E4"/>
    <w:rsid w:val="00021157"/>
    <w:rsid w:val="000212E9"/>
    <w:rsid w:val="000229E0"/>
    <w:rsid w:val="00025F84"/>
    <w:rsid w:val="000404E6"/>
    <w:rsid w:val="00043FB3"/>
    <w:rsid w:val="000641DB"/>
    <w:rsid w:val="000663B2"/>
    <w:rsid w:val="000747A6"/>
    <w:rsid w:val="00077ED6"/>
    <w:rsid w:val="00083198"/>
    <w:rsid w:val="00087A8A"/>
    <w:rsid w:val="00095ECB"/>
    <w:rsid w:val="000A2FB1"/>
    <w:rsid w:val="000B0B60"/>
    <w:rsid w:val="000B7BE3"/>
    <w:rsid w:val="000C2983"/>
    <w:rsid w:val="000C3678"/>
    <w:rsid w:val="000C79CA"/>
    <w:rsid w:val="000E3E61"/>
    <w:rsid w:val="000F2E3B"/>
    <w:rsid w:val="0010230E"/>
    <w:rsid w:val="00113AE2"/>
    <w:rsid w:val="001241B8"/>
    <w:rsid w:val="00124392"/>
    <w:rsid w:val="001253D5"/>
    <w:rsid w:val="0012665F"/>
    <w:rsid w:val="0012706B"/>
    <w:rsid w:val="001270E3"/>
    <w:rsid w:val="00146AE2"/>
    <w:rsid w:val="001473A1"/>
    <w:rsid w:val="00152BC4"/>
    <w:rsid w:val="00153285"/>
    <w:rsid w:val="0015781C"/>
    <w:rsid w:val="001656C8"/>
    <w:rsid w:val="00174834"/>
    <w:rsid w:val="00181D0C"/>
    <w:rsid w:val="00185E81"/>
    <w:rsid w:val="001974CC"/>
    <w:rsid w:val="001A3499"/>
    <w:rsid w:val="001A7096"/>
    <w:rsid w:val="001B6FE1"/>
    <w:rsid w:val="001C1999"/>
    <w:rsid w:val="001C6B49"/>
    <w:rsid w:val="001F2A5D"/>
    <w:rsid w:val="001F7B23"/>
    <w:rsid w:val="0020057C"/>
    <w:rsid w:val="002114C4"/>
    <w:rsid w:val="00245432"/>
    <w:rsid w:val="0027076E"/>
    <w:rsid w:val="00283368"/>
    <w:rsid w:val="00296E69"/>
    <w:rsid w:val="002A1659"/>
    <w:rsid w:val="002B3310"/>
    <w:rsid w:val="002B6A78"/>
    <w:rsid w:val="002C3118"/>
    <w:rsid w:val="002C79D5"/>
    <w:rsid w:val="002D585A"/>
    <w:rsid w:val="002D5D57"/>
    <w:rsid w:val="002E67CC"/>
    <w:rsid w:val="002F088D"/>
    <w:rsid w:val="00300CB8"/>
    <w:rsid w:val="0030240A"/>
    <w:rsid w:val="003031E9"/>
    <w:rsid w:val="0031189B"/>
    <w:rsid w:val="003271E0"/>
    <w:rsid w:val="00331D49"/>
    <w:rsid w:val="00332E71"/>
    <w:rsid w:val="00337C90"/>
    <w:rsid w:val="0034094E"/>
    <w:rsid w:val="003558A0"/>
    <w:rsid w:val="003562A7"/>
    <w:rsid w:val="003607EF"/>
    <w:rsid w:val="00370690"/>
    <w:rsid w:val="0037481C"/>
    <w:rsid w:val="00383B5F"/>
    <w:rsid w:val="003866D5"/>
    <w:rsid w:val="00386F8D"/>
    <w:rsid w:val="003B0385"/>
    <w:rsid w:val="003B2BE6"/>
    <w:rsid w:val="003B5316"/>
    <w:rsid w:val="003B739B"/>
    <w:rsid w:val="003C06D3"/>
    <w:rsid w:val="003C79A7"/>
    <w:rsid w:val="003D4E6D"/>
    <w:rsid w:val="003E0F1F"/>
    <w:rsid w:val="003E4D13"/>
    <w:rsid w:val="003F0322"/>
    <w:rsid w:val="003F05F3"/>
    <w:rsid w:val="003F3933"/>
    <w:rsid w:val="004010CD"/>
    <w:rsid w:val="0041204A"/>
    <w:rsid w:val="00420ABC"/>
    <w:rsid w:val="004253AD"/>
    <w:rsid w:val="0043112E"/>
    <w:rsid w:val="004339D4"/>
    <w:rsid w:val="004351A7"/>
    <w:rsid w:val="0043610A"/>
    <w:rsid w:val="004428DC"/>
    <w:rsid w:val="00454792"/>
    <w:rsid w:val="00466066"/>
    <w:rsid w:val="00477708"/>
    <w:rsid w:val="00480AFA"/>
    <w:rsid w:val="00483C5B"/>
    <w:rsid w:val="004866B3"/>
    <w:rsid w:val="004A226C"/>
    <w:rsid w:val="004A6314"/>
    <w:rsid w:val="004B396B"/>
    <w:rsid w:val="004C367D"/>
    <w:rsid w:val="004D0D7E"/>
    <w:rsid w:val="004E16A9"/>
    <w:rsid w:val="004E4E48"/>
    <w:rsid w:val="004E6C80"/>
    <w:rsid w:val="004F3FAD"/>
    <w:rsid w:val="00507882"/>
    <w:rsid w:val="005215D4"/>
    <w:rsid w:val="00534D46"/>
    <w:rsid w:val="005409F0"/>
    <w:rsid w:val="00552002"/>
    <w:rsid w:val="00566FF1"/>
    <w:rsid w:val="00574091"/>
    <w:rsid w:val="00577799"/>
    <w:rsid w:val="00582603"/>
    <w:rsid w:val="005829F1"/>
    <w:rsid w:val="005858ED"/>
    <w:rsid w:val="005A1A2D"/>
    <w:rsid w:val="005A2425"/>
    <w:rsid w:val="005B4573"/>
    <w:rsid w:val="005B6171"/>
    <w:rsid w:val="005C0B31"/>
    <w:rsid w:val="005C17B8"/>
    <w:rsid w:val="005C5CE4"/>
    <w:rsid w:val="005E1A7F"/>
    <w:rsid w:val="005E1CEB"/>
    <w:rsid w:val="005E4B30"/>
    <w:rsid w:val="005E6817"/>
    <w:rsid w:val="005F0E6A"/>
    <w:rsid w:val="005F2FFD"/>
    <w:rsid w:val="005F71FB"/>
    <w:rsid w:val="006059C6"/>
    <w:rsid w:val="00610107"/>
    <w:rsid w:val="006102EB"/>
    <w:rsid w:val="0061741A"/>
    <w:rsid w:val="006176E2"/>
    <w:rsid w:val="00620676"/>
    <w:rsid w:val="0062608C"/>
    <w:rsid w:val="00627CC3"/>
    <w:rsid w:val="006336DB"/>
    <w:rsid w:val="00635054"/>
    <w:rsid w:val="0063634F"/>
    <w:rsid w:val="0064186F"/>
    <w:rsid w:val="006509F1"/>
    <w:rsid w:val="006636CB"/>
    <w:rsid w:val="00664DC6"/>
    <w:rsid w:val="00667A96"/>
    <w:rsid w:val="00676F4C"/>
    <w:rsid w:val="0068011C"/>
    <w:rsid w:val="00682575"/>
    <w:rsid w:val="00693010"/>
    <w:rsid w:val="006A2742"/>
    <w:rsid w:val="006B7AC3"/>
    <w:rsid w:val="006D7943"/>
    <w:rsid w:val="006F0137"/>
    <w:rsid w:val="0070407F"/>
    <w:rsid w:val="00704182"/>
    <w:rsid w:val="00705BCD"/>
    <w:rsid w:val="00712EDF"/>
    <w:rsid w:val="00726BDE"/>
    <w:rsid w:val="007434C8"/>
    <w:rsid w:val="007443B3"/>
    <w:rsid w:val="007516C0"/>
    <w:rsid w:val="00753E04"/>
    <w:rsid w:val="007662CD"/>
    <w:rsid w:val="00766434"/>
    <w:rsid w:val="00770076"/>
    <w:rsid w:val="0077230A"/>
    <w:rsid w:val="00776179"/>
    <w:rsid w:val="0078227B"/>
    <w:rsid w:val="00785DDD"/>
    <w:rsid w:val="007928BC"/>
    <w:rsid w:val="00795FD1"/>
    <w:rsid w:val="00797129"/>
    <w:rsid w:val="007A0939"/>
    <w:rsid w:val="007A2BAF"/>
    <w:rsid w:val="007A59F5"/>
    <w:rsid w:val="007A63A8"/>
    <w:rsid w:val="007B2942"/>
    <w:rsid w:val="007C03EA"/>
    <w:rsid w:val="007C2445"/>
    <w:rsid w:val="007C7836"/>
    <w:rsid w:val="007D3D76"/>
    <w:rsid w:val="007E0210"/>
    <w:rsid w:val="007F2FD6"/>
    <w:rsid w:val="00805BF6"/>
    <w:rsid w:val="00807C5D"/>
    <w:rsid w:val="008114FB"/>
    <w:rsid w:val="00814146"/>
    <w:rsid w:val="00816521"/>
    <w:rsid w:val="00821BD4"/>
    <w:rsid w:val="008351BB"/>
    <w:rsid w:val="0084505E"/>
    <w:rsid w:val="00863BFA"/>
    <w:rsid w:val="008741C1"/>
    <w:rsid w:val="00875AE0"/>
    <w:rsid w:val="00880FDF"/>
    <w:rsid w:val="0088617D"/>
    <w:rsid w:val="008A0BDE"/>
    <w:rsid w:val="008B1464"/>
    <w:rsid w:val="008B3265"/>
    <w:rsid w:val="008B776C"/>
    <w:rsid w:val="008C78F7"/>
    <w:rsid w:val="008D00FA"/>
    <w:rsid w:val="008D21C0"/>
    <w:rsid w:val="008F639E"/>
    <w:rsid w:val="009009DB"/>
    <w:rsid w:val="00902304"/>
    <w:rsid w:val="00904162"/>
    <w:rsid w:val="00904F9F"/>
    <w:rsid w:val="009117FD"/>
    <w:rsid w:val="009278B5"/>
    <w:rsid w:val="00933C1F"/>
    <w:rsid w:val="00947F21"/>
    <w:rsid w:val="00957820"/>
    <w:rsid w:val="00960AFD"/>
    <w:rsid w:val="00983251"/>
    <w:rsid w:val="009834CE"/>
    <w:rsid w:val="009922EB"/>
    <w:rsid w:val="009A11EC"/>
    <w:rsid w:val="009B0648"/>
    <w:rsid w:val="009B36D6"/>
    <w:rsid w:val="009C10A3"/>
    <w:rsid w:val="009E0800"/>
    <w:rsid w:val="009F5973"/>
    <w:rsid w:val="009F6E39"/>
    <w:rsid w:val="009F7EAA"/>
    <w:rsid w:val="00A0380A"/>
    <w:rsid w:val="00A129E7"/>
    <w:rsid w:val="00A23DAF"/>
    <w:rsid w:val="00A2583F"/>
    <w:rsid w:val="00A267D3"/>
    <w:rsid w:val="00A27518"/>
    <w:rsid w:val="00A30741"/>
    <w:rsid w:val="00A40F66"/>
    <w:rsid w:val="00A45CCD"/>
    <w:rsid w:val="00A51D15"/>
    <w:rsid w:val="00A54FAB"/>
    <w:rsid w:val="00A6628C"/>
    <w:rsid w:val="00A84100"/>
    <w:rsid w:val="00A8423C"/>
    <w:rsid w:val="00AA6480"/>
    <w:rsid w:val="00AB7F35"/>
    <w:rsid w:val="00AD08FD"/>
    <w:rsid w:val="00AD4279"/>
    <w:rsid w:val="00AD6862"/>
    <w:rsid w:val="00AE77D8"/>
    <w:rsid w:val="00AF177D"/>
    <w:rsid w:val="00B00EFD"/>
    <w:rsid w:val="00B143A7"/>
    <w:rsid w:val="00B30F0B"/>
    <w:rsid w:val="00B54DA0"/>
    <w:rsid w:val="00B7102B"/>
    <w:rsid w:val="00B71851"/>
    <w:rsid w:val="00B7187B"/>
    <w:rsid w:val="00B817AF"/>
    <w:rsid w:val="00B90A2F"/>
    <w:rsid w:val="00B97BDC"/>
    <w:rsid w:val="00BA048D"/>
    <w:rsid w:val="00BB24EF"/>
    <w:rsid w:val="00BB3CE9"/>
    <w:rsid w:val="00BC2CD9"/>
    <w:rsid w:val="00BC4456"/>
    <w:rsid w:val="00BD201B"/>
    <w:rsid w:val="00BD60FF"/>
    <w:rsid w:val="00BF0183"/>
    <w:rsid w:val="00C01D59"/>
    <w:rsid w:val="00C164A7"/>
    <w:rsid w:val="00C17190"/>
    <w:rsid w:val="00C230A6"/>
    <w:rsid w:val="00C242CF"/>
    <w:rsid w:val="00C27CBD"/>
    <w:rsid w:val="00C46108"/>
    <w:rsid w:val="00C67B6F"/>
    <w:rsid w:val="00C700DE"/>
    <w:rsid w:val="00C71619"/>
    <w:rsid w:val="00C7237C"/>
    <w:rsid w:val="00C7536D"/>
    <w:rsid w:val="00C80924"/>
    <w:rsid w:val="00C8796A"/>
    <w:rsid w:val="00C91118"/>
    <w:rsid w:val="00C960B1"/>
    <w:rsid w:val="00C97773"/>
    <w:rsid w:val="00CA3068"/>
    <w:rsid w:val="00CA64DC"/>
    <w:rsid w:val="00CB006B"/>
    <w:rsid w:val="00CB55E2"/>
    <w:rsid w:val="00CB56CF"/>
    <w:rsid w:val="00CC70FA"/>
    <w:rsid w:val="00CF723F"/>
    <w:rsid w:val="00CF7EC1"/>
    <w:rsid w:val="00D0623B"/>
    <w:rsid w:val="00D21031"/>
    <w:rsid w:val="00D24FFF"/>
    <w:rsid w:val="00D52C54"/>
    <w:rsid w:val="00D65585"/>
    <w:rsid w:val="00D70E76"/>
    <w:rsid w:val="00D75E20"/>
    <w:rsid w:val="00DA27C6"/>
    <w:rsid w:val="00DA3E7E"/>
    <w:rsid w:val="00DA4DBD"/>
    <w:rsid w:val="00DA76EA"/>
    <w:rsid w:val="00DB0758"/>
    <w:rsid w:val="00DB4653"/>
    <w:rsid w:val="00DC1E46"/>
    <w:rsid w:val="00DC50AA"/>
    <w:rsid w:val="00DD6474"/>
    <w:rsid w:val="00DE30F9"/>
    <w:rsid w:val="00DE7412"/>
    <w:rsid w:val="00DF181D"/>
    <w:rsid w:val="00E0382A"/>
    <w:rsid w:val="00E0724B"/>
    <w:rsid w:val="00E07364"/>
    <w:rsid w:val="00E11925"/>
    <w:rsid w:val="00E13EC9"/>
    <w:rsid w:val="00E161A9"/>
    <w:rsid w:val="00E1793F"/>
    <w:rsid w:val="00E24406"/>
    <w:rsid w:val="00E24CB5"/>
    <w:rsid w:val="00E32A61"/>
    <w:rsid w:val="00E33C92"/>
    <w:rsid w:val="00E40DA8"/>
    <w:rsid w:val="00E41C9A"/>
    <w:rsid w:val="00E64C44"/>
    <w:rsid w:val="00E72C40"/>
    <w:rsid w:val="00E75F18"/>
    <w:rsid w:val="00E7713A"/>
    <w:rsid w:val="00E81807"/>
    <w:rsid w:val="00E81A19"/>
    <w:rsid w:val="00E914E6"/>
    <w:rsid w:val="00EA4042"/>
    <w:rsid w:val="00EA4F95"/>
    <w:rsid w:val="00EA55C1"/>
    <w:rsid w:val="00EB561F"/>
    <w:rsid w:val="00EB6788"/>
    <w:rsid w:val="00EC5C72"/>
    <w:rsid w:val="00EE1FDD"/>
    <w:rsid w:val="00EE3025"/>
    <w:rsid w:val="00EE5260"/>
    <w:rsid w:val="00F22ED3"/>
    <w:rsid w:val="00F31274"/>
    <w:rsid w:val="00F40936"/>
    <w:rsid w:val="00F41195"/>
    <w:rsid w:val="00F42899"/>
    <w:rsid w:val="00F46755"/>
    <w:rsid w:val="00F46DC5"/>
    <w:rsid w:val="00F5082F"/>
    <w:rsid w:val="00F53BEB"/>
    <w:rsid w:val="00F613F1"/>
    <w:rsid w:val="00F71F3D"/>
    <w:rsid w:val="00F76AD6"/>
    <w:rsid w:val="00F85BF7"/>
    <w:rsid w:val="00F92527"/>
    <w:rsid w:val="00FB3D93"/>
    <w:rsid w:val="00FB55AC"/>
    <w:rsid w:val="00FC0497"/>
    <w:rsid w:val="00FC6918"/>
    <w:rsid w:val="00FD15AE"/>
    <w:rsid w:val="00FF76C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EBFE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lang w:val="en-GB" w:eastAsia="en-US" w:bidi="hi-IN"/>
        <w14:ligatures w14:val="standardContextual"/>
      </w:rPr>
    </w:rPrDefault>
    <w:pPrDefault>
      <w:pPr>
        <w:spacing w:before="240" w:after="240" w:line="360" w:lineRule="auto"/>
        <w:ind w:left="720" w:hanging="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BEB"/>
    <w:pPr>
      <w:ind w:left="0" w:firstLine="0"/>
      <w:jc w:val="both"/>
    </w:pPr>
    <w:rPr>
      <w:rFonts w:ascii="Arial" w:hAnsi="Arial" w:cs="Times New Roman"/>
      <w:szCs w:val="22"/>
      <w:lang w:bidi="ar-SA"/>
      <w14:ligatures w14:val="none"/>
    </w:rPr>
  </w:style>
  <w:style w:type="paragraph" w:styleId="Heading1">
    <w:name w:val="heading 1"/>
    <w:basedOn w:val="Normal"/>
    <w:next w:val="Normal"/>
    <w:link w:val="Heading1Char"/>
    <w:autoRedefine/>
    <w:uiPriority w:val="9"/>
    <w:qFormat/>
    <w:rsid w:val="00083198"/>
    <w:pPr>
      <w:keepNext/>
      <w:keepLines/>
      <w:spacing w:after="0"/>
      <w:outlineLvl w:val="0"/>
    </w:pPr>
    <w:rPr>
      <w:rFonts w:eastAsiaTheme="majorEastAsia" w:cstheme="majorBidi"/>
      <w:b/>
      <w:color w:val="000000" w:themeColor="text1"/>
      <w:sz w:val="28"/>
      <w:szCs w:val="28"/>
      <w:lang w:bidi="hi-IN"/>
    </w:rPr>
  </w:style>
  <w:style w:type="paragraph" w:styleId="Heading2">
    <w:name w:val="heading 2"/>
    <w:basedOn w:val="Normal"/>
    <w:next w:val="Normal"/>
    <w:link w:val="Heading2Char"/>
    <w:autoRedefine/>
    <w:uiPriority w:val="9"/>
    <w:unhideWhenUsed/>
    <w:qFormat/>
    <w:rsid w:val="0078227B"/>
    <w:pPr>
      <w:keepNext/>
      <w:keepLines/>
      <w:spacing w:before="40"/>
      <w:outlineLvl w:val="1"/>
    </w:pPr>
    <w:rPr>
      <w:rFonts w:eastAsiaTheme="majorEastAsia" w:cstheme="majorBidi"/>
      <w:b/>
      <w:i/>
      <w:color w:val="000000" w:themeColor="text1"/>
      <w:szCs w:val="26"/>
      <w:lang w:bidi="hi-IN"/>
      <w14:ligatures w14:val="standardContextual"/>
    </w:rPr>
  </w:style>
  <w:style w:type="paragraph" w:styleId="Heading3">
    <w:name w:val="heading 3"/>
    <w:basedOn w:val="Normal"/>
    <w:next w:val="Normal"/>
    <w:link w:val="Heading3Char"/>
    <w:autoRedefine/>
    <w:uiPriority w:val="9"/>
    <w:unhideWhenUsed/>
    <w:qFormat/>
    <w:rsid w:val="008B776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C71619"/>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71619"/>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7161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161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161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161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227B"/>
    <w:rPr>
      <w:rFonts w:ascii="Times New Roman" w:eastAsiaTheme="majorEastAsia" w:hAnsi="Times New Roman" w:cstheme="majorBidi"/>
      <w:b/>
      <w:i/>
      <w:color w:val="000000" w:themeColor="text1"/>
      <w:sz w:val="24"/>
      <w:szCs w:val="26"/>
    </w:rPr>
  </w:style>
  <w:style w:type="character" w:customStyle="1" w:styleId="Heading1Char">
    <w:name w:val="Heading 1 Char"/>
    <w:basedOn w:val="DefaultParagraphFont"/>
    <w:link w:val="Heading1"/>
    <w:uiPriority w:val="9"/>
    <w:rsid w:val="00083198"/>
    <w:rPr>
      <w:rFonts w:ascii="Arial" w:eastAsiaTheme="majorEastAsia" w:hAnsi="Arial" w:cstheme="majorBidi"/>
      <w:b/>
      <w:color w:val="000000" w:themeColor="text1"/>
      <w:sz w:val="28"/>
      <w:szCs w:val="28"/>
      <w14:ligatures w14:val="none"/>
    </w:rPr>
  </w:style>
  <w:style w:type="paragraph" w:styleId="Title">
    <w:name w:val="Title"/>
    <w:basedOn w:val="Normal"/>
    <w:next w:val="Normal"/>
    <w:link w:val="TitleChar"/>
    <w:autoRedefine/>
    <w:uiPriority w:val="10"/>
    <w:qFormat/>
    <w:rsid w:val="00C80924"/>
    <w:pP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C80924"/>
    <w:rPr>
      <w:rFonts w:ascii="Times New Roman" w:eastAsiaTheme="majorEastAsia" w:hAnsi="Times New Roman" w:cstheme="majorBidi"/>
      <w:b/>
      <w:spacing w:val="5"/>
      <w:kern w:val="28"/>
      <w:sz w:val="52"/>
      <w:szCs w:val="52"/>
      <w:lang w:val="en-GB"/>
    </w:rPr>
  </w:style>
  <w:style w:type="character" w:customStyle="1" w:styleId="Heading3Char">
    <w:name w:val="Heading 3 Char"/>
    <w:basedOn w:val="DefaultParagraphFont"/>
    <w:link w:val="Heading3"/>
    <w:uiPriority w:val="9"/>
    <w:rsid w:val="008B776C"/>
    <w:rPr>
      <w:rFonts w:ascii="Times New Roman" w:eastAsiaTheme="majorEastAsia" w:hAnsi="Times New Roman" w:cstheme="majorBidi"/>
      <w:b/>
      <w:sz w:val="24"/>
      <w:szCs w:val="24"/>
      <w:lang w:val="en-GB"/>
    </w:rPr>
  </w:style>
  <w:style w:type="paragraph" w:styleId="TOCHeading">
    <w:name w:val="TOC Heading"/>
    <w:basedOn w:val="Heading1"/>
    <w:next w:val="Normal"/>
    <w:autoRedefine/>
    <w:uiPriority w:val="39"/>
    <w:unhideWhenUsed/>
    <w:qFormat/>
    <w:rsid w:val="00F41195"/>
    <w:pPr>
      <w:outlineLvl w:val="9"/>
    </w:pPr>
    <w:rPr>
      <w:i/>
      <w:color w:val="auto"/>
      <w:lang w:eastAsia="en-GB"/>
    </w:rPr>
  </w:style>
  <w:style w:type="paragraph" w:styleId="Caption">
    <w:name w:val="caption"/>
    <w:basedOn w:val="Normal"/>
    <w:next w:val="Normal"/>
    <w:autoRedefine/>
    <w:uiPriority w:val="35"/>
    <w:unhideWhenUsed/>
    <w:qFormat/>
    <w:rsid w:val="00CF723F"/>
    <w:pPr>
      <w:jc w:val="center"/>
    </w:pPr>
    <w:rPr>
      <w:b/>
      <w:i/>
      <w:iCs/>
      <w:szCs w:val="18"/>
    </w:rPr>
  </w:style>
  <w:style w:type="paragraph" w:styleId="ListParagraph">
    <w:name w:val="List Paragraph"/>
    <w:basedOn w:val="Normal"/>
    <w:autoRedefine/>
    <w:uiPriority w:val="34"/>
    <w:qFormat/>
    <w:rsid w:val="00C91118"/>
    <w:pPr>
      <w:ind w:left="720"/>
      <w:contextualSpacing/>
    </w:pPr>
    <w:rPr>
      <w:lang w:val="en-US"/>
    </w:rPr>
  </w:style>
  <w:style w:type="character" w:customStyle="1" w:styleId="Heading4Char">
    <w:name w:val="Heading 4 Char"/>
    <w:basedOn w:val="DefaultParagraphFont"/>
    <w:link w:val="Heading4"/>
    <w:uiPriority w:val="9"/>
    <w:semiHidden/>
    <w:rsid w:val="00C71619"/>
    <w:rPr>
      <w:rFonts w:eastAsiaTheme="majorEastAsia" w:cstheme="majorBidi"/>
      <w:i/>
      <w:iCs/>
      <w:color w:val="365F91" w:themeColor="accent1" w:themeShade="BF"/>
      <w:sz w:val="24"/>
      <w:szCs w:val="22"/>
      <w:lang w:bidi="ar-SA"/>
      <w14:ligatures w14:val="none"/>
    </w:rPr>
  </w:style>
  <w:style w:type="character" w:customStyle="1" w:styleId="Heading5Char">
    <w:name w:val="Heading 5 Char"/>
    <w:basedOn w:val="DefaultParagraphFont"/>
    <w:link w:val="Heading5"/>
    <w:uiPriority w:val="9"/>
    <w:semiHidden/>
    <w:rsid w:val="00C71619"/>
    <w:rPr>
      <w:rFonts w:eastAsiaTheme="majorEastAsia" w:cstheme="majorBidi"/>
      <w:color w:val="365F91" w:themeColor="accent1" w:themeShade="BF"/>
      <w:sz w:val="24"/>
      <w:szCs w:val="22"/>
      <w:lang w:bidi="ar-SA"/>
      <w14:ligatures w14:val="none"/>
    </w:rPr>
  </w:style>
  <w:style w:type="character" w:customStyle="1" w:styleId="Heading6Char">
    <w:name w:val="Heading 6 Char"/>
    <w:basedOn w:val="DefaultParagraphFont"/>
    <w:link w:val="Heading6"/>
    <w:uiPriority w:val="9"/>
    <w:semiHidden/>
    <w:rsid w:val="00C71619"/>
    <w:rPr>
      <w:rFonts w:eastAsiaTheme="majorEastAsia" w:cstheme="majorBidi"/>
      <w:i/>
      <w:iCs/>
      <w:color w:val="595959" w:themeColor="text1" w:themeTint="A6"/>
      <w:sz w:val="24"/>
      <w:szCs w:val="22"/>
      <w:lang w:bidi="ar-SA"/>
      <w14:ligatures w14:val="none"/>
    </w:rPr>
  </w:style>
  <w:style w:type="character" w:customStyle="1" w:styleId="Heading7Char">
    <w:name w:val="Heading 7 Char"/>
    <w:basedOn w:val="DefaultParagraphFont"/>
    <w:link w:val="Heading7"/>
    <w:uiPriority w:val="9"/>
    <w:semiHidden/>
    <w:rsid w:val="00C71619"/>
    <w:rPr>
      <w:rFonts w:eastAsiaTheme="majorEastAsia" w:cstheme="majorBidi"/>
      <w:color w:val="595959" w:themeColor="text1" w:themeTint="A6"/>
      <w:sz w:val="24"/>
      <w:szCs w:val="22"/>
      <w:lang w:bidi="ar-SA"/>
      <w14:ligatures w14:val="none"/>
    </w:rPr>
  </w:style>
  <w:style w:type="character" w:customStyle="1" w:styleId="Heading8Char">
    <w:name w:val="Heading 8 Char"/>
    <w:basedOn w:val="DefaultParagraphFont"/>
    <w:link w:val="Heading8"/>
    <w:uiPriority w:val="9"/>
    <w:semiHidden/>
    <w:rsid w:val="00C71619"/>
    <w:rPr>
      <w:rFonts w:eastAsiaTheme="majorEastAsia" w:cstheme="majorBidi"/>
      <w:i/>
      <w:iCs/>
      <w:color w:val="272727" w:themeColor="text1" w:themeTint="D8"/>
      <w:sz w:val="24"/>
      <w:szCs w:val="22"/>
      <w:lang w:bidi="ar-SA"/>
      <w14:ligatures w14:val="none"/>
    </w:rPr>
  </w:style>
  <w:style w:type="character" w:customStyle="1" w:styleId="Heading9Char">
    <w:name w:val="Heading 9 Char"/>
    <w:basedOn w:val="DefaultParagraphFont"/>
    <w:link w:val="Heading9"/>
    <w:uiPriority w:val="9"/>
    <w:semiHidden/>
    <w:rsid w:val="00C71619"/>
    <w:rPr>
      <w:rFonts w:eastAsiaTheme="majorEastAsia" w:cstheme="majorBidi"/>
      <w:color w:val="272727" w:themeColor="text1" w:themeTint="D8"/>
      <w:sz w:val="24"/>
      <w:szCs w:val="22"/>
      <w:lang w:bidi="ar-SA"/>
      <w14:ligatures w14:val="none"/>
    </w:rPr>
  </w:style>
  <w:style w:type="paragraph" w:styleId="Subtitle">
    <w:name w:val="Subtitle"/>
    <w:basedOn w:val="Normal"/>
    <w:next w:val="Normal"/>
    <w:link w:val="SubtitleChar"/>
    <w:uiPriority w:val="11"/>
    <w:qFormat/>
    <w:rsid w:val="00C7161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619"/>
    <w:rPr>
      <w:rFonts w:eastAsiaTheme="majorEastAsia" w:cstheme="majorBidi"/>
      <w:color w:val="595959" w:themeColor="text1" w:themeTint="A6"/>
      <w:spacing w:val="15"/>
      <w:sz w:val="28"/>
      <w:szCs w:val="28"/>
      <w:lang w:bidi="ar-SA"/>
      <w14:ligatures w14:val="none"/>
    </w:rPr>
  </w:style>
  <w:style w:type="paragraph" w:styleId="Quote">
    <w:name w:val="Quote"/>
    <w:basedOn w:val="Normal"/>
    <w:next w:val="Normal"/>
    <w:link w:val="QuoteChar"/>
    <w:uiPriority w:val="29"/>
    <w:qFormat/>
    <w:rsid w:val="00C7161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1619"/>
    <w:rPr>
      <w:rFonts w:ascii="Times New Roman" w:hAnsi="Times New Roman" w:cs="Times New Roman"/>
      <w:i/>
      <w:iCs/>
      <w:color w:val="404040" w:themeColor="text1" w:themeTint="BF"/>
      <w:sz w:val="24"/>
      <w:szCs w:val="22"/>
      <w:lang w:bidi="ar-SA"/>
      <w14:ligatures w14:val="none"/>
    </w:rPr>
  </w:style>
  <w:style w:type="character" w:styleId="IntenseEmphasis">
    <w:name w:val="Intense Emphasis"/>
    <w:basedOn w:val="DefaultParagraphFont"/>
    <w:uiPriority w:val="21"/>
    <w:qFormat/>
    <w:rsid w:val="00C71619"/>
    <w:rPr>
      <w:i/>
      <w:iCs/>
      <w:color w:val="365F91" w:themeColor="accent1" w:themeShade="BF"/>
    </w:rPr>
  </w:style>
  <w:style w:type="paragraph" w:styleId="IntenseQuote">
    <w:name w:val="Intense Quote"/>
    <w:basedOn w:val="Normal"/>
    <w:next w:val="Normal"/>
    <w:link w:val="IntenseQuoteChar"/>
    <w:uiPriority w:val="30"/>
    <w:qFormat/>
    <w:rsid w:val="00C7161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71619"/>
    <w:rPr>
      <w:rFonts w:ascii="Times New Roman" w:hAnsi="Times New Roman" w:cs="Times New Roman"/>
      <w:i/>
      <w:iCs/>
      <w:color w:val="365F91" w:themeColor="accent1" w:themeShade="BF"/>
      <w:sz w:val="24"/>
      <w:szCs w:val="22"/>
      <w:lang w:bidi="ar-SA"/>
      <w14:ligatures w14:val="none"/>
    </w:rPr>
  </w:style>
  <w:style w:type="character" w:styleId="IntenseReference">
    <w:name w:val="Intense Reference"/>
    <w:basedOn w:val="DefaultParagraphFont"/>
    <w:uiPriority w:val="32"/>
    <w:qFormat/>
    <w:rsid w:val="00C71619"/>
    <w:rPr>
      <w:b/>
      <w:bCs/>
      <w:smallCaps/>
      <w:color w:val="365F91" w:themeColor="accent1" w:themeShade="BF"/>
      <w:spacing w:val="5"/>
    </w:rPr>
  </w:style>
  <w:style w:type="paragraph" w:styleId="Header">
    <w:name w:val="header"/>
    <w:basedOn w:val="Normal"/>
    <w:link w:val="HeaderChar"/>
    <w:uiPriority w:val="99"/>
    <w:unhideWhenUsed/>
    <w:rsid w:val="008C78F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78F7"/>
    <w:rPr>
      <w:rFonts w:ascii="Times New Roman" w:hAnsi="Times New Roman" w:cs="Times New Roman"/>
      <w:sz w:val="24"/>
      <w:szCs w:val="22"/>
      <w:lang w:bidi="ar-SA"/>
      <w14:ligatures w14:val="none"/>
    </w:rPr>
  </w:style>
  <w:style w:type="paragraph" w:styleId="Footer">
    <w:name w:val="footer"/>
    <w:basedOn w:val="Normal"/>
    <w:link w:val="FooterChar"/>
    <w:uiPriority w:val="99"/>
    <w:unhideWhenUsed/>
    <w:rsid w:val="008C78F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78F7"/>
    <w:rPr>
      <w:rFonts w:ascii="Times New Roman" w:hAnsi="Times New Roman" w:cs="Times New Roman"/>
      <w:sz w:val="24"/>
      <w:szCs w:val="22"/>
      <w:lang w:bidi="ar-SA"/>
      <w14:ligatures w14:val="none"/>
    </w:rPr>
  </w:style>
  <w:style w:type="paragraph" w:styleId="TOC1">
    <w:name w:val="toc 1"/>
    <w:basedOn w:val="Normal"/>
    <w:next w:val="Normal"/>
    <w:autoRedefine/>
    <w:uiPriority w:val="39"/>
    <w:unhideWhenUsed/>
    <w:rsid w:val="00947F21"/>
    <w:pPr>
      <w:spacing w:after="100"/>
    </w:pPr>
  </w:style>
  <w:style w:type="character" w:styleId="Hyperlink">
    <w:name w:val="Hyperlink"/>
    <w:basedOn w:val="DefaultParagraphFont"/>
    <w:uiPriority w:val="99"/>
    <w:unhideWhenUsed/>
    <w:rsid w:val="00947F21"/>
    <w:rPr>
      <w:color w:val="0000FF" w:themeColor="hyperlink"/>
      <w:u w:val="single"/>
    </w:rPr>
  </w:style>
  <w:style w:type="paragraph" w:styleId="TOC2">
    <w:name w:val="toc 2"/>
    <w:basedOn w:val="Normal"/>
    <w:next w:val="Normal"/>
    <w:autoRedefine/>
    <w:uiPriority w:val="39"/>
    <w:unhideWhenUsed/>
    <w:rsid w:val="001473A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idf.org/about-diabetes/diabetes-facts-figur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igital.nhs.uk/data-and-information/clinical-audits-and-registries/national-diabetes-audi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healthawareness.co.uk/diabetes/diabetes-costs-the-nhs-approx-1-million-an-hour/" TargetMode="External"/><Relationship Id="rId25" Type="http://schemas.openxmlformats.org/officeDocument/2006/relationships/hyperlink" Target="https://www.niddk.nih.gov/health-information/health-statistics/overweight-obesity" TargetMode="External"/><Relationship Id="rId2" Type="http://schemas.openxmlformats.org/officeDocument/2006/relationships/numbering" Target="numbering.xml"/><Relationship Id="rId16" Type="http://schemas.openxmlformats.org/officeDocument/2006/relationships/hyperlink" Target="https://www.diabetes.org.uk/about-us/news-and-views/one-five-adults-now-live-diabetes-or-prediabetes-uk" TargetMode="External"/><Relationship Id="rId20" Type="http://schemas.openxmlformats.org/officeDocument/2006/relationships/hyperlink" Target="https://www.england.nhs.uk/2022/03/nhs-prevention-programme-cuts-chances-of-type-2-diabetes-for-thousa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clinicaltrials.gov/study/NCT07017127" TargetMode="External"/><Relationship Id="rId5" Type="http://schemas.openxmlformats.org/officeDocument/2006/relationships/webSettings" Target="webSettings.xml"/><Relationship Id="rId15" Type="http://schemas.openxmlformats.org/officeDocument/2006/relationships/hyperlink" Target="https://www.diabetes.org.uk/about-us/news-and-views/number-people-living-diabetes-uk-tops-5-million-first-time" TargetMode="External"/><Relationship Id="rId23" Type="http://schemas.openxmlformats.org/officeDocument/2006/relationships/hyperlink" Target="https://www.nice.org.uk/guidance/ng28/chapter/Blood-glucose-management" TargetMode="External"/><Relationship Id="rId10" Type="http://schemas.openxmlformats.org/officeDocument/2006/relationships/image" Target="media/image2.png"/><Relationship Id="rId19" Type="http://schemas.openxmlformats.org/officeDocument/2006/relationships/hyperlink" Target="https://www.ncbi.nlm.nih.gov/books/NBK58193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ncbi.nlm.nih.gov/books/NBK592412/" TargetMode="External"/><Relationship Id="rId22" Type="http://schemas.openxmlformats.org/officeDocument/2006/relationships/hyperlink" Target="https://www.england.nhs.uk/diabetes/diabetes-preven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8F817BB-88E8-4351-8C8D-45A246DDA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5090</Words>
  <Characters>29016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2026-02-24T05:55:00Z</dcterms:created>
  <dcterms:modified xsi:type="dcterms:W3CDTF">2026-03-18T21:11:00Z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232aae2c-a720-4f72-bc4b-96d33ec694cc</vt:lpwstr>
  </property>
</Properties>
</file>