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9ABFB" w14:textId="77777777" w:rsidR="00A974D2" w:rsidRPr="00F70272" w:rsidRDefault="00F70272" w:rsidP="00F70272">
      <w:pPr>
        <w:spacing w:line="360" w:lineRule="auto"/>
        <w:jc w:val="center"/>
        <w:rPr>
          <w:b/>
          <w:color w:val="000000" w:themeColor="text1"/>
          <w:sz w:val="32"/>
          <w:szCs w:val="32"/>
        </w:rPr>
      </w:pPr>
      <w:r w:rsidRPr="00F70272">
        <w:rPr>
          <w:b/>
          <w:color w:val="000000" w:themeColor="text1"/>
          <w:sz w:val="32"/>
          <w:szCs w:val="32"/>
        </w:rPr>
        <w:t xml:space="preserve">Module Title: </w:t>
      </w:r>
      <w:r w:rsidR="007B1F7E" w:rsidRPr="00F70272">
        <w:rPr>
          <w:b/>
          <w:color w:val="000000" w:themeColor="text1"/>
          <w:sz w:val="32"/>
          <w:szCs w:val="32"/>
        </w:rPr>
        <w:t xml:space="preserve">Personnel Resourcing and Development </w:t>
      </w:r>
      <w:r w:rsidRPr="00F70272">
        <w:rPr>
          <w:b/>
          <w:color w:val="000000" w:themeColor="text1"/>
          <w:sz w:val="32"/>
          <w:szCs w:val="32"/>
        </w:rPr>
        <w:t xml:space="preserve">Module Code: </w:t>
      </w:r>
      <w:r w:rsidR="007B1F7E" w:rsidRPr="00F70272">
        <w:rPr>
          <w:b/>
          <w:color w:val="000000" w:themeColor="text1"/>
          <w:sz w:val="32"/>
          <w:szCs w:val="32"/>
        </w:rPr>
        <w:t>BMIH5005</w:t>
      </w:r>
    </w:p>
    <w:p w14:paraId="107785EB" w14:textId="77777777" w:rsidR="00A974D2" w:rsidRPr="00F70272" w:rsidRDefault="00F70272" w:rsidP="00B84A70">
      <w:pPr>
        <w:spacing w:line="360" w:lineRule="auto"/>
        <w:jc w:val="center"/>
        <w:rPr>
          <w:b/>
          <w:color w:val="000000" w:themeColor="text1"/>
          <w:sz w:val="32"/>
          <w:szCs w:val="32"/>
        </w:rPr>
      </w:pPr>
      <w:r w:rsidRPr="00F70272">
        <w:rPr>
          <w:b/>
          <w:color w:val="000000" w:themeColor="text1"/>
          <w:sz w:val="32"/>
          <w:szCs w:val="32"/>
        </w:rPr>
        <w:t>Lecturer’s N</w:t>
      </w:r>
      <w:r w:rsidR="007B1F7E" w:rsidRPr="00F70272">
        <w:rPr>
          <w:b/>
          <w:color w:val="000000" w:themeColor="text1"/>
          <w:sz w:val="32"/>
          <w:szCs w:val="32"/>
        </w:rPr>
        <w:t>ame: Helen Lee</w:t>
      </w:r>
    </w:p>
    <w:p w14:paraId="545931A8" w14:textId="77777777" w:rsidR="00F70272" w:rsidRPr="00F70272" w:rsidRDefault="00F70272" w:rsidP="00F70272">
      <w:pPr>
        <w:spacing w:line="360" w:lineRule="auto"/>
        <w:jc w:val="center"/>
        <w:rPr>
          <w:b/>
          <w:color w:val="000000" w:themeColor="text1"/>
          <w:sz w:val="32"/>
          <w:szCs w:val="32"/>
        </w:rPr>
      </w:pPr>
      <w:r w:rsidRPr="00F70272">
        <w:rPr>
          <w:b/>
          <w:color w:val="000000" w:themeColor="text1"/>
          <w:sz w:val="32"/>
          <w:szCs w:val="32"/>
        </w:rPr>
        <w:t>Student’s Name: Daniel Ranga</w:t>
      </w:r>
    </w:p>
    <w:p w14:paraId="7CD2D717" w14:textId="401F4033" w:rsidR="00F70272" w:rsidRPr="00F70272" w:rsidRDefault="00F70272" w:rsidP="00F70272">
      <w:pPr>
        <w:spacing w:line="360" w:lineRule="auto"/>
        <w:jc w:val="center"/>
        <w:rPr>
          <w:b/>
          <w:color w:val="000000" w:themeColor="text1"/>
          <w:sz w:val="32"/>
          <w:szCs w:val="32"/>
        </w:rPr>
      </w:pPr>
      <w:r w:rsidRPr="00F70272">
        <w:rPr>
          <w:b/>
          <w:color w:val="000000" w:themeColor="text1"/>
          <w:sz w:val="32"/>
          <w:szCs w:val="32"/>
        </w:rPr>
        <w:t xml:space="preserve">Student ID Number: </w:t>
      </w:r>
      <w:r w:rsidR="0005186A" w:rsidRPr="0005186A">
        <w:rPr>
          <w:b/>
          <w:bCs/>
          <w:color w:val="000000" w:themeColor="text1"/>
          <w:sz w:val="32"/>
          <w:szCs w:val="32"/>
        </w:rPr>
        <w:t>2118951</w:t>
      </w:r>
    </w:p>
    <w:p w14:paraId="3F927E1F" w14:textId="77777777" w:rsidR="00F70272" w:rsidRPr="00F70272" w:rsidRDefault="00F70272" w:rsidP="00F70272">
      <w:pPr>
        <w:spacing w:line="360" w:lineRule="auto"/>
        <w:jc w:val="center"/>
        <w:rPr>
          <w:b/>
          <w:color w:val="000000" w:themeColor="text1"/>
          <w:sz w:val="32"/>
          <w:szCs w:val="32"/>
        </w:rPr>
      </w:pPr>
      <w:r w:rsidRPr="00F70272">
        <w:rPr>
          <w:b/>
          <w:color w:val="000000" w:themeColor="text1"/>
          <w:sz w:val="32"/>
          <w:szCs w:val="32"/>
        </w:rPr>
        <w:t xml:space="preserve">Topic: How to engage employees (Generation </w:t>
      </w:r>
      <w:proofErr w:type="spellStart"/>
      <w:r w:rsidRPr="00F70272">
        <w:rPr>
          <w:b/>
          <w:color w:val="000000" w:themeColor="text1"/>
          <w:sz w:val="32"/>
          <w:szCs w:val="32"/>
        </w:rPr>
        <w:t>Ys</w:t>
      </w:r>
      <w:proofErr w:type="spellEnd"/>
      <w:r w:rsidRPr="00F70272">
        <w:rPr>
          <w:b/>
          <w:color w:val="000000" w:themeColor="text1"/>
          <w:sz w:val="32"/>
          <w:szCs w:val="32"/>
        </w:rPr>
        <w:t xml:space="preserve"> or Generation Zs) throughout the employee lifecycle?</w:t>
      </w:r>
    </w:p>
    <w:p w14:paraId="71FD5356" w14:textId="77777777" w:rsidR="00F70272" w:rsidRPr="00F70272" w:rsidRDefault="00F70272" w:rsidP="00B84A70">
      <w:pPr>
        <w:spacing w:line="360" w:lineRule="auto"/>
        <w:jc w:val="center"/>
        <w:rPr>
          <w:b/>
          <w:color w:val="000000" w:themeColor="text1"/>
          <w:sz w:val="24"/>
          <w:szCs w:val="24"/>
        </w:rPr>
      </w:pPr>
    </w:p>
    <w:p w14:paraId="1E72EF8C" w14:textId="77777777" w:rsidR="00A974D2" w:rsidRPr="00F70272" w:rsidRDefault="007B1F7E" w:rsidP="00B84A70">
      <w:pPr>
        <w:spacing w:line="360" w:lineRule="auto"/>
        <w:jc w:val="center"/>
        <w:rPr>
          <w:b/>
          <w:color w:val="000000" w:themeColor="text1"/>
          <w:sz w:val="24"/>
          <w:szCs w:val="24"/>
        </w:rPr>
      </w:pPr>
      <w:r w:rsidRPr="00F70272">
        <w:rPr>
          <w:color w:val="000000" w:themeColor="text1"/>
          <w:sz w:val="24"/>
          <w:szCs w:val="24"/>
        </w:rPr>
        <w:br w:type="page"/>
      </w:r>
    </w:p>
    <w:p w14:paraId="3A5C9784" w14:textId="77777777" w:rsidR="00A974D2" w:rsidRPr="00F70272" w:rsidRDefault="007B1F7E" w:rsidP="00B84A70">
      <w:pPr>
        <w:spacing w:line="360" w:lineRule="auto"/>
        <w:jc w:val="center"/>
        <w:rPr>
          <w:b/>
          <w:color w:val="000000" w:themeColor="text1"/>
          <w:sz w:val="24"/>
          <w:szCs w:val="24"/>
          <w:u w:val="single"/>
        </w:rPr>
      </w:pPr>
      <w:r w:rsidRPr="00F70272">
        <w:rPr>
          <w:b/>
          <w:color w:val="000000" w:themeColor="text1"/>
          <w:sz w:val="24"/>
          <w:szCs w:val="24"/>
          <w:u w:val="single"/>
        </w:rPr>
        <w:lastRenderedPageBreak/>
        <w:t>Table of Content</w:t>
      </w:r>
      <w:bookmarkStart w:id="0" w:name="_h0p6sk9zzswv" w:colFirst="0" w:colLast="0"/>
      <w:bookmarkEnd w:id="0"/>
      <w:r w:rsidR="00F70272" w:rsidRPr="00F70272">
        <w:rPr>
          <w:b/>
          <w:color w:val="000000" w:themeColor="text1"/>
          <w:sz w:val="24"/>
          <w:szCs w:val="24"/>
          <w:u w:val="single"/>
        </w:rPr>
        <w:t>s</w:t>
      </w:r>
    </w:p>
    <w:sdt>
      <w:sdtPr>
        <w:rPr>
          <w:color w:val="000000" w:themeColor="text1"/>
          <w:sz w:val="24"/>
          <w:szCs w:val="24"/>
        </w:rPr>
        <w:id w:val="-12377405"/>
        <w:docPartObj>
          <w:docPartGallery w:val="Table of Contents"/>
          <w:docPartUnique/>
        </w:docPartObj>
      </w:sdtPr>
      <w:sdtContent>
        <w:p w14:paraId="0D2D6BA3" w14:textId="77777777" w:rsidR="00B84A70" w:rsidRPr="00F70272" w:rsidRDefault="00031FE0" w:rsidP="00B84A70">
          <w:pPr>
            <w:pStyle w:val="TOC1"/>
            <w:tabs>
              <w:tab w:val="right" w:leader="dot" w:pos="9350"/>
            </w:tabs>
            <w:spacing w:line="360" w:lineRule="auto"/>
            <w:jc w:val="both"/>
            <w:rPr>
              <w:noProof/>
              <w:color w:val="000000" w:themeColor="text1"/>
              <w:sz w:val="24"/>
              <w:szCs w:val="24"/>
            </w:rPr>
          </w:pPr>
          <w:r w:rsidRPr="00F70272">
            <w:rPr>
              <w:color w:val="000000" w:themeColor="text1"/>
              <w:sz w:val="24"/>
              <w:szCs w:val="24"/>
            </w:rPr>
            <w:fldChar w:fldCharType="begin"/>
          </w:r>
          <w:r w:rsidR="007B1F7E" w:rsidRPr="00F70272">
            <w:rPr>
              <w:color w:val="000000" w:themeColor="text1"/>
              <w:sz w:val="24"/>
              <w:szCs w:val="24"/>
            </w:rPr>
            <w:instrText xml:space="preserve"> TOC \h \u \z \t "Heading 1,1,Heading 2,2,Heading 3,3,Heading 4,4,Heading 5,5,Heading 6,6,"</w:instrText>
          </w:r>
          <w:r w:rsidRPr="00F70272">
            <w:rPr>
              <w:color w:val="000000" w:themeColor="text1"/>
              <w:sz w:val="24"/>
              <w:szCs w:val="24"/>
            </w:rPr>
            <w:fldChar w:fldCharType="separate"/>
          </w:r>
          <w:hyperlink w:anchor="_Toc147319034" w:history="1">
            <w:r w:rsidR="00B84A70" w:rsidRPr="00F70272">
              <w:rPr>
                <w:rStyle w:val="Hyperlink"/>
                <w:noProof/>
                <w:color w:val="000000" w:themeColor="text1"/>
                <w:sz w:val="24"/>
                <w:szCs w:val="24"/>
              </w:rPr>
              <w:t>Introduction</w:t>
            </w:r>
            <w:r w:rsidR="00B84A70" w:rsidRPr="00F70272">
              <w:rPr>
                <w:noProof/>
                <w:webHidden/>
                <w:color w:val="000000" w:themeColor="text1"/>
                <w:sz w:val="24"/>
                <w:szCs w:val="24"/>
              </w:rPr>
              <w:tab/>
            </w:r>
            <w:r w:rsidRPr="00F70272">
              <w:rPr>
                <w:noProof/>
                <w:webHidden/>
                <w:color w:val="000000" w:themeColor="text1"/>
                <w:sz w:val="24"/>
                <w:szCs w:val="24"/>
              </w:rPr>
              <w:fldChar w:fldCharType="begin"/>
            </w:r>
            <w:r w:rsidR="00B84A70" w:rsidRPr="00F70272">
              <w:rPr>
                <w:noProof/>
                <w:webHidden/>
                <w:color w:val="000000" w:themeColor="text1"/>
                <w:sz w:val="24"/>
                <w:szCs w:val="24"/>
              </w:rPr>
              <w:instrText xml:space="preserve"> PAGEREF _Toc147319034 \h </w:instrText>
            </w:r>
            <w:r w:rsidRPr="00F70272">
              <w:rPr>
                <w:noProof/>
                <w:webHidden/>
                <w:color w:val="000000" w:themeColor="text1"/>
                <w:sz w:val="24"/>
                <w:szCs w:val="24"/>
              </w:rPr>
            </w:r>
            <w:r w:rsidRPr="00F70272">
              <w:rPr>
                <w:noProof/>
                <w:webHidden/>
                <w:color w:val="000000" w:themeColor="text1"/>
                <w:sz w:val="24"/>
                <w:szCs w:val="24"/>
              </w:rPr>
              <w:fldChar w:fldCharType="separate"/>
            </w:r>
            <w:r w:rsidR="00B84A70" w:rsidRPr="00F70272">
              <w:rPr>
                <w:noProof/>
                <w:webHidden/>
                <w:color w:val="000000" w:themeColor="text1"/>
                <w:sz w:val="24"/>
                <w:szCs w:val="24"/>
              </w:rPr>
              <w:t>3</w:t>
            </w:r>
            <w:r w:rsidRPr="00F70272">
              <w:rPr>
                <w:noProof/>
                <w:webHidden/>
                <w:color w:val="000000" w:themeColor="text1"/>
                <w:sz w:val="24"/>
                <w:szCs w:val="24"/>
              </w:rPr>
              <w:fldChar w:fldCharType="end"/>
            </w:r>
          </w:hyperlink>
        </w:p>
        <w:p w14:paraId="22870709" w14:textId="77777777" w:rsidR="00B84A70" w:rsidRPr="00F70272" w:rsidRDefault="00000000" w:rsidP="00B84A70">
          <w:pPr>
            <w:pStyle w:val="TOC1"/>
            <w:tabs>
              <w:tab w:val="right" w:leader="dot" w:pos="9350"/>
            </w:tabs>
            <w:spacing w:line="360" w:lineRule="auto"/>
            <w:jc w:val="both"/>
            <w:rPr>
              <w:noProof/>
              <w:color w:val="000000" w:themeColor="text1"/>
              <w:sz w:val="24"/>
              <w:szCs w:val="24"/>
            </w:rPr>
          </w:pPr>
          <w:hyperlink w:anchor="_Toc147319035" w:history="1">
            <w:r w:rsidR="00B84A70" w:rsidRPr="00F70272">
              <w:rPr>
                <w:rStyle w:val="Hyperlink"/>
                <w:noProof/>
                <w:color w:val="000000" w:themeColor="text1"/>
                <w:sz w:val="24"/>
                <w:szCs w:val="24"/>
              </w:rPr>
              <w:t>Main Body</w:t>
            </w:r>
            <w:r w:rsidR="00B84A70" w:rsidRPr="00F70272">
              <w:rPr>
                <w:noProof/>
                <w:webHidden/>
                <w:color w:val="000000" w:themeColor="text1"/>
                <w:sz w:val="24"/>
                <w:szCs w:val="24"/>
              </w:rPr>
              <w:tab/>
            </w:r>
            <w:r w:rsidR="00031FE0" w:rsidRPr="00F70272">
              <w:rPr>
                <w:noProof/>
                <w:webHidden/>
                <w:color w:val="000000" w:themeColor="text1"/>
                <w:sz w:val="24"/>
                <w:szCs w:val="24"/>
              </w:rPr>
              <w:fldChar w:fldCharType="begin"/>
            </w:r>
            <w:r w:rsidR="00B84A70" w:rsidRPr="00F70272">
              <w:rPr>
                <w:noProof/>
                <w:webHidden/>
                <w:color w:val="000000" w:themeColor="text1"/>
                <w:sz w:val="24"/>
                <w:szCs w:val="24"/>
              </w:rPr>
              <w:instrText xml:space="preserve"> PAGEREF _Toc147319035 \h </w:instrText>
            </w:r>
            <w:r w:rsidR="00031FE0" w:rsidRPr="00F70272">
              <w:rPr>
                <w:noProof/>
                <w:webHidden/>
                <w:color w:val="000000" w:themeColor="text1"/>
                <w:sz w:val="24"/>
                <w:szCs w:val="24"/>
              </w:rPr>
            </w:r>
            <w:r w:rsidR="00031FE0" w:rsidRPr="00F70272">
              <w:rPr>
                <w:noProof/>
                <w:webHidden/>
                <w:color w:val="000000" w:themeColor="text1"/>
                <w:sz w:val="24"/>
                <w:szCs w:val="24"/>
              </w:rPr>
              <w:fldChar w:fldCharType="separate"/>
            </w:r>
            <w:r w:rsidR="00B84A70" w:rsidRPr="00F70272">
              <w:rPr>
                <w:noProof/>
                <w:webHidden/>
                <w:color w:val="000000" w:themeColor="text1"/>
                <w:sz w:val="24"/>
                <w:szCs w:val="24"/>
              </w:rPr>
              <w:t>4</w:t>
            </w:r>
            <w:r w:rsidR="00031FE0" w:rsidRPr="00F70272">
              <w:rPr>
                <w:noProof/>
                <w:webHidden/>
                <w:color w:val="000000" w:themeColor="text1"/>
                <w:sz w:val="24"/>
                <w:szCs w:val="24"/>
              </w:rPr>
              <w:fldChar w:fldCharType="end"/>
            </w:r>
          </w:hyperlink>
        </w:p>
        <w:p w14:paraId="3125AE4D" w14:textId="77777777" w:rsidR="00B84A70" w:rsidRPr="00F70272" w:rsidRDefault="00000000" w:rsidP="00B84A70">
          <w:pPr>
            <w:pStyle w:val="TOC1"/>
            <w:tabs>
              <w:tab w:val="right" w:leader="dot" w:pos="9350"/>
            </w:tabs>
            <w:spacing w:line="360" w:lineRule="auto"/>
            <w:jc w:val="both"/>
            <w:rPr>
              <w:noProof/>
              <w:color w:val="000000" w:themeColor="text1"/>
              <w:sz w:val="24"/>
              <w:szCs w:val="24"/>
            </w:rPr>
          </w:pPr>
          <w:hyperlink w:anchor="_Toc147319036" w:history="1">
            <w:r w:rsidR="00B84A70" w:rsidRPr="00F70272">
              <w:rPr>
                <w:rStyle w:val="Hyperlink"/>
                <w:noProof/>
                <w:color w:val="000000" w:themeColor="text1"/>
                <w:sz w:val="24"/>
                <w:szCs w:val="24"/>
              </w:rPr>
              <w:t>Conclusion</w:t>
            </w:r>
            <w:r w:rsidR="00B84A70" w:rsidRPr="00F70272">
              <w:rPr>
                <w:noProof/>
                <w:webHidden/>
                <w:color w:val="000000" w:themeColor="text1"/>
                <w:sz w:val="24"/>
                <w:szCs w:val="24"/>
              </w:rPr>
              <w:tab/>
            </w:r>
            <w:r w:rsidR="00031FE0" w:rsidRPr="00F70272">
              <w:rPr>
                <w:noProof/>
                <w:webHidden/>
                <w:color w:val="000000" w:themeColor="text1"/>
                <w:sz w:val="24"/>
                <w:szCs w:val="24"/>
              </w:rPr>
              <w:fldChar w:fldCharType="begin"/>
            </w:r>
            <w:r w:rsidR="00B84A70" w:rsidRPr="00F70272">
              <w:rPr>
                <w:noProof/>
                <w:webHidden/>
                <w:color w:val="000000" w:themeColor="text1"/>
                <w:sz w:val="24"/>
                <w:szCs w:val="24"/>
              </w:rPr>
              <w:instrText xml:space="preserve"> PAGEREF _Toc147319036 \h </w:instrText>
            </w:r>
            <w:r w:rsidR="00031FE0" w:rsidRPr="00F70272">
              <w:rPr>
                <w:noProof/>
                <w:webHidden/>
                <w:color w:val="000000" w:themeColor="text1"/>
                <w:sz w:val="24"/>
                <w:szCs w:val="24"/>
              </w:rPr>
            </w:r>
            <w:r w:rsidR="00031FE0" w:rsidRPr="00F70272">
              <w:rPr>
                <w:noProof/>
                <w:webHidden/>
                <w:color w:val="000000" w:themeColor="text1"/>
                <w:sz w:val="24"/>
                <w:szCs w:val="24"/>
              </w:rPr>
              <w:fldChar w:fldCharType="separate"/>
            </w:r>
            <w:r w:rsidR="00B84A70" w:rsidRPr="00F70272">
              <w:rPr>
                <w:noProof/>
                <w:webHidden/>
                <w:color w:val="000000" w:themeColor="text1"/>
                <w:sz w:val="24"/>
                <w:szCs w:val="24"/>
              </w:rPr>
              <w:t>10</w:t>
            </w:r>
            <w:r w:rsidR="00031FE0" w:rsidRPr="00F70272">
              <w:rPr>
                <w:noProof/>
                <w:webHidden/>
                <w:color w:val="000000" w:themeColor="text1"/>
                <w:sz w:val="24"/>
                <w:szCs w:val="24"/>
              </w:rPr>
              <w:fldChar w:fldCharType="end"/>
            </w:r>
          </w:hyperlink>
        </w:p>
        <w:p w14:paraId="0D9C8523" w14:textId="77777777" w:rsidR="00B84A70" w:rsidRPr="00F70272" w:rsidRDefault="00000000" w:rsidP="00B84A70">
          <w:pPr>
            <w:pStyle w:val="TOC1"/>
            <w:tabs>
              <w:tab w:val="right" w:leader="dot" w:pos="9350"/>
            </w:tabs>
            <w:spacing w:line="360" w:lineRule="auto"/>
            <w:jc w:val="both"/>
            <w:rPr>
              <w:noProof/>
              <w:color w:val="000000" w:themeColor="text1"/>
              <w:sz w:val="24"/>
              <w:szCs w:val="24"/>
            </w:rPr>
          </w:pPr>
          <w:hyperlink w:anchor="_Toc147319037" w:history="1">
            <w:r w:rsidR="00B84A70" w:rsidRPr="00F70272">
              <w:rPr>
                <w:rStyle w:val="Hyperlink"/>
                <w:noProof/>
                <w:color w:val="000000" w:themeColor="text1"/>
                <w:sz w:val="24"/>
                <w:szCs w:val="24"/>
              </w:rPr>
              <w:t>References</w:t>
            </w:r>
            <w:r w:rsidR="00B84A70" w:rsidRPr="00F70272">
              <w:rPr>
                <w:noProof/>
                <w:webHidden/>
                <w:color w:val="000000" w:themeColor="text1"/>
                <w:sz w:val="24"/>
                <w:szCs w:val="24"/>
              </w:rPr>
              <w:tab/>
            </w:r>
            <w:r w:rsidR="00031FE0" w:rsidRPr="00F70272">
              <w:rPr>
                <w:noProof/>
                <w:webHidden/>
                <w:color w:val="000000" w:themeColor="text1"/>
                <w:sz w:val="24"/>
                <w:szCs w:val="24"/>
              </w:rPr>
              <w:fldChar w:fldCharType="begin"/>
            </w:r>
            <w:r w:rsidR="00B84A70" w:rsidRPr="00F70272">
              <w:rPr>
                <w:noProof/>
                <w:webHidden/>
                <w:color w:val="000000" w:themeColor="text1"/>
                <w:sz w:val="24"/>
                <w:szCs w:val="24"/>
              </w:rPr>
              <w:instrText xml:space="preserve"> PAGEREF _Toc147319037 \h </w:instrText>
            </w:r>
            <w:r w:rsidR="00031FE0" w:rsidRPr="00F70272">
              <w:rPr>
                <w:noProof/>
                <w:webHidden/>
                <w:color w:val="000000" w:themeColor="text1"/>
                <w:sz w:val="24"/>
                <w:szCs w:val="24"/>
              </w:rPr>
            </w:r>
            <w:r w:rsidR="00031FE0" w:rsidRPr="00F70272">
              <w:rPr>
                <w:noProof/>
                <w:webHidden/>
                <w:color w:val="000000" w:themeColor="text1"/>
                <w:sz w:val="24"/>
                <w:szCs w:val="24"/>
              </w:rPr>
              <w:fldChar w:fldCharType="separate"/>
            </w:r>
            <w:r w:rsidR="00B84A70" w:rsidRPr="00F70272">
              <w:rPr>
                <w:noProof/>
                <w:webHidden/>
                <w:color w:val="000000" w:themeColor="text1"/>
                <w:sz w:val="24"/>
                <w:szCs w:val="24"/>
              </w:rPr>
              <w:t>11</w:t>
            </w:r>
            <w:r w:rsidR="00031FE0" w:rsidRPr="00F70272">
              <w:rPr>
                <w:noProof/>
                <w:webHidden/>
                <w:color w:val="000000" w:themeColor="text1"/>
                <w:sz w:val="24"/>
                <w:szCs w:val="24"/>
              </w:rPr>
              <w:fldChar w:fldCharType="end"/>
            </w:r>
          </w:hyperlink>
        </w:p>
        <w:p w14:paraId="48AC35EE" w14:textId="77777777" w:rsidR="00A974D2" w:rsidRPr="00F70272" w:rsidRDefault="00031FE0" w:rsidP="00B84A70">
          <w:pPr>
            <w:widowControl w:val="0"/>
            <w:tabs>
              <w:tab w:val="right" w:leader="dot" w:pos="12000"/>
            </w:tabs>
            <w:spacing w:line="360" w:lineRule="auto"/>
            <w:jc w:val="both"/>
            <w:rPr>
              <w:color w:val="000000" w:themeColor="text1"/>
              <w:sz w:val="24"/>
              <w:szCs w:val="24"/>
            </w:rPr>
          </w:pPr>
          <w:r w:rsidRPr="00F70272">
            <w:rPr>
              <w:color w:val="000000" w:themeColor="text1"/>
              <w:sz w:val="24"/>
              <w:szCs w:val="24"/>
            </w:rPr>
            <w:fldChar w:fldCharType="end"/>
          </w:r>
        </w:p>
      </w:sdtContent>
    </w:sdt>
    <w:p w14:paraId="119DB75E" w14:textId="77777777" w:rsidR="00A974D2" w:rsidRPr="00F70272" w:rsidRDefault="007B1F7E" w:rsidP="00B84A70">
      <w:pPr>
        <w:pStyle w:val="Heading1"/>
        <w:rPr>
          <w:b w:val="0"/>
          <w:color w:val="000000" w:themeColor="text1"/>
        </w:rPr>
      </w:pPr>
      <w:bookmarkStart w:id="1" w:name="_7lnc5euef7wa" w:colFirst="0" w:colLast="0"/>
      <w:bookmarkEnd w:id="1"/>
      <w:r w:rsidRPr="00F70272">
        <w:rPr>
          <w:color w:val="000000" w:themeColor="text1"/>
        </w:rPr>
        <w:br w:type="page"/>
      </w:r>
    </w:p>
    <w:p w14:paraId="6A9044B2" w14:textId="77777777" w:rsidR="00A974D2" w:rsidRPr="00F70272" w:rsidRDefault="007B1F7E" w:rsidP="00B84A70">
      <w:pPr>
        <w:pStyle w:val="Heading1"/>
        <w:rPr>
          <w:color w:val="000000" w:themeColor="text1"/>
        </w:rPr>
      </w:pPr>
      <w:bookmarkStart w:id="2" w:name="_Toc147319034"/>
      <w:r w:rsidRPr="00F70272">
        <w:rPr>
          <w:color w:val="000000" w:themeColor="text1"/>
        </w:rPr>
        <w:lastRenderedPageBreak/>
        <w:t>Introduction</w:t>
      </w:r>
      <w:bookmarkEnd w:id="2"/>
    </w:p>
    <w:p w14:paraId="3BA85FAB"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Employee resourcing is the operation of receiving and then maintaining a workforce with accurate skills, values, competencies and attitudes. This essay highlights the role of human resources in engaging </w:t>
      </w:r>
      <w:proofErr w:type="gramStart"/>
      <w:r w:rsidRPr="00F70272">
        <w:rPr>
          <w:color w:val="000000" w:themeColor="text1"/>
          <w:sz w:val="24"/>
          <w:szCs w:val="24"/>
        </w:rPr>
        <w:t>workers</w:t>
      </w:r>
      <w:proofErr w:type="gramEnd"/>
      <w:r w:rsidRPr="00F70272">
        <w:rPr>
          <w:color w:val="000000" w:themeColor="text1"/>
          <w:sz w:val="24"/>
          <w:szCs w:val="24"/>
        </w:rPr>
        <w:t xml:space="preserve"> and it </w:t>
      </w:r>
      <w:r w:rsidR="00AE0770" w:rsidRPr="00F70272">
        <w:rPr>
          <w:color w:val="000000" w:themeColor="text1"/>
          <w:sz w:val="24"/>
          <w:szCs w:val="24"/>
        </w:rPr>
        <w:t>also</w:t>
      </w:r>
      <w:r w:rsidRPr="00F70272">
        <w:rPr>
          <w:color w:val="000000" w:themeColor="text1"/>
          <w:sz w:val="24"/>
          <w:szCs w:val="24"/>
        </w:rPr>
        <w:t xml:space="preserve"> analyses the characteristics of Generation Z. Further, this essay will also allude to the various stages which a worker goes through at the time of operation for an association. In the last part of this essay, </w:t>
      </w:r>
      <w:r w:rsidR="00AE0770" w:rsidRPr="00F70272">
        <w:rPr>
          <w:color w:val="000000" w:themeColor="text1"/>
          <w:sz w:val="24"/>
          <w:szCs w:val="24"/>
        </w:rPr>
        <w:t>Maslow’s</w:t>
      </w:r>
      <w:r w:rsidRPr="00F70272">
        <w:rPr>
          <w:color w:val="000000" w:themeColor="text1"/>
          <w:sz w:val="24"/>
          <w:szCs w:val="24"/>
        </w:rPr>
        <w:t xml:space="preserve"> Hierarchy of needs has been described and how it will be used in an organisation. </w:t>
      </w:r>
      <w:r w:rsidRPr="00F70272">
        <w:rPr>
          <w:color w:val="000000" w:themeColor="text1"/>
          <w:sz w:val="24"/>
          <w:szCs w:val="24"/>
        </w:rPr>
        <w:br w:type="page"/>
      </w:r>
    </w:p>
    <w:p w14:paraId="456AF864" w14:textId="77777777" w:rsidR="00A974D2" w:rsidRPr="00F70272" w:rsidRDefault="007B1F7E" w:rsidP="00B84A70">
      <w:pPr>
        <w:pStyle w:val="Heading1"/>
        <w:rPr>
          <w:color w:val="000000" w:themeColor="text1"/>
        </w:rPr>
      </w:pPr>
      <w:bookmarkStart w:id="3" w:name="_Toc147319035"/>
      <w:r w:rsidRPr="00F70272">
        <w:rPr>
          <w:color w:val="000000" w:themeColor="text1"/>
        </w:rPr>
        <w:lastRenderedPageBreak/>
        <w:t>Main Body</w:t>
      </w:r>
      <w:bookmarkEnd w:id="3"/>
    </w:p>
    <w:p w14:paraId="33C7E2EE" w14:textId="61AFA015" w:rsidR="00A974D2" w:rsidRPr="00F70272" w:rsidRDefault="007B1F7E" w:rsidP="00B84A70">
      <w:pPr>
        <w:spacing w:line="360" w:lineRule="auto"/>
        <w:jc w:val="both"/>
        <w:rPr>
          <w:b/>
          <w:color w:val="000000" w:themeColor="text1"/>
          <w:sz w:val="24"/>
          <w:szCs w:val="24"/>
        </w:rPr>
      </w:pPr>
      <w:r w:rsidRPr="00F70272">
        <w:rPr>
          <w:color w:val="000000" w:themeColor="text1"/>
          <w:sz w:val="24"/>
          <w:szCs w:val="24"/>
        </w:rPr>
        <w:t xml:space="preserve">Human resources </w:t>
      </w:r>
      <w:r w:rsidR="0005186A" w:rsidRPr="00F70272">
        <w:rPr>
          <w:color w:val="000000" w:themeColor="text1"/>
          <w:sz w:val="24"/>
          <w:szCs w:val="24"/>
        </w:rPr>
        <w:t>assume</w:t>
      </w:r>
      <w:r w:rsidRPr="00F70272">
        <w:rPr>
          <w:color w:val="000000" w:themeColor="text1"/>
          <w:sz w:val="24"/>
          <w:szCs w:val="24"/>
        </w:rPr>
        <w:t xml:space="preserve"> a critical part in connecting with representatives by hearing the obligation of training, recruiting, retaining and developing the workforce. HR experts guarantee that workers have the information, abilities and assets important to play out their positions and productivity. They likewise establish a positive workplace that cultivates a feeling of having a place and energises worker commitment (Stahl </w:t>
      </w:r>
      <w:r w:rsidRPr="00F70272">
        <w:rPr>
          <w:i/>
          <w:color w:val="000000" w:themeColor="text1"/>
          <w:sz w:val="24"/>
          <w:szCs w:val="24"/>
        </w:rPr>
        <w:t>et al</w:t>
      </w:r>
      <w:r w:rsidRPr="00F70272">
        <w:rPr>
          <w:color w:val="000000" w:themeColor="text1"/>
          <w:sz w:val="24"/>
          <w:szCs w:val="24"/>
        </w:rPr>
        <w:t xml:space="preserve">., 2020). One of the processes by which HR experts can draw in representatives is by encouraging a feeling of direction and significance in their work. They can create a culture of criticism and acknowledgement that engages workers </w:t>
      </w:r>
      <w:r w:rsidR="003E1546" w:rsidRPr="00F70272">
        <w:rPr>
          <w:color w:val="000000" w:themeColor="text1"/>
          <w:sz w:val="24"/>
          <w:szCs w:val="24"/>
        </w:rPr>
        <w:t>and</w:t>
      </w:r>
      <w:r w:rsidRPr="00F70272">
        <w:rPr>
          <w:color w:val="000000" w:themeColor="text1"/>
          <w:sz w:val="24"/>
          <w:szCs w:val="24"/>
        </w:rPr>
        <w:t xml:space="preserve"> propels them to add to the association's prosperity. Moreover, HR experts can potentially open doors to development and improvement like mentorship, training pr</w:t>
      </w:r>
      <w:r w:rsidR="00F70272" w:rsidRPr="00F70272">
        <w:rPr>
          <w:color w:val="000000" w:themeColor="text1"/>
          <w:sz w:val="24"/>
          <w:szCs w:val="24"/>
        </w:rPr>
        <w:t xml:space="preserve">ograms and career advancement.  </w:t>
      </w:r>
      <w:r w:rsidRPr="00F70272">
        <w:rPr>
          <w:color w:val="000000" w:themeColor="text1"/>
          <w:sz w:val="24"/>
          <w:szCs w:val="24"/>
        </w:rPr>
        <w:t xml:space="preserve">Aside from these drives, HR experts can guarantee that the association’s arrangements and practices are equitable and fair. This incorporates giving competitive compensation and advantage, promoting the balance between serious and fun activities and making a protected and sound work environment. Thus, HR experts can make an optimistic representative encounter that cultivates commitment and loyalty. </w:t>
      </w:r>
      <w:r w:rsidR="00AE0770" w:rsidRPr="00F70272">
        <w:rPr>
          <w:color w:val="000000" w:themeColor="text1"/>
          <w:sz w:val="24"/>
          <w:szCs w:val="24"/>
        </w:rPr>
        <w:t>However, HR</w:t>
      </w:r>
      <w:r w:rsidRPr="00F70272">
        <w:rPr>
          <w:color w:val="000000" w:themeColor="text1"/>
          <w:sz w:val="24"/>
          <w:szCs w:val="24"/>
        </w:rPr>
        <w:t xml:space="preserve"> assumes a basic part in connecting with workers and making a positive hierarchical culture. They are liable for guaranteeing that representatives are persuaded, useful, and focused on accomplishing the association's objectives (Ansari </w:t>
      </w:r>
      <w:r w:rsidRPr="00F70272">
        <w:rPr>
          <w:i/>
          <w:color w:val="000000" w:themeColor="text1"/>
          <w:sz w:val="24"/>
          <w:szCs w:val="24"/>
        </w:rPr>
        <w:t>et al</w:t>
      </w:r>
      <w:r w:rsidRPr="00F70272">
        <w:rPr>
          <w:color w:val="000000" w:themeColor="text1"/>
          <w:sz w:val="24"/>
          <w:szCs w:val="24"/>
        </w:rPr>
        <w:t xml:space="preserve">., 2021). By putting resources into representative commitment, HR experts can drive business achievement and make a working environment that draws in and holds top ability. </w:t>
      </w:r>
    </w:p>
    <w:p w14:paraId="16598CB2"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Generation Z</w:t>
      </w:r>
      <w:r w:rsidR="003E1546" w:rsidRPr="00F70272">
        <w:rPr>
          <w:color w:val="000000" w:themeColor="text1"/>
          <w:sz w:val="24"/>
          <w:szCs w:val="24"/>
        </w:rPr>
        <w:t xml:space="preserve">, </w:t>
      </w:r>
      <w:r w:rsidRPr="00F70272">
        <w:rPr>
          <w:color w:val="000000" w:themeColor="text1"/>
          <w:sz w:val="24"/>
          <w:szCs w:val="24"/>
        </w:rPr>
        <w:t xml:space="preserve">also known as the </w:t>
      </w:r>
      <w:r w:rsidR="00AE0770" w:rsidRPr="00F70272">
        <w:rPr>
          <w:color w:val="000000" w:themeColor="text1"/>
          <w:sz w:val="24"/>
          <w:szCs w:val="24"/>
        </w:rPr>
        <w:t>ingeneration</w:t>
      </w:r>
      <w:r w:rsidRPr="00F70272">
        <w:rPr>
          <w:color w:val="000000" w:themeColor="text1"/>
          <w:sz w:val="24"/>
          <w:szCs w:val="24"/>
        </w:rPr>
        <w:t xml:space="preserve"> or Zoomers, alludes to people brought into the world between the mid-1990s and the mid-2010s. They are part of the first generation that has grown up with online entertainment and the internet and subsequently, are more associated and well-informed than some other age before them. One principal characteristic of </w:t>
      </w:r>
      <w:r w:rsidR="003E1546" w:rsidRPr="00F70272">
        <w:rPr>
          <w:color w:val="000000" w:themeColor="text1"/>
          <w:sz w:val="24"/>
          <w:szCs w:val="24"/>
        </w:rPr>
        <w:t>Gen Z</w:t>
      </w:r>
      <w:r w:rsidRPr="00F70272">
        <w:rPr>
          <w:color w:val="000000" w:themeColor="text1"/>
          <w:sz w:val="24"/>
          <w:szCs w:val="24"/>
        </w:rPr>
        <w:t xml:space="preserve"> is their longing for legitimacy and straightforwardness. They esteem authenticity and honesty in individuals, brands, and organisations, and are bound to help organisations with moral and feasible practices. They are likewise more socially mindful and politically drawn in than in past ages, with a powerful urge to have a beneficial outcome on the world (Szymkowiak </w:t>
      </w:r>
      <w:r w:rsidRPr="00F70272">
        <w:rPr>
          <w:i/>
          <w:color w:val="000000" w:themeColor="text1"/>
          <w:sz w:val="24"/>
          <w:szCs w:val="24"/>
        </w:rPr>
        <w:t>et al</w:t>
      </w:r>
      <w:r w:rsidR="003E1546" w:rsidRPr="00F70272">
        <w:rPr>
          <w:color w:val="000000" w:themeColor="text1"/>
          <w:sz w:val="24"/>
          <w:szCs w:val="24"/>
        </w:rPr>
        <w:t xml:space="preserve">., 2021).  </w:t>
      </w:r>
      <w:r w:rsidR="003E1546" w:rsidRPr="00F70272">
        <w:rPr>
          <w:color w:val="000000" w:themeColor="text1"/>
          <w:sz w:val="24"/>
          <w:szCs w:val="24"/>
        </w:rPr>
        <w:lastRenderedPageBreak/>
        <w:t>However, Gen Z</w:t>
      </w:r>
      <w:r w:rsidR="00F70272" w:rsidRPr="00F70272">
        <w:rPr>
          <w:color w:val="000000" w:themeColor="text1"/>
          <w:sz w:val="24"/>
          <w:szCs w:val="24"/>
        </w:rPr>
        <w:t xml:space="preserve">s are </w:t>
      </w:r>
      <w:r w:rsidRPr="00F70272">
        <w:rPr>
          <w:color w:val="000000" w:themeColor="text1"/>
          <w:sz w:val="24"/>
          <w:szCs w:val="24"/>
        </w:rPr>
        <w:t xml:space="preserve">likewise exceptionally entrepreneurial and innovative and value creativity and development. They are more averse to following conventional vocational ways and really like to work independently or make their own organisations. Overall, Generation Z is a different, socially cognisant, and educated age that is ready to have a tremendous effect on the world. </w:t>
      </w:r>
    </w:p>
    <w:p w14:paraId="0477400A"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The employee lifecycle alludes to the different stages that a worker goes through during their period of functioning for an organisation. It incorporates everything from training and </w:t>
      </w:r>
      <w:r w:rsidR="003E1546" w:rsidRPr="00F70272">
        <w:rPr>
          <w:color w:val="000000" w:themeColor="text1"/>
          <w:sz w:val="24"/>
          <w:szCs w:val="24"/>
        </w:rPr>
        <w:t>on boarding</w:t>
      </w:r>
      <w:r w:rsidRPr="00F70272">
        <w:rPr>
          <w:color w:val="000000" w:themeColor="text1"/>
          <w:sz w:val="24"/>
          <w:szCs w:val="24"/>
        </w:rPr>
        <w:t xml:space="preserve"> to recruitment, improvement, and execution of the board, and eventually, </w:t>
      </w:r>
      <w:r w:rsidR="003E1546" w:rsidRPr="00F70272">
        <w:rPr>
          <w:color w:val="000000" w:themeColor="text1"/>
          <w:sz w:val="24"/>
          <w:szCs w:val="24"/>
        </w:rPr>
        <w:t>off boarding</w:t>
      </w:r>
      <w:r w:rsidRPr="00F70272">
        <w:rPr>
          <w:color w:val="000000" w:themeColor="text1"/>
          <w:sz w:val="24"/>
          <w:szCs w:val="24"/>
        </w:rPr>
        <w:t xml:space="preserve"> or partitioning from the organisation (Cattermole, 2019). Each phase of the worker lifecycle is basic for guaranteeing that representatives are locked in, useful, and blissful in their jobs. By dealing with the employee lifecycle effectively, organisations can further develop worker maintenance, support efficiency, and fabricate areas of strength for a labour force further.</w:t>
      </w:r>
    </w:p>
    <w:p w14:paraId="6DE07C06" w14:textId="5FE94BE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The first stage of the employee lifecycle is attraction. In this stage to successfully engage with Generation Z representatives during the attraction phase of the employee lifecycle, it is critical to embrace a designated approach that mirrors their qualities. A genuine instance of engaging with this segment is by making an organisational culture that advances balance between fun and serious activities, adaptability, and a feeling of direction. For example, offering remote work choices and amazing open doors for self-awareness can reverberate well with Gen Z (</w:t>
      </w:r>
      <w:proofErr w:type="spellStart"/>
      <w:r w:rsidRPr="00F70272">
        <w:rPr>
          <w:color w:val="000000" w:themeColor="text1"/>
          <w:sz w:val="24"/>
          <w:szCs w:val="24"/>
        </w:rPr>
        <w:t>Kuzior</w:t>
      </w:r>
      <w:proofErr w:type="spellEnd"/>
      <w:r w:rsidRPr="00F70272">
        <w:rPr>
          <w:color w:val="000000" w:themeColor="text1"/>
          <w:sz w:val="24"/>
          <w:szCs w:val="24"/>
        </w:rPr>
        <w:t xml:space="preserve"> </w:t>
      </w:r>
      <w:r w:rsidRPr="00F70272">
        <w:rPr>
          <w:i/>
          <w:color w:val="000000" w:themeColor="text1"/>
          <w:sz w:val="24"/>
          <w:szCs w:val="24"/>
        </w:rPr>
        <w:t>et al</w:t>
      </w:r>
      <w:r w:rsidRPr="00F70272">
        <w:rPr>
          <w:color w:val="000000" w:themeColor="text1"/>
          <w:sz w:val="24"/>
          <w:szCs w:val="24"/>
        </w:rPr>
        <w:t xml:space="preserve">., 2022).  Social sustainability and responsibility are additionally essential qualities for this age. Thus, exhibiting an organisation's obligation to these viewpoints can assist in making an association with the Gen Z crowd. However, </w:t>
      </w:r>
      <w:r w:rsidR="0005186A" w:rsidRPr="00F70272">
        <w:rPr>
          <w:color w:val="000000" w:themeColor="text1"/>
          <w:sz w:val="24"/>
          <w:szCs w:val="24"/>
        </w:rPr>
        <w:t>giving</w:t>
      </w:r>
      <w:r w:rsidRPr="00F70272">
        <w:rPr>
          <w:color w:val="000000" w:themeColor="text1"/>
          <w:sz w:val="24"/>
          <w:szCs w:val="24"/>
        </w:rPr>
        <w:t xml:space="preserve"> clear correspondence and straightforwardness about the organisation's vision, mission, and objectives can likewise help draw in and hold top ability from this segment. In general, establishing a climate that lines up with Gen Z's qualities and requirements can assist with drawing them into the fascination phase of the worker lifecycle.</w:t>
      </w:r>
    </w:p>
    <w:p w14:paraId="5802DB74"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Another stage of the employee lifecycle is Recruitment. In this stage, while selecting Generation Z workers, organisations ought to remember that they are advanced locals who focus on vagueness and reason. To connect with them, organisations ought to zero in on making a true boss brand that features their qualities and mission (Malik </w:t>
      </w:r>
      <w:r w:rsidRPr="00F70272">
        <w:rPr>
          <w:i/>
          <w:color w:val="000000" w:themeColor="text1"/>
          <w:sz w:val="24"/>
          <w:szCs w:val="24"/>
        </w:rPr>
        <w:t>et al</w:t>
      </w:r>
      <w:r w:rsidRPr="00F70272">
        <w:rPr>
          <w:color w:val="000000" w:themeColor="text1"/>
          <w:sz w:val="24"/>
          <w:szCs w:val="24"/>
        </w:rPr>
        <w:t xml:space="preserve">., </w:t>
      </w:r>
      <w:r w:rsidR="00F70272" w:rsidRPr="00F70272">
        <w:rPr>
          <w:color w:val="000000" w:themeColor="text1"/>
          <w:sz w:val="24"/>
          <w:szCs w:val="24"/>
        </w:rPr>
        <w:lastRenderedPageBreak/>
        <w:t xml:space="preserve">2023). </w:t>
      </w:r>
      <w:r w:rsidRPr="00F70272">
        <w:rPr>
          <w:color w:val="000000" w:themeColor="text1"/>
          <w:sz w:val="24"/>
          <w:szCs w:val="24"/>
        </w:rPr>
        <w:t xml:space="preserve">This can be accomplished through web-based entertainment missions, recordings, and representative tributes. Offering extraordinary benefits and advantages can likewise assist with drawing in Gen Z competitors. For example, organisations can give adaptable work courses of action, and health projects, and open doors for the proficient turn of events. However, drawing in with expected up-and-comers via online entertainment and through customised correspondence can likewise assist with building a relationship and keep them intrigued all through the enlistment cycle. Airbnb is an organisation that has effectively drawn in Gen Z representatives by offering novel advantages, for </w:t>
      </w:r>
      <w:r w:rsidR="00F70272" w:rsidRPr="00F70272">
        <w:rPr>
          <w:color w:val="000000" w:themeColor="text1"/>
          <w:sz w:val="24"/>
          <w:szCs w:val="24"/>
        </w:rPr>
        <w:t>example, travel credits and a £</w:t>
      </w:r>
      <w:r w:rsidRPr="00F70272">
        <w:rPr>
          <w:color w:val="000000" w:themeColor="text1"/>
          <w:sz w:val="24"/>
          <w:szCs w:val="24"/>
        </w:rPr>
        <w:t xml:space="preserve">2,000 yearly payment for workers to travel and remain in an Airbnb posting (Mahmoud </w:t>
      </w:r>
      <w:r w:rsidRPr="00F70272">
        <w:rPr>
          <w:i/>
          <w:color w:val="000000" w:themeColor="text1"/>
          <w:sz w:val="24"/>
          <w:szCs w:val="24"/>
        </w:rPr>
        <w:t>et al</w:t>
      </w:r>
      <w:r w:rsidRPr="00F70272">
        <w:rPr>
          <w:color w:val="000000" w:themeColor="text1"/>
          <w:sz w:val="24"/>
          <w:szCs w:val="24"/>
        </w:rPr>
        <w:t xml:space="preserve">., 2021). Moreover, they have areas of strength for maintainability and social effect, which lines up with the upsides of numerous Gen Z competitors. </w:t>
      </w:r>
    </w:p>
    <w:p w14:paraId="00A9D2ED"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The third stage of the employee lifecycle is </w:t>
      </w:r>
      <w:r w:rsidR="003E1546" w:rsidRPr="00F70272">
        <w:rPr>
          <w:color w:val="000000" w:themeColor="text1"/>
          <w:sz w:val="24"/>
          <w:szCs w:val="24"/>
        </w:rPr>
        <w:t>on boarding</w:t>
      </w:r>
      <w:r w:rsidRPr="00F70272">
        <w:rPr>
          <w:color w:val="000000" w:themeColor="text1"/>
          <w:sz w:val="24"/>
          <w:szCs w:val="24"/>
        </w:rPr>
        <w:t xml:space="preserve">. </w:t>
      </w:r>
      <w:proofErr w:type="gramStart"/>
      <w:r w:rsidRPr="00F70272">
        <w:rPr>
          <w:color w:val="000000" w:themeColor="text1"/>
          <w:sz w:val="24"/>
          <w:szCs w:val="24"/>
        </w:rPr>
        <w:t>In order to</w:t>
      </w:r>
      <w:proofErr w:type="gramEnd"/>
      <w:r w:rsidRPr="00F70272">
        <w:rPr>
          <w:color w:val="000000" w:themeColor="text1"/>
          <w:sz w:val="24"/>
          <w:szCs w:val="24"/>
        </w:rPr>
        <w:t xml:space="preserve"> successfully connect with Generation Z representatives during the </w:t>
      </w:r>
      <w:r w:rsidR="003E1546" w:rsidRPr="00F70272">
        <w:rPr>
          <w:color w:val="000000" w:themeColor="text1"/>
          <w:sz w:val="24"/>
          <w:szCs w:val="24"/>
        </w:rPr>
        <w:t>on boarding</w:t>
      </w:r>
      <w:r w:rsidRPr="00F70272">
        <w:rPr>
          <w:color w:val="000000" w:themeColor="text1"/>
          <w:sz w:val="24"/>
          <w:szCs w:val="24"/>
        </w:rPr>
        <w:t xml:space="preserve"> system, making a customised experience that takes care of their particular advantages and needs is significant. This can be accomplished by fitting the </w:t>
      </w:r>
      <w:r w:rsidR="003E1546" w:rsidRPr="00F70272">
        <w:rPr>
          <w:color w:val="000000" w:themeColor="text1"/>
          <w:sz w:val="24"/>
          <w:szCs w:val="24"/>
        </w:rPr>
        <w:t>on boarding</w:t>
      </w:r>
      <w:r w:rsidRPr="00F70272">
        <w:rPr>
          <w:color w:val="000000" w:themeColor="text1"/>
          <w:sz w:val="24"/>
          <w:szCs w:val="24"/>
        </w:rPr>
        <w:t xml:space="preserve"> system and giving open doors for them to interface with their companions and colleagues. One compelling way to deal with drawing in Gen Z workers is to integrate innovation into the </w:t>
      </w:r>
      <w:r w:rsidR="003E1546" w:rsidRPr="00F70272">
        <w:rPr>
          <w:color w:val="000000" w:themeColor="text1"/>
          <w:sz w:val="24"/>
          <w:szCs w:val="24"/>
        </w:rPr>
        <w:t>on boarding</w:t>
      </w:r>
      <w:r w:rsidRPr="00F70272">
        <w:rPr>
          <w:color w:val="000000" w:themeColor="text1"/>
          <w:sz w:val="24"/>
          <w:szCs w:val="24"/>
        </w:rPr>
        <w:t xml:space="preserve"> system. This might incorporate utilising computer-generated reality to furnish them with a virtual visit through the working environment or utilising online entertainment to interface them with different representatives before they start (Saxena and Mishra, 2023). Another methodology is to offer open doors for development and advancement almost immediately. This might include putting forth clear objectives and assumptions and giving admittance to preparing and advancing assets. Eventually, the way to draw in Gen Z workers during the </w:t>
      </w:r>
      <w:r w:rsidR="003E1546" w:rsidRPr="00F70272">
        <w:rPr>
          <w:color w:val="000000" w:themeColor="text1"/>
          <w:sz w:val="24"/>
          <w:szCs w:val="24"/>
        </w:rPr>
        <w:t>on boarding</w:t>
      </w:r>
      <w:r w:rsidRPr="00F70272">
        <w:rPr>
          <w:color w:val="000000" w:themeColor="text1"/>
          <w:sz w:val="24"/>
          <w:szCs w:val="24"/>
        </w:rPr>
        <w:t xml:space="preserve"> system is to zero in on making a customised experience that meets their special necessities and interests. This will assist them with feeling esteemed and upheld all along.</w:t>
      </w:r>
    </w:p>
    <w:p w14:paraId="0E0D8326"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To successfully draw in Generation Z workers during the Development phase of the representative lifecycle, it is essential to furnish customised improvement open doors line up with their vocation objectives. This can be accomplished through mentorship programs, work shadowing, and instructional meetings that pay attention to the abilities </w:t>
      </w:r>
      <w:r w:rsidRPr="00F70272">
        <w:rPr>
          <w:color w:val="000000" w:themeColor="text1"/>
          <w:sz w:val="24"/>
          <w:szCs w:val="24"/>
        </w:rPr>
        <w:lastRenderedPageBreak/>
        <w:t>they need to create. For example, executing a mentorship program where experienced representatives offer direction and backing to more youthful workers can assist them with creating important abilities and encourage a feeling of the local area and having a place in the working environment (Johnson</w:t>
      </w:r>
      <w:r w:rsidR="003E1546" w:rsidRPr="00F70272">
        <w:rPr>
          <w:color w:val="000000" w:themeColor="text1"/>
          <w:sz w:val="24"/>
          <w:szCs w:val="24"/>
        </w:rPr>
        <w:t>, 2023</w:t>
      </w:r>
      <w:r w:rsidRPr="00F70272">
        <w:rPr>
          <w:color w:val="000000" w:themeColor="text1"/>
          <w:sz w:val="24"/>
          <w:szCs w:val="24"/>
        </w:rPr>
        <w:t xml:space="preserve">). Work shadowing is one more viable method for drawing in Generation Z representatives. It permits them to notice and gain from experienced partners as they do their work obligations, giving a priceless understanding of the business and assisting them with growing new abilities. Offering instructional meetings that explicitly centre </w:t>
      </w:r>
      <w:r w:rsidR="00F70272" w:rsidRPr="00F70272">
        <w:rPr>
          <w:color w:val="000000" w:themeColor="text1"/>
          <w:sz w:val="24"/>
          <w:szCs w:val="24"/>
        </w:rPr>
        <w:t>on</w:t>
      </w:r>
      <w:r w:rsidRPr="00F70272">
        <w:rPr>
          <w:color w:val="000000" w:themeColor="text1"/>
          <w:sz w:val="24"/>
          <w:szCs w:val="24"/>
        </w:rPr>
        <w:t xml:space="preserve"> the abilities they need to create can likewise assist them with feeling enabled and esteemed inside the organisation. However</w:t>
      </w:r>
      <w:r w:rsidR="003E1546" w:rsidRPr="00F70272">
        <w:rPr>
          <w:color w:val="000000" w:themeColor="text1"/>
          <w:sz w:val="24"/>
          <w:szCs w:val="24"/>
        </w:rPr>
        <w:t>, by</w:t>
      </w:r>
      <w:r w:rsidRPr="00F70272">
        <w:rPr>
          <w:color w:val="000000" w:themeColor="text1"/>
          <w:sz w:val="24"/>
          <w:szCs w:val="24"/>
        </w:rPr>
        <w:t xml:space="preserve"> taking special care of their singular requirements and professional objectives, organisations can make a more propelled and drawn-in labour force (Leitner-</w:t>
      </w:r>
      <w:proofErr w:type="spellStart"/>
      <w:r w:rsidRPr="00F70272">
        <w:rPr>
          <w:color w:val="000000" w:themeColor="text1"/>
          <w:sz w:val="24"/>
          <w:szCs w:val="24"/>
        </w:rPr>
        <w:t>Hanetseder</w:t>
      </w:r>
      <w:proofErr w:type="spellEnd"/>
      <w:r w:rsidRPr="00F70272">
        <w:rPr>
          <w:color w:val="000000" w:themeColor="text1"/>
          <w:sz w:val="24"/>
          <w:szCs w:val="24"/>
        </w:rPr>
        <w:t xml:space="preserve"> </w:t>
      </w:r>
      <w:r w:rsidRPr="00F70272">
        <w:rPr>
          <w:i/>
          <w:color w:val="000000" w:themeColor="text1"/>
          <w:sz w:val="24"/>
          <w:szCs w:val="24"/>
        </w:rPr>
        <w:t>et al</w:t>
      </w:r>
      <w:r w:rsidRPr="00F70272">
        <w:rPr>
          <w:color w:val="000000" w:themeColor="text1"/>
          <w:sz w:val="24"/>
          <w:szCs w:val="24"/>
        </w:rPr>
        <w:t xml:space="preserve">., 2021).  </w:t>
      </w:r>
    </w:p>
    <w:p w14:paraId="376D135C"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Retaining Generation Z workers is pivotal for the progress of any business. One successful method for doing so is by giving regular criticism and acknowledgement of their persistent effort. This can be achieved by directing normal registrations, executing assessments, and openly recognising their achievements. Another technique is to offer open doors for development and improvement, for example, mentorship programs, instructional courses, and professional success pathways. By giving a way to development inside the organisation, workers are bound to stay persuaded and locked in (Healy and Pekarek, 2020). Moreover, making a positive work culture that lines up with the upsides of Generation Z is fundamental. This can include adaptable work game plans, social obligation drives, and underscoring balance between fun and serious activities. By encouraging a positive and comprehensive workplace, businesses can advance reliability and responsibility among their representatives. </w:t>
      </w:r>
    </w:p>
    <w:p w14:paraId="6E8C8B7F" w14:textId="49100D48"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Engaging Generation Z representatives all through the Separation phase of the worker lifecycle is essential for keeping up with positive connections and a decent standing in the business. One viable methodology is to organise open doors like graduated class occasions or online networks where previous workers can remain associated and share assets.  One more method for supporting them is to extend to profession-directing administrations or give admittance to employment opportunity search assets to assist them with progressing to new positions or vocations. Leading post-employment surveys </w:t>
      </w:r>
      <w:r w:rsidRPr="00F70272">
        <w:rPr>
          <w:color w:val="000000" w:themeColor="text1"/>
          <w:sz w:val="24"/>
          <w:szCs w:val="24"/>
        </w:rPr>
        <w:lastRenderedPageBreak/>
        <w:t>can likewise assemble input and bits of knowledge to improve the representative experience for people in the future (</w:t>
      </w:r>
      <w:proofErr w:type="spellStart"/>
      <w:r w:rsidRPr="00F70272">
        <w:rPr>
          <w:color w:val="000000" w:themeColor="text1"/>
          <w:sz w:val="24"/>
          <w:szCs w:val="24"/>
        </w:rPr>
        <w:t>Makransky</w:t>
      </w:r>
      <w:proofErr w:type="spellEnd"/>
      <w:r w:rsidRPr="00F70272">
        <w:rPr>
          <w:color w:val="000000" w:themeColor="text1"/>
          <w:sz w:val="24"/>
          <w:szCs w:val="24"/>
        </w:rPr>
        <w:t xml:space="preserve"> </w:t>
      </w:r>
      <w:r w:rsidRPr="00F70272">
        <w:rPr>
          <w:i/>
          <w:color w:val="000000" w:themeColor="text1"/>
          <w:sz w:val="24"/>
          <w:szCs w:val="24"/>
        </w:rPr>
        <w:t>et al</w:t>
      </w:r>
      <w:r w:rsidRPr="00F70272">
        <w:rPr>
          <w:color w:val="000000" w:themeColor="text1"/>
          <w:sz w:val="24"/>
          <w:szCs w:val="24"/>
        </w:rPr>
        <w:t xml:space="preserve">., 2019). For example, a product organisation might sort out graduated class occasions where previous representatives can interface with current workers and the organisation with industry experts. They may likewise offer vocation-guiding administrations to assist previous representatives with changing to new positions or professions. Directing post-employment surveys can give significant input on the most proficient method to further develop the worker experience for people in the future. By approaching Generation Z representatives with deference and putting resources into their drawn out, areas of strength for progress can be constructed that benefit both the business and the </w:t>
      </w:r>
      <w:proofErr w:type="gramStart"/>
      <w:r w:rsidRPr="00F70272">
        <w:rPr>
          <w:color w:val="000000" w:themeColor="text1"/>
          <w:sz w:val="24"/>
          <w:szCs w:val="24"/>
        </w:rPr>
        <w:t xml:space="preserve">worker </w:t>
      </w:r>
      <w:r w:rsidR="0005186A">
        <w:rPr>
          <w:color w:val="000000" w:themeColor="text1"/>
          <w:sz w:val="24"/>
          <w:szCs w:val="24"/>
        </w:rPr>
        <w:t>.</w:t>
      </w:r>
      <w:proofErr w:type="gramEnd"/>
    </w:p>
    <w:p w14:paraId="20D06BD8"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Employee engagement is a significant component which contributes to the overall prosperity of an association. Various organisations have utilised numerous techniques and strategies to engage their workers. One of the most successful models utilised is Maslow's Hierarchy of needs. Maslow acknowledged that humans contain five levels of requirements that need to be fulfilled before they can accomplish self-actualization, which is the supreme objective of human explanation. To use Maslow’s Hierarchy of needs in the workplace, a manager must recognise and understand the various levels of requirements on its workers (</w:t>
      </w:r>
      <w:proofErr w:type="spellStart"/>
      <w:r w:rsidRPr="00F70272">
        <w:rPr>
          <w:color w:val="000000" w:themeColor="text1"/>
          <w:sz w:val="24"/>
          <w:szCs w:val="24"/>
        </w:rPr>
        <w:t>Makransky</w:t>
      </w:r>
      <w:proofErr w:type="spellEnd"/>
      <w:r w:rsidRPr="00F70272">
        <w:rPr>
          <w:color w:val="000000" w:themeColor="text1"/>
          <w:sz w:val="24"/>
          <w:szCs w:val="24"/>
        </w:rPr>
        <w:t xml:space="preserve"> </w:t>
      </w:r>
      <w:r w:rsidRPr="00F70272">
        <w:rPr>
          <w:i/>
          <w:color w:val="000000" w:themeColor="text1"/>
          <w:sz w:val="24"/>
          <w:szCs w:val="24"/>
        </w:rPr>
        <w:t>et al</w:t>
      </w:r>
      <w:r w:rsidRPr="00F70272">
        <w:rPr>
          <w:color w:val="000000" w:themeColor="text1"/>
          <w:sz w:val="24"/>
          <w:szCs w:val="24"/>
        </w:rPr>
        <w:t>.</w:t>
      </w:r>
      <w:r w:rsidR="003E1546" w:rsidRPr="00F70272">
        <w:rPr>
          <w:color w:val="000000" w:themeColor="text1"/>
          <w:sz w:val="24"/>
          <w:szCs w:val="24"/>
        </w:rPr>
        <w:t>, 2019</w:t>
      </w:r>
      <w:r w:rsidRPr="00F70272">
        <w:rPr>
          <w:color w:val="000000" w:themeColor="text1"/>
          <w:sz w:val="24"/>
          <w:szCs w:val="24"/>
        </w:rPr>
        <w:t xml:space="preserve">). This will aid the company in generating activities and programs which will complete these requirements and enhance the overall engagement of the workers. At the most essential level, employees need a secure and safe work circumstance that completes their physiological requirements like clean facilities, a safe workplace, and adequate pay and benefits. Tesco has always put the safety and health of their workers as their top preference and their </w:t>
      </w:r>
      <w:r w:rsidR="003E1546" w:rsidRPr="00F70272">
        <w:rPr>
          <w:color w:val="000000" w:themeColor="text1"/>
          <w:sz w:val="24"/>
          <w:szCs w:val="24"/>
        </w:rPr>
        <w:t>on-going</w:t>
      </w:r>
      <w:r w:rsidRPr="00F70272">
        <w:rPr>
          <w:color w:val="000000" w:themeColor="text1"/>
          <w:sz w:val="24"/>
          <w:szCs w:val="24"/>
        </w:rPr>
        <w:t xml:space="preserve"> acquisitions in this element provide proof. After physiological needs are satisfied, workers need a sense of acceptance and belonging, and social connections are the foundation of this. However</w:t>
      </w:r>
      <w:r w:rsidR="003E1546" w:rsidRPr="00F70272">
        <w:rPr>
          <w:color w:val="000000" w:themeColor="text1"/>
          <w:sz w:val="24"/>
          <w:szCs w:val="24"/>
        </w:rPr>
        <w:t>, at</w:t>
      </w:r>
      <w:r w:rsidRPr="00F70272">
        <w:rPr>
          <w:color w:val="000000" w:themeColor="text1"/>
          <w:sz w:val="24"/>
          <w:szCs w:val="24"/>
        </w:rPr>
        <w:t xml:space="preserve"> Tesco, there are considerable possibilities for workers to get to understand their colleagues and create connections which will make them feel like a practical part of the company through volunteer activities and team-building events. Once the social needs of workers are fulfilled, they will look to accomplish self-esteem via praise and recognition of their job. Te</w:t>
      </w:r>
      <w:r w:rsidR="003E1546" w:rsidRPr="00F70272">
        <w:rPr>
          <w:color w:val="000000" w:themeColor="text1"/>
          <w:sz w:val="24"/>
          <w:szCs w:val="24"/>
        </w:rPr>
        <w:t>s</w:t>
      </w:r>
      <w:r w:rsidRPr="00F70272">
        <w:rPr>
          <w:color w:val="000000" w:themeColor="text1"/>
          <w:sz w:val="24"/>
          <w:szCs w:val="24"/>
        </w:rPr>
        <w:t xml:space="preserve">co celebrates and acknowledges its worker's success via numerous recognition training, programs and </w:t>
      </w:r>
      <w:r w:rsidRPr="00F70272">
        <w:rPr>
          <w:color w:val="000000" w:themeColor="text1"/>
          <w:sz w:val="24"/>
          <w:szCs w:val="24"/>
        </w:rPr>
        <w:lastRenderedPageBreak/>
        <w:t xml:space="preserve">other advantages which encourage achievement and motivation among its team (Bernacki </w:t>
      </w:r>
      <w:r w:rsidRPr="00F70272">
        <w:rPr>
          <w:i/>
          <w:color w:val="000000" w:themeColor="text1"/>
          <w:sz w:val="24"/>
          <w:szCs w:val="24"/>
        </w:rPr>
        <w:t>et al</w:t>
      </w:r>
      <w:r w:rsidRPr="00F70272">
        <w:rPr>
          <w:color w:val="000000" w:themeColor="text1"/>
          <w:sz w:val="24"/>
          <w:szCs w:val="24"/>
        </w:rPr>
        <w:t xml:space="preserve">., 2020). </w:t>
      </w:r>
    </w:p>
    <w:p w14:paraId="76C5F5BD"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Lastly, people will desire self-actualization, which is the requirement to accomplish their full possibilities.  </w:t>
      </w:r>
      <w:proofErr w:type="gramStart"/>
      <w:r w:rsidRPr="00F70272">
        <w:rPr>
          <w:color w:val="000000" w:themeColor="text1"/>
          <w:sz w:val="24"/>
          <w:szCs w:val="24"/>
        </w:rPr>
        <w:t>In order to</w:t>
      </w:r>
      <w:proofErr w:type="gramEnd"/>
      <w:r w:rsidRPr="00F70272">
        <w:rPr>
          <w:color w:val="000000" w:themeColor="text1"/>
          <w:sz w:val="24"/>
          <w:szCs w:val="24"/>
        </w:rPr>
        <w:t xml:space="preserve"> accomplish this standard, Tesco gives its workers a wealth of growth possibilities containing a certification program, in-house training and Job improvement activities and promotions. However, by embracing Maslow's Hierarchy of needs, Tesco is assuming that all their workers' essential requirements are met, making it feasible for their workers to perform their best and enhancing employee retention creating an engaged and healthy workplace (Radke </w:t>
      </w:r>
      <w:r w:rsidRPr="00F70272">
        <w:rPr>
          <w:i/>
          <w:color w:val="000000" w:themeColor="text1"/>
          <w:sz w:val="24"/>
          <w:szCs w:val="24"/>
        </w:rPr>
        <w:t>et al</w:t>
      </w:r>
      <w:r w:rsidRPr="00F70272">
        <w:rPr>
          <w:color w:val="000000" w:themeColor="text1"/>
          <w:sz w:val="24"/>
          <w:szCs w:val="24"/>
        </w:rPr>
        <w:t>.</w:t>
      </w:r>
      <w:r w:rsidR="003E1546" w:rsidRPr="00F70272">
        <w:rPr>
          <w:color w:val="000000" w:themeColor="text1"/>
          <w:sz w:val="24"/>
          <w:szCs w:val="24"/>
        </w:rPr>
        <w:t>, 2020</w:t>
      </w:r>
      <w:r w:rsidRPr="00F70272">
        <w:rPr>
          <w:color w:val="000000" w:themeColor="text1"/>
          <w:sz w:val="24"/>
          <w:szCs w:val="24"/>
        </w:rPr>
        <w:t xml:space="preserve">). However, this model is effective in ensuring employees are mostly inspired, and engaged and can contribute adequately to the association. </w:t>
      </w:r>
    </w:p>
    <w:p w14:paraId="23713D50" w14:textId="77777777" w:rsidR="00A974D2" w:rsidRPr="00F70272" w:rsidRDefault="00A974D2" w:rsidP="00B84A70">
      <w:pPr>
        <w:spacing w:line="360" w:lineRule="auto"/>
        <w:jc w:val="both"/>
        <w:rPr>
          <w:color w:val="000000" w:themeColor="text1"/>
          <w:sz w:val="24"/>
          <w:szCs w:val="24"/>
        </w:rPr>
      </w:pPr>
    </w:p>
    <w:p w14:paraId="4A49DE09" w14:textId="77777777" w:rsidR="00A974D2" w:rsidRPr="00F70272" w:rsidRDefault="00A974D2" w:rsidP="00B84A70">
      <w:pPr>
        <w:spacing w:line="360" w:lineRule="auto"/>
        <w:jc w:val="both"/>
        <w:rPr>
          <w:color w:val="000000" w:themeColor="text1"/>
          <w:sz w:val="24"/>
          <w:szCs w:val="24"/>
        </w:rPr>
      </w:pPr>
    </w:p>
    <w:p w14:paraId="0ED7CD0C" w14:textId="77777777" w:rsidR="00A974D2" w:rsidRPr="00F70272" w:rsidRDefault="00A974D2" w:rsidP="00B84A70">
      <w:pPr>
        <w:spacing w:line="360" w:lineRule="auto"/>
        <w:jc w:val="both"/>
        <w:rPr>
          <w:color w:val="000000" w:themeColor="text1"/>
          <w:sz w:val="24"/>
          <w:szCs w:val="24"/>
        </w:rPr>
      </w:pPr>
    </w:p>
    <w:p w14:paraId="07E20DAB" w14:textId="77777777" w:rsidR="00A974D2" w:rsidRPr="00F70272" w:rsidRDefault="00A974D2" w:rsidP="00B84A70">
      <w:pPr>
        <w:spacing w:line="360" w:lineRule="auto"/>
        <w:jc w:val="both"/>
        <w:rPr>
          <w:color w:val="000000" w:themeColor="text1"/>
          <w:sz w:val="24"/>
          <w:szCs w:val="24"/>
        </w:rPr>
      </w:pPr>
    </w:p>
    <w:p w14:paraId="06331777" w14:textId="77777777" w:rsidR="00A974D2" w:rsidRPr="00F70272" w:rsidRDefault="00A974D2" w:rsidP="00B84A70">
      <w:pPr>
        <w:spacing w:line="360" w:lineRule="auto"/>
        <w:jc w:val="both"/>
        <w:rPr>
          <w:color w:val="000000" w:themeColor="text1"/>
          <w:sz w:val="24"/>
          <w:szCs w:val="24"/>
        </w:rPr>
      </w:pPr>
    </w:p>
    <w:p w14:paraId="7117E880" w14:textId="77777777" w:rsidR="00A974D2" w:rsidRPr="00F70272" w:rsidRDefault="007B1F7E" w:rsidP="00B84A70">
      <w:pPr>
        <w:spacing w:line="360" w:lineRule="auto"/>
        <w:jc w:val="both"/>
        <w:rPr>
          <w:b/>
          <w:color w:val="000000" w:themeColor="text1"/>
          <w:sz w:val="24"/>
          <w:szCs w:val="24"/>
        </w:rPr>
      </w:pPr>
      <w:r w:rsidRPr="00F70272">
        <w:rPr>
          <w:color w:val="000000" w:themeColor="text1"/>
          <w:sz w:val="24"/>
          <w:szCs w:val="24"/>
        </w:rPr>
        <w:br w:type="page"/>
      </w:r>
    </w:p>
    <w:p w14:paraId="3D3F6026" w14:textId="77777777" w:rsidR="00A974D2" w:rsidRPr="00F70272" w:rsidRDefault="007B1F7E" w:rsidP="00B84A70">
      <w:pPr>
        <w:pStyle w:val="Heading1"/>
        <w:rPr>
          <w:color w:val="000000" w:themeColor="text1"/>
        </w:rPr>
      </w:pPr>
      <w:bookmarkStart w:id="4" w:name="_Toc147319036"/>
      <w:r w:rsidRPr="00F70272">
        <w:rPr>
          <w:color w:val="000000" w:themeColor="text1"/>
        </w:rPr>
        <w:lastRenderedPageBreak/>
        <w:t>Conclusion</w:t>
      </w:r>
      <w:bookmarkEnd w:id="4"/>
    </w:p>
    <w:p w14:paraId="43587024" w14:textId="0C4B8A94"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t xml:space="preserve">The above study concludes that HR professionals can attract </w:t>
      </w:r>
      <w:r w:rsidR="00F70272" w:rsidRPr="00F70272">
        <w:rPr>
          <w:color w:val="000000" w:themeColor="text1"/>
          <w:sz w:val="24"/>
          <w:szCs w:val="24"/>
        </w:rPr>
        <w:t>representatives’</w:t>
      </w:r>
      <w:r w:rsidRPr="00F70272">
        <w:rPr>
          <w:color w:val="000000" w:themeColor="text1"/>
          <w:sz w:val="24"/>
          <w:szCs w:val="24"/>
        </w:rPr>
        <w:t xml:space="preserve"> by</w:t>
      </w:r>
      <w:r w:rsidR="00F70272" w:rsidRPr="00F70272">
        <w:rPr>
          <w:color w:val="000000" w:themeColor="text1"/>
          <w:sz w:val="24"/>
          <w:szCs w:val="24"/>
        </w:rPr>
        <w:t xml:space="preserve"> </w:t>
      </w:r>
      <w:r w:rsidRPr="00F70272">
        <w:rPr>
          <w:color w:val="000000" w:themeColor="text1"/>
          <w:sz w:val="24"/>
          <w:szCs w:val="24"/>
        </w:rPr>
        <w:t xml:space="preserve">encouraging a feeling of direction and significance in their work. They are liable for guaranteeing that representatives are persuaded and concentrated in accomplishing the association's objectives.  By dealing with the representative lifecycle successfully, associations can further grow worker maintenance, fabricate areas of strength and assist efficiency.  However, </w:t>
      </w:r>
      <w:r w:rsidR="0005186A" w:rsidRPr="00F70272">
        <w:rPr>
          <w:color w:val="000000" w:themeColor="text1"/>
          <w:sz w:val="24"/>
          <w:szCs w:val="24"/>
        </w:rPr>
        <w:t>giving</w:t>
      </w:r>
      <w:r w:rsidRPr="00F70272">
        <w:rPr>
          <w:color w:val="000000" w:themeColor="text1"/>
          <w:sz w:val="24"/>
          <w:szCs w:val="24"/>
        </w:rPr>
        <w:t xml:space="preserve"> clear correspondence and straightforwardness about the organisation's vision, mission, and objectives can likewise help draw in and hold top ability from this segment.  Moreover, they have areas of strength for maintainability and social effect, which lines up with the upsides of numerous Gen Z competitors. This might include putting forth clear objectives and assumptions and giving admittance to preparing and advancing assets. </w:t>
      </w:r>
    </w:p>
    <w:p w14:paraId="32D2E2DB" w14:textId="77777777" w:rsidR="00A974D2" w:rsidRPr="00F70272" w:rsidRDefault="00A974D2" w:rsidP="00B84A70">
      <w:pPr>
        <w:spacing w:line="360" w:lineRule="auto"/>
        <w:jc w:val="both"/>
        <w:rPr>
          <w:color w:val="000000" w:themeColor="text1"/>
          <w:sz w:val="24"/>
          <w:szCs w:val="24"/>
        </w:rPr>
      </w:pPr>
    </w:p>
    <w:p w14:paraId="5F55B3DD" w14:textId="77777777" w:rsidR="00A974D2" w:rsidRPr="00F70272" w:rsidRDefault="007B1F7E" w:rsidP="00B84A70">
      <w:pPr>
        <w:spacing w:line="360" w:lineRule="auto"/>
        <w:jc w:val="both"/>
        <w:rPr>
          <w:color w:val="000000" w:themeColor="text1"/>
          <w:sz w:val="24"/>
          <w:szCs w:val="24"/>
        </w:rPr>
      </w:pPr>
      <w:r w:rsidRPr="00F70272">
        <w:rPr>
          <w:color w:val="000000" w:themeColor="text1"/>
          <w:sz w:val="24"/>
          <w:szCs w:val="24"/>
        </w:rPr>
        <w:br w:type="page"/>
      </w:r>
    </w:p>
    <w:p w14:paraId="75E209FC" w14:textId="77777777" w:rsidR="00A974D2" w:rsidRPr="00F70272" w:rsidRDefault="007B1F7E" w:rsidP="00B84A70">
      <w:pPr>
        <w:pStyle w:val="Heading1"/>
        <w:rPr>
          <w:color w:val="000000" w:themeColor="text1"/>
        </w:rPr>
      </w:pPr>
      <w:bookmarkStart w:id="5" w:name="_tywgo2k3akt" w:colFirst="0" w:colLast="0"/>
      <w:bookmarkStart w:id="6" w:name="_Toc147319037"/>
      <w:bookmarkEnd w:id="5"/>
      <w:r w:rsidRPr="00F70272">
        <w:rPr>
          <w:color w:val="000000" w:themeColor="text1"/>
        </w:rPr>
        <w:lastRenderedPageBreak/>
        <w:t>References</w:t>
      </w:r>
      <w:bookmarkEnd w:id="6"/>
    </w:p>
    <w:p w14:paraId="7BA60D8B"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Ansari, N.Y., Farrukh, M. and Raza, A., (2021). Green human resource management and </w:t>
      </w:r>
      <w:proofErr w:type="gramStart"/>
      <w:r w:rsidRPr="00F70272">
        <w:rPr>
          <w:color w:val="000000" w:themeColor="text1"/>
          <w:sz w:val="24"/>
          <w:szCs w:val="24"/>
          <w:highlight w:val="white"/>
        </w:rPr>
        <w:t>employees</w:t>
      </w:r>
      <w:proofErr w:type="gramEnd"/>
      <w:r w:rsidRPr="00F70272">
        <w:rPr>
          <w:color w:val="000000" w:themeColor="text1"/>
          <w:sz w:val="24"/>
          <w:szCs w:val="24"/>
          <w:highlight w:val="white"/>
        </w:rPr>
        <w:t xml:space="preserve"> pro‐environmental behaviours: Examining the underlying mechanism. </w:t>
      </w:r>
      <w:r w:rsidRPr="00F70272">
        <w:rPr>
          <w:i/>
          <w:color w:val="000000" w:themeColor="text1"/>
          <w:sz w:val="24"/>
          <w:szCs w:val="24"/>
          <w:highlight w:val="white"/>
        </w:rPr>
        <w:t>Corporate Social Responsibility and Environmental Management</w:t>
      </w:r>
      <w:r w:rsidRPr="00F70272">
        <w:rPr>
          <w:color w:val="000000" w:themeColor="text1"/>
          <w:sz w:val="24"/>
          <w:szCs w:val="24"/>
          <w:highlight w:val="white"/>
        </w:rPr>
        <w:t xml:space="preserve">, </w:t>
      </w:r>
      <w:r w:rsidRPr="00F70272">
        <w:rPr>
          <w:i/>
          <w:color w:val="000000" w:themeColor="text1"/>
          <w:sz w:val="24"/>
          <w:szCs w:val="24"/>
          <w:highlight w:val="white"/>
        </w:rPr>
        <w:t>28</w:t>
      </w:r>
      <w:r w:rsidRPr="00F70272">
        <w:rPr>
          <w:color w:val="000000" w:themeColor="text1"/>
          <w:sz w:val="24"/>
          <w:szCs w:val="24"/>
          <w:highlight w:val="white"/>
        </w:rPr>
        <w:t>(1), pp.229-238.</w:t>
      </w:r>
    </w:p>
    <w:p w14:paraId="2C627739" w14:textId="77777777" w:rsidR="003E1546" w:rsidRPr="00F70272" w:rsidRDefault="003E1546" w:rsidP="00B84A70">
      <w:pPr>
        <w:spacing w:line="360" w:lineRule="auto"/>
        <w:jc w:val="both"/>
        <w:rPr>
          <w:color w:val="000000" w:themeColor="text1"/>
          <w:sz w:val="24"/>
          <w:szCs w:val="24"/>
        </w:rPr>
      </w:pPr>
      <w:r w:rsidRPr="00F70272">
        <w:rPr>
          <w:color w:val="000000" w:themeColor="text1"/>
          <w:sz w:val="24"/>
          <w:szCs w:val="24"/>
          <w:highlight w:val="white"/>
        </w:rPr>
        <w:t xml:space="preserve">Bernacki, M.L., Greene, J.A. and Crompton, H., (2020). Mobile technology, learning, and achievement: Advances in understanding and measuring the role of mobile technology in education. </w:t>
      </w:r>
      <w:r w:rsidRPr="00F70272">
        <w:rPr>
          <w:i/>
          <w:color w:val="000000" w:themeColor="text1"/>
          <w:sz w:val="24"/>
          <w:szCs w:val="24"/>
          <w:highlight w:val="white"/>
        </w:rPr>
        <w:t>Contemporary Educational Psychology</w:t>
      </w:r>
      <w:r w:rsidRPr="00F70272">
        <w:rPr>
          <w:color w:val="000000" w:themeColor="text1"/>
          <w:sz w:val="24"/>
          <w:szCs w:val="24"/>
          <w:highlight w:val="white"/>
        </w:rPr>
        <w:t xml:space="preserve">, </w:t>
      </w:r>
      <w:r w:rsidRPr="00F70272">
        <w:rPr>
          <w:i/>
          <w:color w:val="000000" w:themeColor="text1"/>
          <w:sz w:val="24"/>
          <w:szCs w:val="24"/>
          <w:highlight w:val="white"/>
        </w:rPr>
        <w:t>60</w:t>
      </w:r>
      <w:r w:rsidRPr="00F70272">
        <w:rPr>
          <w:color w:val="000000" w:themeColor="text1"/>
          <w:sz w:val="24"/>
          <w:szCs w:val="24"/>
          <w:highlight w:val="white"/>
        </w:rPr>
        <w:t>, p.101827.</w:t>
      </w:r>
    </w:p>
    <w:p w14:paraId="58848492"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Cattermole, G., (2019). Developing the employee lifecycle to keep top talent. </w:t>
      </w:r>
      <w:r w:rsidRPr="00F70272">
        <w:rPr>
          <w:i/>
          <w:color w:val="000000" w:themeColor="text1"/>
          <w:sz w:val="24"/>
          <w:szCs w:val="24"/>
          <w:highlight w:val="white"/>
        </w:rPr>
        <w:t>Strategic HR review</w:t>
      </w:r>
      <w:r w:rsidRPr="00F70272">
        <w:rPr>
          <w:color w:val="000000" w:themeColor="text1"/>
          <w:sz w:val="24"/>
          <w:szCs w:val="24"/>
          <w:highlight w:val="white"/>
        </w:rPr>
        <w:t xml:space="preserve">, </w:t>
      </w:r>
      <w:r w:rsidRPr="00F70272">
        <w:rPr>
          <w:i/>
          <w:color w:val="000000" w:themeColor="text1"/>
          <w:sz w:val="24"/>
          <w:szCs w:val="24"/>
          <w:highlight w:val="white"/>
        </w:rPr>
        <w:t>18</w:t>
      </w:r>
      <w:r w:rsidRPr="00F70272">
        <w:rPr>
          <w:color w:val="000000" w:themeColor="text1"/>
          <w:sz w:val="24"/>
          <w:szCs w:val="24"/>
          <w:highlight w:val="white"/>
        </w:rPr>
        <w:t>(6), pp.258-262.</w:t>
      </w:r>
    </w:p>
    <w:p w14:paraId="6EDEBE16"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Healy, J. and Pekarek, A., (2020). 10. Work and wages in the gig economy: can there be a high </w:t>
      </w:r>
      <w:proofErr w:type="gramStart"/>
      <w:r w:rsidRPr="00F70272">
        <w:rPr>
          <w:color w:val="000000" w:themeColor="text1"/>
          <w:sz w:val="24"/>
          <w:szCs w:val="24"/>
          <w:highlight w:val="white"/>
        </w:rPr>
        <w:t>road?.</w:t>
      </w:r>
      <w:proofErr w:type="gramEnd"/>
      <w:r w:rsidRPr="00F70272">
        <w:rPr>
          <w:color w:val="000000" w:themeColor="text1"/>
          <w:sz w:val="24"/>
          <w:szCs w:val="24"/>
          <w:highlight w:val="white"/>
        </w:rPr>
        <w:t xml:space="preserve"> </w:t>
      </w:r>
      <w:r w:rsidRPr="00F70272">
        <w:rPr>
          <w:i/>
          <w:color w:val="000000" w:themeColor="text1"/>
          <w:sz w:val="24"/>
          <w:szCs w:val="24"/>
          <w:highlight w:val="white"/>
        </w:rPr>
        <w:t>The future of work and employment</w:t>
      </w:r>
      <w:r w:rsidRPr="00F70272">
        <w:rPr>
          <w:color w:val="000000" w:themeColor="text1"/>
          <w:sz w:val="24"/>
          <w:szCs w:val="24"/>
          <w:highlight w:val="white"/>
        </w:rPr>
        <w:t>, p.156.</w:t>
      </w:r>
    </w:p>
    <w:p w14:paraId="722F4527"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Johnson, E., (2023). </w:t>
      </w:r>
      <w:r w:rsidRPr="00F70272">
        <w:rPr>
          <w:i/>
          <w:color w:val="000000" w:themeColor="text1"/>
          <w:sz w:val="24"/>
          <w:szCs w:val="24"/>
          <w:highlight w:val="white"/>
        </w:rPr>
        <w:t>Cultivating Belonging in Remote Work to Improve Retention</w:t>
      </w:r>
      <w:r w:rsidRPr="00F70272">
        <w:rPr>
          <w:color w:val="000000" w:themeColor="text1"/>
          <w:sz w:val="24"/>
          <w:szCs w:val="24"/>
          <w:highlight w:val="white"/>
        </w:rPr>
        <w:t xml:space="preserve"> (Doctoral dissertation, The College of St. Scholastica).</w:t>
      </w:r>
    </w:p>
    <w:p w14:paraId="1A7CF06B" w14:textId="77777777" w:rsidR="003E1546" w:rsidRPr="00F70272" w:rsidRDefault="003E1546" w:rsidP="00B84A70">
      <w:pPr>
        <w:spacing w:line="360" w:lineRule="auto"/>
        <w:jc w:val="both"/>
        <w:rPr>
          <w:color w:val="000000" w:themeColor="text1"/>
          <w:sz w:val="24"/>
          <w:szCs w:val="24"/>
          <w:highlight w:val="white"/>
        </w:rPr>
      </w:pPr>
      <w:proofErr w:type="spellStart"/>
      <w:r w:rsidRPr="00F70272">
        <w:rPr>
          <w:color w:val="000000" w:themeColor="text1"/>
          <w:sz w:val="24"/>
          <w:szCs w:val="24"/>
          <w:highlight w:val="white"/>
        </w:rPr>
        <w:t>Kuzior</w:t>
      </w:r>
      <w:proofErr w:type="spellEnd"/>
      <w:r w:rsidRPr="00F70272">
        <w:rPr>
          <w:color w:val="000000" w:themeColor="text1"/>
          <w:sz w:val="24"/>
          <w:szCs w:val="24"/>
          <w:highlight w:val="white"/>
        </w:rPr>
        <w:t xml:space="preserve">, A., Kettler, K. and </w:t>
      </w:r>
      <w:proofErr w:type="spellStart"/>
      <w:r w:rsidRPr="00F70272">
        <w:rPr>
          <w:color w:val="000000" w:themeColor="text1"/>
          <w:sz w:val="24"/>
          <w:szCs w:val="24"/>
          <w:highlight w:val="white"/>
        </w:rPr>
        <w:t>Rąb</w:t>
      </w:r>
      <w:proofErr w:type="spellEnd"/>
      <w:r w:rsidRPr="00F70272">
        <w:rPr>
          <w:color w:val="000000" w:themeColor="text1"/>
          <w:sz w:val="24"/>
          <w:szCs w:val="24"/>
          <w:highlight w:val="white"/>
        </w:rPr>
        <w:t xml:space="preserve">, Ł., (2022). Great resignation—Ethical, cultural, relational, and personal dimensions of generation Y and Z employees’ engagement. </w:t>
      </w:r>
      <w:r w:rsidRPr="00F70272">
        <w:rPr>
          <w:i/>
          <w:color w:val="000000" w:themeColor="text1"/>
          <w:sz w:val="24"/>
          <w:szCs w:val="24"/>
          <w:highlight w:val="white"/>
        </w:rPr>
        <w:t>Sustainability</w:t>
      </w:r>
      <w:r w:rsidRPr="00F70272">
        <w:rPr>
          <w:color w:val="000000" w:themeColor="text1"/>
          <w:sz w:val="24"/>
          <w:szCs w:val="24"/>
          <w:highlight w:val="white"/>
        </w:rPr>
        <w:t xml:space="preserve">, </w:t>
      </w:r>
      <w:r w:rsidRPr="00F70272">
        <w:rPr>
          <w:i/>
          <w:color w:val="000000" w:themeColor="text1"/>
          <w:sz w:val="24"/>
          <w:szCs w:val="24"/>
          <w:highlight w:val="white"/>
        </w:rPr>
        <w:t>14</w:t>
      </w:r>
      <w:r w:rsidRPr="00F70272">
        <w:rPr>
          <w:color w:val="000000" w:themeColor="text1"/>
          <w:sz w:val="24"/>
          <w:szCs w:val="24"/>
          <w:highlight w:val="white"/>
        </w:rPr>
        <w:t>(11), p.6764.</w:t>
      </w:r>
    </w:p>
    <w:p w14:paraId="461FE71A"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Leitner-</w:t>
      </w:r>
      <w:proofErr w:type="spellStart"/>
      <w:r w:rsidRPr="00F70272">
        <w:rPr>
          <w:color w:val="000000" w:themeColor="text1"/>
          <w:sz w:val="24"/>
          <w:szCs w:val="24"/>
          <w:highlight w:val="white"/>
        </w:rPr>
        <w:t>Hanetseder</w:t>
      </w:r>
      <w:proofErr w:type="spellEnd"/>
      <w:r w:rsidRPr="00F70272">
        <w:rPr>
          <w:color w:val="000000" w:themeColor="text1"/>
          <w:sz w:val="24"/>
          <w:szCs w:val="24"/>
          <w:highlight w:val="white"/>
        </w:rPr>
        <w:t xml:space="preserve">, S., Lehner, O.M., Eisl, C. and </w:t>
      </w:r>
      <w:proofErr w:type="spellStart"/>
      <w:r w:rsidRPr="00F70272">
        <w:rPr>
          <w:color w:val="000000" w:themeColor="text1"/>
          <w:sz w:val="24"/>
          <w:szCs w:val="24"/>
          <w:highlight w:val="white"/>
        </w:rPr>
        <w:t>Forstenlechner</w:t>
      </w:r>
      <w:proofErr w:type="spellEnd"/>
      <w:r w:rsidRPr="00F70272">
        <w:rPr>
          <w:color w:val="000000" w:themeColor="text1"/>
          <w:sz w:val="24"/>
          <w:szCs w:val="24"/>
          <w:highlight w:val="white"/>
        </w:rPr>
        <w:t xml:space="preserve">, C., 2021. A profession in transition: Actors, tasks and roles in AI-based accounting. </w:t>
      </w:r>
      <w:r w:rsidRPr="00F70272">
        <w:rPr>
          <w:i/>
          <w:color w:val="000000" w:themeColor="text1"/>
          <w:sz w:val="24"/>
          <w:szCs w:val="24"/>
          <w:highlight w:val="white"/>
        </w:rPr>
        <w:t>Journal of Applied Accounting Research</w:t>
      </w:r>
      <w:r w:rsidRPr="00F70272">
        <w:rPr>
          <w:color w:val="000000" w:themeColor="text1"/>
          <w:sz w:val="24"/>
          <w:szCs w:val="24"/>
          <w:highlight w:val="white"/>
        </w:rPr>
        <w:t xml:space="preserve">, </w:t>
      </w:r>
      <w:r w:rsidRPr="00F70272">
        <w:rPr>
          <w:i/>
          <w:color w:val="000000" w:themeColor="text1"/>
          <w:sz w:val="24"/>
          <w:szCs w:val="24"/>
          <w:highlight w:val="white"/>
        </w:rPr>
        <w:t>22</w:t>
      </w:r>
      <w:r w:rsidRPr="00F70272">
        <w:rPr>
          <w:color w:val="000000" w:themeColor="text1"/>
          <w:sz w:val="24"/>
          <w:szCs w:val="24"/>
          <w:highlight w:val="white"/>
        </w:rPr>
        <w:t>(3), pp.539-556.</w:t>
      </w:r>
    </w:p>
    <w:p w14:paraId="50F1AD0E"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Mahmoud, A.B., </w:t>
      </w:r>
      <w:proofErr w:type="spellStart"/>
      <w:r w:rsidRPr="00F70272">
        <w:rPr>
          <w:color w:val="000000" w:themeColor="text1"/>
          <w:sz w:val="24"/>
          <w:szCs w:val="24"/>
          <w:highlight w:val="white"/>
        </w:rPr>
        <w:t>Fuxman</w:t>
      </w:r>
      <w:proofErr w:type="spellEnd"/>
      <w:r w:rsidRPr="00F70272">
        <w:rPr>
          <w:color w:val="000000" w:themeColor="text1"/>
          <w:sz w:val="24"/>
          <w:szCs w:val="24"/>
          <w:highlight w:val="white"/>
        </w:rPr>
        <w:t xml:space="preserve">, L., Mohr, I., Reisel, W.D. and Grigoriou, N., (2021). “We aren't your reincarnation!” workplace motivation across X, Y and Z generations. </w:t>
      </w:r>
      <w:r w:rsidRPr="00F70272">
        <w:rPr>
          <w:i/>
          <w:color w:val="000000" w:themeColor="text1"/>
          <w:sz w:val="24"/>
          <w:szCs w:val="24"/>
          <w:highlight w:val="white"/>
        </w:rPr>
        <w:t>International Journal of Manpower</w:t>
      </w:r>
      <w:r w:rsidRPr="00F70272">
        <w:rPr>
          <w:color w:val="000000" w:themeColor="text1"/>
          <w:sz w:val="24"/>
          <w:szCs w:val="24"/>
          <w:highlight w:val="white"/>
        </w:rPr>
        <w:t xml:space="preserve">, </w:t>
      </w:r>
      <w:r w:rsidRPr="00F70272">
        <w:rPr>
          <w:i/>
          <w:color w:val="000000" w:themeColor="text1"/>
          <w:sz w:val="24"/>
          <w:szCs w:val="24"/>
          <w:highlight w:val="white"/>
        </w:rPr>
        <w:t>42</w:t>
      </w:r>
      <w:r w:rsidRPr="00F70272">
        <w:rPr>
          <w:color w:val="000000" w:themeColor="text1"/>
          <w:sz w:val="24"/>
          <w:szCs w:val="24"/>
          <w:highlight w:val="white"/>
        </w:rPr>
        <w:t>(1), pp.193-209.</w:t>
      </w:r>
    </w:p>
    <w:p w14:paraId="6288DF68" w14:textId="77777777" w:rsidR="003E1546" w:rsidRPr="00F70272" w:rsidRDefault="003E1546" w:rsidP="00B84A70">
      <w:pPr>
        <w:spacing w:line="360" w:lineRule="auto"/>
        <w:jc w:val="both"/>
        <w:rPr>
          <w:color w:val="000000" w:themeColor="text1"/>
          <w:sz w:val="24"/>
          <w:szCs w:val="24"/>
          <w:highlight w:val="white"/>
        </w:rPr>
      </w:pPr>
      <w:proofErr w:type="spellStart"/>
      <w:r w:rsidRPr="00F70272">
        <w:rPr>
          <w:color w:val="000000" w:themeColor="text1"/>
          <w:sz w:val="24"/>
          <w:szCs w:val="24"/>
          <w:highlight w:val="white"/>
        </w:rPr>
        <w:t>Makransky</w:t>
      </w:r>
      <w:proofErr w:type="spellEnd"/>
      <w:r w:rsidRPr="00F70272">
        <w:rPr>
          <w:color w:val="000000" w:themeColor="text1"/>
          <w:sz w:val="24"/>
          <w:szCs w:val="24"/>
          <w:highlight w:val="white"/>
        </w:rPr>
        <w:t xml:space="preserve">, G., Borre‐Gude, S. and Mayer, R.E., (2019). Motivational and cognitive benefits of training in immersive virtual reality based on multiple assessments. </w:t>
      </w:r>
      <w:r w:rsidRPr="00F70272">
        <w:rPr>
          <w:i/>
          <w:color w:val="000000" w:themeColor="text1"/>
          <w:sz w:val="24"/>
          <w:szCs w:val="24"/>
          <w:highlight w:val="white"/>
        </w:rPr>
        <w:t>Journal of Computer Assisted Learning</w:t>
      </w:r>
      <w:r w:rsidRPr="00F70272">
        <w:rPr>
          <w:color w:val="000000" w:themeColor="text1"/>
          <w:sz w:val="24"/>
          <w:szCs w:val="24"/>
          <w:highlight w:val="white"/>
        </w:rPr>
        <w:t xml:space="preserve">, </w:t>
      </w:r>
      <w:r w:rsidRPr="00F70272">
        <w:rPr>
          <w:i/>
          <w:color w:val="000000" w:themeColor="text1"/>
          <w:sz w:val="24"/>
          <w:szCs w:val="24"/>
          <w:highlight w:val="white"/>
        </w:rPr>
        <w:t>35</w:t>
      </w:r>
      <w:r w:rsidRPr="00F70272">
        <w:rPr>
          <w:color w:val="000000" w:themeColor="text1"/>
          <w:sz w:val="24"/>
          <w:szCs w:val="24"/>
          <w:highlight w:val="white"/>
        </w:rPr>
        <w:t>(6), pp.691-707.</w:t>
      </w:r>
    </w:p>
    <w:p w14:paraId="37EF7325"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Malik, A., </w:t>
      </w:r>
      <w:proofErr w:type="spellStart"/>
      <w:r w:rsidRPr="00F70272">
        <w:rPr>
          <w:color w:val="000000" w:themeColor="text1"/>
          <w:sz w:val="24"/>
          <w:szCs w:val="24"/>
          <w:highlight w:val="white"/>
        </w:rPr>
        <w:t>Budhwar</w:t>
      </w:r>
      <w:proofErr w:type="spellEnd"/>
      <w:r w:rsidRPr="00F70272">
        <w:rPr>
          <w:color w:val="000000" w:themeColor="text1"/>
          <w:sz w:val="24"/>
          <w:szCs w:val="24"/>
          <w:highlight w:val="white"/>
        </w:rPr>
        <w:t xml:space="preserve">, P., Mohan, H. and NR, S., (2023). Employee experience–the missing link for engaging employees: Insights from an MNE's AI‐based HR ecosystem. </w:t>
      </w:r>
      <w:r w:rsidRPr="00F70272">
        <w:rPr>
          <w:i/>
          <w:color w:val="000000" w:themeColor="text1"/>
          <w:sz w:val="24"/>
          <w:szCs w:val="24"/>
          <w:highlight w:val="white"/>
        </w:rPr>
        <w:t>Human Resource Management</w:t>
      </w:r>
      <w:r w:rsidRPr="00F70272">
        <w:rPr>
          <w:color w:val="000000" w:themeColor="text1"/>
          <w:sz w:val="24"/>
          <w:szCs w:val="24"/>
          <w:highlight w:val="white"/>
        </w:rPr>
        <w:t xml:space="preserve">, </w:t>
      </w:r>
      <w:r w:rsidRPr="00F70272">
        <w:rPr>
          <w:i/>
          <w:color w:val="000000" w:themeColor="text1"/>
          <w:sz w:val="24"/>
          <w:szCs w:val="24"/>
          <w:highlight w:val="white"/>
        </w:rPr>
        <w:t>62</w:t>
      </w:r>
      <w:r w:rsidRPr="00F70272">
        <w:rPr>
          <w:color w:val="000000" w:themeColor="text1"/>
          <w:sz w:val="24"/>
          <w:szCs w:val="24"/>
          <w:highlight w:val="white"/>
        </w:rPr>
        <w:t>(1), pp.97-115.</w:t>
      </w:r>
    </w:p>
    <w:p w14:paraId="78212E86"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Saxena, M. and Mishra, D.K., (2023). Artificial intelligence: the way ahead for employee engagement in corporate India. </w:t>
      </w:r>
      <w:r w:rsidRPr="00F70272">
        <w:rPr>
          <w:i/>
          <w:color w:val="000000" w:themeColor="text1"/>
          <w:sz w:val="24"/>
          <w:szCs w:val="24"/>
          <w:highlight w:val="white"/>
        </w:rPr>
        <w:t>Global Knowledge, Memory and Communication</w:t>
      </w:r>
      <w:r w:rsidRPr="00F70272">
        <w:rPr>
          <w:color w:val="000000" w:themeColor="text1"/>
          <w:sz w:val="24"/>
          <w:szCs w:val="24"/>
          <w:highlight w:val="white"/>
        </w:rPr>
        <w:t>.</w:t>
      </w:r>
    </w:p>
    <w:p w14:paraId="2C02D3F3"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lastRenderedPageBreak/>
        <w:t xml:space="preserve">Stahl, G.K., Brewster, C.J., Collings, D.G. and </w:t>
      </w:r>
      <w:proofErr w:type="spellStart"/>
      <w:r w:rsidRPr="00F70272">
        <w:rPr>
          <w:color w:val="000000" w:themeColor="text1"/>
          <w:sz w:val="24"/>
          <w:szCs w:val="24"/>
          <w:highlight w:val="white"/>
        </w:rPr>
        <w:t>Hajro</w:t>
      </w:r>
      <w:proofErr w:type="spellEnd"/>
      <w:r w:rsidRPr="00F70272">
        <w:rPr>
          <w:color w:val="000000" w:themeColor="text1"/>
          <w:sz w:val="24"/>
          <w:szCs w:val="24"/>
          <w:highlight w:val="white"/>
        </w:rPr>
        <w:t xml:space="preserve">, A., (2020). Enhancing the role of human resource management in corporate sustainability and social responsibility: A multi-stakeholder, multidimensional approach to HRM. </w:t>
      </w:r>
      <w:r w:rsidRPr="00F70272">
        <w:rPr>
          <w:i/>
          <w:color w:val="000000" w:themeColor="text1"/>
          <w:sz w:val="24"/>
          <w:szCs w:val="24"/>
          <w:highlight w:val="white"/>
        </w:rPr>
        <w:t>Human Resource Management Review</w:t>
      </w:r>
      <w:r w:rsidRPr="00F70272">
        <w:rPr>
          <w:color w:val="000000" w:themeColor="text1"/>
          <w:sz w:val="24"/>
          <w:szCs w:val="24"/>
          <w:highlight w:val="white"/>
        </w:rPr>
        <w:t xml:space="preserve">, </w:t>
      </w:r>
      <w:r w:rsidRPr="00F70272">
        <w:rPr>
          <w:i/>
          <w:color w:val="000000" w:themeColor="text1"/>
          <w:sz w:val="24"/>
          <w:szCs w:val="24"/>
          <w:highlight w:val="white"/>
        </w:rPr>
        <w:t>30</w:t>
      </w:r>
      <w:r w:rsidRPr="00F70272">
        <w:rPr>
          <w:color w:val="000000" w:themeColor="text1"/>
          <w:sz w:val="24"/>
          <w:szCs w:val="24"/>
          <w:highlight w:val="white"/>
        </w:rPr>
        <w:t>(3), p.100708.</w:t>
      </w:r>
    </w:p>
    <w:p w14:paraId="0389E221" w14:textId="77777777" w:rsidR="003E1546" w:rsidRPr="00F70272" w:rsidRDefault="003E1546"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Szymkowiak, A., </w:t>
      </w:r>
      <w:proofErr w:type="spellStart"/>
      <w:r w:rsidRPr="00F70272">
        <w:rPr>
          <w:color w:val="000000" w:themeColor="text1"/>
          <w:sz w:val="24"/>
          <w:szCs w:val="24"/>
          <w:highlight w:val="white"/>
        </w:rPr>
        <w:t>Melović</w:t>
      </w:r>
      <w:proofErr w:type="spellEnd"/>
      <w:r w:rsidRPr="00F70272">
        <w:rPr>
          <w:color w:val="000000" w:themeColor="text1"/>
          <w:sz w:val="24"/>
          <w:szCs w:val="24"/>
          <w:highlight w:val="white"/>
        </w:rPr>
        <w:t xml:space="preserve">, B., </w:t>
      </w:r>
      <w:proofErr w:type="spellStart"/>
      <w:r w:rsidRPr="00F70272">
        <w:rPr>
          <w:color w:val="000000" w:themeColor="text1"/>
          <w:sz w:val="24"/>
          <w:szCs w:val="24"/>
          <w:highlight w:val="white"/>
        </w:rPr>
        <w:t>Dabić</w:t>
      </w:r>
      <w:proofErr w:type="spellEnd"/>
      <w:r w:rsidRPr="00F70272">
        <w:rPr>
          <w:color w:val="000000" w:themeColor="text1"/>
          <w:sz w:val="24"/>
          <w:szCs w:val="24"/>
          <w:highlight w:val="white"/>
        </w:rPr>
        <w:t xml:space="preserve">, M., Jeganathan, K. and Kundi, G.S., (2021). Information technology and Gen Z: The role of teachers, the internet, and technology in the education of young people. </w:t>
      </w:r>
      <w:r w:rsidRPr="00F70272">
        <w:rPr>
          <w:i/>
          <w:color w:val="000000" w:themeColor="text1"/>
          <w:sz w:val="24"/>
          <w:szCs w:val="24"/>
          <w:highlight w:val="white"/>
        </w:rPr>
        <w:t>Technology in Society</w:t>
      </w:r>
      <w:r w:rsidRPr="00F70272">
        <w:rPr>
          <w:color w:val="000000" w:themeColor="text1"/>
          <w:sz w:val="24"/>
          <w:szCs w:val="24"/>
          <w:highlight w:val="white"/>
        </w:rPr>
        <w:t xml:space="preserve">, </w:t>
      </w:r>
      <w:r w:rsidRPr="00F70272">
        <w:rPr>
          <w:i/>
          <w:color w:val="000000" w:themeColor="text1"/>
          <w:sz w:val="24"/>
          <w:szCs w:val="24"/>
          <w:highlight w:val="white"/>
        </w:rPr>
        <w:t>65</w:t>
      </w:r>
      <w:r w:rsidRPr="00F70272">
        <w:rPr>
          <w:color w:val="000000" w:themeColor="text1"/>
          <w:sz w:val="24"/>
          <w:szCs w:val="24"/>
          <w:highlight w:val="white"/>
        </w:rPr>
        <w:t>, p.101565.</w:t>
      </w:r>
    </w:p>
    <w:p w14:paraId="5BB4BF17" w14:textId="77777777" w:rsidR="00A974D2" w:rsidRPr="00F70272" w:rsidRDefault="007B1F7E" w:rsidP="00B84A70">
      <w:pPr>
        <w:spacing w:line="360" w:lineRule="auto"/>
        <w:jc w:val="both"/>
        <w:rPr>
          <w:color w:val="000000" w:themeColor="text1"/>
          <w:sz w:val="24"/>
          <w:szCs w:val="24"/>
          <w:highlight w:val="white"/>
        </w:rPr>
      </w:pPr>
      <w:r w:rsidRPr="00F70272">
        <w:rPr>
          <w:color w:val="000000" w:themeColor="text1"/>
          <w:sz w:val="24"/>
          <w:szCs w:val="24"/>
          <w:highlight w:val="white"/>
        </w:rPr>
        <w:t xml:space="preserve">Radke, H.R., </w:t>
      </w:r>
      <w:proofErr w:type="spellStart"/>
      <w:r w:rsidRPr="00F70272">
        <w:rPr>
          <w:color w:val="000000" w:themeColor="text1"/>
          <w:sz w:val="24"/>
          <w:szCs w:val="24"/>
          <w:highlight w:val="white"/>
        </w:rPr>
        <w:t>Kutlaca</w:t>
      </w:r>
      <w:proofErr w:type="spellEnd"/>
      <w:r w:rsidRPr="00F70272">
        <w:rPr>
          <w:color w:val="000000" w:themeColor="text1"/>
          <w:sz w:val="24"/>
          <w:szCs w:val="24"/>
          <w:highlight w:val="white"/>
        </w:rPr>
        <w:t xml:space="preserve">, M., </w:t>
      </w:r>
      <w:proofErr w:type="spellStart"/>
      <w:r w:rsidRPr="00F70272">
        <w:rPr>
          <w:color w:val="000000" w:themeColor="text1"/>
          <w:sz w:val="24"/>
          <w:szCs w:val="24"/>
          <w:highlight w:val="white"/>
        </w:rPr>
        <w:t>Siem</w:t>
      </w:r>
      <w:proofErr w:type="spellEnd"/>
      <w:r w:rsidRPr="00F70272">
        <w:rPr>
          <w:color w:val="000000" w:themeColor="text1"/>
          <w:sz w:val="24"/>
          <w:szCs w:val="24"/>
          <w:highlight w:val="white"/>
        </w:rPr>
        <w:t xml:space="preserve">, B., Wright, S.C. and Becker, J.C., (2020). Beyond allyship: Motivations for advantaged group members to engage in action for disadvantaged groups. </w:t>
      </w:r>
      <w:r w:rsidRPr="00F70272">
        <w:rPr>
          <w:i/>
          <w:color w:val="000000" w:themeColor="text1"/>
          <w:sz w:val="24"/>
          <w:szCs w:val="24"/>
          <w:highlight w:val="white"/>
        </w:rPr>
        <w:t>Personality and Social Psychology Review</w:t>
      </w:r>
      <w:r w:rsidRPr="00F70272">
        <w:rPr>
          <w:color w:val="000000" w:themeColor="text1"/>
          <w:sz w:val="24"/>
          <w:szCs w:val="24"/>
          <w:highlight w:val="white"/>
        </w:rPr>
        <w:t xml:space="preserve">, </w:t>
      </w:r>
      <w:r w:rsidRPr="00F70272">
        <w:rPr>
          <w:i/>
          <w:color w:val="000000" w:themeColor="text1"/>
          <w:sz w:val="24"/>
          <w:szCs w:val="24"/>
          <w:highlight w:val="white"/>
        </w:rPr>
        <w:t>24</w:t>
      </w:r>
      <w:r w:rsidRPr="00F70272">
        <w:rPr>
          <w:color w:val="000000" w:themeColor="text1"/>
          <w:sz w:val="24"/>
          <w:szCs w:val="24"/>
          <w:highlight w:val="white"/>
        </w:rPr>
        <w:t>(4), pp.291-315.</w:t>
      </w:r>
    </w:p>
    <w:p w14:paraId="4013AA8D" w14:textId="77777777" w:rsidR="00A974D2" w:rsidRPr="00F70272" w:rsidRDefault="00A974D2" w:rsidP="00B84A70">
      <w:pPr>
        <w:spacing w:line="360" w:lineRule="auto"/>
        <w:jc w:val="both"/>
        <w:rPr>
          <w:color w:val="000000" w:themeColor="text1"/>
          <w:sz w:val="24"/>
          <w:szCs w:val="24"/>
          <w:highlight w:val="white"/>
        </w:rPr>
      </w:pPr>
    </w:p>
    <w:p w14:paraId="4D82AADB" w14:textId="77777777" w:rsidR="00A974D2" w:rsidRPr="00F70272" w:rsidRDefault="00A974D2" w:rsidP="00B84A70">
      <w:pPr>
        <w:spacing w:line="360" w:lineRule="auto"/>
        <w:jc w:val="both"/>
        <w:rPr>
          <w:color w:val="000000" w:themeColor="text1"/>
          <w:sz w:val="24"/>
          <w:szCs w:val="24"/>
          <w:highlight w:val="white"/>
        </w:rPr>
      </w:pPr>
    </w:p>
    <w:p w14:paraId="28E15FEA" w14:textId="77777777" w:rsidR="00A974D2" w:rsidRPr="00F70272" w:rsidRDefault="00A974D2" w:rsidP="00B84A70">
      <w:pPr>
        <w:spacing w:line="360" w:lineRule="auto"/>
        <w:jc w:val="both"/>
        <w:rPr>
          <w:color w:val="000000" w:themeColor="text1"/>
          <w:sz w:val="24"/>
          <w:szCs w:val="24"/>
          <w:highlight w:val="white"/>
        </w:rPr>
      </w:pPr>
    </w:p>
    <w:sectPr w:rsidR="00A974D2" w:rsidRPr="00F70272" w:rsidSect="00031FE0">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B6BCE" w14:textId="77777777" w:rsidR="00293F01" w:rsidRDefault="00293F01">
      <w:pPr>
        <w:spacing w:line="240" w:lineRule="auto"/>
      </w:pPr>
      <w:r>
        <w:separator/>
      </w:r>
    </w:p>
  </w:endnote>
  <w:endnote w:type="continuationSeparator" w:id="0">
    <w:p w14:paraId="62DB9277" w14:textId="77777777" w:rsidR="00293F01" w:rsidRDefault="00293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2DCD" w14:textId="77777777" w:rsidR="00A974D2" w:rsidRDefault="00031FE0">
    <w:pPr>
      <w:jc w:val="right"/>
    </w:pPr>
    <w:r>
      <w:fldChar w:fldCharType="begin"/>
    </w:r>
    <w:r w:rsidR="007B1F7E">
      <w:instrText>PAGE</w:instrText>
    </w:r>
    <w:r>
      <w:fldChar w:fldCharType="separate"/>
    </w:r>
    <w:r w:rsidR="00F702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6039" w14:textId="77777777" w:rsidR="00293F01" w:rsidRDefault="00293F01">
      <w:pPr>
        <w:spacing w:line="240" w:lineRule="auto"/>
      </w:pPr>
      <w:r>
        <w:separator/>
      </w:r>
    </w:p>
  </w:footnote>
  <w:footnote w:type="continuationSeparator" w:id="0">
    <w:p w14:paraId="1527591B" w14:textId="77777777" w:rsidR="00293F01" w:rsidRDefault="00293F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42A50" w14:textId="77777777" w:rsidR="00A974D2" w:rsidRDefault="00A974D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74D2"/>
    <w:rsid w:val="00031FE0"/>
    <w:rsid w:val="0005186A"/>
    <w:rsid w:val="00293F01"/>
    <w:rsid w:val="003E1546"/>
    <w:rsid w:val="005168DF"/>
    <w:rsid w:val="007B1F7E"/>
    <w:rsid w:val="00A37368"/>
    <w:rsid w:val="00A974D2"/>
    <w:rsid w:val="00AE0770"/>
    <w:rsid w:val="00B84A70"/>
    <w:rsid w:val="00C56200"/>
    <w:rsid w:val="00F702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BBC2"/>
  <w15:docId w15:val="{176A3CDD-0728-4EF9-BC53-E5F67CDC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1FE0"/>
  </w:style>
  <w:style w:type="paragraph" w:styleId="Heading1">
    <w:name w:val="heading 1"/>
    <w:basedOn w:val="Normal"/>
    <w:next w:val="Normal"/>
    <w:rsid w:val="00031FE0"/>
    <w:pPr>
      <w:keepNext/>
      <w:keepLines/>
      <w:spacing w:line="360" w:lineRule="auto"/>
      <w:jc w:val="both"/>
      <w:outlineLvl w:val="0"/>
    </w:pPr>
    <w:rPr>
      <w:b/>
      <w:sz w:val="24"/>
      <w:szCs w:val="24"/>
    </w:rPr>
  </w:style>
  <w:style w:type="paragraph" w:styleId="Heading2">
    <w:name w:val="heading 2"/>
    <w:basedOn w:val="Normal"/>
    <w:next w:val="Normal"/>
    <w:rsid w:val="00031FE0"/>
    <w:pPr>
      <w:keepNext/>
      <w:keepLines/>
      <w:spacing w:before="360" w:after="120"/>
      <w:outlineLvl w:val="1"/>
    </w:pPr>
    <w:rPr>
      <w:sz w:val="32"/>
      <w:szCs w:val="32"/>
    </w:rPr>
  </w:style>
  <w:style w:type="paragraph" w:styleId="Heading3">
    <w:name w:val="heading 3"/>
    <w:basedOn w:val="Normal"/>
    <w:next w:val="Normal"/>
    <w:rsid w:val="00031FE0"/>
    <w:pPr>
      <w:keepNext/>
      <w:keepLines/>
      <w:spacing w:before="320" w:after="80"/>
      <w:outlineLvl w:val="2"/>
    </w:pPr>
    <w:rPr>
      <w:color w:val="434343"/>
      <w:sz w:val="28"/>
      <w:szCs w:val="28"/>
    </w:rPr>
  </w:style>
  <w:style w:type="paragraph" w:styleId="Heading4">
    <w:name w:val="heading 4"/>
    <w:basedOn w:val="Normal"/>
    <w:next w:val="Normal"/>
    <w:rsid w:val="00031FE0"/>
    <w:pPr>
      <w:keepNext/>
      <w:keepLines/>
      <w:spacing w:before="280" w:after="80"/>
      <w:outlineLvl w:val="3"/>
    </w:pPr>
    <w:rPr>
      <w:color w:val="666666"/>
      <w:sz w:val="24"/>
      <w:szCs w:val="24"/>
    </w:rPr>
  </w:style>
  <w:style w:type="paragraph" w:styleId="Heading5">
    <w:name w:val="heading 5"/>
    <w:basedOn w:val="Normal"/>
    <w:next w:val="Normal"/>
    <w:rsid w:val="00031FE0"/>
    <w:pPr>
      <w:keepNext/>
      <w:keepLines/>
      <w:spacing w:before="240" w:after="80"/>
      <w:outlineLvl w:val="4"/>
    </w:pPr>
    <w:rPr>
      <w:color w:val="666666"/>
    </w:rPr>
  </w:style>
  <w:style w:type="paragraph" w:styleId="Heading6">
    <w:name w:val="heading 6"/>
    <w:basedOn w:val="Normal"/>
    <w:next w:val="Normal"/>
    <w:rsid w:val="00031F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31FE0"/>
    <w:pPr>
      <w:keepNext/>
      <w:keepLines/>
      <w:spacing w:after="60"/>
    </w:pPr>
    <w:rPr>
      <w:sz w:val="52"/>
      <w:szCs w:val="52"/>
    </w:rPr>
  </w:style>
  <w:style w:type="paragraph" w:styleId="Subtitle">
    <w:name w:val="Subtitle"/>
    <w:basedOn w:val="Normal"/>
    <w:next w:val="Normal"/>
    <w:rsid w:val="00031FE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E15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546"/>
    <w:rPr>
      <w:rFonts w:ascii="Tahoma" w:hAnsi="Tahoma" w:cs="Tahoma"/>
      <w:sz w:val="16"/>
      <w:szCs w:val="16"/>
    </w:rPr>
  </w:style>
  <w:style w:type="paragraph" w:styleId="TOC1">
    <w:name w:val="toc 1"/>
    <w:basedOn w:val="Normal"/>
    <w:next w:val="Normal"/>
    <w:autoRedefine/>
    <w:uiPriority w:val="39"/>
    <w:unhideWhenUsed/>
    <w:rsid w:val="00B84A70"/>
    <w:pPr>
      <w:spacing w:after="100"/>
    </w:pPr>
  </w:style>
  <w:style w:type="character" w:styleId="Hyperlink">
    <w:name w:val="Hyperlink"/>
    <w:basedOn w:val="DefaultParagraphFont"/>
    <w:uiPriority w:val="99"/>
    <w:unhideWhenUsed/>
    <w:rsid w:val="00B84A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Ranga Daniel</cp:lastModifiedBy>
  <cp:revision>7</cp:revision>
  <dcterms:created xsi:type="dcterms:W3CDTF">2023-10-04T07:57:00Z</dcterms:created>
  <dcterms:modified xsi:type="dcterms:W3CDTF">2023-10-05T10:33:00Z</dcterms:modified>
</cp:coreProperties>
</file>