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D597A" w14:textId="77777777" w:rsidR="007A6FF1" w:rsidRDefault="007A6FF1" w:rsidP="007A6FF1">
      <w:pPr>
        <w:jc w:val="center"/>
        <w:rPr>
          <w:sz w:val="36"/>
          <w:szCs w:val="36"/>
        </w:rPr>
      </w:pPr>
    </w:p>
    <w:p w14:paraId="5F4D1373" w14:textId="77777777" w:rsidR="007A6FF1" w:rsidRDefault="007A6FF1" w:rsidP="007A6FF1">
      <w:pPr>
        <w:jc w:val="center"/>
        <w:rPr>
          <w:sz w:val="36"/>
          <w:szCs w:val="36"/>
        </w:rPr>
      </w:pPr>
    </w:p>
    <w:p w14:paraId="547E8246" w14:textId="77777777" w:rsidR="007A6FF1" w:rsidRDefault="007A6FF1" w:rsidP="007A6FF1">
      <w:pPr>
        <w:jc w:val="center"/>
        <w:rPr>
          <w:sz w:val="36"/>
          <w:szCs w:val="36"/>
        </w:rPr>
      </w:pPr>
    </w:p>
    <w:p w14:paraId="28B7E87A" w14:textId="77777777" w:rsidR="007A6FF1" w:rsidRDefault="007A6FF1" w:rsidP="007A6FF1">
      <w:pPr>
        <w:jc w:val="center"/>
        <w:rPr>
          <w:sz w:val="36"/>
          <w:szCs w:val="36"/>
        </w:rPr>
      </w:pPr>
    </w:p>
    <w:p w14:paraId="679AA0EA" w14:textId="77777777" w:rsidR="007A6FF1" w:rsidRDefault="007A6FF1" w:rsidP="007A6FF1">
      <w:pPr>
        <w:jc w:val="center"/>
        <w:rPr>
          <w:sz w:val="36"/>
          <w:szCs w:val="36"/>
        </w:rPr>
      </w:pPr>
    </w:p>
    <w:p w14:paraId="7BBE9722" w14:textId="77777777" w:rsidR="007A6FF1" w:rsidRDefault="007A6FF1" w:rsidP="007A6FF1">
      <w:pPr>
        <w:jc w:val="center"/>
        <w:rPr>
          <w:sz w:val="36"/>
          <w:szCs w:val="36"/>
        </w:rPr>
      </w:pPr>
    </w:p>
    <w:p w14:paraId="28F6CE3B" w14:textId="77777777" w:rsidR="007A6FF1" w:rsidRDefault="007A6FF1" w:rsidP="007A6FF1">
      <w:pPr>
        <w:jc w:val="center"/>
        <w:rPr>
          <w:sz w:val="36"/>
          <w:szCs w:val="36"/>
        </w:rPr>
      </w:pPr>
    </w:p>
    <w:p w14:paraId="3DE12CD3" w14:textId="59B8FE0B" w:rsidR="00066C02" w:rsidRDefault="005F2340" w:rsidP="007A6FF1">
      <w:pPr>
        <w:jc w:val="center"/>
        <w:rPr>
          <w:b/>
          <w:bCs/>
          <w:sz w:val="36"/>
          <w:szCs w:val="36"/>
          <w:lang w:val="en-US"/>
        </w:rPr>
      </w:pPr>
      <w:r w:rsidRPr="005F2340">
        <w:rPr>
          <w:sz w:val="36"/>
          <w:szCs w:val="36"/>
        </w:rPr>
        <w:t>‘</w:t>
      </w:r>
      <w:r w:rsidRPr="005F2340">
        <w:rPr>
          <w:b/>
          <w:bCs/>
          <w:sz w:val="36"/>
          <w:szCs w:val="36"/>
          <w:lang w:val="en-US"/>
        </w:rPr>
        <w:t>The Multi Agency model in Wales promotes the welfare of children and young people’. Critically discuss</w:t>
      </w:r>
    </w:p>
    <w:p w14:paraId="371D33A7" w14:textId="77777777" w:rsidR="007A6FF1" w:rsidRDefault="007A6FF1" w:rsidP="007A6FF1">
      <w:pPr>
        <w:jc w:val="center"/>
        <w:rPr>
          <w:b/>
          <w:bCs/>
          <w:sz w:val="36"/>
          <w:szCs w:val="36"/>
          <w:lang w:val="en-US"/>
        </w:rPr>
      </w:pPr>
    </w:p>
    <w:p w14:paraId="07D26094" w14:textId="4640E6B4" w:rsidR="007A6FF1" w:rsidRPr="007A6FF1" w:rsidRDefault="007A6FF1" w:rsidP="007A6FF1">
      <w:pPr>
        <w:jc w:val="center"/>
        <w:rPr>
          <w:b/>
          <w:bCs/>
          <w:sz w:val="36"/>
          <w:szCs w:val="36"/>
          <w:lang w:val="en-US"/>
        </w:rPr>
      </w:pPr>
      <w:r>
        <w:rPr>
          <w:b/>
          <w:bCs/>
          <w:sz w:val="36"/>
          <w:szCs w:val="36"/>
          <w:lang w:val="en-US"/>
        </w:rPr>
        <w:t>Karen Cook (</w:t>
      </w:r>
      <w:r w:rsidRPr="007A6FF1">
        <w:rPr>
          <w:b/>
          <w:bCs/>
          <w:sz w:val="36"/>
          <w:szCs w:val="36"/>
        </w:rPr>
        <w:t>2213741</w:t>
      </w:r>
      <w:r>
        <w:rPr>
          <w:b/>
          <w:bCs/>
          <w:sz w:val="36"/>
          <w:szCs w:val="36"/>
        </w:rPr>
        <w:t>)</w:t>
      </w:r>
    </w:p>
    <w:p w14:paraId="5DDBF487" w14:textId="77777777" w:rsidR="007A6FF1" w:rsidRDefault="007A6FF1" w:rsidP="007A6FF1">
      <w:pPr>
        <w:jc w:val="center"/>
        <w:rPr>
          <w:b/>
          <w:bCs/>
          <w:sz w:val="36"/>
          <w:szCs w:val="36"/>
          <w:lang w:val="en-US"/>
        </w:rPr>
      </w:pPr>
    </w:p>
    <w:p w14:paraId="028B2A8D" w14:textId="77777777" w:rsidR="007A6FF1" w:rsidRDefault="007A6FF1" w:rsidP="007A6FF1">
      <w:pPr>
        <w:jc w:val="center"/>
        <w:rPr>
          <w:b/>
          <w:bCs/>
          <w:sz w:val="36"/>
          <w:szCs w:val="36"/>
          <w:lang w:val="en-US"/>
        </w:rPr>
      </w:pPr>
    </w:p>
    <w:p w14:paraId="0D8635D8" w14:textId="77777777" w:rsidR="007A6FF1" w:rsidRDefault="007A6FF1" w:rsidP="007A6FF1">
      <w:pPr>
        <w:jc w:val="center"/>
        <w:rPr>
          <w:b/>
          <w:bCs/>
          <w:sz w:val="36"/>
          <w:szCs w:val="36"/>
          <w:lang w:val="en-US"/>
        </w:rPr>
      </w:pPr>
    </w:p>
    <w:p w14:paraId="6C629F62" w14:textId="77777777" w:rsidR="007A6FF1" w:rsidRDefault="007A6FF1" w:rsidP="007A6FF1">
      <w:pPr>
        <w:jc w:val="center"/>
        <w:rPr>
          <w:b/>
          <w:bCs/>
          <w:sz w:val="36"/>
          <w:szCs w:val="36"/>
          <w:lang w:val="en-US"/>
        </w:rPr>
      </w:pPr>
    </w:p>
    <w:p w14:paraId="15AACCC4" w14:textId="77777777" w:rsidR="007A6FF1" w:rsidRDefault="007A6FF1" w:rsidP="007A6FF1">
      <w:pPr>
        <w:jc w:val="center"/>
        <w:rPr>
          <w:b/>
          <w:bCs/>
          <w:sz w:val="36"/>
          <w:szCs w:val="36"/>
          <w:lang w:val="en-US"/>
        </w:rPr>
      </w:pPr>
    </w:p>
    <w:p w14:paraId="06F444D8" w14:textId="77777777" w:rsidR="007A6FF1" w:rsidRDefault="007A6FF1" w:rsidP="007A6FF1">
      <w:pPr>
        <w:jc w:val="center"/>
        <w:rPr>
          <w:b/>
          <w:bCs/>
          <w:sz w:val="36"/>
          <w:szCs w:val="36"/>
          <w:lang w:val="en-US"/>
        </w:rPr>
      </w:pPr>
    </w:p>
    <w:p w14:paraId="3491F563" w14:textId="77777777" w:rsidR="007A6FF1" w:rsidRDefault="007A6FF1" w:rsidP="007A6FF1">
      <w:pPr>
        <w:jc w:val="center"/>
        <w:rPr>
          <w:b/>
          <w:bCs/>
          <w:sz w:val="36"/>
          <w:szCs w:val="36"/>
          <w:lang w:val="en-US"/>
        </w:rPr>
      </w:pPr>
    </w:p>
    <w:p w14:paraId="61F6D44B" w14:textId="77777777" w:rsidR="007A6FF1" w:rsidRDefault="007A6FF1" w:rsidP="007A6FF1">
      <w:pPr>
        <w:jc w:val="center"/>
        <w:rPr>
          <w:b/>
          <w:bCs/>
          <w:sz w:val="36"/>
          <w:szCs w:val="36"/>
          <w:lang w:val="en-US"/>
        </w:rPr>
      </w:pPr>
    </w:p>
    <w:p w14:paraId="59FAB099" w14:textId="77777777" w:rsidR="007A6FF1" w:rsidRDefault="007A6FF1" w:rsidP="007A6FF1">
      <w:pPr>
        <w:jc w:val="center"/>
        <w:rPr>
          <w:b/>
          <w:bCs/>
          <w:sz w:val="36"/>
          <w:szCs w:val="36"/>
          <w:lang w:val="en-US"/>
        </w:rPr>
      </w:pPr>
    </w:p>
    <w:p w14:paraId="544FEF07" w14:textId="77777777" w:rsidR="007A6FF1" w:rsidRDefault="007A6FF1" w:rsidP="007A6FF1">
      <w:pPr>
        <w:jc w:val="center"/>
        <w:rPr>
          <w:b/>
          <w:bCs/>
          <w:sz w:val="36"/>
          <w:szCs w:val="36"/>
          <w:lang w:val="en-US"/>
        </w:rPr>
      </w:pPr>
    </w:p>
    <w:p w14:paraId="3E42A7F4" w14:textId="64DFFB0F" w:rsidR="004A7431" w:rsidRDefault="00664686" w:rsidP="004A7431">
      <w:pPr>
        <w:rPr>
          <w:b/>
          <w:bCs/>
          <w:sz w:val="32"/>
          <w:szCs w:val="32"/>
        </w:rPr>
      </w:pPr>
      <w:r w:rsidRPr="00664686">
        <w:rPr>
          <w:b/>
          <w:bCs/>
          <w:sz w:val="32"/>
          <w:szCs w:val="32"/>
        </w:rPr>
        <w:lastRenderedPageBreak/>
        <w:t>Introduction</w:t>
      </w:r>
    </w:p>
    <w:p w14:paraId="2468BAE1" w14:textId="35DDE24B" w:rsidR="007A6FF1" w:rsidRDefault="007A6FF1" w:rsidP="00664686">
      <w:r>
        <w:t>Recognising the inherent vulnerability and dependence of childhood, the imperative to safeguard and actively promote the welfare of children and young people stands as a cornerstone of ethical and legal frameworks designed to ensure their healthy development and protection from harm (Garrett, B. 2015). In Wales, this commitment is operationalised through a Multi-Agency Model, a collaborative framework mandated by key legislation such as the Social Services and Well-being (Wales) Act 2014 and guided by documents like ‘Working Together to Safeguard People’. This model brings together professionals from diverse sectors, including health, education, social services and the police, to collectively identify, assess and respond to the needs of children and young people at risk. The Multi-Agency approach in Wales for promoting the welfare and safeguarding children and young people presents both significant benefits and challenges. This essay will explore these aspects of, focusing on the Wales context and recent developments in safeguarding practices.</w:t>
      </w:r>
    </w:p>
    <w:p w14:paraId="3BC73325" w14:textId="77777777" w:rsidR="007A6FF1" w:rsidRPr="007A6FF1" w:rsidRDefault="007A6FF1" w:rsidP="00664686"/>
    <w:p w14:paraId="41B113FB" w14:textId="523DB57F" w:rsidR="00664686" w:rsidRDefault="00664686" w:rsidP="00664686">
      <w:pPr>
        <w:rPr>
          <w:b/>
          <w:bCs/>
          <w:sz w:val="32"/>
          <w:szCs w:val="32"/>
        </w:rPr>
      </w:pPr>
      <w:r w:rsidRPr="00664686">
        <w:rPr>
          <w:b/>
          <w:bCs/>
          <w:sz w:val="32"/>
          <w:szCs w:val="32"/>
        </w:rPr>
        <w:t xml:space="preserve">What is a </w:t>
      </w:r>
      <w:r>
        <w:rPr>
          <w:b/>
          <w:bCs/>
          <w:sz w:val="32"/>
          <w:szCs w:val="32"/>
        </w:rPr>
        <w:t>M</w:t>
      </w:r>
      <w:r w:rsidRPr="00664686">
        <w:rPr>
          <w:b/>
          <w:bCs/>
          <w:sz w:val="32"/>
          <w:szCs w:val="32"/>
        </w:rPr>
        <w:t>ulti-</w:t>
      </w:r>
      <w:r>
        <w:rPr>
          <w:b/>
          <w:bCs/>
          <w:sz w:val="32"/>
          <w:szCs w:val="32"/>
        </w:rPr>
        <w:t>A</w:t>
      </w:r>
      <w:r w:rsidRPr="00664686">
        <w:rPr>
          <w:b/>
          <w:bCs/>
          <w:sz w:val="32"/>
          <w:szCs w:val="32"/>
        </w:rPr>
        <w:t xml:space="preserve">gency </w:t>
      </w:r>
      <w:r>
        <w:rPr>
          <w:b/>
          <w:bCs/>
          <w:sz w:val="32"/>
          <w:szCs w:val="32"/>
        </w:rPr>
        <w:t>A</w:t>
      </w:r>
      <w:r w:rsidRPr="00664686">
        <w:rPr>
          <w:b/>
          <w:bCs/>
          <w:sz w:val="32"/>
          <w:szCs w:val="32"/>
        </w:rPr>
        <w:t>pproach?</w:t>
      </w:r>
    </w:p>
    <w:p w14:paraId="17F933CE" w14:textId="43D963C0" w:rsidR="00EC5072" w:rsidRPr="00664686" w:rsidRDefault="007A6FF1" w:rsidP="00664686">
      <w:r>
        <w:t xml:space="preserve">The Multi-Agency Approach, at its core, represents a collaborative framework where professionals from diverse statutory, voluntary and private sector organisations pool their expertise and resources to address complex issues, particularly in safeguarding and promoting the wellbeing of vulnerable individuals. This necessitates a shift away from siloed working towards integrated practices, although the specific models of multi-agency working can vary significantly, ranging from informal information sharing and networking to more formal partnerships with shared governance and pooled budgets. Legislation and policies have played a crucial role in shaping this evolution. The Children’s Act (2004) in England and Wales, for instance, place a statutory duty on agencies to cooperate to improve children's wellbeing, a principle echoed in the UN Convention on the Rights of the Child (1989), which emphasises the holistic needs of the child and the country’s responsibility to protect them. In Wales, the Wales Safeguarding Procedures (2020) and the Social Services and Wellbeing (Wales) Act 2024 further solidify the legal framework for multi-agency collaboration, emphasising early intervention and child centred approach. However, the development of these policies has often been reactive, spurred by tragic failures within the system, such as the inquiries into child deaths that highlighted systemic communication breakdowns and a lack of joined up working. This reactive evolution raises critical questions about whether the current legislative landscape proactively prevents harm or merely attempts to patch systemic weaknesses after significant failings. Drawing on ecological systems theory (Bronfenbrenner, 1979), the Multi- Agency Approach can be seen as an attempt to strengthen the interconnectedness and responsiveness of the various systems </w:t>
      </w:r>
      <w:r>
        <w:lastRenderedPageBreak/>
        <w:t>surrounding a child, aiming to create a more robust protective environment. Yet, the effectiveness of this theoretical alignment in practice remains a key area for critical scrutiny, particularly in ensuring seamless information flow and shared accountability across diverse organisational cultures and priorities.</w:t>
      </w:r>
    </w:p>
    <w:p w14:paraId="46AD9B85" w14:textId="77777777" w:rsidR="007A6FF1" w:rsidRDefault="007A6FF1" w:rsidP="00664686">
      <w:pPr>
        <w:rPr>
          <w:b/>
          <w:bCs/>
          <w:sz w:val="32"/>
          <w:szCs w:val="32"/>
        </w:rPr>
      </w:pPr>
    </w:p>
    <w:p w14:paraId="5B580FE3" w14:textId="05D49039" w:rsidR="00664686" w:rsidRDefault="00664686" w:rsidP="00664686">
      <w:pPr>
        <w:rPr>
          <w:b/>
          <w:bCs/>
          <w:sz w:val="32"/>
          <w:szCs w:val="32"/>
        </w:rPr>
      </w:pPr>
      <w:r w:rsidRPr="00664686">
        <w:rPr>
          <w:b/>
          <w:bCs/>
          <w:sz w:val="32"/>
          <w:szCs w:val="32"/>
        </w:rPr>
        <w:t>Benefits of the Multi-Agency Approach</w:t>
      </w:r>
    </w:p>
    <w:p w14:paraId="6D1DA147" w14:textId="5BAE7F00" w:rsidR="007A6FF1" w:rsidRDefault="007A6FF1" w:rsidP="00664686">
      <w:r>
        <w:t>A key strength of the Multi-Agency Approach in Wales lies in its potential to deliver Improved outcomes for children and families by embedding the principles of early intervention and a child centred approach as enshrined in the Welsh legislation (Social Services and Wellbeing (Wales) Act 2014). Collaborative working across Betsi Cadwaladr University Health Board, local education authorities like Cardiff Council and Social Services departments in areas such as Rhondda Cynon Taf allows for a more nuanced understanding of a child’s holistic needs. For instance, the ‘Team Around the Child’ (TAC) framework, a common manifestation of multi-agency working in Wales, facilitates the coordinated delivery of services, ensuring that interventions are tailored to the specific circumstances of the child and their family, ultimately striving for better educational engagement, improved health outcomes and stronger family resilience (Wales Safeguarding Procedures, 2020).</w:t>
      </w:r>
    </w:p>
    <w:p w14:paraId="393E8CD7" w14:textId="09511DD1" w:rsidR="007A6FF1" w:rsidRDefault="007A6FF1" w:rsidP="00664686">
      <w:r>
        <w:t>Enhanced information sharing and decision making is another crucial advantage emphasised within the Welsh safeguarding framework. The Wales Safeguarding Procedures (2020) provide clear guidance on the legal and ethical parameters for information exchange between agencies like the Dyfed-Powys Police and local authority social care teams. This facilitates more informed joint assessments and collaborative decision making in forums such as child practice review panels. The emphasis on shared responsibility and transparent communication aims to prevent the siloing of information that has tragically contributed to failures in the past. By fostering a culture of open communication and joint analysis, the Multi-Agency Approach in Wales seeks to ensure that decisions are based on a comprehensive understanding of the risks and protective factors surrounding a child (care Inspectorate Wales, 2019).</w:t>
      </w:r>
    </w:p>
    <w:p w14:paraId="6539FB38" w14:textId="2824C533" w:rsidR="00664686" w:rsidRDefault="007A6FF1" w:rsidP="00664686">
      <w:r>
        <w:t xml:space="preserve">Finally, the Multi-Agency Approach in Wales can contribute to reduced work pressure and improved efficiency by promoting a more integrated system of support. The regional safeguarding boards across Wales play a vital role in developing protocols and pathways for inter-agency collaboration, aiming to streamline processes and avoid duplication of effort for professional working within organisations like Barnardo’s Cymru and local authorities early help teams. For example, the development of shared assessment frameworks and referral pathways can reduce the administrative burden on individual practitioners and ensure that resources are deployed effectively to meet the </w:t>
      </w:r>
      <w:r>
        <w:lastRenderedPageBreak/>
        <w:t>needs of children and families across Wales, allowing professionals to dedicate more time to direct support and intervention (Audit Wales, 2021).</w:t>
      </w:r>
    </w:p>
    <w:p w14:paraId="1E883DBE" w14:textId="77777777" w:rsidR="007A6FF1" w:rsidRDefault="007A6FF1" w:rsidP="00664686"/>
    <w:p w14:paraId="713FCEA6" w14:textId="77777777" w:rsidR="007A6FF1" w:rsidRDefault="00664686" w:rsidP="00664686">
      <w:pPr>
        <w:rPr>
          <w:b/>
          <w:bCs/>
          <w:sz w:val="32"/>
          <w:szCs w:val="32"/>
        </w:rPr>
      </w:pPr>
      <w:r w:rsidRPr="00664686">
        <w:rPr>
          <w:b/>
          <w:bCs/>
          <w:sz w:val="32"/>
          <w:szCs w:val="32"/>
        </w:rPr>
        <w:t>Challenges of the Multi-Agency Approach</w:t>
      </w:r>
    </w:p>
    <w:p w14:paraId="1E2D7ED7" w14:textId="63092791" w:rsidR="007A6FF1" w:rsidRPr="007A6FF1" w:rsidRDefault="007A6FF1" w:rsidP="00664686">
      <w:pPr>
        <w:rPr>
          <w:b/>
          <w:bCs/>
          <w:sz w:val="32"/>
          <w:szCs w:val="32"/>
        </w:rPr>
      </w:pPr>
      <w:r>
        <w:t>Despite the considerable strengths inherent in the Multi-Agency Approach in Wales, particularly as outlined in the Social Services and Wellbeing (Wales) Act 2014 and the Wales safeguarding Procedures (2020), its effective implementation faces persistent challenges that can hinder the seamless promotion of child welfare. One significant area for improvement lies in information sharing and IT infrastructure. While interagency collaboration necessitates the efficient exchange of crucial information, the absence of a unified, central IT platform in Wales often impedes this process. This lack of seamless connectivity can make it difficult for professionals across different sectors to readily access and share vital data, potentially leading to delays in assessments, intervention planning and ultimately, compromised safeguarding.</w:t>
      </w:r>
    </w:p>
    <w:p w14:paraId="26035A13" w14:textId="1454419F" w:rsidR="007A6FF1" w:rsidRDefault="007A6FF1" w:rsidP="00664686">
      <w:r>
        <w:t>Another critical challenge is the workforce instability within key agencies involved in safeguarding. Vacancy gaps and high turnover rates across schools and various organisations create instability for children and their families. Frequent changes in multi-agency team members can disrupt established relationships, hinder effective communication and lead to a lack of continuity in support for vulnerable children. This instability can also strain the remaining workforce, potentially impacting the overall effectiveness and responsiveness of multi-agency interventions.</w:t>
      </w:r>
    </w:p>
    <w:p w14:paraId="3C4676A4" w14:textId="69383EA6" w:rsidR="004A7431" w:rsidRDefault="007A6FF1" w:rsidP="00664686">
      <w:r>
        <w:t>Furthermore, inconsistent approaches to safeguarding practices across Wales pose a significant concern. The need for regular, standardised multi-agency training across all regions is evident to ensure a consistent understanding of safeguarding procedures and a shared vision regarding the threshold for significant harm. The current inconsistencies can lead to variations in the quality of safeguarding practices between different regions and organisations, potentially creating disparities in the level of protection and support afforded to children and young people depending on their location or the specific agencies involved. In their care. Addressing these inconsistencies through comprehensive and consistent training is critical for realising the full potential of a truly integrated and effective Multi-Agency Approach in Wales.</w:t>
      </w:r>
    </w:p>
    <w:p w14:paraId="36965191" w14:textId="77777777" w:rsidR="007A6FF1" w:rsidRDefault="007A6FF1" w:rsidP="00664686"/>
    <w:p w14:paraId="2CC3AB0E" w14:textId="77777777" w:rsidR="007A6FF1" w:rsidRDefault="007A6FF1" w:rsidP="00664686"/>
    <w:p w14:paraId="5EE97B97" w14:textId="4B12BC93" w:rsidR="007A6FF1" w:rsidRDefault="007A6FF1" w:rsidP="007A6FF1">
      <w:pPr>
        <w:rPr>
          <w:b/>
          <w:bCs/>
          <w:sz w:val="32"/>
          <w:szCs w:val="32"/>
        </w:rPr>
      </w:pPr>
      <w:r>
        <w:rPr>
          <w:b/>
          <w:bCs/>
          <w:sz w:val="32"/>
          <w:szCs w:val="32"/>
        </w:rPr>
        <w:t>How do schools promote Child Welfare?</w:t>
      </w:r>
    </w:p>
    <w:p w14:paraId="6EAAEC6A" w14:textId="77777777" w:rsidR="007A6FF1" w:rsidRDefault="007A6FF1" w:rsidP="007A6FF1">
      <w:bookmarkStart w:id="0" w:name="_Hlk197878415"/>
      <w:r>
        <w:rPr>
          <w:rFonts w:cs="Arial"/>
        </w:rPr>
        <w:t xml:space="preserve">Schools in Wales play a pivotal role in promoting child welfare, operating within the legislative framework of the Social Services and Wellbeing (Wales) Act 2014 and guided </w:t>
      </w:r>
      <w:r>
        <w:rPr>
          <w:rFonts w:cs="Arial"/>
        </w:rPr>
        <w:lastRenderedPageBreak/>
        <w:t>by documents such as the Wales Safeguarding Procedures (2020). Welsh schools are mandated to create a safe and supportive learning environment through comprehensive safeguarding policies that outline procedures for identifying and responding to concerns, address issues like bullying and outline safety and promote positive relationships (Welsh Government 2021). The curriculum in Wales also contributes to child welfare by embedding learning about health and wellbeing, relationships and sexual education and digital competence, empowering children with essential life skills and knowledge to protect themselves (Curriculum for Wales 2022). Each school designates a lead person for safeguarding who acts as a key point of contact and coordination with external agencies, ensuring that schools are integral to the wider multi-agency safeguarding network in Wales</w:t>
      </w:r>
      <w:r>
        <w:t>.</w:t>
      </w:r>
    </w:p>
    <w:bookmarkEnd w:id="0"/>
    <w:p w14:paraId="08A7CD41" w14:textId="35A3CAB4" w:rsidR="007A6FF1" w:rsidRPr="007A6FF1" w:rsidRDefault="007A6FF1" w:rsidP="007A6FF1">
      <w:pPr>
        <w:spacing w:after="0" w:line="240" w:lineRule="auto"/>
        <w:rPr>
          <w:rFonts w:cs="Arial"/>
        </w:rPr>
      </w:pPr>
      <w:r>
        <w:t>To understand how the Multi-Agency Approach in Wales aims to promote child welfare, it’s crucial to consider underpinning developmental and psychological theories, Attachment Theory (Bowlby, 1969) highlights the fundamental importance of secure attachments with primary caregivers for a child’s emotional and social development. Effective multi-agency working can support the development of secure attachments by providing early intervention and support to families facing challenges, aiming to prevent disruptions in care and promote stable, nurturing relationships. Furthermore, understanding child development stages, as outlined by Piaget (1936) and Erikson (1968) informs age appropriate interventions and the recognition of developmental milestones that might be impacted by adversity. The concept of Resilience emphasises the capacity of children to overcome adversity. A coordinated multi-agency response can bolster resilience by providing protective factors such as supportive relationships, access to resources and opportunities for skill development. Finally, theories of wellbeing, which encompass physical health, mental health, social connections and a sense of purpose, underscore the holistic aims of safeguarding. The Multi-Agency Approach in Wales, by addressing interconnected needs across these domains, theoretically aims to foster overall wellbeing in children and young people in Wales.</w:t>
      </w:r>
    </w:p>
    <w:p w14:paraId="780A5A8A" w14:textId="77777777" w:rsidR="007A6FF1" w:rsidRDefault="007A6FF1" w:rsidP="00664686">
      <w:pPr>
        <w:rPr>
          <w:b/>
          <w:bCs/>
          <w:sz w:val="32"/>
          <w:szCs w:val="32"/>
        </w:rPr>
      </w:pPr>
    </w:p>
    <w:p w14:paraId="663DCFA2" w14:textId="1AD05402" w:rsidR="00664686" w:rsidRDefault="00664686" w:rsidP="00664686">
      <w:pPr>
        <w:rPr>
          <w:b/>
          <w:bCs/>
          <w:sz w:val="32"/>
          <w:szCs w:val="32"/>
        </w:rPr>
      </w:pPr>
      <w:r w:rsidRPr="00664686">
        <w:rPr>
          <w:b/>
          <w:bCs/>
          <w:sz w:val="32"/>
          <w:szCs w:val="32"/>
        </w:rPr>
        <w:t>Conclusion</w:t>
      </w:r>
    </w:p>
    <w:p w14:paraId="183E51F2" w14:textId="6B926F9E" w:rsidR="007A6FF1" w:rsidRDefault="007A6FF1" w:rsidP="00664686">
      <w:bookmarkStart w:id="1" w:name="_Hlk197879581"/>
      <w:r>
        <w:t xml:space="preserve">In conclusion, the Multi-Agency Approach in Wales presents a vital framework for promoting the welfare and safeguarding of children and young people, offering significant advantages through coordinated efforts. Rooted in key legislations like the Social Services and Wellbeing (Wales) Act 2014 and guided by the Wales Safeguarding Procedures (2020), this collaborative model strives to provide a holistic and integrated response to the complex needs of vulnerable individuals, with schools playing a vital role in the early identification and fostering a safe environment. However, the </w:t>
      </w:r>
      <w:bookmarkEnd w:id="1"/>
      <w:r>
        <w:t xml:space="preserve">effective realisation of these benefits is often hampered by persistent challenges, including inconsistencies in information sharing due to fragmented IT infrastructure, the destabilising impact of workforce instability and variations in safeguarding practices across Wales. Underpinning the aims of this approach are crucial development and </w:t>
      </w:r>
      <w:r>
        <w:lastRenderedPageBreak/>
        <w:t>wellbeing theories, such s Attachment Theory, stages of child development, the concept of resilience and holistic models of wellbeing, which highlight the interconnectedness of a child’s needs. To truly enhance safeguarding arrangements in Wales, sustained efforts must focus on implementing consistent and comprehensive multi-agency training, developing robust and interoperable systems for secure information sharing, embedding evidence-based practises and fully recognising and supporting the crucial role of schools within the wider safeguarding network. By addressing these systemic weaknesses and grounding practice in sound theoretical understanding, the Multi-Agency Approach in Wales can more consistently deliver on its promise of promoting the welfare and safeguarding for all children and young people within our community.</w:t>
      </w:r>
    </w:p>
    <w:p w14:paraId="0C304096" w14:textId="77777777" w:rsidR="007A6FF1" w:rsidRDefault="007A6FF1" w:rsidP="00664686">
      <w:pPr>
        <w:rPr>
          <w:rFonts w:cs="Arial"/>
        </w:rPr>
      </w:pPr>
    </w:p>
    <w:p w14:paraId="473FBD3F" w14:textId="77777777" w:rsidR="007A6FF1" w:rsidRDefault="007A6FF1" w:rsidP="00664686">
      <w:pPr>
        <w:rPr>
          <w:rFonts w:cs="Arial"/>
        </w:rPr>
      </w:pPr>
    </w:p>
    <w:p w14:paraId="4655DB46" w14:textId="77777777" w:rsidR="007A6FF1" w:rsidRDefault="007A6FF1" w:rsidP="00664686">
      <w:pPr>
        <w:rPr>
          <w:rFonts w:cs="Arial"/>
        </w:rPr>
      </w:pPr>
    </w:p>
    <w:p w14:paraId="6A2C3B64" w14:textId="77777777" w:rsidR="007A6FF1" w:rsidRDefault="007A6FF1" w:rsidP="00664686">
      <w:pPr>
        <w:rPr>
          <w:rFonts w:cs="Arial"/>
        </w:rPr>
      </w:pPr>
    </w:p>
    <w:p w14:paraId="24285BA6" w14:textId="77777777" w:rsidR="007A6FF1" w:rsidRDefault="007A6FF1" w:rsidP="00664686">
      <w:pPr>
        <w:rPr>
          <w:rFonts w:cs="Arial"/>
        </w:rPr>
      </w:pPr>
    </w:p>
    <w:p w14:paraId="24E56641" w14:textId="77777777" w:rsidR="007A6FF1" w:rsidRDefault="007A6FF1" w:rsidP="00664686">
      <w:pPr>
        <w:rPr>
          <w:rFonts w:cs="Arial"/>
        </w:rPr>
      </w:pPr>
    </w:p>
    <w:p w14:paraId="37DB0AD6" w14:textId="77777777" w:rsidR="007A6FF1" w:rsidRDefault="007A6FF1" w:rsidP="00664686">
      <w:pPr>
        <w:rPr>
          <w:rFonts w:cs="Arial"/>
        </w:rPr>
      </w:pPr>
    </w:p>
    <w:p w14:paraId="2A3AFB41" w14:textId="77777777" w:rsidR="007A6FF1" w:rsidRDefault="007A6FF1" w:rsidP="00664686">
      <w:pPr>
        <w:rPr>
          <w:rFonts w:cs="Arial"/>
        </w:rPr>
      </w:pPr>
    </w:p>
    <w:p w14:paraId="432D7AE7" w14:textId="77777777" w:rsidR="007A6FF1" w:rsidRDefault="007A6FF1" w:rsidP="00664686"/>
    <w:p w14:paraId="45DDB1D8" w14:textId="77777777" w:rsidR="007A6FF1" w:rsidRDefault="007A6FF1" w:rsidP="00664686"/>
    <w:p w14:paraId="4553E7BA" w14:textId="77777777" w:rsidR="007A6FF1" w:rsidRDefault="007A6FF1" w:rsidP="00664686"/>
    <w:p w14:paraId="0E3A6AC4" w14:textId="77777777" w:rsidR="007A6FF1" w:rsidRDefault="007A6FF1" w:rsidP="00664686"/>
    <w:p w14:paraId="1965F275" w14:textId="77777777" w:rsidR="007A6FF1" w:rsidRDefault="007A6FF1" w:rsidP="00664686"/>
    <w:p w14:paraId="3448E3FF" w14:textId="77777777" w:rsidR="007A6FF1" w:rsidRDefault="007A6FF1" w:rsidP="00664686"/>
    <w:p w14:paraId="4795CAC1" w14:textId="77777777" w:rsidR="007A6FF1" w:rsidRDefault="007A6FF1" w:rsidP="00664686"/>
    <w:p w14:paraId="2F6A7585" w14:textId="77777777" w:rsidR="007A6FF1" w:rsidRDefault="007A6FF1" w:rsidP="00664686"/>
    <w:p w14:paraId="6D2A48AC" w14:textId="77777777" w:rsidR="007A6FF1" w:rsidRDefault="007A6FF1" w:rsidP="00664686"/>
    <w:p w14:paraId="5D8038C1" w14:textId="77777777" w:rsidR="007A6FF1" w:rsidRDefault="007A6FF1" w:rsidP="00664686"/>
    <w:p w14:paraId="3D47C7A3" w14:textId="77777777" w:rsidR="007A6FF1" w:rsidRDefault="007A6FF1" w:rsidP="00664686"/>
    <w:p w14:paraId="1F0928F1" w14:textId="77777777" w:rsidR="007A6FF1" w:rsidRDefault="007A6FF1" w:rsidP="00664686"/>
    <w:p w14:paraId="0FA51E32" w14:textId="77777777" w:rsidR="007A6FF1" w:rsidRPr="007A6FF1" w:rsidRDefault="007A6FF1" w:rsidP="00664686"/>
    <w:p w14:paraId="38A9A75D" w14:textId="5F867E23" w:rsidR="007A6FF1" w:rsidRDefault="00664686" w:rsidP="00664686">
      <w:pPr>
        <w:rPr>
          <w:b/>
          <w:bCs/>
          <w:sz w:val="32"/>
          <w:szCs w:val="32"/>
        </w:rPr>
      </w:pPr>
      <w:r>
        <w:rPr>
          <w:b/>
          <w:bCs/>
          <w:sz w:val="32"/>
          <w:szCs w:val="32"/>
        </w:rPr>
        <w:t>Reference list</w:t>
      </w:r>
    </w:p>
    <w:p w14:paraId="504DE9A6" w14:textId="435677F7" w:rsidR="00664686" w:rsidRDefault="007A6FF1" w:rsidP="00664686">
      <w:r w:rsidRPr="007A6FF1">
        <w:rPr>
          <w:b/>
          <w:bCs/>
        </w:rPr>
        <w:t>Garrett, B.</w:t>
      </w:r>
      <w:r w:rsidRPr="007A6FF1">
        <w:t xml:space="preserve"> (2015). Child abuse and neglect: An evidence-based approach. Routledge.</w:t>
      </w:r>
    </w:p>
    <w:p w14:paraId="72CEC69C" w14:textId="29683386" w:rsidR="007A6FF1" w:rsidRDefault="007A6FF1" w:rsidP="00664686">
      <w:r w:rsidRPr="007A6FF1">
        <w:rPr>
          <w:b/>
          <w:bCs/>
        </w:rPr>
        <w:t>Welsh Government.</w:t>
      </w:r>
      <w:r w:rsidRPr="007A6FF1">
        <w:t xml:space="preserve"> (Current Edition). Working Together to Safeguard People.</w:t>
      </w:r>
    </w:p>
    <w:p w14:paraId="4F9AF6F7" w14:textId="77777777" w:rsidR="007A6FF1" w:rsidRDefault="007A6FF1" w:rsidP="007A6FF1">
      <w:r w:rsidRPr="007A6FF1">
        <w:rPr>
          <w:b/>
          <w:bCs/>
        </w:rPr>
        <w:t>Social Services and Well-being (Wales) Act 2014.</w:t>
      </w:r>
      <w:r w:rsidRPr="007A6FF1">
        <w:t xml:space="preserve"> (c. 4). The Stationery Office.</w:t>
      </w:r>
    </w:p>
    <w:p w14:paraId="375C5CAE" w14:textId="209639FC" w:rsidR="007A6FF1" w:rsidRPr="007A6FF1" w:rsidRDefault="007A6FF1" w:rsidP="007A6FF1">
      <w:r w:rsidRPr="007A6FF1">
        <w:rPr>
          <w:b/>
          <w:bCs/>
        </w:rPr>
        <w:t>Bronfenbrenner, U.</w:t>
      </w:r>
      <w:r w:rsidRPr="007A6FF1">
        <w:t xml:space="preserve"> (1979). The ecology of human development: Experiments by nature and design. Harvard University Press.</w:t>
      </w:r>
    </w:p>
    <w:p w14:paraId="4AE3448C" w14:textId="1D7BEE17" w:rsidR="007A6FF1" w:rsidRPr="007A6FF1" w:rsidRDefault="007A6FF1" w:rsidP="007A6FF1">
      <w:r w:rsidRPr="007A6FF1">
        <w:rPr>
          <w:b/>
          <w:bCs/>
        </w:rPr>
        <w:t>Children Act 2004.</w:t>
      </w:r>
      <w:r w:rsidRPr="007A6FF1">
        <w:t xml:space="preserve"> (c. 31). The Stationery Office.</w:t>
      </w:r>
    </w:p>
    <w:p w14:paraId="346F03CF" w14:textId="695DFA17" w:rsidR="007A6FF1" w:rsidRPr="007A6FF1" w:rsidRDefault="007A6FF1" w:rsidP="007A6FF1">
      <w:r w:rsidRPr="007A6FF1">
        <w:rPr>
          <w:b/>
          <w:bCs/>
        </w:rPr>
        <w:t>United Nations Committee on the Rights of the Child.</w:t>
      </w:r>
      <w:r w:rsidRPr="007A6FF1">
        <w:t xml:space="preserve"> (1989). Convention on the Rights of the Child. General Assembly resolution 44/25.</w:t>
      </w:r>
    </w:p>
    <w:p w14:paraId="0DC9EF9C" w14:textId="236952A5" w:rsidR="007A6FF1" w:rsidRPr="007A6FF1" w:rsidRDefault="007A6FF1" w:rsidP="007A6FF1">
      <w:r w:rsidRPr="007A6FF1">
        <w:rPr>
          <w:b/>
          <w:bCs/>
        </w:rPr>
        <w:t>Wales Safeguarding Procedures.</w:t>
      </w:r>
      <w:r w:rsidRPr="007A6FF1">
        <w:t xml:space="preserve"> (2020). Welsh Government</w:t>
      </w:r>
      <w:r w:rsidRPr="007A6FF1">
        <w:t>.</w:t>
      </w:r>
    </w:p>
    <w:p w14:paraId="48A2360B" w14:textId="553C34F7" w:rsidR="007A6FF1" w:rsidRPr="007A6FF1" w:rsidRDefault="007A6FF1" w:rsidP="007A6FF1">
      <w:r w:rsidRPr="007A6FF1">
        <w:rPr>
          <w:b/>
          <w:bCs/>
        </w:rPr>
        <w:t>Glasby, J., &amp; Dickinson, H.</w:t>
      </w:r>
      <w:r w:rsidRPr="007A6FF1">
        <w:t xml:space="preserve"> (2019). Partnership working in health and social care. Policy Press.</w:t>
      </w:r>
    </w:p>
    <w:p w14:paraId="18D4FB09" w14:textId="49331CCA" w:rsidR="007A6FF1" w:rsidRDefault="007A6FF1" w:rsidP="007A6FF1">
      <w:r w:rsidRPr="007A6FF1">
        <w:rPr>
          <w:b/>
          <w:bCs/>
        </w:rPr>
        <w:t>HM Government.</w:t>
      </w:r>
      <w:r w:rsidRPr="007A6FF1">
        <w:t xml:space="preserve"> (2018). Working Together to Safeguard Children 2018.</w:t>
      </w:r>
    </w:p>
    <w:p w14:paraId="2DF87BA0" w14:textId="61C98109" w:rsidR="007A6FF1" w:rsidRPr="007A6FF1" w:rsidRDefault="007A6FF1" w:rsidP="007A6FF1">
      <w:r w:rsidRPr="007A6FF1">
        <w:rPr>
          <w:b/>
          <w:bCs/>
        </w:rPr>
        <w:t>Curriculum for Wales.</w:t>
      </w:r>
      <w:r w:rsidRPr="007A6FF1">
        <w:t xml:space="preserve"> (2022). Health and Well-being guidance. Welsh Government.</w:t>
      </w:r>
    </w:p>
    <w:p w14:paraId="318D786F" w14:textId="27CD59E6" w:rsidR="007A6FF1" w:rsidRPr="007A6FF1" w:rsidRDefault="007A6FF1" w:rsidP="007A6FF1">
      <w:r w:rsidRPr="007A6FF1">
        <w:rPr>
          <w:b/>
          <w:bCs/>
        </w:rPr>
        <w:t>Munro, E.</w:t>
      </w:r>
      <w:r w:rsidRPr="007A6FF1">
        <w:t xml:space="preserve"> (2011). The Munro Review of Child Protection: Final Report - A child-centred system. Department for Education</w:t>
      </w:r>
      <w:r w:rsidRPr="007A6FF1">
        <w:t>.</w:t>
      </w:r>
    </w:p>
    <w:p w14:paraId="3E3D5C2C" w14:textId="315D2B86" w:rsidR="007A6FF1" w:rsidRPr="007A6FF1" w:rsidRDefault="007A6FF1" w:rsidP="007A6FF1">
      <w:r w:rsidRPr="007A6FF1">
        <w:rPr>
          <w:b/>
          <w:bCs/>
        </w:rPr>
        <w:t>National Institute for Health and Care Excellence.</w:t>
      </w:r>
      <w:r w:rsidRPr="007A6FF1">
        <w:t xml:space="preserve"> (2017). Child abuse and neglect: prevention. NICE guideline [NG76].</w:t>
      </w:r>
    </w:p>
    <w:p w14:paraId="7485D71D" w14:textId="49AEEF5D" w:rsidR="007A6FF1" w:rsidRPr="007A6FF1" w:rsidRDefault="007A6FF1" w:rsidP="007A6FF1">
      <w:r w:rsidRPr="007A6FF1">
        <w:rPr>
          <w:b/>
          <w:bCs/>
        </w:rPr>
        <w:t>Sidebotham, P., Brandon, M., Bailey, S., &amp; Belderson, K.</w:t>
      </w:r>
      <w:r w:rsidRPr="007A6FF1">
        <w:t xml:space="preserve"> (2016). Patterns of Serious Abuse in Children: A Multi-Agency Analysis. Child Abuse Review, 25(1), 4–17.</w:t>
      </w:r>
    </w:p>
    <w:p w14:paraId="54151C76" w14:textId="31A11D45" w:rsidR="007A6FF1" w:rsidRDefault="007A6FF1" w:rsidP="007A6FF1">
      <w:r w:rsidRPr="007A6FF1">
        <w:rPr>
          <w:b/>
          <w:bCs/>
        </w:rPr>
        <w:t>Stanley, N., &amp; Manthorpe, J.</w:t>
      </w:r>
      <w:r w:rsidRPr="007A6FF1">
        <w:t xml:space="preserve"> (2001). The impact of inter-agency working on social work practice. British Journal of Social Work, 31(5), 783–801.</w:t>
      </w:r>
    </w:p>
    <w:p w14:paraId="37137526" w14:textId="79992B20" w:rsidR="007A6FF1" w:rsidRDefault="007A6FF1" w:rsidP="007A6FF1">
      <w:r w:rsidRPr="007A6FF1">
        <w:rPr>
          <w:b/>
          <w:bCs/>
        </w:rPr>
        <w:t>Dodge, R., Daly, A., Huyton, J., &amp; Sanders, L. D.</w:t>
      </w:r>
      <w:r w:rsidRPr="007A6FF1">
        <w:t xml:space="preserve"> (2012). The challenge of defining wellbeing. International Journal of Wellbeing, 2(3), 222-235</w:t>
      </w:r>
    </w:p>
    <w:p w14:paraId="12D82339" w14:textId="1E7201DB" w:rsidR="007A6FF1" w:rsidRDefault="007A6FF1" w:rsidP="007A6FF1">
      <w:r w:rsidRPr="007A6FF1">
        <w:rPr>
          <w:b/>
          <w:bCs/>
        </w:rPr>
        <w:t>Erikson, E. H.</w:t>
      </w:r>
      <w:r w:rsidRPr="007A6FF1">
        <w:t xml:space="preserve"> (1968). Identity, youth and crisis. W. W. Norton &amp; Company.</w:t>
      </w:r>
    </w:p>
    <w:p w14:paraId="11C1DCE3" w14:textId="3BEE00F0" w:rsidR="007A6FF1" w:rsidRDefault="007A6FF1" w:rsidP="007A6FF1">
      <w:r w:rsidRPr="007A6FF1">
        <w:rPr>
          <w:b/>
          <w:bCs/>
        </w:rPr>
        <w:t>Luthar, S. S., Cicchetti, D., &amp; Becker, B.</w:t>
      </w:r>
      <w:r w:rsidRPr="007A6FF1">
        <w:t xml:space="preserve"> (2000). The construct of resilience: A critical evaluation and guidelines for future work. Child Development, 71(3), 543-562</w:t>
      </w:r>
      <w:r>
        <w:t>.</w:t>
      </w:r>
    </w:p>
    <w:p w14:paraId="7D1B5D51" w14:textId="7989789A" w:rsidR="007A6FF1" w:rsidRPr="007A6FF1" w:rsidRDefault="007A6FF1" w:rsidP="007A6FF1">
      <w:r w:rsidRPr="007A6FF1">
        <w:rPr>
          <w:b/>
          <w:bCs/>
        </w:rPr>
        <w:t>Piaget, J.</w:t>
      </w:r>
      <w:r w:rsidRPr="007A6FF1">
        <w:t xml:space="preserve"> (1936). Origins of intelligence in the child. Routledge &amp; Kegan Paul</w:t>
      </w:r>
      <w:r>
        <w:t>.</w:t>
      </w:r>
    </w:p>
    <w:p w14:paraId="22F3DA97" w14:textId="77777777" w:rsidR="007A6FF1" w:rsidRDefault="007A6FF1" w:rsidP="007A6FF1"/>
    <w:p w14:paraId="78AAB5C2" w14:textId="77777777" w:rsidR="007A6FF1" w:rsidRPr="007A6FF1" w:rsidRDefault="007A6FF1" w:rsidP="007A6FF1"/>
    <w:p w14:paraId="621D6649" w14:textId="77777777" w:rsidR="007A6FF1" w:rsidRPr="007A6FF1" w:rsidRDefault="007A6FF1" w:rsidP="007A6FF1"/>
    <w:p w14:paraId="04B14F90" w14:textId="77777777" w:rsidR="007A6FF1" w:rsidRPr="007A6FF1" w:rsidRDefault="007A6FF1" w:rsidP="007A6FF1"/>
    <w:p w14:paraId="4720D738" w14:textId="77777777" w:rsidR="007A6FF1" w:rsidRPr="007A6FF1" w:rsidRDefault="007A6FF1" w:rsidP="00664686"/>
    <w:sectPr w:rsidR="007A6FF1" w:rsidRPr="007A6F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439E5"/>
    <w:multiLevelType w:val="multilevel"/>
    <w:tmpl w:val="B1246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0C04A2"/>
    <w:multiLevelType w:val="hybridMultilevel"/>
    <w:tmpl w:val="C41C1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F76AE"/>
    <w:multiLevelType w:val="hybridMultilevel"/>
    <w:tmpl w:val="AB5ED7B8"/>
    <w:lvl w:ilvl="0" w:tplc="4CAA9B80">
      <w:start w:val="1"/>
      <w:numFmt w:val="bullet"/>
      <w:lvlText w:val=" "/>
      <w:lvlJc w:val="left"/>
      <w:pPr>
        <w:tabs>
          <w:tab w:val="num" w:pos="720"/>
        </w:tabs>
        <w:ind w:left="720" w:hanging="360"/>
      </w:pPr>
      <w:rPr>
        <w:rFonts w:ascii="Calibri" w:hAnsi="Calibri" w:hint="default"/>
      </w:rPr>
    </w:lvl>
    <w:lvl w:ilvl="1" w:tplc="E9BA3556" w:tentative="1">
      <w:start w:val="1"/>
      <w:numFmt w:val="bullet"/>
      <w:lvlText w:val=" "/>
      <w:lvlJc w:val="left"/>
      <w:pPr>
        <w:tabs>
          <w:tab w:val="num" w:pos="1440"/>
        </w:tabs>
        <w:ind w:left="1440" w:hanging="360"/>
      </w:pPr>
      <w:rPr>
        <w:rFonts w:ascii="Calibri" w:hAnsi="Calibri" w:hint="default"/>
      </w:rPr>
    </w:lvl>
    <w:lvl w:ilvl="2" w:tplc="9666561E" w:tentative="1">
      <w:start w:val="1"/>
      <w:numFmt w:val="bullet"/>
      <w:lvlText w:val=" "/>
      <w:lvlJc w:val="left"/>
      <w:pPr>
        <w:tabs>
          <w:tab w:val="num" w:pos="2160"/>
        </w:tabs>
        <w:ind w:left="2160" w:hanging="360"/>
      </w:pPr>
      <w:rPr>
        <w:rFonts w:ascii="Calibri" w:hAnsi="Calibri" w:hint="default"/>
      </w:rPr>
    </w:lvl>
    <w:lvl w:ilvl="3" w:tplc="4A1EC684" w:tentative="1">
      <w:start w:val="1"/>
      <w:numFmt w:val="bullet"/>
      <w:lvlText w:val=" "/>
      <w:lvlJc w:val="left"/>
      <w:pPr>
        <w:tabs>
          <w:tab w:val="num" w:pos="2880"/>
        </w:tabs>
        <w:ind w:left="2880" w:hanging="360"/>
      </w:pPr>
      <w:rPr>
        <w:rFonts w:ascii="Calibri" w:hAnsi="Calibri" w:hint="default"/>
      </w:rPr>
    </w:lvl>
    <w:lvl w:ilvl="4" w:tplc="367A6DC0" w:tentative="1">
      <w:start w:val="1"/>
      <w:numFmt w:val="bullet"/>
      <w:lvlText w:val=" "/>
      <w:lvlJc w:val="left"/>
      <w:pPr>
        <w:tabs>
          <w:tab w:val="num" w:pos="3600"/>
        </w:tabs>
        <w:ind w:left="3600" w:hanging="360"/>
      </w:pPr>
      <w:rPr>
        <w:rFonts w:ascii="Calibri" w:hAnsi="Calibri" w:hint="default"/>
      </w:rPr>
    </w:lvl>
    <w:lvl w:ilvl="5" w:tplc="CAB29E28" w:tentative="1">
      <w:start w:val="1"/>
      <w:numFmt w:val="bullet"/>
      <w:lvlText w:val=" "/>
      <w:lvlJc w:val="left"/>
      <w:pPr>
        <w:tabs>
          <w:tab w:val="num" w:pos="4320"/>
        </w:tabs>
        <w:ind w:left="4320" w:hanging="360"/>
      </w:pPr>
      <w:rPr>
        <w:rFonts w:ascii="Calibri" w:hAnsi="Calibri" w:hint="default"/>
      </w:rPr>
    </w:lvl>
    <w:lvl w:ilvl="6" w:tplc="10F25C44" w:tentative="1">
      <w:start w:val="1"/>
      <w:numFmt w:val="bullet"/>
      <w:lvlText w:val=" "/>
      <w:lvlJc w:val="left"/>
      <w:pPr>
        <w:tabs>
          <w:tab w:val="num" w:pos="5040"/>
        </w:tabs>
        <w:ind w:left="5040" w:hanging="360"/>
      </w:pPr>
      <w:rPr>
        <w:rFonts w:ascii="Calibri" w:hAnsi="Calibri" w:hint="default"/>
      </w:rPr>
    </w:lvl>
    <w:lvl w:ilvl="7" w:tplc="1DEC5FCE" w:tentative="1">
      <w:start w:val="1"/>
      <w:numFmt w:val="bullet"/>
      <w:lvlText w:val=" "/>
      <w:lvlJc w:val="left"/>
      <w:pPr>
        <w:tabs>
          <w:tab w:val="num" w:pos="5760"/>
        </w:tabs>
        <w:ind w:left="5760" w:hanging="360"/>
      </w:pPr>
      <w:rPr>
        <w:rFonts w:ascii="Calibri" w:hAnsi="Calibri" w:hint="default"/>
      </w:rPr>
    </w:lvl>
    <w:lvl w:ilvl="8" w:tplc="CAACA0EA"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58E33913"/>
    <w:multiLevelType w:val="hybridMultilevel"/>
    <w:tmpl w:val="ADC6F622"/>
    <w:lvl w:ilvl="0" w:tplc="06EE2F02">
      <w:start w:val="1"/>
      <w:numFmt w:val="bullet"/>
      <w:lvlText w:val="•"/>
      <w:lvlJc w:val="left"/>
      <w:pPr>
        <w:tabs>
          <w:tab w:val="num" w:pos="720"/>
        </w:tabs>
        <w:ind w:left="720" w:hanging="360"/>
      </w:pPr>
      <w:rPr>
        <w:rFonts w:ascii="Arial" w:hAnsi="Arial" w:hint="default"/>
      </w:rPr>
    </w:lvl>
    <w:lvl w:ilvl="1" w:tplc="CFE0809C" w:tentative="1">
      <w:start w:val="1"/>
      <w:numFmt w:val="bullet"/>
      <w:lvlText w:val="•"/>
      <w:lvlJc w:val="left"/>
      <w:pPr>
        <w:tabs>
          <w:tab w:val="num" w:pos="1440"/>
        </w:tabs>
        <w:ind w:left="1440" w:hanging="360"/>
      </w:pPr>
      <w:rPr>
        <w:rFonts w:ascii="Arial" w:hAnsi="Arial" w:hint="default"/>
      </w:rPr>
    </w:lvl>
    <w:lvl w:ilvl="2" w:tplc="42E6080E" w:tentative="1">
      <w:start w:val="1"/>
      <w:numFmt w:val="bullet"/>
      <w:lvlText w:val="•"/>
      <w:lvlJc w:val="left"/>
      <w:pPr>
        <w:tabs>
          <w:tab w:val="num" w:pos="2160"/>
        </w:tabs>
        <w:ind w:left="2160" w:hanging="360"/>
      </w:pPr>
      <w:rPr>
        <w:rFonts w:ascii="Arial" w:hAnsi="Arial" w:hint="default"/>
      </w:rPr>
    </w:lvl>
    <w:lvl w:ilvl="3" w:tplc="7C0EA878" w:tentative="1">
      <w:start w:val="1"/>
      <w:numFmt w:val="bullet"/>
      <w:lvlText w:val="•"/>
      <w:lvlJc w:val="left"/>
      <w:pPr>
        <w:tabs>
          <w:tab w:val="num" w:pos="2880"/>
        </w:tabs>
        <w:ind w:left="2880" w:hanging="360"/>
      </w:pPr>
      <w:rPr>
        <w:rFonts w:ascii="Arial" w:hAnsi="Arial" w:hint="default"/>
      </w:rPr>
    </w:lvl>
    <w:lvl w:ilvl="4" w:tplc="7AF23386" w:tentative="1">
      <w:start w:val="1"/>
      <w:numFmt w:val="bullet"/>
      <w:lvlText w:val="•"/>
      <w:lvlJc w:val="left"/>
      <w:pPr>
        <w:tabs>
          <w:tab w:val="num" w:pos="3600"/>
        </w:tabs>
        <w:ind w:left="3600" w:hanging="360"/>
      </w:pPr>
      <w:rPr>
        <w:rFonts w:ascii="Arial" w:hAnsi="Arial" w:hint="default"/>
      </w:rPr>
    </w:lvl>
    <w:lvl w:ilvl="5" w:tplc="29BC67CC" w:tentative="1">
      <w:start w:val="1"/>
      <w:numFmt w:val="bullet"/>
      <w:lvlText w:val="•"/>
      <w:lvlJc w:val="left"/>
      <w:pPr>
        <w:tabs>
          <w:tab w:val="num" w:pos="4320"/>
        </w:tabs>
        <w:ind w:left="4320" w:hanging="360"/>
      </w:pPr>
      <w:rPr>
        <w:rFonts w:ascii="Arial" w:hAnsi="Arial" w:hint="default"/>
      </w:rPr>
    </w:lvl>
    <w:lvl w:ilvl="6" w:tplc="6D0843F2" w:tentative="1">
      <w:start w:val="1"/>
      <w:numFmt w:val="bullet"/>
      <w:lvlText w:val="•"/>
      <w:lvlJc w:val="left"/>
      <w:pPr>
        <w:tabs>
          <w:tab w:val="num" w:pos="5040"/>
        </w:tabs>
        <w:ind w:left="5040" w:hanging="360"/>
      </w:pPr>
      <w:rPr>
        <w:rFonts w:ascii="Arial" w:hAnsi="Arial" w:hint="default"/>
      </w:rPr>
    </w:lvl>
    <w:lvl w:ilvl="7" w:tplc="17127476" w:tentative="1">
      <w:start w:val="1"/>
      <w:numFmt w:val="bullet"/>
      <w:lvlText w:val="•"/>
      <w:lvlJc w:val="left"/>
      <w:pPr>
        <w:tabs>
          <w:tab w:val="num" w:pos="5760"/>
        </w:tabs>
        <w:ind w:left="5760" w:hanging="360"/>
      </w:pPr>
      <w:rPr>
        <w:rFonts w:ascii="Arial" w:hAnsi="Arial" w:hint="default"/>
      </w:rPr>
    </w:lvl>
    <w:lvl w:ilvl="8" w:tplc="6064446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B4B7907"/>
    <w:multiLevelType w:val="multilevel"/>
    <w:tmpl w:val="BEC4F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9177206">
    <w:abstractNumId w:val="4"/>
  </w:num>
  <w:num w:numId="2" w16cid:durableId="1673947358">
    <w:abstractNumId w:val="2"/>
  </w:num>
  <w:num w:numId="3" w16cid:durableId="1700814427">
    <w:abstractNumId w:val="3"/>
  </w:num>
  <w:num w:numId="4" w16cid:durableId="438716161">
    <w:abstractNumId w:val="0"/>
  </w:num>
  <w:num w:numId="5" w16cid:durableId="7298871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686"/>
    <w:rsid w:val="00066C02"/>
    <w:rsid w:val="00341017"/>
    <w:rsid w:val="0035599F"/>
    <w:rsid w:val="003A4B15"/>
    <w:rsid w:val="003D25BD"/>
    <w:rsid w:val="004A7431"/>
    <w:rsid w:val="00501A9B"/>
    <w:rsid w:val="005F2340"/>
    <w:rsid w:val="005F487D"/>
    <w:rsid w:val="00664686"/>
    <w:rsid w:val="007A6FF1"/>
    <w:rsid w:val="00B97104"/>
    <w:rsid w:val="00BA3638"/>
    <w:rsid w:val="00C724E1"/>
    <w:rsid w:val="00D212C1"/>
    <w:rsid w:val="00EC5072"/>
    <w:rsid w:val="00EF35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97AAA"/>
  <w15:chartTrackingRefBased/>
  <w15:docId w15:val="{60C495FE-9351-42D8-BCC0-7936820D2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6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46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46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46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46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46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46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46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46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6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46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46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46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46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46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46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46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4686"/>
    <w:rPr>
      <w:rFonts w:eastAsiaTheme="majorEastAsia" w:cstheme="majorBidi"/>
      <w:color w:val="272727" w:themeColor="text1" w:themeTint="D8"/>
    </w:rPr>
  </w:style>
  <w:style w:type="paragraph" w:styleId="Title">
    <w:name w:val="Title"/>
    <w:basedOn w:val="Normal"/>
    <w:next w:val="Normal"/>
    <w:link w:val="TitleChar"/>
    <w:uiPriority w:val="10"/>
    <w:qFormat/>
    <w:rsid w:val="006646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46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46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46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4686"/>
    <w:pPr>
      <w:spacing w:before="160"/>
      <w:jc w:val="center"/>
    </w:pPr>
    <w:rPr>
      <w:i/>
      <w:iCs/>
      <w:color w:val="404040" w:themeColor="text1" w:themeTint="BF"/>
    </w:rPr>
  </w:style>
  <w:style w:type="character" w:customStyle="1" w:styleId="QuoteChar">
    <w:name w:val="Quote Char"/>
    <w:basedOn w:val="DefaultParagraphFont"/>
    <w:link w:val="Quote"/>
    <w:uiPriority w:val="29"/>
    <w:rsid w:val="00664686"/>
    <w:rPr>
      <w:i/>
      <w:iCs/>
      <w:color w:val="404040" w:themeColor="text1" w:themeTint="BF"/>
    </w:rPr>
  </w:style>
  <w:style w:type="paragraph" w:styleId="ListParagraph">
    <w:name w:val="List Paragraph"/>
    <w:basedOn w:val="Normal"/>
    <w:uiPriority w:val="34"/>
    <w:qFormat/>
    <w:rsid w:val="00664686"/>
    <w:pPr>
      <w:ind w:left="720"/>
      <w:contextualSpacing/>
    </w:pPr>
  </w:style>
  <w:style w:type="character" w:styleId="IntenseEmphasis">
    <w:name w:val="Intense Emphasis"/>
    <w:basedOn w:val="DefaultParagraphFont"/>
    <w:uiPriority w:val="21"/>
    <w:qFormat/>
    <w:rsid w:val="00664686"/>
    <w:rPr>
      <w:i/>
      <w:iCs/>
      <w:color w:val="0F4761" w:themeColor="accent1" w:themeShade="BF"/>
    </w:rPr>
  </w:style>
  <w:style w:type="paragraph" w:styleId="IntenseQuote">
    <w:name w:val="Intense Quote"/>
    <w:basedOn w:val="Normal"/>
    <w:next w:val="Normal"/>
    <w:link w:val="IntenseQuoteChar"/>
    <w:uiPriority w:val="30"/>
    <w:qFormat/>
    <w:rsid w:val="006646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4686"/>
    <w:rPr>
      <w:i/>
      <w:iCs/>
      <w:color w:val="0F4761" w:themeColor="accent1" w:themeShade="BF"/>
    </w:rPr>
  </w:style>
  <w:style w:type="character" w:styleId="IntenseReference">
    <w:name w:val="Intense Reference"/>
    <w:basedOn w:val="DefaultParagraphFont"/>
    <w:uiPriority w:val="32"/>
    <w:qFormat/>
    <w:rsid w:val="00664686"/>
    <w:rPr>
      <w:b/>
      <w:bCs/>
      <w:smallCaps/>
      <w:color w:val="0F4761" w:themeColor="accent1" w:themeShade="BF"/>
      <w:spacing w:val="5"/>
    </w:rPr>
  </w:style>
  <w:style w:type="character" w:styleId="Hyperlink">
    <w:name w:val="Hyperlink"/>
    <w:basedOn w:val="DefaultParagraphFont"/>
    <w:uiPriority w:val="99"/>
    <w:unhideWhenUsed/>
    <w:rsid w:val="00664686"/>
    <w:rPr>
      <w:color w:val="467886" w:themeColor="hyperlink"/>
      <w:u w:val="single"/>
    </w:rPr>
  </w:style>
  <w:style w:type="character" w:styleId="UnresolvedMention">
    <w:name w:val="Unresolved Mention"/>
    <w:basedOn w:val="DefaultParagraphFont"/>
    <w:uiPriority w:val="99"/>
    <w:semiHidden/>
    <w:unhideWhenUsed/>
    <w:rsid w:val="006646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43422">
      <w:bodyDiv w:val="1"/>
      <w:marLeft w:val="0"/>
      <w:marRight w:val="0"/>
      <w:marTop w:val="0"/>
      <w:marBottom w:val="0"/>
      <w:divBdr>
        <w:top w:val="none" w:sz="0" w:space="0" w:color="auto"/>
        <w:left w:val="none" w:sz="0" w:space="0" w:color="auto"/>
        <w:bottom w:val="none" w:sz="0" w:space="0" w:color="auto"/>
        <w:right w:val="none" w:sz="0" w:space="0" w:color="auto"/>
      </w:divBdr>
    </w:div>
    <w:div w:id="541943419">
      <w:bodyDiv w:val="1"/>
      <w:marLeft w:val="0"/>
      <w:marRight w:val="0"/>
      <w:marTop w:val="0"/>
      <w:marBottom w:val="0"/>
      <w:divBdr>
        <w:top w:val="none" w:sz="0" w:space="0" w:color="auto"/>
        <w:left w:val="none" w:sz="0" w:space="0" w:color="auto"/>
        <w:bottom w:val="none" w:sz="0" w:space="0" w:color="auto"/>
        <w:right w:val="none" w:sz="0" w:space="0" w:color="auto"/>
      </w:divBdr>
      <w:divsChild>
        <w:div w:id="1480152778">
          <w:marLeft w:val="360"/>
          <w:marRight w:val="0"/>
          <w:marTop w:val="200"/>
          <w:marBottom w:val="0"/>
          <w:divBdr>
            <w:top w:val="none" w:sz="0" w:space="0" w:color="auto"/>
            <w:left w:val="none" w:sz="0" w:space="0" w:color="auto"/>
            <w:bottom w:val="none" w:sz="0" w:space="0" w:color="auto"/>
            <w:right w:val="none" w:sz="0" w:space="0" w:color="auto"/>
          </w:divBdr>
        </w:div>
      </w:divsChild>
    </w:div>
    <w:div w:id="673723859">
      <w:bodyDiv w:val="1"/>
      <w:marLeft w:val="0"/>
      <w:marRight w:val="0"/>
      <w:marTop w:val="0"/>
      <w:marBottom w:val="0"/>
      <w:divBdr>
        <w:top w:val="none" w:sz="0" w:space="0" w:color="auto"/>
        <w:left w:val="none" w:sz="0" w:space="0" w:color="auto"/>
        <w:bottom w:val="none" w:sz="0" w:space="0" w:color="auto"/>
        <w:right w:val="none" w:sz="0" w:space="0" w:color="auto"/>
      </w:divBdr>
    </w:div>
    <w:div w:id="776868065">
      <w:bodyDiv w:val="1"/>
      <w:marLeft w:val="0"/>
      <w:marRight w:val="0"/>
      <w:marTop w:val="0"/>
      <w:marBottom w:val="0"/>
      <w:divBdr>
        <w:top w:val="none" w:sz="0" w:space="0" w:color="auto"/>
        <w:left w:val="none" w:sz="0" w:space="0" w:color="auto"/>
        <w:bottom w:val="none" w:sz="0" w:space="0" w:color="auto"/>
        <w:right w:val="none" w:sz="0" w:space="0" w:color="auto"/>
      </w:divBdr>
      <w:divsChild>
        <w:div w:id="1993023211">
          <w:marLeft w:val="101"/>
          <w:marRight w:val="0"/>
          <w:marTop w:val="240"/>
          <w:marBottom w:val="40"/>
          <w:divBdr>
            <w:top w:val="none" w:sz="0" w:space="0" w:color="auto"/>
            <w:left w:val="none" w:sz="0" w:space="0" w:color="auto"/>
            <w:bottom w:val="none" w:sz="0" w:space="0" w:color="auto"/>
            <w:right w:val="none" w:sz="0" w:space="0" w:color="auto"/>
          </w:divBdr>
        </w:div>
      </w:divsChild>
    </w:div>
    <w:div w:id="1014764797">
      <w:bodyDiv w:val="1"/>
      <w:marLeft w:val="0"/>
      <w:marRight w:val="0"/>
      <w:marTop w:val="0"/>
      <w:marBottom w:val="0"/>
      <w:divBdr>
        <w:top w:val="none" w:sz="0" w:space="0" w:color="auto"/>
        <w:left w:val="none" w:sz="0" w:space="0" w:color="auto"/>
        <w:bottom w:val="none" w:sz="0" w:space="0" w:color="auto"/>
        <w:right w:val="none" w:sz="0" w:space="0" w:color="auto"/>
      </w:divBdr>
    </w:div>
    <w:div w:id="1216547413">
      <w:bodyDiv w:val="1"/>
      <w:marLeft w:val="0"/>
      <w:marRight w:val="0"/>
      <w:marTop w:val="0"/>
      <w:marBottom w:val="0"/>
      <w:divBdr>
        <w:top w:val="none" w:sz="0" w:space="0" w:color="auto"/>
        <w:left w:val="none" w:sz="0" w:space="0" w:color="auto"/>
        <w:bottom w:val="none" w:sz="0" w:space="0" w:color="auto"/>
        <w:right w:val="none" w:sz="0" w:space="0" w:color="auto"/>
      </w:divBdr>
    </w:div>
    <w:div w:id="1548446693">
      <w:bodyDiv w:val="1"/>
      <w:marLeft w:val="0"/>
      <w:marRight w:val="0"/>
      <w:marTop w:val="0"/>
      <w:marBottom w:val="0"/>
      <w:divBdr>
        <w:top w:val="none" w:sz="0" w:space="0" w:color="auto"/>
        <w:left w:val="none" w:sz="0" w:space="0" w:color="auto"/>
        <w:bottom w:val="none" w:sz="0" w:space="0" w:color="auto"/>
        <w:right w:val="none" w:sz="0" w:space="0" w:color="auto"/>
      </w:divBdr>
    </w:div>
    <w:div w:id="159640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2018</Words>
  <Characters>12542</Characters>
  <Application>Microsoft Office Word</Application>
  <DocSecurity>0</DocSecurity>
  <Lines>237</Lines>
  <Paragraphs>38</Paragraphs>
  <ScaleCrop>false</ScaleCrop>
  <Company>University of Wales Trinity Saint David</Company>
  <LinksUpToDate>false</LinksUpToDate>
  <CharactersWithSpaces>14520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Karen Cook</cp:lastModifiedBy>
  <cp:revision>2</cp:revision>
  <cp:lastPrinted>2025-05-11T17:32:00Z</cp:lastPrinted>
  <dcterms:created xsi:type="dcterms:W3CDTF">2025-05-11T17:32:00Z</dcterms:created>
  <dcterms:modified xsi:type="dcterms:W3CDTF">2025-05-11T17:32:00Z</dcterms:modified>
</cp:coreProperties>
</file>