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3591C" w14:textId="77777777" w:rsidR="00435BCA" w:rsidRDefault="00435BCA" w:rsidP="00B77106">
      <w:pPr>
        <w:jc w:val="center"/>
        <w:rPr>
          <w:b/>
          <w:bCs/>
          <w:sz w:val="28"/>
          <w:szCs w:val="28"/>
        </w:rPr>
      </w:pPr>
    </w:p>
    <w:p w14:paraId="594025BD" w14:textId="77777777" w:rsidR="00435BCA" w:rsidRDefault="00435BCA" w:rsidP="00435BCA">
      <w:pPr>
        <w:jc w:val="center"/>
        <w:rPr>
          <w:b/>
          <w:bCs/>
          <w:sz w:val="28"/>
          <w:szCs w:val="28"/>
        </w:rPr>
      </w:pPr>
    </w:p>
    <w:p w14:paraId="1F6AA7C0" w14:textId="77777777" w:rsidR="00435BCA" w:rsidRDefault="00435BCA" w:rsidP="00435BCA">
      <w:pPr>
        <w:jc w:val="center"/>
        <w:rPr>
          <w:b/>
          <w:bCs/>
          <w:sz w:val="28"/>
          <w:szCs w:val="28"/>
        </w:rPr>
      </w:pPr>
    </w:p>
    <w:p w14:paraId="26C7C155" w14:textId="77777777" w:rsidR="00435BCA" w:rsidRDefault="00435BCA" w:rsidP="00435BCA">
      <w:pPr>
        <w:jc w:val="center"/>
        <w:rPr>
          <w:b/>
          <w:bCs/>
          <w:sz w:val="28"/>
          <w:szCs w:val="28"/>
        </w:rPr>
      </w:pPr>
    </w:p>
    <w:p w14:paraId="28E0A47A" w14:textId="77777777" w:rsidR="00435BCA" w:rsidRDefault="00435BCA" w:rsidP="00435BCA">
      <w:pPr>
        <w:jc w:val="center"/>
        <w:rPr>
          <w:rFonts w:ascii="Arial" w:hAnsi="Arial" w:cs="Arial"/>
          <w:b/>
          <w:bCs/>
          <w:sz w:val="72"/>
          <w:szCs w:val="72"/>
        </w:rPr>
      </w:pPr>
    </w:p>
    <w:p w14:paraId="6048070F" w14:textId="77777777" w:rsidR="00435BCA" w:rsidRDefault="00435BCA" w:rsidP="00435BCA">
      <w:pPr>
        <w:jc w:val="center"/>
        <w:rPr>
          <w:rFonts w:ascii="Arial" w:hAnsi="Arial" w:cs="Arial"/>
          <w:b/>
          <w:bCs/>
          <w:sz w:val="72"/>
          <w:szCs w:val="72"/>
        </w:rPr>
      </w:pPr>
    </w:p>
    <w:p w14:paraId="6B76C0CA" w14:textId="4D12AB72" w:rsidR="00435BCA" w:rsidRDefault="00435BCA" w:rsidP="00435BCA">
      <w:pPr>
        <w:jc w:val="center"/>
        <w:rPr>
          <w:rFonts w:ascii="Arial" w:hAnsi="Arial" w:cs="Arial"/>
          <w:b/>
          <w:bCs/>
          <w:sz w:val="72"/>
          <w:szCs w:val="72"/>
        </w:rPr>
      </w:pPr>
      <w:r w:rsidRPr="000C7437">
        <w:rPr>
          <w:rFonts w:ascii="Arial" w:hAnsi="Arial" w:cs="Arial"/>
          <w:b/>
          <w:bCs/>
          <w:sz w:val="72"/>
          <w:szCs w:val="72"/>
        </w:rPr>
        <w:t>Criminal Law</w:t>
      </w:r>
    </w:p>
    <w:p w14:paraId="45CEEF68" w14:textId="77777777" w:rsidR="00435BCA" w:rsidRDefault="00435BCA" w:rsidP="00435BCA">
      <w:pPr>
        <w:jc w:val="center"/>
        <w:rPr>
          <w:rFonts w:ascii="Arial" w:hAnsi="Arial" w:cs="Arial"/>
          <w:b/>
          <w:bCs/>
          <w:sz w:val="72"/>
          <w:szCs w:val="72"/>
        </w:rPr>
      </w:pPr>
    </w:p>
    <w:p w14:paraId="2EC34385" w14:textId="77777777" w:rsidR="00435BCA" w:rsidRDefault="00435BCA" w:rsidP="00435BCA">
      <w:pPr>
        <w:jc w:val="center"/>
        <w:rPr>
          <w:rFonts w:ascii="Arial" w:hAnsi="Arial" w:cs="Arial"/>
          <w:b/>
          <w:bCs/>
          <w:sz w:val="72"/>
          <w:szCs w:val="72"/>
        </w:rPr>
      </w:pPr>
    </w:p>
    <w:p w14:paraId="14021DE2" w14:textId="77777777" w:rsidR="00435BCA" w:rsidRDefault="00435BCA" w:rsidP="00435BCA">
      <w:pPr>
        <w:rPr>
          <w:rFonts w:ascii="Arial" w:hAnsi="Arial" w:cs="Arial"/>
          <w:b/>
          <w:bCs/>
          <w:sz w:val="32"/>
          <w:szCs w:val="32"/>
        </w:rPr>
      </w:pPr>
    </w:p>
    <w:p w14:paraId="30413567" w14:textId="77777777" w:rsidR="00435BCA" w:rsidRDefault="00435BCA" w:rsidP="00435BCA">
      <w:pPr>
        <w:rPr>
          <w:rFonts w:ascii="Arial" w:hAnsi="Arial" w:cs="Arial"/>
          <w:b/>
          <w:bCs/>
          <w:sz w:val="32"/>
          <w:szCs w:val="32"/>
        </w:rPr>
      </w:pPr>
    </w:p>
    <w:p w14:paraId="50AA8323" w14:textId="77777777" w:rsidR="00435BCA" w:rsidRDefault="00435BCA" w:rsidP="00435BCA">
      <w:pPr>
        <w:rPr>
          <w:rFonts w:ascii="Arial" w:hAnsi="Arial" w:cs="Arial"/>
          <w:b/>
          <w:bCs/>
          <w:sz w:val="32"/>
          <w:szCs w:val="32"/>
        </w:rPr>
      </w:pPr>
    </w:p>
    <w:p w14:paraId="3875C3EF" w14:textId="77777777" w:rsidR="00435BCA" w:rsidRDefault="00435BCA" w:rsidP="00435BCA">
      <w:pPr>
        <w:rPr>
          <w:rFonts w:ascii="Arial" w:hAnsi="Arial" w:cs="Arial"/>
          <w:b/>
          <w:bCs/>
          <w:sz w:val="32"/>
          <w:szCs w:val="32"/>
        </w:rPr>
      </w:pPr>
    </w:p>
    <w:p w14:paraId="18EA8915" w14:textId="77777777" w:rsidR="00435BCA" w:rsidRDefault="00435BCA" w:rsidP="00435BCA">
      <w:pPr>
        <w:rPr>
          <w:rFonts w:ascii="Arial" w:hAnsi="Arial" w:cs="Arial"/>
          <w:b/>
          <w:bCs/>
          <w:sz w:val="32"/>
          <w:szCs w:val="32"/>
        </w:rPr>
      </w:pPr>
    </w:p>
    <w:p w14:paraId="7899BBA0" w14:textId="77777777" w:rsidR="00435BCA" w:rsidRPr="000C7437" w:rsidRDefault="00435BCA" w:rsidP="00435BCA">
      <w:pPr>
        <w:rPr>
          <w:rFonts w:ascii="Arial" w:hAnsi="Arial" w:cs="Arial"/>
          <w:b/>
          <w:bCs/>
          <w:sz w:val="72"/>
          <w:szCs w:val="72"/>
        </w:rPr>
      </w:pPr>
      <w:r>
        <w:rPr>
          <w:rFonts w:ascii="Arial" w:hAnsi="Arial" w:cs="Arial"/>
          <w:b/>
          <w:bCs/>
          <w:sz w:val="32"/>
          <w:szCs w:val="32"/>
        </w:rPr>
        <w:t>Student number: 2105050</w:t>
      </w:r>
      <w:r w:rsidRPr="000C7437">
        <w:rPr>
          <w:rFonts w:ascii="Arial" w:hAnsi="Arial" w:cs="Arial"/>
          <w:b/>
          <w:bCs/>
          <w:sz w:val="72"/>
          <w:szCs w:val="72"/>
        </w:rPr>
        <w:br w:type="page"/>
      </w:r>
    </w:p>
    <w:p w14:paraId="31DF31DF" w14:textId="3CBFD087" w:rsidR="00435BCA" w:rsidRDefault="00435BCA">
      <w:pPr>
        <w:rPr>
          <w:b/>
          <w:bCs/>
          <w:sz w:val="28"/>
          <w:szCs w:val="28"/>
        </w:rPr>
      </w:pPr>
    </w:p>
    <w:p w14:paraId="42E84219" w14:textId="6473A0AF" w:rsidR="00435BCA" w:rsidRDefault="00435BCA">
      <w:pPr>
        <w:rPr>
          <w:b/>
          <w:bCs/>
          <w:sz w:val="28"/>
          <w:szCs w:val="28"/>
        </w:rPr>
      </w:pPr>
    </w:p>
    <w:p w14:paraId="279E79F0" w14:textId="77777777" w:rsidR="00B77106" w:rsidRPr="00B77106" w:rsidRDefault="00B77106" w:rsidP="00B77106">
      <w:pPr>
        <w:jc w:val="center"/>
        <w:rPr>
          <w:b/>
          <w:bCs/>
          <w:sz w:val="28"/>
          <w:szCs w:val="28"/>
        </w:rPr>
      </w:pPr>
      <w:r w:rsidRPr="00B77106">
        <w:rPr>
          <w:b/>
          <w:bCs/>
          <w:sz w:val="28"/>
          <w:szCs w:val="28"/>
        </w:rPr>
        <w:t>'</w:t>
      </w:r>
      <w:r w:rsidRPr="00B77106">
        <w:rPr>
          <w:b/>
          <w:bCs/>
          <w:i/>
          <w:sz w:val="28"/>
          <w:szCs w:val="28"/>
        </w:rPr>
        <w:t>The law governing homicide in England and Wales is a rickety</w:t>
      </w:r>
      <w:r w:rsidRPr="00B77106">
        <w:rPr>
          <w:b/>
          <w:bCs/>
          <w:sz w:val="28"/>
          <w:szCs w:val="28"/>
        </w:rPr>
        <w:t xml:space="preserve"> </w:t>
      </w:r>
      <w:r w:rsidRPr="00B77106">
        <w:rPr>
          <w:b/>
          <w:bCs/>
          <w:i/>
          <w:sz w:val="28"/>
          <w:szCs w:val="28"/>
        </w:rPr>
        <w:t>structure set upon shaky foundations. Some of its rules have been</w:t>
      </w:r>
      <w:r w:rsidRPr="00B77106">
        <w:rPr>
          <w:b/>
          <w:bCs/>
          <w:sz w:val="28"/>
          <w:szCs w:val="28"/>
        </w:rPr>
        <w:t xml:space="preserve"> </w:t>
      </w:r>
      <w:r w:rsidRPr="00B77106">
        <w:rPr>
          <w:b/>
          <w:bCs/>
          <w:i/>
          <w:sz w:val="28"/>
          <w:szCs w:val="28"/>
        </w:rPr>
        <w:t>unaltered since the seventeenth century, even though it has long</w:t>
      </w:r>
      <w:r w:rsidRPr="00B77106">
        <w:rPr>
          <w:b/>
          <w:bCs/>
          <w:sz w:val="28"/>
          <w:szCs w:val="28"/>
        </w:rPr>
        <w:t xml:space="preserve"> </w:t>
      </w:r>
      <w:r w:rsidRPr="00B77106">
        <w:rPr>
          <w:b/>
          <w:bCs/>
          <w:i/>
          <w:sz w:val="28"/>
          <w:szCs w:val="28"/>
        </w:rPr>
        <w:t>been acknowledged that they are in dire need of reform</w:t>
      </w:r>
      <w:r w:rsidRPr="00B77106">
        <w:rPr>
          <w:b/>
          <w:bCs/>
          <w:sz w:val="28"/>
          <w:szCs w:val="28"/>
        </w:rPr>
        <w:t xml:space="preserve">' </w:t>
      </w:r>
    </w:p>
    <w:p w14:paraId="5E94AA2A" w14:textId="05B8B4B9" w:rsidR="00B77106" w:rsidRPr="00B77106" w:rsidRDefault="00B77106" w:rsidP="00B77106">
      <w:pPr>
        <w:jc w:val="center"/>
        <w:rPr>
          <w:b/>
          <w:bCs/>
          <w:sz w:val="28"/>
          <w:szCs w:val="28"/>
        </w:rPr>
      </w:pPr>
      <w:r w:rsidRPr="00B77106">
        <w:rPr>
          <w:b/>
          <w:bCs/>
          <w:sz w:val="28"/>
          <w:szCs w:val="28"/>
        </w:rPr>
        <w:t>(Law Commission, 2005)</w:t>
      </w:r>
    </w:p>
    <w:p w14:paraId="28AF5768" w14:textId="6DDEDF0C" w:rsidR="00B77106" w:rsidRDefault="00B77106" w:rsidP="00B77106">
      <w:pPr>
        <w:jc w:val="both"/>
        <w:rPr>
          <w:b/>
          <w:bCs/>
          <w:sz w:val="28"/>
          <w:szCs w:val="28"/>
        </w:rPr>
      </w:pPr>
    </w:p>
    <w:p w14:paraId="1A1FC453" w14:textId="77777777" w:rsidR="00567ECA" w:rsidRDefault="00567ECA" w:rsidP="00B77106">
      <w:pPr>
        <w:jc w:val="both"/>
      </w:pPr>
    </w:p>
    <w:p w14:paraId="0BB1A08D" w14:textId="3869087B" w:rsidR="00660471" w:rsidRDefault="00660471" w:rsidP="00B77106">
      <w:pPr>
        <w:jc w:val="both"/>
      </w:pPr>
    </w:p>
    <w:p w14:paraId="3077268F" w14:textId="47655F58" w:rsidR="00660471" w:rsidRPr="00567ECA" w:rsidRDefault="00660471" w:rsidP="00B77106">
      <w:pPr>
        <w:jc w:val="both"/>
      </w:pPr>
      <w:r>
        <w:t xml:space="preserve">This essay will discuss the current and historical laws governing homicide in England and Wales. </w:t>
      </w:r>
      <w:r w:rsidR="001D1638">
        <w:t xml:space="preserve">As the essay title states, it is evident that the law governing homicide in England and Wales is a </w:t>
      </w:r>
      <w:r w:rsidR="000312AD">
        <w:t>“</w:t>
      </w:r>
      <w:r w:rsidR="001D1638">
        <w:t>rickety structure set upon shaky foundations</w:t>
      </w:r>
      <w:r w:rsidR="000312AD">
        <w:t xml:space="preserve">” </w:t>
      </w:r>
      <w:r w:rsidR="001D1638">
        <w:t xml:space="preserve">as will be outlined and quoted </w:t>
      </w:r>
      <w:r w:rsidR="001D1638" w:rsidRPr="000312AD">
        <w:rPr>
          <w:b/>
          <w:bCs/>
        </w:rPr>
        <w:t>by Chalk in Hansard (2016)</w:t>
      </w:r>
      <w:r w:rsidR="001D1638">
        <w:t xml:space="preserve">. Key terms in this essay title will be defined such as the evidently ambiguous terminology of the word and several variations of </w:t>
      </w:r>
      <w:r w:rsidR="000312AD">
        <w:t>“</w:t>
      </w:r>
      <w:r w:rsidR="001D1638">
        <w:t>homicide</w:t>
      </w:r>
      <w:r w:rsidR="000312AD">
        <w:t>”</w:t>
      </w:r>
      <w:r w:rsidR="001D1638">
        <w:t xml:space="preserve">. The history of the legislation surrounding homicide will briefly be discussed along with a very select few of many cases to exemplify the ambiguity of this topic within such a short limitation of word count for this paper. The controversy surrounding what constistutes the different types of homicide will also be touched upon. The main being murder and manslaughter and the intent of which they are committed. Legal terminology such as </w:t>
      </w:r>
      <w:r w:rsidR="001D1638" w:rsidRPr="000312AD">
        <w:rPr>
          <w:b/>
          <w:bCs/>
          <w:i/>
          <w:iCs/>
        </w:rPr>
        <w:t>mens rea</w:t>
      </w:r>
      <w:r w:rsidR="001D1638">
        <w:rPr>
          <w:i/>
          <w:iCs/>
        </w:rPr>
        <w:t xml:space="preserve"> </w:t>
      </w:r>
      <w:r w:rsidR="001D1638">
        <w:t xml:space="preserve">and </w:t>
      </w:r>
      <w:r w:rsidR="001D1638" w:rsidRPr="000312AD">
        <w:rPr>
          <w:b/>
          <w:bCs/>
          <w:i/>
          <w:iCs/>
        </w:rPr>
        <w:t>actus reus</w:t>
      </w:r>
      <w:r w:rsidR="00567ECA">
        <w:rPr>
          <w:i/>
          <w:iCs/>
        </w:rPr>
        <w:t xml:space="preserve"> </w:t>
      </w:r>
      <w:r w:rsidR="00567ECA">
        <w:t>will also be defined and refered to throughout this essay.</w:t>
      </w:r>
    </w:p>
    <w:p w14:paraId="3522FCC2" w14:textId="65DBD871" w:rsidR="00135687" w:rsidRDefault="00135687" w:rsidP="00B77106">
      <w:pPr>
        <w:jc w:val="both"/>
      </w:pPr>
    </w:p>
    <w:p w14:paraId="3E0B4683" w14:textId="5F27C2E7" w:rsidR="00135687" w:rsidRDefault="00135687" w:rsidP="00B77106">
      <w:pPr>
        <w:jc w:val="both"/>
      </w:pPr>
      <w:r w:rsidRPr="000312AD">
        <w:rPr>
          <w:b/>
          <w:bCs/>
        </w:rPr>
        <w:t>Herring (2020)</w:t>
      </w:r>
      <w:r>
        <w:t xml:space="preserve"> points out that the structure of Homicide varies globally dependent on what their laws are on homicide. There are two types of homicide in English criminal law: manslaughter and the most serious, murder. There are, however, differences whereby a defendant can have civil liability</w:t>
      </w:r>
      <w:r w:rsidR="00B012F3">
        <w:t>,</w:t>
      </w:r>
      <w:r>
        <w:t xml:space="preserve"> this can include a killing that has occurred accidentally. There are many criticisms of the law surrounding homicide under English and Welsh Law due to the fact that the two types of homicide are so broad. Lord Hailsham explains that:</w:t>
      </w:r>
    </w:p>
    <w:p w14:paraId="2200862D" w14:textId="0928339C" w:rsidR="00135687" w:rsidRDefault="00135687" w:rsidP="00B77106">
      <w:pPr>
        <w:jc w:val="both"/>
      </w:pPr>
    </w:p>
    <w:p w14:paraId="6650912E" w14:textId="5FFE63AF" w:rsidR="00135687" w:rsidRPr="00135687" w:rsidRDefault="00135687" w:rsidP="00B77106">
      <w:pPr>
        <w:jc w:val="both"/>
      </w:pPr>
      <w:r>
        <w:rPr>
          <w:i/>
          <w:iCs/>
        </w:rPr>
        <w:t xml:space="preserve">“Murder, as every practitioner of the law knows, though often described as one of the utmost heinousness, is not in fact necessarily so, but consists of a whole bundle of offences like the so-called Moors murders to the almost venial, if objectivelt immoral, </w:t>
      </w:r>
      <w:r w:rsidR="00625384">
        <w:rPr>
          <w:i/>
          <w:iCs/>
        </w:rPr>
        <w:t>“</w:t>
      </w:r>
      <w:r>
        <w:rPr>
          <w:i/>
          <w:iCs/>
        </w:rPr>
        <w:t>mercy killing</w:t>
      </w:r>
      <w:r w:rsidR="00625384">
        <w:rPr>
          <w:i/>
          <w:iCs/>
        </w:rPr>
        <w:t>”</w:t>
      </w:r>
      <w:r>
        <w:rPr>
          <w:i/>
          <w:iCs/>
        </w:rPr>
        <w:t xml:space="preserve"> of a beloved partner.” </w:t>
      </w:r>
      <w:r w:rsidRPr="000312AD">
        <w:rPr>
          <w:b/>
          <w:bCs/>
        </w:rPr>
        <w:t>(Howe, cited in Herring, 2020, p.289).</w:t>
      </w:r>
    </w:p>
    <w:p w14:paraId="4363C726" w14:textId="77777777" w:rsidR="00135687" w:rsidRDefault="00135687" w:rsidP="00B77106">
      <w:pPr>
        <w:jc w:val="both"/>
      </w:pPr>
    </w:p>
    <w:p w14:paraId="4B9F89DB" w14:textId="1A477BC4" w:rsidR="00B77106" w:rsidRDefault="00B77106" w:rsidP="00B77106">
      <w:pPr>
        <w:jc w:val="both"/>
      </w:pPr>
      <w:r>
        <w:t>The current law governing homicide in England and Wales</w:t>
      </w:r>
      <w:r w:rsidR="00455C11">
        <w:t xml:space="preserve"> cover murder and manslaugher. As stated by </w:t>
      </w:r>
      <w:r w:rsidR="00455C11" w:rsidRPr="000312AD">
        <w:rPr>
          <w:b/>
          <w:bCs/>
        </w:rPr>
        <w:t>The House of Commons (2016)</w:t>
      </w:r>
      <w:r w:rsidR="00455C11">
        <w:t xml:space="preserve">, there are also other homicide offences including infanticide. Surpisingly, the act of murder is not actually set out in statute. However, both murder and manslaughter are common law offences. During the seventeeth century, Lord Chief Justice Coke, of which is also cited in the </w:t>
      </w:r>
      <w:r w:rsidR="00455C11" w:rsidRPr="00A65763">
        <w:t>Law Commission 2006</w:t>
      </w:r>
      <w:r w:rsidR="00455C11">
        <w:t xml:space="preserve">, defines murder as carrying a mandatory life sentence when someone unlawfully kills another person </w:t>
      </w:r>
      <w:r w:rsidR="00455C11" w:rsidRPr="00A65763">
        <w:rPr>
          <w:b/>
          <w:bCs/>
        </w:rPr>
        <w:t>(House of Commons Library, 2016).</w:t>
      </w:r>
      <w:r w:rsidR="00455C11">
        <w:t xml:space="preserve"> </w:t>
      </w:r>
    </w:p>
    <w:p w14:paraId="360AC853" w14:textId="2140DD2A" w:rsidR="00455C11" w:rsidRDefault="00455C11" w:rsidP="00B77106">
      <w:pPr>
        <w:jc w:val="both"/>
      </w:pPr>
    </w:p>
    <w:p w14:paraId="50715F1C" w14:textId="772507D4" w:rsidR="00392BAF" w:rsidRDefault="00392BAF" w:rsidP="00B77106">
      <w:pPr>
        <w:jc w:val="both"/>
      </w:pPr>
      <w:r>
        <w:lastRenderedPageBreak/>
        <w:t xml:space="preserve">There are several types of homicide, to address </w:t>
      </w:r>
      <w:r w:rsidR="00A65763">
        <w:t>“</w:t>
      </w:r>
      <w:r>
        <w:t>murder</w:t>
      </w:r>
      <w:r w:rsidR="00A65763">
        <w:t>”</w:t>
      </w:r>
      <w:r>
        <w:t xml:space="preserve">, before 1957, capital punishment was the main sentence for this crime, however, it was common to be accepted as a life sentence in prison. </w:t>
      </w:r>
      <w:r w:rsidRPr="00A65763">
        <w:rPr>
          <w:b/>
          <w:bCs/>
        </w:rPr>
        <w:t>The Homicide Act 1957</w:t>
      </w:r>
      <w:r>
        <w:t xml:space="preserve">, according to </w:t>
      </w:r>
      <w:r w:rsidRPr="00A65763">
        <w:rPr>
          <w:b/>
          <w:bCs/>
        </w:rPr>
        <w:t>The Law Commission (2015)</w:t>
      </w:r>
      <w:r>
        <w:t>, significantly limited the murder penalty for murder</w:t>
      </w:r>
      <w:r w:rsidR="00623E91">
        <w:t>,</w:t>
      </w:r>
      <w:r>
        <w:t xml:space="preserve"> furthermore, in 1965, Parliament (being supreme) abolished it in its entirity in regard to murder in that a life sentence would take its place. A </w:t>
      </w:r>
      <w:r w:rsidR="00623E91">
        <w:t>“</w:t>
      </w:r>
      <w:r>
        <w:t>life sentence</w:t>
      </w:r>
      <w:r w:rsidR="00623E91">
        <w:t>”</w:t>
      </w:r>
      <w:r>
        <w:t xml:space="preserve">, however, does not actually constitute spending ones whole life in prison. There are </w:t>
      </w:r>
      <w:r w:rsidR="00A65763">
        <w:t>“</w:t>
      </w:r>
      <w:r>
        <w:t>tariffs</w:t>
      </w:r>
      <w:r w:rsidR="00A65763">
        <w:t>”</w:t>
      </w:r>
      <w:r>
        <w:t xml:space="preserve"> of the duration one must spend in prison (depending on severity) and then, once this period is over, the </w:t>
      </w:r>
      <w:r w:rsidR="00467676">
        <w:t xml:space="preserve">individual will be presented to a Parole Board to ensure that they can be safely released (on licence) but are liable for </w:t>
      </w:r>
      <w:r w:rsidR="00A65763">
        <w:t>“</w:t>
      </w:r>
      <w:r w:rsidR="00467676">
        <w:t>recall</w:t>
      </w:r>
      <w:r w:rsidR="00A65763">
        <w:t>”</w:t>
      </w:r>
      <w:r w:rsidR="00467676">
        <w:t>. The minimum term after the Lord Chief Justice and Home Secretar</w:t>
      </w:r>
      <w:r w:rsidR="00A65763">
        <w:t>ia</w:t>
      </w:r>
      <w:r w:rsidR="00467676">
        <w:t>t fixed this after December 2002, suggested that the starting poi</w:t>
      </w:r>
      <w:r w:rsidR="00A65763">
        <w:t>t</w:t>
      </w:r>
      <w:r w:rsidR="00467676">
        <w:t xml:space="preserve">ing for high risk cases would be fifteen or sixteen years and that all other cases should start at twelve years. The Criminal Justice Act 2003 changed this again and involved a </w:t>
      </w:r>
      <w:r w:rsidR="00A65763">
        <w:t>“</w:t>
      </w:r>
      <w:r w:rsidR="00467676">
        <w:t>two stage</w:t>
      </w:r>
      <w:r w:rsidR="00A65763">
        <w:t>”</w:t>
      </w:r>
      <w:r w:rsidR="00467676">
        <w:t xml:space="preserve"> approach. </w:t>
      </w:r>
    </w:p>
    <w:p w14:paraId="04C89FF8" w14:textId="1FAD9B67" w:rsidR="00B77106" w:rsidRDefault="00B77106" w:rsidP="00B77106">
      <w:pPr>
        <w:jc w:val="both"/>
      </w:pPr>
    </w:p>
    <w:p w14:paraId="622F7BA2" w14:textId="0B84E8BD" w:rsidR="00B77106" w:rsidRDefault="00B77106" w:rsidP="00B77106">
      <w:pPr>
        <w:jc w:val="both"/>
      </w:pPr>
      <w:r>
        <w:t>There is some controversy surrounding the intent for murder versus manslaughter and whether or not it is too broad</w:t>
      </w:r>
      <w:r w:rsidR="00467676">
        <w:t xml:space="preserve">. </w:t>
      </w:r>
      <w:r w:rsidR="001C16FC">
        <w:t xml:space="preserve">In a report by the </w:t>
      </w:r>
      <w:r w:rsidR="001C16FC" w:rsidRPr="00A65763">
        <w:rPr>
          <w:b/>
          <w:bCs/>
        </w:rPr>
        <w:t>Law Reform Commission (2008)</w:t>
      </w:r>
      <w:r w:rsidR="001C16FC">
        <w:t xml:space="preserve">, </w:t>
      </w:r>
      <w:r w:rsidR="006F66C2">
        <w:t xml:space="preserve">it is summarised that the English law of murder dictates that a jury us not necessarily to find the actual intention of the murder, unless they are absolutely satisfied that death was a certain outcome of the purpotrators conduct and they were aware of the risk posed. It is also questioned as to whether the intention to cause serious injury be continued to form the </w:t>
      </w:r>
      <w:r w:rsidR="006F66C2" w:rsidRPr="006F66C2">
        <w:rPr>
          <w:i/>
          <w:iCs/>
        </w:rPr>
        <w:t>mens rea</w:t>
      </w:r>
      <w:r w:rsidR="006F66C2">
        <w:t xml:space="preserve"> </w:t>
      </w:r>
      <w:r w:rsidR="006F66C2" w:rsidRPr="00A65763">
        <w:rPr>
          <w:b/>
          <w:bCs/>
        </w:rPr>
        <w:t xml:space="preserve">(Latin for </w:t>
      </w:r>
      <w:r w:rsidR="00A65763" w:rsidRPr="00A65763">
        <w:rPr>
          <w:b/>
          <w:bCs/>
        </w:rPr>
        <w:t>“</w:t>
      </w:r>
      <w:r w:rsidR="006F66C2" w:rsidRPr="00A65763">
        <w:rPr>
          <w:b/>
          <w:bCs/>
        </w:rPr>
        <w:t>guilty mind</w:t>
      </w:r>
      <w:r w:rsidR="00A65763" w:rsidRPr="00A65763">
        <w:rPr>
          <w:b/>
          <w:bCs/>
        </w:rPr>
        <w:t>”</w:t>
      </w:r>
      <w:r w:rsidR="006F66C2" w:rsidRPr="00A65763">
        <w:rPr>
          <w:b/>
          <w:bCs/>
        </w:rPr>
        <w:t>, Corn</w:t>
      </w:r>
      <w:r w:rsidR="00A05AD8" w:rsidRPr="00A65763">
        <w:rPr>
          <w:b/>
          <w:bCs/>
        </w:rPr>
        <w:t>ell Law School, 2021</w:t>
      </w:r>
      <w:r w:rsidR="00DF1E0B">
        <w:t>),</w:t>
      </w:r>
      <w:r w:rsidR="00A05AD8">
        <w:t xml:space="preserve"> another relevant term would be </w:t>
      </w:r>
      <w:r w:rsidR="00A05AD8">
        <w:rPr>
          <w:i/>
          <w:iCs/>
        </w:rPr>
        <w:t xml:space="preserve">actus reus </w:t>
      </w:r>
      <w:r w:rsidR="00A05AD8">
        <w:t xml:space="preserve">which is latin for a voluntary guilty, criminal act, </w:t>
      </w:r>
      <w:r w:rsidR="00DF1E0B" w:rsidRPr="00DF1E0B">
        <w:rPr>
          <w:b/>
          <w:bCs/>
        </w:rPr>
        <w:t>(</w:t>
      </w:r>
      <w:r w:rsidR="00A05AD8" w:rsidRPr="00DF1E0B">
        <w:rPr>
          <w:b/>
          <w:bCs/>
        </w:rPr>
        <w:t>Crime Museum, 2021).</w:t>
      </w:r>
      <w:r w:rsidR="00A05AD8">
        <w:t xml:space="preserve"> </w:t>
      </w:r>
      <w:r w:rsidR="005220DF">
        <w:t xml:space="preserve">Under section 4 of the Criminal Justic Act 1964, the Law </w:t>
      </w:r>
      <w:r w:rsidR="005220DF" w:rsidRPr="00DF1E0B">
        <w:rPr>
          <w:b/>
          <w:bCs/>
        </w:rPr>
        <w:t>Reform Commission (2008)</w:t>
      </w:r>
      <w:r w:rsidR="005220DF">
        <w:t xml:space="preserve"> states that an intention to cause a serious injury is sufficient enough to consitute murder despite the defendant not having the </w:t>
      </w:r>
      <w:r w:rsidR="005220DF">
        <w:rPr>
          <w:i/>
          <w:iCs/>
        </w:rPr>
        <w:t xml:space="preserve">mens rea </w:t>
      </w:r>
      <w:r w:rsidR="005220DF">
        <w:t xml:space="preserve">to kill. </w:t>
      </w:r>
    </w:p>
    <w:p w14:paraId="46665FAB" w14:textId="6070FF48" w:rsidR="005220DF" w:rsidRDefault="005220DF" w:rsidP="00B77106">
      <w:pPr>
        <w:jc w:val="both"/>
      </w:pPr>
    </w:p>
    <w:p w14:paraId="5BE5109D" w14:textId="33BB25AA" w:rsidR="00B77106" w:rsidRDefault="00934950" w:rsidP="00B77106">
      <w:pPr>
        <w:jc w:val="both"/>
      </w:pPr>
      <w:r w:rsidRPr="00DF1E0B">
        <w:rPr>
          <w:b/>
          <w:bCs/>
        </w:rPr>
        <w:t>Lucid Law (2021)</w:t>
      </w:r>
      <w:r>
        <w:t xml:space="preserve"> state that the traditional definition definition for the </w:t>
      </w:r>
      <w:r>
        <w:rPr>
          <w:i/>
          <w:iCs/>
        </w:rPr>
        <w:t xml:space="preserve">mens rea </w:t>
      </w:r>
      <w:r>
        <w:t xml:space="preserve">for murder to be conducted with </w:t>
      </w:r>
      <w:r w:rsidR="00DF1E0B">
        <w:t>“</w:t>
      </w:r>
      <w:r>
        <w:t>malice aforethought</w:t>
      </w:r>
      <w:r w:rsidR="00DF1E0B">
        <w:t>”</w:t>
      </w:r>
      <w:r>
        <w:t xml:space="preserve">. In this day and age, it is recognised via the </w:t>
      </w:r>
      <w:r w:rsidR="00DF1E0B">
        <w:t>“</w:t>
      </w:r>
      <w:r>
        <w:t>intention</w:t>
      </w:r>
      <w:r w:rsidR="00DF1E0B">
        <w:t>”</w:t>
      </w:r>
      <w:r>
        <w:t xml:space="preserve">. Before the Homicide Act 1957 there were three categories for malice afoethought that existed to constitute murder: </w:t>
      </w:r>
      <w:r w:rsidR="00625384">
        <w:t>“</w:t>
      </w:r>
      <w:r>
        <w:t>express malice</w:t>
      </w:r>
      <w:r w:rsidR="00625384">
        <w:t>”,</w:t>
      </w:r>
      <w:r>
        <w:t>the intention to cause death</w:t>
      </w:r>
      <w:r w:rsidR="00DF1E0B">
        <w:t>,</w:t>
      </w:r>
      <w:r>
        <w:t xml:space="preserve"> </w:t>
      </w:r>
      <w:r w:rsidR="00DF1E0B">
        <w:t>“</w:t>
      </w:r>
      <w:r>
        <w:t>implied malice</w:t>
      </w:r>
      <w:r w:rsidR="00DF1E0B">
        <w:t>”</w:t>
      </w:r>
      <w:r>
        <w:t xml:space="preserve"> </w:t>
      </w:r>
      <w:r w:rsidR="00DF1E0B">
        <w:t xml:space="preserve">, </w:t>
      </w:r>
      <w:r>
        <w:t xml:space="preserve">intention to cause grevious bodily harm </w:t>
      </w:r>
      <w:r w:rsidRPr="00DF1E0B">
        <w:rPr>
          <w:b/>
          <w:bCs/>
        </w:rPr>
        <w:t>(GBH)</w:t>
      </w:r>
      <w:r w:rsidR="00DF1E0B">
        <w:t>,</w:t>
      </w:r>
      <w:r>
        <w:t xml:space="preserve"> and </w:t>
      </w:r>
      <w:r w:rsidR="00DF1E0B">
        <w:t>“</w:t>
      </w:r>
      <w:r>
        <w:t>constructive malice</w:t>
      </w:r>
      <w:r w:rsidR="00DF1E0B">
        <w:t xml:space="preserve">”, </w:t>
      </w:r>
      <w:r>
        <w:t xml:space="preserve">where death resulted whilst attempting to commit an offence whilst resiting arrest and did not intend on killing or inflicting </w:t>
      </w:r>
      <w:r w:rsidR="00AE58DD">
        <w:t>greivious bodily harm. The third was abolished under section 1 of the Hom</w:t>
      </w:r>
      <w:r w:rsidR="00DF1E0B">
        <w:t>i</w:t>
      </w:r>
      <w:r w:rsidR="00AE58DD">
        <w:t xml:space="preserve">cide Act 1957, however, the first two sections remain. Currently, a defendant now is considered to have </w:t>
      </w:r>
      <w:r w:rsidR="00AE58DD">
        <w:rPr>
          <w:i/>
          <w:iCs/>
        </w:rPr>
        <w:t xml:space="preserve">mens rea </w:t>
      </w:r>
      <w:r w:rsidR="00AE58DD">
        <w:t xml:space="preserve">in regard to murder: where there is evident </w:t>
      </w:r>
      <w:r w:rsidR="00AE58DD">
        <w:rPr>
          <w:i/>
          <w:iCs/>
        </w:rPr>
        <w:t xml:space="preserve">actus reus </w:t>
      </w:r>
      <w:r w:rsidR="00AE58DD">
        <w:t xml:space="preserve">of murder with intent; </w:t>
      </w:r>
      <w:r w:rsidR="00AE58DD">
        <w:rPr>
          <w:i/>
          <w:iCs/>
        </w:rPr>
        <w:t xml:space="preserve">actus reus </w:t>
      </w:r>
      <w:r w:rsidR="00AE58DD">
        <w:t xml:space="preserve">of murder with intent on causing grevious bodily harm; and if the defendant kills or causes grevious bodily harm in order to achieve some alterier motive. </w:t>
      </w:r>
    </w:p>
    <w:p w14:paraId="794324F3" w14:textId="1FED6635" w:rsidR="00135687" w:rsidRDefault="00135687" w:rsidP="00B77106">
      <w:pPr>
        <w:jc w:val="both"/>
      </w:pPr>
    </w:p>
    <w:p w14:paraId="7176B054" w14:textId="21EE5890" w:rsidR="00135687" w:rsidRPr="00135687" w:rsidRDefault="00135687" w:rsidP="00B77106">
      <w:pPr>
        <w:jc w:val="both"/>
      </w:pPr>
      <w:r w:rsidRPr="00DF1E0B">
        <w:rPr>
          <w:b/>
          <w:bCs/>
        </w:rPr>
        <w:t>Macdonald (2018)</w:t>
      </w:r>
      <w:r>
        <w:t xml:space="preserve"> states that to be convicted of any crime, the defendant has to posess all the requirements of  </w:t>
      </w:r>
      <w:r>
        <w:rPr>
          <w:i/>
          <w:iCs/>
        </w:rPr>
        <w:t xml:space="preserve">actus reus </w:t>
      </w:r>
      <w:r>
        <w:t>and</w:t>
      </w:r>
      <w:r>
        <w:rPr>
          <w:i/>
          <w:iCs/>
        </w:rPr>
        <w:t xml:space="preserve"> mens rea. </w:t>
      </w:r>
      <w:r>
        <w:t>Furthermore, event if these requirements are established, that alone is not sufficient enough as the prosecution still has to prove that they both coincided in time</w:t>
      </w:r>
      <w:r w:rsidR="00DF1E0B">
        <w:t xml:space="preserve">, </w:t>
      </w:r>
      <w:r>
        <w:t xml:space="preserve">in essence, the defendant must have possessed them at the exact time that the criminal act took place. </w:t>
      </w:r>
    </w:p>
    <w:p w14:paraId="53D71953" w14:textId="7DF3770B" w:rsidR="00AE58DD" w:rsidRDefault="00AE58DD" w:rsidP="00B77106">
      <w:pPr>
        <w:jc w:val="both"/>
      </w:pPr>
    </w:p>
    <w:p w14:paraId="002AD570" w14:textId="30156E0F" w:rsidR="00AE58DD" w:rsidRPr="0064071C" w:rsidRDefault="00AE58DD" w:rsidP="00B77106">
      <w:pPr>
        <w:jc w:val="both"/>
        <w:rPr>
          <w:b/>
          <w:bCs/>
        </w:rPr>
      </w:pPr>
      <w:r>
        <w:t xml:space="preserve">To cite some cases of an </w:t>
      </w:r>
      <w:r w:rsidR="00DF1E0B">
        <w:t>“</w:t>
      </w:r>
      <w:r>
        <w:t>express intention to kill</w:t>
      </w:r>
      <w:r w:rsidR="00DF1E0B">
        <w:t>”</w:t>
      </w:r>
      <w:r>
        <w:t xml:space="preserve">, there has been a significant amount of ambiguousity as to what exact intention is required. Originally, malicious intent to kill would be </w:t>
      </w:r>
      <w:r>
        <w:lastRenderedPageBreak/>
        <w:t xml:space="preserve">required. However, it has been argued that </w:t>
      </w:r>
      <w:r w:rsidR="001C6BDF">
        <w:t xml:space="preserve">a </w:t>
      </w:r>
      <w:r w:rsidR="00DF1E0B">
        <w:t>“</w:t>
      </w:r>
      <w:r w:rsidR="001C6BDF">
        <w:t>benevolent intention</w:t>
      </w:r>
      <w:r w:rsidR="00DF1E0B">
        <w:t>”</w:t>
      </w:r>
      <w:r w:rsidR="001C6BDF">
        <w:t xml:space="preserve">, for example, a </w:t>
      </w:r>
      <w:r w:rsidR="00DF1E0B">
        <w:t>“</w:t>
      </w:r>
      <w:r w:rsidR="001C6BDF">
        <w:t>mercy killing</w:t>
      </w:r>
      <w:r w:rsidR="00DF1E0B">
        <w:t>”</w:t>
      </w:r>
      <w:r w:rsidR="001C6BDF">
        <w:t xml:space="preserve">, would not satisfy the </w:t>
      </w:r>
      <w:r w:rsidR="001C6BDF">
        <w:rPr>
          <w:i/>
          <w:iCs/>
        </w:rPr>
        <w:t xml:space="preserve">mens rea </w:t>
      </w:r>
      <w:r w:rsidR="001C6BDF">
        <w:t>for murder</w:t>
      </w:r>
      <w:r w:rsidR="00625384">
        <w:t>,</w:t>
      </w:r>
      <w:r w:rsidR="001C6BDF">
        <w:t xml:space="preserve"> this has, although, been challenged by courts of whom state that </w:t>
      </w:r>
      <w:r w:rsidR="001C6BDF">
        <w:rPr>
          <w:i/>
          <w:iCs/>
        </w:rPr>
        <w:t xml:space="preserve">any </w:t>
      </w:r>
      <w:r w:rsidR="001C6BDF">
        <w:t xml:space="preserve">intention to kill will suffice irrigarless of the motiation. Examples of this can be found in </w:t>
      </w:r>
      <w:r w:rsidR="001C6BDF" w:rsidRPr="0064071C">
        <w:rPr>
          <w:b/>
          <w:bCs/>
          <w:i/>
          <w:iCs/>
        </w:rPr>
        <w:t>R v Cox</w:t>
      </w:r>
      <w:r w:rsidR="001C6BDF" w:rsidRPr="0064071C">
        <w:rPr>
          <w:b/>
          <w:bCs/>
        </w:rPr>
        <w:t xml:space="preserve"> [1992]</w:t>
      </w:r>
      <w:r w:rsidR="001C6BDF">
        <w:t xml:space="preserve"> where a mercy killing was sufficient in order to dictate an intention to kill as a requirement for a murder conviction. A similar example of a case is </w:t>
      </w:r>
      <w:r w:rsidR="001C6BDF" w:rsidRPr="0064071C">
        <w:rPr>
          <w:b/>
          <w:bCs/>
          <w:i/>
          <w:iCs/>
        </w:rPr>
        <w:t>R v Inglis</w:t>
      </w:r>
      <w:r w:rsidR="001C6BDF" w:rsidRPr="0064071C">
        <w:rPr>
          <w:b/>
          <w:bCs/>
        </w:rPr>
        <w:t xml:space="preserve"> [2011]</w:t>
      </w:r>
      <w:r w:rsidR="0029439B" w:rsidRPr="0064071C">
        <w:rPr>
          <w:b/>
          <w:bCs/>
        </w:rPr>
        <w:t xml:space="preserve"> </w:t>
      </w:r>
      <w:r w:rsidR="0029439B" w:rsidRPr="0064071C">
        <w:t>(Lucid Law, 2021).</w:t>
      </w:r>
      <w:r w:rsidR="0029439B" w:rsidRPr="0064071C">
        <w:rPr>
          <w:b/>
          <w:bCs/>
        </w:rPr>
        <w:t xml:space="preserve"> </w:t>
      </w:r>
    </w:p>
    <w:p w14:paraId="7910E8A4" w14:textId="18B9CB4D" w:rsidR="0029439B" w:rsidRDefault="0029439B" w:rsidP="00B77106">
      <w:pPr>
        <w:jc w:val="both"/>
      </w:pPr>
    </w:p>
    <w:p w14:paraId="2AB8F5DB" w14:textId="451EDEFE" w:rsidR="0029439B" w:rsidRPr="009618F8" w:rsidRDefault="00913782" w:rsidP="00B77106">
      <w:pPr>
        <w:jc w:val="both"/>
      </w:pPr>
      <w:r>
        <w:t xml:space="preserve">Several cases as follows also show how intent to casue grevious bodily harm with the intention to cause death also is sufficient to be categorised as having the </w:t>
      </w:r>
      <w:r>
        <w:rPr>
          <w:i/>
          <w:iCs/>
        </w:rPr>
        <w:t xml:space="preserve">mens rea </w:t>
      </w:r>
      <w:r>
        <w:t xml:space="preserve">of murder. Although, there remains ambiguity over the level of mental state of an intention can also be in the same category. There is much in the academia and in terms of legal cases of which has caused controversy </w:t>
      </w:r>
      <w:r w:rsidR="009618F8">
        <w:t xml:space="preserve">in the legal arena with some holding the perception of those of whom act with an intention to commit greivious bodily harm as enough evidence to cause a direct consequence of </w:t>
      </w:r>
      <w:r w:rsidR="009618F8">
        <w:rPr>
          <w:i/>
          <w:iCs/>
        </w:rPr>
        <w:t xml:space="preserve">actud reus </w:t>
      </w:r>
      <w:r w:rsidR="009618F8">
        <w:t xml:space="preserve">but with others holding the view that being a murderer is only appropriate to label someone who has actually acted with the </w:t>
      </w:r>
      <w:r w:rsidR="0064071C">
        <w:t>“</w:t>
      </w:r>
      <w:r w:rsidR="009618F8">
        <w:t>intention</w:t>
      </w:r>
      <w:r w:rsidR="0064071C">
        <w:t>”</w:t>
      </w:r>
      <w:r w:rsidR="009618F8">
        <w:t xml:space="preserve"> to kill. This can be seen in </w:t>
      </w:r>
      <w:r w:rsidR="009618F8" w:rsidRPr="0064071C">
        <w:rPr>
          <w:b/>
          <w:bCs/>
          <w:i/>
          <w:iCs/>
        </w:rPr>
        <w:t>R v Vickers</w:t>
      </w:r>
      <w:r w:rsidR="009618F8" w:rsidRPr="0064071C">
        <w:rPr>
          <w:b/>
          <w:bCs/>
        </w:rPr>
        <w:t xml:space="preserve"> [1957] </w:t>
      </w:r>
      <w:r w:rsidR="009618F8">
        <w:t xml:space="preserve">where the intention to cause grievious bodily harm was sufficent enough to constitute </w:t>
      </w:r>
      <w:r w:rsidR="009618F8">
        <w:rPr>
          <w:i/>
          <w:iCs/>
        </w:rPr>
        <w:t xml:space="preserve">mens rea </w:t>
      </w:r>
      <w:r w:rsidR="009618F8">
        <w:t xml:space="preserve">for murder. Furthermore, in another case of </w:t>
      </w:r>
      <w:r w:rsidR="009618F8" w:rsidRPr="0064071C">
        <w:rPr>
          <w:b/>
          <w:bCs/>
          <w:i/>
          <w:iCs/>
        </w:rPr>
        <w:t>R v Hyam</w:t>
      </w:r>
      <w:r w:rsidR="009618F8" w:rsidRPr="0064071C">
        <w:rPr>
          <w:b/>
          <w:bCs/>
        </w:rPr>
        <w:t xml:space="preserve"> [1975]</w:t>
      </w:r>
      <w:r w:rsidR="009618F8">
        <w:t>, it was presented to the House of Lords to confirm an intention was present to casue grevious bodily harm and the question remained whether it was sufficient for murder</w:t>
      </w:r>
      <w:r w:rsidR="00625384">
        <w:t>,</w:t>
      </w:r>
      <w:r w:rsidR="009618F8">
        <w:t xml:space="preserve"> the judgement was unclear and thus left this area of law unclear. This ambiguity from this case though, in </w:t>
      </w:r>
      <w:r w:rsidR="009618F8" w:rsidRPr="0064071C">
        <w:rPr>
          <w:b/>
          <w:bCs/>
        </w:rPr>
        <w:t>R v Cunningham [1982]</w:t>
      </w:r>
      <w:r w:rsidR="009618F8">
        <w:t xml:space="preserve"> as presented to the House of Lords confirmed (in this case) that the requirments for </w:t>
      </w:r>
      <w:r w:rsidR="009618F8">
        <w:rPr>
          <w:i/>
          <w:iCs/>
        </w:rPr>
        <w:t xml:space="preserve">mens rea </w:t>
      </w:r>
      <w:r w:rsidR="004B205F">
        <w:t>was an intention to kill or to cause grevious bodily harm (Lucid Law, 2021).</w:t>
      </w:r>
    </w:p>
    <w:p w14:paraId="038FEA73" w14:textId="77777777" w:rsidR="00AE58DD" w:rsidRPr="00AE58DD" w:rsidRDefault="00AE58DD" w:rsidP="00B77106">
      <w:pPr>
        <w:jc w:val="both"/>
      </w:pPr>
    </w:p>
    <w:p w14:paraId="12B902C1" w14:textId="1C21576A" w:rsidR="00B77106" w:rsidRDefault="00B77106" w:rsidP="00B77106">
      <w:pPr>
        <w:jc w:val="both"/>
      </w:pPr>
      <w:r>
        <w:t>It is appartent that the government has accepted some proposals for reform yet has rejected others</w:t>
      </w:r>
      <w:r w:rsidR="004B205F">
        <w:t xml:space="preserve">. </w:t>
      </w:r>
      <w:r w:rsidR="004B205F" w:rsidRPr="0064071C">
        <w:rPr>
          <w:b/>
          <w:bCs/>
        </w:rPr>
        <w:t>Chalk (2016)</w:t>
      </w:r>
      <w:r w:rsidR="004B205F">
        <w:t xml:space="preserve"> in Hansard, stated that the </w:t>
      </w:r>
      <w:r w:rsidR="0064071C">
        <w:t>“</w:t>
      </w:r>
      <w:r w:rsidR="004B205F">
        <w:t>law of homicide is a mess</w:t>
      </w:r>
      <w:r w:rsidR="0064071C">
        <w:t>”</w:t>
      </w:r>
      <w:r w:rsidR="004B205F">
        <w:t xml:space="preserve"> and referred to the Law Commission’s 2006 report: </w:t>
      </w:r>
      <w:r w:rsidR="0064071C">
        <w:t>“</w:t>
      </w:r>
      <w:r w:rsidR="004B205F">
        <w:t>Murder, Manslaughter and infanticide</w:t>
      </w:r>
      <w:r w:rsidR="0064071C">
        <w:t>”</w:t>
      </w:r>
      <w:r w:rsidR="004B205F">
        <w:t xml:space="preserve"> as a </w:t>
      </w:r>
      <w:r w:rsidR="0064071C">
        <w:t>“</w:t>
      </w:r>
      <w:r w:rsidR="004B205F">
        <w:t>rickety structure set upon shaky foundations</w:t>
      </w:r>
      <w:r w:rsidR="0064071C">
        <w:t>”</w:t>
      </w:r>
      <w:r w:rsidR="004B205F">
        <w:t xml:space="preserve"> </w:t>
      </w:r>
      <w:r w:rsidR="004B205F" w:rsidRPr="0064071C">
        <w:rPr>
          <w:b/>
          <w:bCs/>
        </w:rPr>
        <w:t>(Hansard, 2016, p.1)</w:t>
      </w:r>
      <w:r w:rsidR="004B205F">
        <w:t xml:space="preserve">. </w:t>
      </w:r>
      <w:r w:rsidR="00B36419">
        <w:t xml:space="preserve">Chalk (2016) in Hansard continues to state that the </w:t>
      </w:r>
      <w:r w:rsidR="0064071C">
        <w:t>“</w:t>
      </w:r>
      <w:r w:rsidR="00B36419">
        <w:t>problem is that the law of homicide creates injustice</w:t>
      </w:r>
      <w:r w:rsidR="0064071C">
        <w:t>”</w:t>
      </w:r>
      <w:r w:rsidR="00B36419">
        <w:t>. He further states that the solution is the split the offence of murder into two categories of first degree murder and second degree murder.</w:t>
      </w:r>
    </w:p>
    <w:p w14:paraId="34C71EBA" w14:textId="55F29298" w:rsidR="00B77106" w:rsidRDefault="00B77106" w:rsidP="00B77106">
      <w:pPr>
        <w:jc w:val="both"/>
      </w:pPr>
    </w:p>
    <w:p w14:paraId="3AF1D8DB" w14:textId="73A2F679" w:rsidR="00B77106" w:rsidRPr="0064071C" w:rsidRDefault="00B77106" w:rsidP="00B77106">
      <w:pPr>
        <w:jc w:val="both"/>
        <w:rPr>
          <w:b/>
          <w:bCs/>
        </w:rPr>
      </w:pPr>
      <w:r>
        <w:t>Critics of this reform have said that</w:t>
      </w:r>
      <w:r w:rsidR="00B36419">
        <w:t xml:space="preserve"> despite recent reforms of the legislation surrounding murder and voluntary manslaughter</w:t>
      </w:r>
      <w:r w:rsidR="0064071C">
        <w:t xml:space="preserve">, </w:t>
      </w:r>
      <w:r w:rsidR="00B36419">
        <w:t>which would include the defence of diminished responsibility and/or loss of control</w:t>
      </w:r>
      <w:r w:rsidR="0064071C">
        <w:t>,</w:t>
      </w:r>
      <w:r w:rsidR="00B36419">
        <w:t xml:space="preserve"> the law remains unsaatisfactory. It is argued that one should be able to plead the defence of duress whereby they had no protection of an average person. Also, as per the Criminal Justice Act 2003, there lacks a differentiation between blameworthiness. </w:t>
      </w:r>
      <w:r w:rsidR="00660471">
        <w:t xml:space="preserve">As can be seen by the recent murder by the 66 year old woman of whom killed her husband over a </w:t>
      </w:r>
      <w:r w:rsidR="0064071C">
        <w:t>“</w:t>
      </w:r>
      <w:r w:rsidR="00660471">
        <w:t xml:space="preserve"> bubble and squeak row</w:t>
      </w:r>
      <w:r w:rsidR="0064071C">
        <w:t>”</w:t>
      </w:r>
      <w:r w:rsidR="00660471">
        <w:t xml:space="preserve">, many have taken to social media to celebrate her actions </w:t>
      </w:r>
      <w:r w:rsidR="00660471" w:rsidRPr="0064071C">
        <w:rPr>
          <w:b/>
          <w:bCs/>
        </w:rPr>
        <w:t>(Bartleby Research, 2021).</w:t>
      </w:r>
    </w:p>
    <w:p w14:paraId="2B2CCAD9" w14:textId="706EB461" w:rsidR="00135687" w:rsidRDefault="00135687" w:rsidP="00B77106">
      <w:pPr>
        <w:jc w:val="both"/>
      </w:pPr>
    </w:p>
    <w:p w14:paraId="665E156F" w14:textId="77777777" w:rsidR="00283FF7" w:rsidRDefault="00135687" w:rsidP="00B77106">
      <w:pPr>
        <w:jc w:val="both"/>
      </w:pPr>
      <w:r w:rsidRPr="0064071C">
        <w:rPr>
          <w:b/>
          <w:bCs/>
        </w:rPr>
        <w:t xml:space="preserve">In Child </w:t>
      </w:r>
      <w:r w:rsidRPr="0064071C">
        <w:rPr>
          <w:b/>
          <w:bCs/>
          <w:i/>
          <w:iCs/>
        </w:rPr>
        <w:t xml:space="preserve">et al </w:t>
      </w:r>
      <w:r w:rsidRPr="0064071C">
        <w:rPr>
          <w:b/>
          <w:bCs/>
        </w:rPr>
        <w:t>(2017,p.80)</w:t>
      </w:r>
      <w:r>
        <w:t xml:space="preserve">, the many Law Commission reports in regard to te </w:t>
      </w:r>
      <w:r w:rsidR="0064071C">
        <w:t>“</w:t>
      </w:r>
      <w:r>
        <w:t>loss of control</w:t>
      </w:r>
      <w:r w:rsidR="0064071C">
        <w:t>”</w:t>
      </w:r>
      <w:r>
        <w:t xml:space="preserve"> defence in the Homicide Act 1957 have concluded that new legislation is required as the judges alone could not </w:t>
      </w:r>
      <w:r>
        <w:rPr>
          <w:i/>
          <w:iCs/>
        </w:rPr>
        <w:t xml:space="preserve">“cure the defects in the defence of provocation”. </w:t>
      </w:r>
      <w:r>
        <w:t xml:space="preserve">However, the reccomendations of the Law Commission put forward were thought to be unsuccessful whilst there still exists a life </w:t>
      </w:r>
    </w:p>
    <w:p w14:paraId="5B2545A7" w14:textId="77777777" w:rsidR="00283FF7" w:rsidRDefault="00283FF7" w:rsidP="00B77106">
      <w:pPr>
        <w:jc w:val="both"/>
      </w:pPr>
    </w:p>
    <w:p w14:paraId="29C95232" w14:textId="77777777" w:rsidR="00283FF7" w:rsidRDefault="00283FF7" w:rsidP="00B77106">
      <w:pPr>
        <w:jc w:val="both"/>
      </w:pPr>
    </w:p>
    <w:p w14:paraId="152AB164" w14:textId="77777777" w:rsidR="00283FF7" w:rsidRDefault="00283FF7" w:rsidP="00B77106">
      <w:pPr>
        <w:jc w:val="both"/>
      </w:pPr>
    </w:p>
    <w:p w14:paraId="44FE3EA2" w14:textId="77777777" w:rsidR="00283FF7" w:rsidRDefault="00283FF7" w:rsidP="00B77106">
      <w:pPr>
        <w:jc w:val="both"/>
      </w:pPr>
    </w:p>
    <w:p w14:paraId="6A42DDD7" w14:textId="21E40E1D" w:rsidR="00135687" w:rsidRDefault="00135687" w:rsidP="00B77106">
      <w:pPr>
        <w:jc w:val="both"/>
      </w:pPr>
      <w:r>
        <w:t xml:space="preserve">sentence for murder. It has been said that the madatory life sentence for murder should be abolished. The reason for this is that whilst judges are presented with cases where they feel sympathy for the defendant, and that they thought a life sentence was not appropriate in that case, they are left feeling helpless as they did not hold sentence discretion. If the Law Commission’s recommendation had been taken on board, it would have changed the existing provocation defence. But the Coroners and Justice Act 2009 abolished the defence of provocation by replacing it with the new defence of </w:t>
      </w:r>
      <w:r w:rsidR="00C05177">
        <w:t>“</w:t>
      </w:r>
      <w:r>
        <w:t>loss of self-control</w:t>
      </w:r>
      <w:r w:rsidR="00C05177">
        <w:t>”</w:t>
      </w:r>
      <w:r>
        <w:t xml:space="preserve"> which is defined in section 54(1) as:</w:t>
      </w:r>
    </w:p>
    <w:p w14:paraId="5E95AFD8" w14:textId="77777777" w:rsidR="00135687" w:rsidRDefault="00135687" w:rsidP="00B77106">
      <w:pPr>
        <w:jc w:val="both"/>
      </w:pPr>
    </w:p>
    <w:p w14:paraId="620AED5D" w14:textId="3DD5CE44" w:rsidR="00135687" w:rsidRPr="00C05177" w:rsidRDefault="00135687" w:rsidP="00B77106">
      <w:pPr>
        <w:jc w:val="both"/>
        <w:rPr>
          <w:b/>
          <w:bCs/>
        </w:rPr>
      </w:pPr>
      <w:r w:rsidRPr="00C05177">
        <w:rPr>
          <w:b/>
          <w:bCs/>
        </w:rPr>
        <w:t xml:space="preserve"> </w:t>
      </w:r>
      <w:r w:rsidRPr="00C05177">
        <w:rPr>
          <w:b/>
          <w:bCs/>
          <w:i/>
          <w:iCs/>
        </w:rPr>
        <w:t>“Where a person (‘D’) kills or is a party to the killing of another (‘V’), D is not to be convicted of murder if  (a) D’s acts and omissons in doing or being a party to the killing resulted from D’s loss of self-control, (b) the loss of self-control had a qualifying trigger, and (c) a person of D’s sex and age, with a normal degree of tolerance and self restraint and in the circumstances of D, might have reacted in the same or in a similar way to D.”</w:t>
      </w:r>
      <w:r w:rsidRPr="00C05177">
        <w:rPr>
          <w:b/>
          <w:bCs/>
        </w:rPr>
        <w:t xml:space="preserve"> (Child </w:t>
      </w:r>
      <w:r w:rsidRPr="00C05177">
        <w:rPr>
          <w:b/>
          <w:bCs/>
          <w:i/>
          <w:iCs/>
        </w:rPr>
        <w:t xml:space="preserve">et al, </w:t>
      </w:r>
      <w:r w:rsidRPr="00C05177">
        <w:rPr>
          <w:b/>
          <w:bCs/>
        </w:rPr>
        <w:t>2017, p.81).</w:t>
      </w:r>
    </w:p>
    <w:p w14:paraId="643CA935" w14:textId="063434E4" w:rsidR="00567ECA" w:rsidRDefault="00567ECA" w:rsidP="00B77106">
      <w:pPr>
        <w:jc w:val="both"/>
      </w:pPr>
    </w:p>
    <w:p w14:paraId="215EA71B" w14:textId="77777777" w:rsidR="00283FF7" w:rsidRDefault="00283FF7" w:rsidP="00B77106">
      <w:pPr>
        <w:jc w:val="both"/>
      </w:pPr>
    </w:p>
    <w:p w14:paraId="1CCC858B" w14:textId="77777777" w:rsidR="00283FF7" w:rsidRDefault="00283FF7" w:rsidP="00B77106">
      <w:pPr>
        <w:jc w:val="both"/>
      </w:pPr>
    </w:p>
    <w:p w14:paraId="1BDDD21E" w14:textId="473D7C0B" w:rsidR="00567ECA" w:rsidRPr="00B77106" w:rsidRDefault="00567ECA" w:rsidP="00B77106">
      <w:pPr>
        <w:jc w:val="both"/>
      </w:pPr>
      <w:r>
        <w:t>To conclude this short essay, it is clearly evident, that after over one hundred years, the legislation surrounding the criminal (and/or non) act of homicide is in diar need of reformation. There are many critiques of the current legislation and current criminal justice system surrounding this issue. There is an evident and ambiguous crosover between grevious bodily harm and the intent of murder. Quite rightly so, as those of whom critique, there needs to be a d</w:t>
      </w:r>
      <w:r w:rsidR="00C05177">
        <w:t>r</w:t>
      </w:r>
      <w:r>
        <w:t xml:space="preserve">astic and imidiate reform of such reform for such a severe level of criminality. There seems to be cases of precedent of which judges are reliant on due to the level of </w:t>
      </w:r>
      <w:r w:rsidR="00C05177">
        <w:t>uncertainty</w:t>
      </w:r>
      <w:r>
        <w:t xml:space="preserve"> surrounding this area of the law. It seems that even the Justice in the House of Lords, are unable to make definitive decisions of which are just and representive of the severity of the crime, to match the level of punishment </w:t>
      </w:r>
      <w:r w:rsidR="00C05A77">
        <w:t>different individuals should receive as a result.</w:t>
      </w:r>
    </w:p>
    <w:p w14:paraId="515C9E4E" w14:textId="1D85B339" w:rsidR="00D22194" w:rsidRDefault="00A50BB5" w:rsidP="00B77106">
      <w:pPr>
        <w:jc w:val="center"/>
      </w:pPr>
    </w:p>
    <w:p w14:paraId="35F14B79" w14:textId="77777777" w:rsidR="00C05A77" w:rsidRDefault="00C05A77" w:rsidP="00B77106">
      <w:pPr>
        <w:jc w:val="center"/>
        <w:rPr>
          <w:b/>
          <w:bCs/>
          <w:sz w:val="28"/>
          <w:szCs w:val="28"/>
        </w:rPr>
      </w:pPr>
    </w:p>
    <w:p w14:paraId="2E050568" w14:textId="77777777" w:rsidR="00435BCA" w:rsidRDefault="00435BCA" w:rsidP="00135687">
      <w:pPr>
        <w:rPr>
          <w:b/>
          <w:bCs/>
          <w:sz w:val="28"/>
          <w:szCs w:val="28"/>
        </w:rPr>
      </w:pPr>
    </w:p>
    <w:p w14:paraId="3D335557" w14:textId="77777777" w:rsidR="00435BCA" w:rsidRDefault="00435BCA" w:rsidP="00135687">
      <w:pPr>
        <w:rPr>
          <w:b/>
          <w:bCs/>
          <w:sz w:val="28"/>
          <w:szCs w:val="28"/>
        </w:rPr>
      </w:pPr>
    </w:p>
    <w:p w14:paraId="2A6E2DC4" w14:textId="77777777" w:rsidR="00435BCA" w:rsidRDefault="00435BCA" w:rsidP="00135687">
      <w:pPr>
        <w:rPr>
          <w:b/>
          <w:bCs/>
          <w:sz w:val="28"/>
          <w:szCs w:val="28"/>
        </w:rPr>
      </w:pPr>
    </w:p>
    <w:p w14:paraId="78284694" w14:textId="77777777" w:rsidR="00435BCA" w:rsidRDefault="00435BCA" w:rsidP="00135687">
      <w:pPr>
        <w:rPr>
          <w:b/>
          <w:bCs/>
          <w:sz w:val="28"/>
          <w:szCs w:val="28"/>
        </w:rPr>
      </w:pPr>
    </w:p>
    <w:p w14:paraId="7D5BC62E" w14:textId="77777777" w:rsidR="00435BCA" w:rsidRDefault="00435BCA" w:rsidP="00135687">
      <w:pPr>
        <w:rPr>
          <w:b/>
          <w:bCs/>
          <w:sz w:val="28"/>
          <w:szCs w:val="28"/>
        </w:rPr>
      </w:pPr>
    </w:p>
    <w:p w14:paraId="4F3BB8C9" w14:textId="77777777" w:rsidR="00435BCA" w:rsidRDefault="00435BCA" w:rsidP="00135687">
      <w:pPr>
        <w:rPr>
          <w:b/>
          <w:bCs/>
          <w:sz w:val="28"/>
          <w:szCs w:val="28"/>
        </w:rPr>
      </w:pPr>
    </w:p>
    <w:p w14:paraId="6D9D8D61" w14:textId="77777777" w:rsidR="00435BCA" w:rsidRDefault="00435BCA" w:rsidP="00135687">
      <w:pPr>
        <w:rPr>
          <w:b/>
          <w:bCs/>
          <w:sz w:val="28"/>
          <w:szCs w:val="28"/>
        </w:rPr>
      </w:pPr>
    </w:p>
    <w:p w14:paraId="1BF140E0" w14:textId="77777777" w:rsidR="00435BCA" w:rsidRDefault="00435BCA" w:rsidP="00135687">
      <w:pPr>
        <w:rPr>
          <w:b/>
          <w:bCs/>
          <w:sz w:val="28"/>
          <w:szCs w:val="28"/>
        </w:rPr>
      </w:pPr>
    </w:p>
    <w:p w14:paraId="29A4E3FE" w14:textId="77777777" w:rsidR="00435BCA" w:rsidRDefault="00435BCA" w:rsidP="00135687">
      <w:pPr>
        <w:rPr>
          <w:b/>
          <w:bCs/>
          <w:sz w:val="28"/>
          <w:szCs w:val="28"/>
        </w:rPr>
      </w:pPr>
    </w:p>
    <w:p w14:paraId="54B2DA38" w14:textId="77777777" w:rsidR="00435BCA" w:rsidRDefault="00435BCA" w:rsidP="00135687">
      <w:pPr>
        <w:rPr>
          <w:b/>
          <w:bCs/>
          <w:sz w:val="28"/>
          <w:szCs w:val="28"/>
        </w:rPr>
      </w:pPr>
    </w:p>
    <w:p w14:paraId="4919BB5C" w14:textId="77777777" w:rsidR="00435BCA" w:rsidRDefault="00435BCA" w:rsidP="00135687">
      <w:pPr>
        <w:rPr>
          <w:b/>
          <w:bCs/>
          <w:sz w:val="28"/>
          <w:szCs w:val="28"/>
        </w:rPr>
      </w:pPr>
    </w:p>
    <w:p w14:paraId="51F69D7A" w14:textId="77777777" w:rsidR="00435BCA" w:rsidRDefault="00435BCA" w:rsidP="00135687">
      <w:pPr>
        <w:rPr>
          <w:b/>
          <w:bCs/>
          <w:sz w:val="28"/>
          <w:szCs w:val="28"/>
        </w:rPr>
      </w:pPr>
    </w:p>
    <w:p w14:paraId="23631C4B" w14:textId="77777777" w:rsidR="00435BCA" w:rsidRDefault="00435BCA" w:rsidP="00135687">
      <w:pPr>
        <w:rPr>
          <w:b/>
          <w:bCs/>
          <w:sz w:val="28"/>
          <w:szCs w:val="28"/>
        </w:rPr>
      </w:pPr>
    </w:p>
    <w:p w14:paraId="5C4A9099" w14:textId="77777777" w:rsidR="00435BCA" w:rsidRDefault="00435BCA" w:rsidP="00135687">
      <w:pPr>
        <w:rPr>
          <w:b/>
          <w:bCs/>
          <w:sz w:val="28"/>
          <w:szCs w:val="28"/>
        </w:rPr>
      </w:pPr>
    </w:p>
    <w:p w14:paraId="3A9B0F3C" w14:textId="77777777" w:rsidR="00435BCA" w:rsidRDefault="00435BCA" w:rsidP="00135687">
      <w:pPr>
        <w:rPr>
          <w:b/>
          <w:bCs/>
          <w:sz w:val="28"/>
          <w:szCs w:val="28"/>
        </w:rPr>
      </w:pPr>
    </w:p>
    <w:p w14:paraId="5BB6C494" w14:textId="77777777" w:rsidR="00435BCA" w:rsidRDefault="00435BCA" w:rsidP="00435BCA">
      <w:pPr>
        <w:jc w:val="center"/>
        <w:rPr>
          <w:b/>
          <w:bCs/>
          <w:sz w:val="28"/>
          <w:szCs w:val="28"/>
        </w:rPr>
      </w:pPr>
    </w:p>
    <w:p w14:paraId="06C8B817" w14:textId="69A435F4" w:rsidR="00B77106" w:rsidRDefault="00B77106" w:rsidP="00435BCA">
      <w:pPr>
        <w:jc w:val="center"/>
        <w:rPr>
          <w:b/>
          <w:bCs/>
          <w:sz w:val="28"/>
          <w:szCs w:val="28"/>
        </w:rPr>
      </w:pPr>
      <w:r w:rsidRPr="00B77106">
        <w:rPr>
          <w:b/>
          <w:bCs/>
          <w:sz w:val="28"/>
          <w:szCs w:val="28"/>
        </w:rPr>
        <w:t>References</w:t>
      </w:r>
    </w:p>
    <w:p w14:paraId="3EC40213" w14:textId="00906AF3" w:rsidR="008626ED" w:rsidRDefault="008626ED" w:rsidP="00B77106">
      <w:pPr>
        <w:jc w:val="center"/>
        <w:rPr>
          <w:b/>
          <w:bCs/>
          <w:sz w:val="28"/>
          <w:szCs w:val="28"/>
        </w:rPr>
      </w:pPr>
    </w:p>
    <w:p w14:paraId="02CD9FB7" w14:textId="40F3E066" w:rsidR="00660471" w:rsidRDefault="00660471" w:rsidP="00942318">
      <w:r>
        <w:t xml:space="preserve">Bartleby Research (2021) ‘Criticisms and reforms or murder and manslaughter’. Available at: </w:t>
      </w:r>
      <w:hyperlink r:id="rId6" w:history="1">
        <w:r w:rsidRPr="005027D4">
          <w:rPr>
            <w:rStyle w:val="Hyperlink"/>
          </w:rPr>
          <w:t>https://www.bartleby.com/essay/Criticisms-and-reforms-or-murder-and-manslaughter-FK3VE936ZZA</w:t>
        </w:r>
      </w:hyperlink>
      <w:r>
        <w:t>. (Accessed: 23</w:t>
      </w:r>
      <w:r w:rsidRPr="00660471">
        <w:rPr>
          <w:vertAlign w:val="superscript"/>
        </w:rPr>
        <w:t>rd</w:t>
      </w:r>
      <w:r>
        <w:t xml:space="preserve"> October 2021). </w:t>
      </w:r>
    </w:p>
    <w:p w14:paraId="66F47AB9" w14:textId="4C150AF6" w:rsidR="00265C45" w:rsidRDefault="00265C45" w:rsidP="00942318"/>
    <w:p w14:paraId="5E524D97" w14:textId="5E3479E0" w:rsidR="00265C45" w:rsidRPr="00265C45" w:rsidRDefault="00265C45" w:rsidP="00942318">
      <w:r>
        <w:t xml:space="preserve">Child, J., Ormerod, D. C., Hogan, B, Smith, J. C. (2017). </w:t>
      </w:r>
      <w:r>
        <w:rPr>
          <w:i/>
          <w:iCs/>
        </w:rPr>
        <w:t xml:space="preserve">Smith, Hogan, and Ormerod’s essentials of criminal law. </w:t>
      </w:r>
      <w:r>
        <w:t>2</w:t>
      </w:r>
      <w:r w:rsidRPr="00265C45">
        <w:rPr>
          <w:vertAlign w:val="superscript"/>
        </w:rPr>
        <w:t>nd</w:t>
      </w:r>
      <w:r>
        <w:t xml:space="preserve"> edn. Oxford: Oxford University Press.</w:t>
      </w:r>
    </w:p>
    <w:p w14:paraId="12306BCA" w14:textId="77777777" w:rsidR="00660471" w:rsidRDefault="00660471" w:rsidP="00942318"/>
    <w:p w14:paraId="0D526828" w14:textId="0A9C1EA3" w:rsidR="00A05AD8" w:rsidRDefault="00A05AD8" w:rsidP="00942318">
      <w:r>
        <w:t xml:space="preserve">Cornell Law School (2021) ‘Mens Rea’. Available at: </w:t>
      </w:r>
      <w:hyperlink r:id="rId7" w:history="1">
        <w:r w:rsidRPr="005027D4">
          <w:rPr>
            <w:rStyle w:val="Hyperlink"/>
          </w:rPr>
          <w:t>https://www.law.cornell.edu/wex/mens_rea</w:t>
        </w:r>
      </w:hyperlink>
      <w:r>
        <w:t>. (Accessed: 22</w:t>
      </w:r>
      <w:r w:rsidRPr="00A05AD8">
        <w:rPr>
          <w:vertAlign w:val="superscript"/>
        </w:rPr>
        <w:t>nd</w:t>
      </w:r>
      <w:r>
        <w:t xml:space="preserve"> October 2021).</w:t>
      </w:r>
    </w:p>
    <w:p w14:paraId="225004BF" w14:textId="72D2C955" w:rsidR="00A05AD8" w:rsidRDefault="00A05AD8" w:rsidP="00942318"/>
    <w:p w14:paraId="1B82B9B1" w14:textId="1E346802" w:rsidR="00A05AD8" w:rsidRDefault="00A05AD8" w:rsidP="00942318">
      <w:r>
        <w:t xml:space="preserve">Crime Museum (2021) ‘Actus Reus’. Available at: </w:t>
      </w:r>
      <w:hyperlink r:id="rId8" w:history="1">
        <w:r w:rsidRPr="005027D4">
          <w:rPr>
            <w:rStyle w:val="Hyperlink"/>
          </w:rPr>
          <w:t>https://www.crimemuseum.org/crime-library/criminal-law/actus-reus/</w:t>
        </w:r>
      </w:hyperlink>
      <w:r>
        <w:t>. (Accessed: 22</w:t>
      </w:r>
      <w:r w:rsidRPr="00A05AD8">
        <w:rPr>
          <w:vertAlign w:val="superscript"/>
        </w:rPr>
        <w:t>nd</w:t>
      </w:r>
      <w:r>
        <w:t xml:space="preserve"> October 2021).  </w:t>
      </w:r>
    </w:p>
    <w:p w14:paraId="5B86E233" w14:textId="60A0B7AF" w:rsidR="00265C45" w:rsidRDefault="00265C45" w:rsidP="00942318"/>
    <w:p w14:paraId="10B3A9C4" w14:textId="4E01DD01" w:rsidR="00265C45" w:rsidRPr="00265C45" w:rsidRDefault="00265C45" w:rsidP="00942318">
      <w:pPr>
        <w:rPr>
          <w:lang w:val="en-US"/>
        </w:rPr>
      </w:pPr>
      <w:r>
        <w:t xml:space="preserve">Taylor, L. (2018). </w:t>
      </w:r>
      <w:r>
        <w:rPr>
          <w:i/>
          <w:iCs/>
        </w:rPr>
        <w:t>Elliot and quinnÉ</w:t>
      </w:r>
      <w:r w:rsidRPr="00265C45">
        <w:rPr>
          <w:b/>
          <w:bCs/>
          <w:i/>
          <w:iCs/>
          <w:lang w:val="en-US"/>
        </w:rPr>
        <w:t>¹</w:t>
      </w:r>
      <w:r>
        <w:rPr>
          <w:i/>
          <w:iCs/>
        </w:rPr>
        <w:t xml:space="preserve">s criminal law. </w:t>
      </w:r>
      <w:r>
        <w:t>12</w:t>
      </w:r>
      <w:r w:rsidRPr="00265C45">
        <w:rPr>
          <w:vertAlign w:val="superscript"/>
        </w:rPr>
        <w:t>th</w:t>
      </w:r>
      <w:r>
        <w:t xml:space="preserve"> edn. England: Pearson Education Limited.</w:t>
      </w:r>
    </w:p>
    <w:p w14:paraId="0354B3A7" w14:textId="637CBB99" w:rsidR="004B205F" w:rsidRDefault="004B205F" w:rsidP="00942318"/>
    <w:p w14:paraId="4335C3B0" w14:textId="3FD34BE7" w:rsidR="004B205F" w:rsidRDefault="004B205F" w:rsidP="00942318">
      <w:r>
        <w:t xml:space="preserve">Hansard (2016) ‘Homicide Law Reform: Volume 612’. Available at: </w:t>
      </w:r>
      <w:hyperlink r:id="rId9" w:history="1">
        <w:r w:rsidRPr="005027D4">
          <w:rPr>
            <w:rStyle w:val="Hyperlink"/>
          </w:rPr>
          <w:t>https://hansard.parliament.uk/commons/2016-06-30/debates/D5042476-8A97-4E5F-82BB-5908AB04F0AA/HomicideLawReform</w:t>
        </w:r>
      </w:hyperlink>
      <w:r>
        <w:t>. (accessed: 23</w:t>
      </w:r>
      <w:r w:rsidRPr="004B205F">
        <w:rPr>
          <w:vertAlign w:val="superscript"/>
        </w:rPr>
        <w:t>rd</w:t>
      </w:r>
      <w:r>
        <w:t xml:space="preserve"> October 2021).</w:t>
      </w:r>
    </w:p>
    <w:p w14:paraId="2F206D98" w14:textId="0FA8B50E" w:rsidR="00455C11" w:rsidRDefault="00455C11" w:rsidP="00942318"/>
    <w:p w14:paraId="56368445" w14:textId="0A4D6D96" w:rsidR="00265C45" w:rsidRPr="00265C45" w:rsidRDefault="00265C45" w:rsidP="00942318">
      <w:r>
        <w:t xml:space="preserve">Herring, J. (2020). </w:t>
      </w:r>
      <w:r>
        <w:rPr>
          <w:i/>
          <w:iCs/>
        </w:rPr>
        <w:t xml:space="preserve">Criminal Law: Text, Cases, and Materials. </w:t>
      </w:r>
      <w:r>
        <w:t>Oxford: Oxford University Press.</w:t>
      </w:r>
    </w:p>
    <w:p w14:paraId="5181B87E" w14:textId="77777777" w:rsidR="00265C45" w:rsidRDefault="00265C45" w:rsidP="00942318"/>
    <w:p w14:paraId="165AB5CB" w14:textId="30FCF414" w:rsidR="00135687" w:rsidRDefault="00455C11" w:rsidP="00942318">
      <w:r>
        <w:t xml:space="preserve">House of Commons Library (2016) ‘Reforming the Law on Homicide’. Available at: </w:t>
      </w:r>
      <w:hyperlink r:id="rId10" w:history="1">
        <w:r w:rsidRPr="005027D4">
          <w:rPr>
            <w:rStyle w:val="Hyperlink"/>
          </w:rPr>
          <w:t>https://researchbriefings.files.parliament.uk/documents/CDP-2016-0094/CDP-2016-0094.pdf</w:t>
        </w:r>
      </w:hyperlink>
      <w:r>
        <w:t>. (Accessed: 22</w:t>
      </w:r>
      <w:r w:rsidRPr="00455C11">
        <w:rPr>
          <w:vertAlign w:val="superscript"/>
        </w:rPr>
        <w:t>nd</w:t>
      </w:r>
      <w:r>
        <w:t xml:space="preserve"> October 2021). </w:t>
      </w:r>
    </w:p>
    <w:p w14:paraId="64BCB039" w14:textId="35C17909" w:rsidR="00135687" w:rsidRDefault="00135687" w:rsidP="00942318"/>
    <w:p w14:paraId="5A4D318C" w14:textId="2400ECC3" w:rsidR="00135687" w:rsidRDefault="00135687" w:rsidP="00942318">
      <w:r>
        <w:t xml:space="preserve">Law Commission (2004). ‘Partial Defences to Murder: Final Report’. Available at: </w:t>
      </w:r>
      <w:hyperlink r:id="rId11" w:history="1">
        <w:r w:rsidRPr="005027D4">
          <w:rPr>
            <w:rStyle w:val="Hyperlink"/>
          </w:rPr>
          <w:t>https://www.lawcom.gov.uk</w:t>
        </w:r>
      </w:hyperlink>
      <w:r>
        <w:t xml:space="preserve"> (Accessed: 31</w:t>
      </w:r>
      <w:r w:rsidRPr="00135687">
        <w:rPr>
          <w:vertAlign w:val="superscript"/>
        </w:rPr>
        <w:t>st</w:t>
      </w:r>
      <w:r>
        <w:t xml:space="preserve"> October 2021).</w:t>
      </w:r>
    </w:p>
    <w:p w14:paraId="72945D72" w14:textId="40D1D0C1" w:rsidR="000057E7" w:rsidRDefault="000057E7" w:rsidP="00942318"/>
    <w:p w14:paraId="4C425D25" w14:textId="7B918429" w:rsidR="000057E7" w:rsidRDefault="000057E7" w:rsidP="00942318">
      <w:r>
        <w:t xml:space="preserve">Law Reform Commission (2008) ‘HOMICIDE: MURDER AND INVOLUNTARY MANSLAUGHTER’. Available at: </w:t>
      </w:r>
      <w:hyperlink r:id="rId12" w:history="1">
        <w:r w:rsidRPr="005027D4">
          <w:rPr>
            <w:rStyle w:val="Hyperlink"/>
          </w:rPr>
          <w:t>https://www.lawreform.ie/_fileupload/Reports/r87Homicide.pdf</w:t>
        </w:r>
      </w:hyperlink>
      <w:r>
        <w:t>. (Accessed: 22</w:t>
      </w:r>
      <w:r w:rsidRPr="000057E7">
        <w:rPr>
          <w:vertAlign w:val="superscript"/>
        </w:rPr>
        <w:t>nd</w:t>
      </w:r>
      <w:r>
        <w:t xml:space="preserve"> October 2021).</w:t>
      </w:r>
    </w:p>
    <w:p w14:paraId="3CE56B5C" w14:textId="4481F413" w:rsidR="00392BAF" w:rsidRDefault="00392BAF" w:rsidP="00942318"/>
    <w:p w14:paraId="487D5744" w14:textId="50F9BD4A" w:rsidR="00934950" w:rsidRDefault="00934950" w:rsidP="00942318">
      <w:r>
        <w:t xml:space="preserve">Lucid Law (2021) ‘With Malice Aforthought’. Available at: </w:t>
      </w:r>
      <w:hyperlink r:id="rId13" w:history="1">
        <w:r w:rsidRPr="005027D4">
          <w:rPr>
            <w:rStyle w:val="Hyperlink"/>
          </w:rPr>
          <w:t>https://lucidlaw.co.uk/criminal-law/homicide-murder/with-malice-aforethought/</w:t>
        </w:r>
      </w:hyperlink>
      <w:r>
        <w:t>. (Accessed: 22</w:t>
      </w:r>
      <w:r w:rsidRPr="00934950">
        <w:rPr>
          <w:vertAlign w:val="superscript"/>
        </w:rPr>
        <w:t>nd</w:t>
      </w:r>
      <w:r>
        <w:t xml:space="preserve"> October2021).</w:t>
      </w:r>
    </w:p>
    <w:p w14:paraId="17DFB320" w14:textId="7BE79409" w:rsidR="00135687" w:rsidRDefault="00135687" w:rsidP="00942318"/>
    <w:p w14:paraId="7E270D0F" w14:textId="78B702A8" w:rsidR="00135687" w:rsidRDefault="00135687" w:rsidP="00942318">
      <w:r>
        <w:t xml:space="preserve">Macdonald, S. K. (2018). </w:t>
      </w:r>
      <w:r>
        <w:rPr>
          <w:i/>
          <w:iCs/>
        </w:rPr>
        <w:t xml:space="preserve">Text, cases, and materials on criminal law. </w:t>
      </w:r>
      <w:r>
        <w:t>2</w:t>
      </w:r>
      <w:r w:rsidRPr="00135687">
        <w:rPr>
          <w:vertAlign w:val="superscript"/>
        </w:rPr>
        <w:t>nd</w:t>
      </w:r>
      <w:r>
        <w:t xml:space="preserve"> edn. Harlow: Pearson Education Limited. </w:t>
      </w:r>
    </w:p>
    <w:p w14:paraId="1FEDE7FC" w14:textId="04E97941" w:rsidR="00135687" w:rsidRDefault="00135687" w:rsidP="00942318"/>
    <w:p w14:paraId="0BDD69C4" w14:textId="7C018394" w:rsidR="00135687" w:rsidRPr="00135687" w:rsidRDefault="00135687" w:rsidP="00942318">
      <w:r>
        <w:t xml:space="preserve">Reed, A, Bohlander, M., Wake, N., Engleby, E. &amp; Adams, V. (2018). </w:t>
      </w:r>
      <w:r>
        <w:rPr>
          <w:i/>
          <w:iCs/>
        </w:rPr>
        <w:t xml:space="preserve">Homicide in Criminal Law. </w:t>
      </w:r>
      <w:r>
        <w:t>London: Routledge.</w:t>
      </w:r>
    </w:p>
    <w:p w14:paraId="5DC9C4F0" w14:textId="77777777" w:rsidR="00934950" w:rsidRDefault="00934950" w:rsidP="00942318"/>
    <w:p w14:paraId="6E2FC956" w14:textId="0DA05409" w:rsidR="00392BAF" w:rsidRDefault="00392BAF" w:rsidP="00942318">
      <w:r>
        <w:t xml:space="preserve">The Law Commission (2015) ‘Consultation Paper No 177 – A New Homicide Act for England and Wales?. Available at: </w:t>
      </w:r>
      <w:hyperlink r:id="rId14" w:history="1">
        <w:r w:rsidRPr="005027D4">
          <w:rPr>
            <w:rStyle w:val="Hyperlink"/>
          </w:rPr>
          <w:t>http://www.lawcom.gov.uk/app/uploads/2015/03/cp177_Murder_Manslaughter_and_Infanticide_consultation_overview_.pdf</w:t>
        </w:r>
      </w:hyperlink>
      <w:r>
        <w:t>. (Accessed: 22</w:t>
      </w:r>
      <w:r w:rsidRPr="00392BAF">
        <w:rPr>
          <w:vertAlign w:val="superscript"/>
        </w:rPr>
        <w:t>nd</w:t>
      </w:r>
      <w:r>
        <w:t xml:space="preserve"> October 2021). </w:t>
      </w:r>
    </w:p>
    <w:p w14:paraId="3AD41CAA" w14:textId="765C88E3" w:rsidR="00942318" w:rsidRDefault="00942318" w:rsidP="00942318"/>
    <w:p w14:paraId="56FC5237" w14:textId="3F39751A" w:rsidR="00942318" w:rsidRPr="008626ED" w:rsidRDefault="00942318" w:rsidP="00942318">
      <w:r>
        <w:t xml:space="preserve">The Legal Dictionary (2021) ‘ Homicide’. Available at: </w:t>
      </w:r>
      <w:hyperlink r:id="rId15" w:history="1">
        <w:r w:rsidRPr="005027D4">
          <w:rPr>
            <w:rStyle w:val="Hyperlink"/>
          </w:rPr>
          <w:t>https://legal-dictionary.thefreedictionary.com/homicide</w:t>
        </w:r>
      </w:hyperlink>
      <w:r>
        <w:t>. (Accessed: 22</w:t>
      </w:r>
      <w:r w:rsidRPr="00942318">
        <w:rPr>
          <w:vertAlign w:val="superscript"/>
        </w:rPr>
        <w:t>nd</w:t>
      </w:r>
      <w:r>
        <w:t xml:space="preserve"> October 2021). </w:t>
      </w:r>
    </w:p>
    <w:sectPr w:rsidR="00942318" w:rsidRPr="008626ED" w:rsidSect="00774030">
      <w:headerReference w:type="default" r:id="rId16"/>
      <w:footerReference w:type="even"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2851B" w14:textId="77777777" w:rsidR="00A50BB5" w:rsidRDefault="00A50BB5" w:rsidP="00475917">
      <w:r>
        <w:separator/>
      </w:r>
    </w:p>
  </w:endnote>
  <w:endnote w:type="continuationSeparator" w:id="0">
    <w:p w14:paraId="4349D7A0" w14:textId="77777777" w:rsidR="00A50BB5" w:rsidRDefault="00A50BB5" w:rsidP="00475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1844295"/>
      <w:docPartObj>
        <w:docPartGallery w:val="Page Numbers (Bottom of Page)"/>
        <w:docPartUnique/>
      </w:docPartObj>
    </w:sdtPr>
    <w:sdtEndPr>
      <w:rPr>
        <w:rStyle w:val="PageNumber"/>
      </w:rPr>
    </w:sdtEndPr>
    <w:sdtContent>
      <w:p w14:paraId="5B3B3A22" w14:textId="3B64A2A5" w:rsidR="00475917" w:rsidRDefault="00475917" w:rsidP="005027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BBD730" w14:textId="77777777" w:rsidR="00475917" w:rsidRDefault="00475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3992"/>
      <w:docPartObj>
        <w:docPartGallery w:val="Page Numbers (Bottom of Page)"/>
        <w:docPartUnique/>
      </w:docPartObj>
    </w:sdtPr>
    <w:sdtEndPr>
      <w:rPr>
        <w:rStyle w:val="PageNumber"/>
      </w:rPr>
    </w:sdtEndPr>
    <w:sdtContent>
      <w:p w14:paraId="4C543ADA" w14:textId="16B0330D" w:rsidR="00475917" w:rsidRDefault="00475917" w:rsidP="005027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03115E1D" w14:textId="77777777" w:rsidR="00475917" w:rsidRDefault="00475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C6DE4" w14:textId="77777777" w:rsidR="00A50BB5" w:rsidRDefault="00A50BB5" w:rsidP="00475917">
      <w:r>
        <w:separator/>
      </w:r>
    </w:p>
  </w:footnote>
  <w:footnote w:type="continuationSeparator" w:id="0">
    <w:p w14:paraId="51753C9A" w14:textId="77777777" w:rsidR="00A50BB5" w:rsidRDefault="00A50BB5" w:rsidP="00475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DA0BE" w14:textId="7759B2B8" w:rsidR="00475917" w:rsidRDefault="00475917">
    <w:pPr>
      <w:pStyle w:val="Header"/>
    </w:pPr>
    <w:r>
      <w:t>2105050</w:t>
    </w:r>
    <w:r>
      <w:ptab w:relativeTo="margin" w:alignment="center" w:leader="none"/>
    </w:r>
    <w:r>
      <w:t>Criminal Law</w:t>
    </w:r>
    <w:r>
      <w:ptab w:relativeTo="margin" w:alignment="right" w:leader="none"/>
    </w:r>
    <w:r w:rsidR="000041AC">
      <w:t>3</w:t>
    </w:r>
    <w:r w:rsidR="00512745">
      <w:t>1</w:t>
    </w:r>
    <w:r>
      <w:t>/10/21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106"/>
    <w:rsid w:val="000041AC"/>
    <w:rsid w:val="000057E7"/>
    <w:rsid w:val="000062D9"/>
    <w:rsid w:val="000312AD"/>
    <w:rsid w:val="00135687"/>
    <w:rsid w:val="001C16FC"/>
    <w:rsid w:val="001C6BDF"/>
    <w:rsid w:val="001D1638"/>
    <w:rsid w:val="00265C45"/>
    <w:rsid w:val="00283FF7"/>
    <w:rsid w:val="0029439B"/>
    <w:rsid w:val="00346CF7"/>
    <w:rsid w:val="00392BAF"/>
    <w:rsid w:val="00400083"/>
    <w:rsid w:val="00435BCA"/>
    <w:rsid w:val="00455C11"/>
    <w:rsid w:val="00467676"/>
    <w:rsid w:val="00475917"/>
    <w:rsid w:val="004B205F"/>
    <w:rsid w:val="00512745"/>
    <w:rsid w:val="005220DF"/>
    <w:rsid w:val="005610D5"/>
    <w:rsid w:val="00567ECA"/>
    <w:rsid w:val="005864E3"/>
    <w:rsid w:val="00623E91"/>
    <w:rsid w:val="00625384"/>
    <w:rsid w:val="0064071C"/>
    <w:rsid w:val="00660471"/>
    <w:rsid w:val="006F66C2"/>
    <w:rsid w:val="00774030"/>
    <w:rsid w:val="007D6A6F"/>
    <w:rsid w:val="008626ED"/>
    <w:rsid w:val="00913782"/>
    <w:rsid w:val="00923E73"/>
    <w:rsid w:val="00934950"/>
    <w:rsid w:val="00942318"/>
    <w:rsid w:val="009618F8"/>
    <w:rsid w:val="009E03AB"/>
    <w:rsid w:val="00A05AD8"/>
    <w:rsid w:val="00A50BB5"/>
    <w:rsid w:val="00A65763"/>
    <w:rsid w:val="00AB5F2D"/>
    <w:rsid w:val="00AE58DD"/>
    <w:rsid w:val="00B012F3"/>
    <w:rsid w:val="00B36419"/>
    <w:rsid w:val="00B77106"/>
    <w:rsid w:val="00C05177"/>
    <w:rsid w:val="00C05A77"/>
    <w:rsid w:val="00C33447"/>
    <w:rsid w:val="00C33A28"/>
    <w:rsid w:val="00DF1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A3E78"/>
  <w14:defaultImageDpi w14:val="32767"/>
  <w15:chartTrackingRefBased/>
  <w15:docId w15:val="{35505B93-C05F-5B42-939A-05B8519A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6ED"/>
    <w:rPr>
      <w:color w:val="0563C1" w:themeColor="hyperlink"/>
      <w:u w:val="single"/>
    </w:rPr>
  </w:style>
  <w:style w:type="character" w:styleId="UnresolvedMention">
    <w:name w:val="Unresolved Mention"/>
    <w:basedOn w:val="DefaultParagraphFont"/>
    <w:uiPriority w:val="99"/>
    <w:rsid w:val="008626ED"/>
    <w:rPr>
      <w:color w:val="605E5C"/>
      <w:shd w:val="clear" w:color="auto" w:fill="E1DFDD"/>
    </w:rPr>
  </w:style>
  <w:style w:type="paragraph" w:styleId="Header">
    <w:name w:val="header"/>
    <w:basedOn w:val="Normal"/>
    <w:link w:val="HeaderChar"/>
    <w:uiPriority w:val="99"/>
    <w:unhideWhenUsed/>
    <w:rsid w:val="00475917"/>
    <w:pPr>
      <w:tabs>
        <w:tab w:val="center" w:pos="4680"/>
        <w:tab w:val="right" w:pos="9360"/>
      </w:tabs>
    </w:pPr>
  </w:style>
  <w:style w:type="character" w:customStyle="1" w:styleId="HeaderChar">
    <w:name w:val="Header Char"/>
    <w:basedOn w:val="DefaultParagraphFont"/>
    <w:link w:val="Header"/>
    <w:uiPriority w:val="99"/>
    <w:rsid w:val="00475917"/>
    <w:rPr>
      <w:noProof/>
      <w:lang w:val="en-GB"/>
    </w:rPr>
  </w:style>
  <w:style w:type="paragraph" w:styleId="Footer">
    <w:name w:val="footer"/>
    <w:basedOn w:val="Normal"/>
    <w:link w:val="FooterChar"/>
    <w:uiPriority w:val="99"/>
    <w:unhideWhenUsed/>
    <w:rsid w:val="00475917"/>
    <w:pPr>
      <w:tabs>
        <w:tab w:val="center" w:pos="4680"/>
        <w:tab w:val="right" w:pos="9360"/>
      </w:tabs>
    </w:pPr>
  </w:style>
  <w:style w:type="character" w:customStyle="1" w:styleId="FooterChar">
    <w:name w:val="Footer Char"/>
    <w:basedOn w:val="DefaultParagraphFont"/>
    <w:link w:val="Footer"/>
    <w:uiPriority w:val="99"/>
    <w:rsid w:val="00475917"/>
    <w:rPr>
      <w:noProof/>
      <w:lang w:val="en-GB"/>
    </w:rPr>
  </w:style>
  <w:style w:type="character" w:styleId="PageNumber">
    <w:name w:val="page number"/>
    <w:basedOn w:val="DefaultParagraphFont"/>
    <w:uiPriority w:val="99"/>
    <w:semiHidden/>
    <w:unhideWhenUsed/>
    <w:rsid w:val="00475917"/>
  </w:style>
  <w:style w:type="character" w:styleId="FollowedHyperlink">
    <w:name w:val="FollowedHyperlink"/>
    <w:basedOn w:val="DefaultParagraphFont"/>
    <w:uiPriority w:val="99"/>
    <w:semiHidden/>
    <w:unhideWhenUsed/>
    <w:rsid w:val="000312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251750">
      <w:bodyDiv w:val="1"/>
      <w:marLeft w:val="0"/>
      <w:marRight w:val="0"/>
      <w:marTop w:val="0"/>
      <w:marBottom w:val="0"/>
      <w:divBdr>
        <w:top w:val="none" w:sz="0" w:space="0" w:color="auto"/>
        <w:left w:val="none" w:sz="0" w:space="0" w:color="auto"/>
        <w:bottom w:val="none" w:sz="0" w:space="0" w:color="auto"/>
        <w:right w:val="none" w:sz="0" w:space="0" w:color="auto"/>
      </w:divBdr>
    </w:div>
    <w:div w:id="173850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museum.org/crime-library/criminal-law/actus-reus/" TargetMode="External"/><Relationship Id="rId13" Type="http://schemas.openxmlformats.org/officeDocument/2006/relationships/hyperlink" Target="https://lucidlaw.co.uk/criminal-law/homicide-murder/with-malice-aforethought/"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law.cornell.edu/wex/mens_rea" TargetMode="External"/><Relationship Id="rId12" Type="http://schemas.openxmlformats.org/officeDocument/2006/relationships/hyperlink" Target="https://www.lawreform.ie/_fileupload/Reports/r87Homicide.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artleby.com/essay/Criticisms-and-reforms-or-murder-and-manslaughter-FK3VE936ZZA" TargetMode="External"/><Relationship Id="rId11" Type="http://schemas.openxmlformats.org/officeDocument/2006/relationships/hyperlink" Target="https://www.lawcom.gov.uk" TargetMode="External"/><Relationship Id="rId5" Type="http://schemas.openxmlformats.org/officeDocument/2006/relationships/endnotes" Target="endnotes.xml"/><Relationship Id="rId15" Type="http://schemas.openxmlformats.org/officeDocument/2006/relationships/hyperlink" Target="https://legal-dictionary.thefreedictionary.com/homicide" TargetMode="External"/><Relationship Id="rId10" Type="http://schemas.openxmlformats.org/officeDocument/2006/relationships/hyperlink" Target="https://researchbriefings.files.parliament.uk/documents/CDP-2016-0094/CDP-2016-0094.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hansard.parliament.uk/commons/2016-06-30/debates/D5042476-8A97-4E5F-82BB-5908AB04F0AA/HomicideLawReform" TargetMode="External"/><Relationship Id="rId14" Type="http://schemas.openxmlformats.org/officeDocument/2006/relationships/hyperlink" Target="http://www.lawcom.gov.uk/app/uploads/2015/03/cp177_Murder_Manslaughter_and_Infanticide_consultation_overview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2655</Words>
  <Characters>12670</Characters>
  <Application>Microsoft Office Word</Application>
  <DocSecurity>0</DocSecurity>
  <Lines>575</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 (872196)</dc:creator>
  <cp:keywords/>
  <dc:description/>
  <cp:lastModifiedBy>Pedro S</cp:lastModifiedBy>
  <cp:revision>4</cp:revision>
  <dcterms:created xsi:type="dcterms:W3CDTF">2021-11-03T12:17:00Z</dcterms:created>
  <dcterms:modified xsi:type="dcterms:W3CDTF">2021-11-03T12:22:00Z</dcterms:modified>
</cp:coreProperties>
</file>