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F3371A" w14:textId="55104FF9" w:rsidR="00D91AEA" w:rsidRDefault="00DA089C" w:rsidP="00B1662B">
      <w:pPr>
        <w:spacing w:line="480" w:lineRule="auto"/>
        <w:jc w:val="center"/>
        <w:rPr>
          <w:u w:val="single"/>
        </w:rPr>
      </w:pPr>
      <w:r>
        <w:rPr>
          <w:u w:val="single"/>
        </w:rPr>
        <w:t>A Study of Anglo-Saxon Origins and Cultural Expansion</w:t>
      </w:r>
    </w:p>
    <w:p w14:paraId="7797A70D" w14:textId="66459603" w:rsidR="00EC28C2" w:rsidRDefault="00EC28C2" w:rsidP="00B1662B">
      <w:pPr>
        <w:spacing w:line="480" w:lineRule="auto"/>
      </w:pPr>
      <w:r>
        <w:t xml:space="preserve">The issue of the origins of the ‘Anglo-Saxon’ peoples of the early Middle Ages has been debated in scholarship for centuries. For the purposes of this study, </w:t>
      </w:r>
      <w:r w:rsidR="00036DA5">
        <w:t>‘</w:t>
      </w:r>
      <w:r>
        <w:t>Anglo-Saxon</w:t>
      </w:r>
      <w:r w:rsidR="00036DA5">
        <w:t>’</w:t>
      </w:r>
      <w:r>
        <w:t xml:space="preserve"> will be defined as a linguistic and material cultural group forming in Britain </w:t>
      </w:r>
      <w:r w:rsidR="00AE4ED5">
        <w:t>during</w:t>
      </w:r>
      <w:r>
        <w:t xml:space="preserve"> the 5</w:t>
      </w:r>
      <w:r w:rsidRPr="00EC28C2">
        <w:rPr>
          <w:vertAlign w:val="superscript"/>
        </w:rPr>
        <w:t>th</w:t>
      </w:r>
      <w:r>
        <w:t xml:space="preserve"> Century AD, becoming dominant by the 9</w:t>
      </w:r>
      <w:r w:rsidRPr="00EC28C2">
        <w:rPr>
          <w:vertAlign w:val="superscript"/>
        </w:rPr>
        <w:t>th</w:t>
      </w:r>
      <w:r>
        <w:t xml:space="preserve"> Century, culminating into the formation of a unified England. The main questions regarding this area of scholarship </w:t>
      </w:r>
      <w:r w:rsidR="00036DA5">
        <w:t>are</w:t>
      </w:r>
      <w:r>
        <w:t xml:space="preserve"> where this culture originated geographically</w:t>
      </w:r>
      <w:r w:rsidR="00036DA5">
        <w:t xml:space="preserve"> and</w:t>
      </w:r>
      <w:r>
        <w:t xml:space="preserve"> how it spread across Britain so rapidly and completely. The question of the origin of this culture must examine the literary traditions, material, linguistic and DNA evidence to determine the origins of the material culture</w:t>
      </w:r>
      <w:r w:rsidR="00BE6B2C">
        <w:t xml:space="preserve">, language and ethnicity of the peoples involved, as well as </w:t>
      </w:r>
      <w:r w:rsidR="00036DA5">
        <w:t>medieval</w:t>
      </w:r>
      <w:r w:rsidR="00BE6B2C">
        <w:t xml:space="preserve"> thoughts on Anglo-Saxon origins. The question of how they came to dominate must also look at said evidence to determine not only why the Anglo-Saxon culture spread, but also why the previous Romano-British cultures and languages appear to have disappeared. </w:t>
      </w:r>
    </w:p>
    <w:p w14:paraId="481D05EE" w14:textId="55A76D5A" w:rsidR="00466E8B" w:rsidRDefault="00BE6B2C" w:rsidP="00B1662B">
      <w:pPr>
        <w:spacing w:line="480" w:lineRule="auto"/>
      </w:pPr>
      <w:r>
        <w:t xml:space="preserve">The medieval literary sources such as </w:t>
      </w:r>
      <w:proofErr w:type="spellStart"/>
      <w:r>
        <w:t>Gildas</w:t>
      </w:r>
      <w:proofErr w:type="spellEnd"/>
      <w:r>
        <w:t xml:space="preserve">, Bede and the </w:t>
      </w:r>
      <w:r w:rsidRPr="001B2176">
        <w:rPr>
          <w:i/>
        </w:rPr>
        <w:t>Anglo-Saxon Chronicle</w:t>
      </w:r>
      <w:r>
        <w:t xml:space="preserve"> all generally attribute the arrival of the Anglo-Saxons with the refusal of </w:t>
      </w:r>
      <w:r w:rsidR="001B2176">
        <w:t>Rome</w:t>
      </w:r>
      <w:r>
        <w:t xml:space="preserve"> to supply soldiers to defend Britain from attack by raiding ‘barbarians’, leading to a British king, or </w:t>
      </w:r>
      <w:r w:rsidR="001B2176">
        <w:t>‘</w:t>
      </w:r>
      <w:r w:rsidRPr="001B2176">
        <w:t>tyrant</w:t>
      </w:r>
      <w:r w:rsidR="001B2176">
        <w:t>’</w:t>
      </w:r>
      <w:r>
        <w:t xml:space="preserve"> </w:t>
      </w:r>
      <w:r w:rsidR="001B2176">
        <w:t>named</w:t>
      </w:r>
      <w:r>
        <w:t xml:space="preserve"> </w:t>
      </w:r>
      <w:proofErr w:type="spellStart"/>
      <w:r>
        <w:t>Vortigern</w:t>
      </w:r>
      <w:proofErr w:type="spellEnd"/>
      <w:r>
        <w:t xml:space="preserve"> requesting the assistance of Saxon mercenaries</w:t>
      </w:r>
      <w:r w:rsidR="0035263A">
        <w:t xml:space="preserve"> from northern Europe</w:t>
      </w:r>
      <w:r>
        <w:t xml:space="preserve"> to help defend the British. The Saxons eventually rebel against their employers over disagreements </w:t>
      </w:r>
      <w:r w:rsidR="00FD6C50">
        <w:t>regarding allocation of land in exchange for service.</w:t>
      </w:r>
      <w:r w:rsidR="00FD6C50">
        <w:rPr>
          <w:rStyle w:val="FootnoteReference"/>
        </w:rPr>
        <w:footnoteReference w:id="1"/>
      </w:r>
      <w:r>
        <w:t xml:space="preserve"> </w:t>
      </w:r>
      <w:r w:rsidR="00FD6C50">
        <w:t xml:space="preserve">Bede’s account of the event expands </w:t>
      </w:r>
      <w:proofErr w:type="spellStart"/>
      <w:r w:rsidR="00FD6C50">
        <w:t>Gildas</w:t>
      </w:r>
      <w:proofErr w:type="spellEnd"/>
      <w:r w:rsidR="00FD6C50">
        <w:t>’ version, adding the concepts of the ‘Angles, Saxons and Jutes</w:t>
      </w:r>
      <w:r w:rsidR="00802FD5">
        <w:t xml:space="preserve">’, in addition to the inclusion of the story of the first Anglo-Saxons arriving in Britain being the </w:t>
      </w:r>
      <w:r w:rsidR="00802FD5">
        <w:lastRenderedPageBreak/>
        <w:t xml:space="preserve">brothers </w:t>
      </w:r>
      <w:proofErr w:type="spellStart"/>
      <w:r w:rsidR="00802FD5">
        <w:t>Hengest</w:t>
      </w:r>
      <w:proofErr w:type="spellEnd"/>
      <w:r w:rsidR="00802FD5">
        <w:t xml:space="preserve"> and </w:t>
      </w:r>
      <w:proofErr w:type="spellStart"/>
      <w:r w:rsidR="00802FD5">
        <w:t>Horsa</w:t>
      </w:r>
      <w:proofErr w:type="spellEnd"/>
      <w:r w:rsidR="00802FD5">
        <w:t>.</w:t>
      </w:r>
      <w:r w:rsidR="00802FD5">
        <w:rPr>
          <w:rStyle w:val="FootnoteReference"/>
        </w:rPr>
        <w:footnoteReference w:id="2"/>
      </w:r>
      <w:r w:rsidR="00802FD5">
        <w:t xml:space="preserve"> This is also included in later accounts, such as the </w:t>
      </w:r>
      <w:r w:rsidR="00802FD5" w:rsidRPr="00802FD5">
        <w:rPr>
          <w:i/>
        </w:rPr>
        <w:t>Anglo-Saxon Chronicle</w:t>
      </w:r>
      <w:r w:rsidR="00802FD5">
        <w:rPr>
          <w:i/>
        </w:rPr>
        <w:t xml:space="preserve"> </w:t>
      </w:r>
      <w:r w:rsidR="00802FD5">
        <w:t xml:space="preserve">and Geoffrey of Monmouth’s </w:t>
      </w:r>
      <w:r w:rsidR="00802FD5">
        <w:rPr>
          <w:i/>
        </w:rPr>
        <w:t>History of the Kings of Britain</w:t>
      </w:r>
      <w:r w:rsidR="00802FD5">
        <w:t>, for example.</w:t>
      </w:r>
      <w:r w:rsidR="00802FD5">
        <w:rPr>
          <w:rStyle w:val="FootnoteReference"/>
        </w:rPr>
        <w:footnoteReference w:id="3"/>
      </w:r>
      <w:r w:rsidR="00802FD5">
        <w:t xml:space="preserve"> </w:t>
      </w:r>
    </w:p>
    <w:p w14:paraId="78D81977" w14:textId="53AB22A9" w:rsidR="00466E8B" w:rsidRDefault="00802FD5" w:rsidP="00B1662B">
      <w:pPr>
        <w:spacing w:line="480" w:lineRule="auto"/>
      </w:pPr>
      <w:r>
        <w:t>These accounts</w:t>
      </w:r>
      <w:r w:rsidR="00D526D1">
        <w:t xml:space="preserve"> </w:t>
      </w:r>
      <w:r>
        <w:t>are generally considered to be of limited value when discussing the true events of the time.</w:t>
      </w:r>
      <w:r>
        <w:rPr>
          <w:rStyle w:val="FootnoteReference"/>
        </w:rPr>
        <w:footnoteReference w:id="4"/>
      </w:r>
      <w:r w:rsidR="00403DE6">
        <w:t xml:space="preserve"> One reason for this is a common theme among the sources</w:t>
      </w:r>
      <w:r w:rsidR="001B2176">
        <w:t>,</w:t>
      </w:r>
      <w:r w:rsidR="00403DE6">
        <w:t xml:space="preserve"> </w:t>
      </w:r>
      <w:r w:rsidR="001B2176">
        <w:t>in</w:t>
      </w:r>
      <w:r w:rsidR="00403DE6">
        <w:t xml:space="preserve"> the Romano-British being punished by God for decadence and a lack of piety, with </w:t>
      </w:r>
      <w:proofErr w:type="spellStart"/>
      <w:r w:rsidR="00403DE6">
        <w:t>Gildas</w:t>
      </w:r>
      <w:proofErr w:type="spellEnd"/>
      <w:r w:rsidR="00403DE6">
        <w:t xml:space="preserve"> </w:t>
      </w:r>
      <w:r w:rsidR="001B2176">
        <w:t>particularly</w:t>
      </w:r>
      <w:r w:rsidR="00403DE6">
        <w:t xml:space="preserve"> noted for the dominance of its moral agenda over historical accuracy.</w:t>
      </w:r>
      <w:r w:rsidR="00403DE6">
        <w:rPr>
          <w:rStyle w:val="FootnoteReference"/>
        </w:rPr>
        <w:footnoteReference w:id="5"/>
      </w:r>
      <w:r w:rsidR="00403DE6">
        <w:t xml:space="preserve"> Bede also uses this explanation in his text, described by Higham and Ryan as an 8</w:t>
      </w:r>
      <w:r w:rsidR="00403DE6" w:rsidRPr="00403DE6">
        <w:rPr>
          <w:vertAlign w:val="superscript"/>
        </w:rPr>
        <w:t>th</w:t>
      </w:r>
      <w:r w:rsidR="00403DE6">
        <w:t xml:space="preserve"> Century re-imagining of the past framed according to the geopolitics of the present, presenting the possibility of this explanation as a cautionary tale for the loss of Northumbrian territory since 685.</w:t>
      </w:r>
      <w:r w:rsidR="00403DE6">
        <w:rPr>
          <w:rStyle w:val="FootnoteReference"/>
        </w:rPr>
        <w:footnoteReference w:id="6"/>
      </w:r>
      <w:r w:rsidR="00403DE6">
        <w:t xml:space="preserve"> The explanation of invasions as </w:t>
      </w:r>
      <w:r w:rsidR="00D526D1">
        <w:t>t</w:t>
      </w:r>
      <w:r w:rsidR="00403DE6">
        <w:t>he result of a lack of morality or piety is also a common theme in other medieval historical accounts, one of which being Henry of Huntingdon’s account of the Norman conquest of England.</w:t>
      </w:r>
      <w:r w:rsidR="00403DE6">
        <w:rPr>
          <w:rStyle w:val="FootnoteReference"/>
        </w:rPr>
        <w:footnoteReference w:id="7"/>
      </w:r>
      <w:r w:rsidR="00403DE6">
        <w:t xml:space="preserve"> The inclusion of the story of </w:t>
      </w:r>
      <w:proofErr w:type="spellStart"/>
      <w:r w:rsidR="00403DE6">
        <w:t>Hengest</w:t>
      </w:r>
      <w:proofErr w:type="spellEnd"/>
      <w:r w:rsidR="00403DE6">
        <w:t xml:space="preserve"> and </w:t>
      </w:r>
      <w:proofErr w:type="spellStart"/>
      <w:r w:rsidR="00403DE6">
        <w:t>Horsa</w:t>
      </w:r>
      <w:proofErr w:type="spellEnd"/>
      <w:r w:rsidR="00403DE6">
        <w:t xml:space="preserve"> may </w:t>
      </w:r>
      <w:r w:rsidR="001610C1">
        <w:t>also be the result of literary devices, linking to other civilisation’s use of brothers in their foundation myths, such as Romulus and Remus in the Roman foundation myth.</w:t>
      </w:r>
      <w:r w:rsidR="001610C1">
        <w:rPr>
          <w:rStyle w:val="FootnoteReference"/>
        </w:rPr>
        <w:footnoteReference w:id="8"/>
      </w:r>
      <w:r w:rsidR="001610C1">
        <w:t xml:space="preserve"> The chronology of events in the sources has also been called into question. For example, </w:t>
      </w:r>
      <w:proofErr w:type="spellStart"/>
      <w:r w:rsidR="001610C1">
        <w:t>Gildas</w:t>
      </w:r>
      <w:proofErr w:type="spellEnd"/>
      <w:r w:rsidR="001610C1">
        <w:t xml:space="preserve"> dates Boudica’s revolt to before Tiberius and the arrival of </w:t>
      </w:r>
      <w:proofErr w:type="spellStart"/>
      <w:r w:rsidR="001610C1">
        <w:t>Hengest</w:t>
      </w:r>
      <w:proofErr w:type="spellEnd"/>
      <w:r w:rsidR="001610C1">
        <w:t xml:space="preserve"> and </w:t>
      </w:r>
      <w:proofErr w:type="spellStart"/>
      <w:r w:rsidR="001610C1">
        <w:t>Horsa</w:t>
      </w:r>
      <w:proofErr w:type="spellEnd"/>
      <w:r w:rsidR="001610C1">
        <w:t xml:space="preserve"> is dated to 443, whereas the </w:t>
      </w:r>
      <w:r w:rsidR="001610C1">
        <w:rPr>
          <w:i/>
        </w:rPr>
        <w:t>Gallic Chronicle of 452</w:t>
      </w:r>
      <w:r w:rsidR="001610C1">
        <w:t xml:space="preserve"> states that Britain was subjected </w:t>
      </w:r>
      <w:r w:rsidR="001610C1">
        <w:lastRenderedPageBreak/>
        <w:t>to Saxon rule in 440.</w:t>
      </w:r>
      <w:r w:rsidR="001610C1">
        <w:rPr>
          <w:rStyle w:val="FootnoteReference"/>
        </w:rPr>
        <w:footnoteReference w:id="9"/>
      </w:r>
      <w:r w:rsidR="001610C1">
        <w:t xml:space="preserve"> The reliability of the </w:t>
      </w:r>
      <w:r w:rsidR="001610C1">
        <w:rPr>
          <w:i/>
        </w:rPr>
        <w:t>Gallic Chronicle</w:t>
      </w:r>
      <w:r w:rsidR="001610C1">
        <w:t xml:space="preserve"> as a source, however, as Britain was far from being dominated by the Anglo-Saxons in 440.</w:t>
      </w:r>
      <w:r w:rsidR="001610C1">
        <w:rPr>
          <w:rStyle w:val="FootnoteReference"/>
        </w:rPr>
        <w:footnoteReference w:id="10"/>
      </w:r>
      <w:r w:rsidR="00945AAA">
        <w:t xml:space="preserve"> </w:t>
      </w:r>
    </w:p>
    <w:p w14:paraId="20ABF054" w14:textId="48D52CD0" w:rsidR="00BE6B2C" w:rsidRDefault="00945AAA" w:rsidP="00B1662B">
      <w:pPr>
        <w:spacing w:line="480" w:lineRule="auto"/>
      </w:pPr>
      <w:r>
        <w:t xml:space="preserve">Although these accounts are far from reliable, they certainly have their uses. For example, they are useful at determining that the Anglo-Saxons </w:t>
      </w:r>
      <w:r w:rsidR="00834159">
        <w:t>considered</w:t>
      </w:r>
      <w:r>
        <w:t xml:space="preserve"> their own origins to be from Northern Europe and Scandinavia, as also mentioned in Beowulf for example.</w:t>
      </w:r>
      <w:r>
        <w:rPr>
          <w:rStyle w:val="FootnoteReference"/>
        </w:rPr>
        <w:footnoteReference w:id="11"/>
      </w:r>
      <w:r>
        <w:t xml:space="preserve"> It is also suggested by Blair that</w:t>
      </w:r>
      <w:r w:rsidR="00B159B9">
        <w:t xml:space="preserve"> the</w:t>
      </w:r>
      <w:r>
        <w:t xml:space="preserve"> </w:t>
      </w:r>
      <w:proofErr w:type="spellStart"/>
      <w:r>
        <w:t>Hengest</w:t>
      </w:r>
      <w:proofErr w:type="spellEnd"/>
      <w:r>
        <w:t xml:space="preserve"> in Bede is the same character as a </w:t>
      </w:r>
      <w:proofErr w:type="spellStart"/>
      <w:r>
        <w:t>Hengest</w:t>
      </w:r>
      <w:proofErr w:type="spellEnd"/>
      <w:r>
        <w:t xml:space="preserve"> that appears in Beowulf</w:t>
      </w:r>
      <w:r w:rsidR="008472D8">
        <w:t>, suggesting a link to further Anglo-Saxon mythology</w:t>
      </w:r>
      <w:r>
        <w:t>.</w:t>
      </w:r>
      <w:r>
        <w:rPr>
          <w:rStyle w:val="FootnoteReference"/>
        </w:rPr>
        <w:footnoteReference w:id="12"/>
      </w:r>
      <w:r>
        <w:t xml:space="preserve"> There is also some merit in the hiring of Germanic mercenaries, due to the presence of inscriptions from Hadrian’s Wall detailing two cohorts of </w:t>
      </w:r>
      <w:r>
        <w:rPr>
          <w:i/>
        </w:rPr>
        <w:t>foederati</w:t>
      </w:r>
      <w:r>
        <w:t xml:space="preserve"> of the </w:t>
      </w:r>
      <w:proofErr w:type="spellStart"/>
      <w:r>
        <w:t>Batavi</w:t>
      </w:r>
      <w:proofErr w:type="spellEnd"/>
      <w:r>
        <w:t xml:space="preserve"> and </w:t>
      </w:r>
      <w:proofErr w:type="spellStart"/>
      <w:r>
        <w:t>Tungri</w:t>
      </w:r>
      <w:proofErr w:type="spellEnd"/>
      <w:r>
        <w:t xml:space="preserve"> peoples.</w:t>
      </w:r>
      <w:r>
        <w:rPr>
          <w:rStyle w:val="FootnoteReference"/>
        </w:rPr>
        <w:footnoteReference w:id="13"/>
      </w:r>
      <w:r w:rsidR="001C07C4">
        <w:t xml:space="preserve"> </w:t>
      </w:r>
      <w:r>
        <w:t xml:space="preserve">Overall, although we cannot ascribe much authority on the literary sources regarding the events and chronology of the Anglo-Saxon </w:t>
      </w:r>
      <w:r w:rsidR="00466E8B">
        <w:t>arrival into Britain, they are certainly useful in determining the traditions of the Anglo-Saxons regarding their own ancestry, and the hiring of Germanic mercenaries by the Romano-British elite does have historical precedent. To determine the true origins of the Anglo-Saxons, however, we must look to alternative evidence.</w:t>
      </w:r>
    </w:p>
    <w:p w14:paraId="0B158567" w14:textId="7068A3B5" w:rsidR="00466E8B" w:rsidRDefault="00E163BE" w:rsidP="00B1662B">
      <w:pPr>
        <w:spacing w:line="480" w:lineRule="auto"/>
      </w:pPr>
      <w:r>
        <w:t>One method which can be used to determine Anglo-Saxon origins is by analysing archaeological material, such as grave goods. However, there are some problems with the evidence in the early Anglo-Saxon period. The first of these difficulties is that the Anglo-Saxons built primarily out of wood, compared to the stone buildings of Roman Britain, leading to less evidence of settlements. We also do not have inscriptions or numismatic evidence from the time period, adding to the difficulties.</w:t>
      </w:r>
      <w:r>
        <w:rPr>
          <w:rStyle w:val="FootnoteReference"/>
        </w:rPr>
        <w:footnoteReference w:id="14"/>
      </w:r>
      <w:r>
        <w:t xml:space="preserve"> There is also the issue with </w:t>
      </w:r>
      <w:r>
        <w:lastRenderedPageBreak/>
        <w:t>funerary evidence, in that most of the burials of the period were cremations, which destroys much of the evidence, particularly human remains.</w:t>
      </w:r>
      <w:r>
        <w:rPr>
          <w:rStyle w:val="FootnoteReference"/>
        </w:rPr>
        <w:footnoteReference w:id="15"/>
      </w:r>
      <w:r>
        <w:t xml:space="preserve"> Grave goods are also the foundation of archaeological studies of the Anglo-Saxons, whereas the Roman period focusses more on settlements and structures. Anglo-Saxon excavations are also usually of lower quality than those of Roman remains, which creates further difficulties in using this evidence.</w:t>
      </w:r>
      <w:r>
        <w:rPr>
          <w:rStyle w:val="FootnoteReference"/>
        </w:rPr>
        <w:footnoteReference w:id="16"/>
      </w:r>
      <w:r w:rsidR="006946F3">
        <w:t xml:space="preserve"> Although archaeology certainly has problems, we can still use the available material evidence to note any similarities between the Anglo-Saxon evidence and material from elsewhere to determine the artistic origins of Anglo-Saxon material culture.</w:t>
      </w:r>
      <w:r w:rsidR="00CF435C">
        <w:t xml:space="preserve"> I will</w:t>
      </w:r>
      <w:r w:rsidR="00FA725B">
        <w:t xml:space="preserve"> first</w:t>
      </w:r>
      <w:r w:rsidR="00CF435C">
        <w:t xml:space="preserve"> discuss some general trends, then move on to specific examples to illustrate this.</w:t>
      </w:r>
    </w:p>
    <w:p w14:paraId="382328A8" w14:textId="5B5165EB" w:rsidR="00CF435C" w:rsidRDefault="006B1792" w:rsidP="00B1662B">
      <w:pPr>
        <w:spacing w:line="480" w:lineRule="auto"/>
      </w:pPr>
      <w:r>
        <w:t xml:space="preserve">Firstly, we must assess Anglo-Saxon burial practices in comparison to others. Early Anglo-Saxon burials are </w:t>
      </w:r>
      <w:r w:rsidR="00EB5A71">
        <w:t>primarily</w:t>
      </w:r>
      <w:r>
        <w:t xml:space="preserve"> cremations, common in Northern Europe at the time, but extremely rare in pre-Anglo-Saxon Britain, therefore it is unlikely that this is a local burial practice</w:t>
      </w:r>
      <w:r w:rsidR="003678E5">
        <w:t>.</w:t>
      </w:r>
      <w:r w:rsidR="003678E5">
        <w:rPr>
          <w:rStyle w:val="FootnoteReference"/>
        </w:rPr>
        <w:footnoteReference w:id="17"/>
      </w:r>
      <w:r w:rsidR="003678E5">
        <w:t xml:space="preserve"> The inclusion of a vast array of grave goods in Anglo-Saxon graves also differs from the late Roman British graves, which rarely included grave goods at all.</w:t>
      </w:r>
      <w:r w:rsidR="003678E5">
        <w:rPr>
          <w:rStyle w:val="FootnoteReference"/>
        </w:rPr>
        <w:footnoteReference w:id="18"/>
      </w:r>
      <w:r w:rsidR="003678E5">
        <w:t xml:space="preserve"> However, Anglo-Saxon cremations generally took place away from the burial site, whereas</w:t>
      </w:r>
      <w:r w:rsidR="000C4CE9">
        <w:t xml:space="preserve"> continental cremations usually took place at the burial place.</w:t>
      </w:r>
      <w:r w:rsidR="000C4CE9">
        <w:rPr>
          <w:rStyle w:val="FootnoteReference"/>
        </w:rPr>
        <w:footnoteReference w:id="19"/>
      </w:r>
      <w:r w:rsidR="000C4CE9">
        <w:t xml:space="preserve"> This suggests that the practice of cremation and the inclusion of grave goods was imported from northern Europe, with the rituals being adapted to their new environment.</w:t>
      </w:r>
    </w:p>
    <w:p w14:paraId="745D0084" w14:textId="3B20BD3B" w:rsidR="00B91533" w:rsidRDefault="00EE36EC" w:rsidP="00B1662B">
      <w:pPr>
        <w:spacing w:line="480" w:lineRule="auto"/>
      </w:pPr>
      <w:r>
        <w:t>There are also some trends in the material evidence which must be discussed, the first of which is the styles of brooches and their relation to regional identity.</w:t>
      </w:r>
      <w:r w:rsidR="00E571E0">
        <w:t xml:space="preserve"> In ‘Anglian’ areas, annular, small-long, square-headed and cruciform brooches dominate, ‘Saxon’ areas mainly consist of disc, button, saucer and applied brooches and ‘Jutish’ areas had a mixture of </w:t>
      </w:r>
      <w:r w:rsidR="00E571E0">
        <w:lastRenderedPageBreak/>
        <w:t xml:space="preserve">various styles originating from Scandinavian, Gallo-Roman and Frankish material </w:t>
      </w:r>
      <w:r w:rsidR="00E571E0">
        <w:rPr>
          <w:rStyle w:val="FootnoteReference"/>
        </w:rPr>
        <w:footnoteReference w:id="20"/>
      </w:r>
      <w:r w:rsidR="00E571E0">
        <w:t xml:space="preserve"> The disc, annular and applied brooches all originate from Britain</w:t>
      </w:r>
      <w:r w:rsidR="00C858AB">
        <w:t>, which Fleming interprets as local influence.</w:t>
      </w:r>
      <w:r w:rsidR="00C858AB">
        <w:rPr>
          <w:rStyle w:val="FootnoteReference"/>
        </w:rPr>
        <w:footnoteReference w:id="21"/>
      </w:r>
      <w:r w:rsidR="00C858AB">
        <w:t xml:space="preserve"> However, Higham and Ryan point out that these styles did not appear until the late 5</w:t>
      </w:r>
      <w:r w:rsidR="00C858AB" w:rsidRPr="00C858AB">
        <w:rPr>
          <w:vertAlign w:val="superscript"/>
        </w:rPr>
        <w:t>th</w:t>
      </w:r>
      <w:r w:rsidR="00C858AB">
        <w:t xml:space="preserve"> century, suggesting they are not an example of continuity with Roman Britain.</w:t>
      </w:r>
      <w:r w:rsidR="00C858AB">
        <w:rPr>
          <w:rStyle w:val="FootnoteReference"/>
        </w:rPr>
        <w:footnoteReference w:id="22"/>
      </w:r>
      <w:r w:rsidR="00C858AB">
        <w:t xml:space="preserve"> This suggests that this style may have been a style originally created by the Anglo-Saxon peoples after their settlement of Britain, possibly to separate themselves from other settlers and ancestors, creating a new regional identity. These brooches therefore do suggest a strong northern Germanic influence on Anglo-Saxon material culture, </w:t>
      </w:r>
      <w:r w:rsidR="00B91533">
        <w:t xml:space="preserve">but eventually created its own styles, unique from </w:t>
      </w:r>
      <w:r w:rsidR="0018099B">
        <w:t>the people</w:t>
      </w:r>
      <w:r w:rsidR="001F208E">
        <w:t>s’</w:t>
      </w:r>
      <w:r w:rsidR="00B91533">
        <w:t xml:space="preserve"> implied origins.</w:t>
      </w:r>
    </w:p>
    <w:p w14:paraId="6105F3E1" w14:textId="0485F69C" w:rsidR="000C4CE9" w:rsidRDefault="00B91533" w:rsidP="00B1662B">
      <w:pPr>
        <w:spacing w:line="480" w:lineRule="auto"/>
      </w:pPr>
      <w:r>
        <w:t xml:space="preserve">An example of a site which is particularly useful when discussing brooches is </w:t>
      </w:r>
      <w:proofErr w:type="spellStart"/>
      <w:r>
        <w:t>Spong</w:t>
      </w:r>
      <w:proofErr w:type="spellEnd"/>
      <w:r>
        <w:t xml:space="preserve"> Hill in Norfolk, dating from the early Anglo-Saxon period. This site contains many artefacts which are clearly paralleled by artefacts from continental Europe, such as heavily bossed vessels comparing to examples from the Lower Elbe, miniature artefacts similar to those in Denmark and cruciform brooches deriving from Jutland, suggesting ongoing contact between the people of East Anglia and continental Europe</w:t>
      </w:r>
      <w:r w:rsidR="00535A5D">
        <w:t>, also that the community of East Anglia were able to choose material they wanted to adopt from multiple sources.</w:t>
      </w:r>
      <w:r>
        <w:rPr>
          <w:rStyle w:val="FootnoteReference"/>
        </w:rPr>
        <w:footnoteReference w:id="23"/>
      </w:r>
      <w:r w:rsidR="00C858AB">
        <w:t xml:space="preserve"> </w:t>
      </w:r>
      <w:r w:rsidR="00535A5D">
        <w:t>The diversity of the material culture from this site also suggests that the people in this area did not arrive through large scale migrations, instead arriving in smaller groups from multiple locations, rather than large enclaves.</w:t>
      </w:r>
      <w:r w:rsidR="00535A5D">
        <w:rPr>
          <w:rStyle w:val="FootnoteReference"/>
        </w:rPr>
        <w:footnoteReference w:id="24"/>
      </w:r>
      <w:r w:rsidR="000A1E70">
        <w:t xml:space="preserve"> It is also generally accepted that viewing these types of brooches as evidence of ethnic origin is unwise</w:t>
      </w:r>
      <w:r w:rsidR="00544438">
        <w:t xml:space="preserve"> at best</w:t>
      </w:r>
      <w:r w:rsidR="000A1E70">
        <w:t>.</w:t>
      </w:r>
      <w:r w:rsidR="000A1E70">
        <w:rPr>
          <w:rStyle w:val="FootnoteReference"/>
        </w:rPr>
        <w:footnoteReference w:id="25"/>
      </w:r>
      <w:r w:rsidR="00544438">
        <w:t xml:space="preserve"> However, though it may not conclusively prove </w:t>
      </w:r>
      <w:r w:rsidR="00544438">
        <w:lastRenderedPageBreak/>
        <w:t>that the people who adopted material culture from northern Europe are necessarily from such locations, they were certainly inspired by materials from said areas.</w:t>
      </w:r>
      <w:r w:rsidR="00544438">
        <w:rPr>
          <w:rStyle w:val="FootnoteReference"/>
        </w:rPr>
        <w:footnoteReference w:id="26"/>
      </w:r>
    </w:p>
    <w:p w14:paraId="1DF087C1" w14:textId="786358B2" w:rsidR="006946F3" w:rsidRDefault="00A17EC8" w:rsidP="00B1662B">
      <w:pPr>
        <w:spacing w:line="480" w:lineRule="auto"/>
        <w:rPr>
          <w:rFonts w:cs="Times New Roman"/>
        </w:rPr>
      </w:pPr>
      <w:r>
        <w:t>Another major example is the</w:t>
      </w:r>
      <w:r w:rsidR="007F54B7">
        <w:t xml:space="preserve"> royal</w:t>
      </w:r>
      <w:r>
        <w:t xml:space="preserve"> Sutton </w:t>
      </w:r>
      <w:proofErr w:type="spellStart"/>
      <w:r>
        <w:t>Hoo</w:t>
      </w:r>
      <w:proofErr w:type="spellEnd"/>
      <w:r>
        <w:t xml:space="preserve"> ship burial. Like </w:t>
      </w:r>
      <w:proofErr w:type="spellStart"/>
      <w:r>
        <w:t>Spong</w:t>
      </w:r>
      <w:proofErr w:type="spellEnd"/>
      <w:r>
        <w:t xml:space="preserve"> Hill, this site contains many items of Scandinavian origin, with the ship itself comparing to ship burials at </w:t>
      </w:r>
      <w:proofErr w:type="spellStart"/>
      <w:r>
        <w:t>Vendel</w:t>
      </w:r>
      <w:proofErr w:type="spellEnd"/>
      <w:r>
        <w:t xml:space="preserve"> and </w:t>
      </w:r>
      <w:proofErr w:type="spellStart"/>
      <w:r w:rsidRPr="009526E1">
        <w:rPr>
          <w:rFonts w:cs="Times New Roman"/>
        </w:rPr>
        <w:t>V</w:t>
      </w:r>
      <w:r w:rsidR="009526E1" w:rsidRPr="009526E1">
        <w:rPr>
          <w:rFonts w:cs="Times New Roman"/>
        </w:rPr>
        <w:t>alsgä</w:t>
      </w:r>
      <w:r w:rsidR="009526E1">
        <w:rPr>
          <w:rFonts w:cs="Times New Roman"/>
        </w:rPr>
        <w:t>rde</w:t>
      </w:r>
      <w:proofErr w:type="spellEnd"/>
      <w:r w:rsidR="009526E1">
        <w:rPr>
          <w:rFonts w:cs="Times New Roman"/>
        </w:rPr>
        <w:t xml:space="preserve"> in </w:t>
      </w:r>
      <w:proofErr w:type="spellStart"/>
      <w:r w:rsidR="009526E1">
        <w:rPr>
          <w:rFonts w:cs="Times New Roman"/>
        </w:rPr>
        <w:t>Uppland</w:t>
      </w:r>
      <w:proofErr w:type="spellEnd"/>
      <w:r w:rsidR="009526E1">
        <w:rPr>
          <w:rFonts w:cs="Times New Roman"/>
        </w:rPr>
        <w:t>, Sweden and the helmet also being similar to those found at said sites.</w:t>
      </w:r>
      <w:r w:rsidR="009526E1">
        <w:rPr>
          <w:rStyle w:val="FootnoteReference"/>
          <w:rFonts w:cs="Times New Roman"/>
        </w:rPr>
        <w:footnoteReference w:id="27"/>
      </w:r>
      <w:r w:rsidR="009526E1">
        <w:rPr>
          <w:rFonts w:cs="Times New Roman"/>
        </w:rPr>
        <w:t xml:space="preserve"> However, the site also contains Frankish coins, </w:t>
      </w:r>
      <w:r w:rsidR="00AD303D">
        <w:rPr>
          <w:rFonts w:cs="Times New Roman"/>
        </w:rPr>
        <w:t xml:space="preserve">Byzantine silver bowls, textiles from the Middle-East, Coptic bowls from Egypt and bronze hanging bowls in the Celtic </w:t>
      </w:r>
      <w:r w:rsidR="00AD303D">
        <w:rPr>
          <w:rFonts w:cs="Times New Roman"/>
          <w:i/>
        </w:rPr>
        <w:t xml:space="preserve">La </w:t>
      </w:r>
      <w:proofErr w:type="spellStart"/>
      <w:r w:rsidR="00AD303D">
        <w:rPr>
          <w:rFonts w:cs="Times New Roman"/>
          <w:i/>
        </w:rPr>
        <w:t>Téne</w:t>
      </w:r>
      <w:proofErr w:type="spellEnd"/>
      <w:r w:rsidR="00AD303D">
        <w:rPr>
          <w:rFonts w:cs="Times New Roman"/>
          <w:i/>
        </w:rPr>
        <w:t xml:space="preserve"> </w:t>
      </w:r>
      <w:r w:rsidR="00AD303D">
        <w:rPr>
          <w:rFonts w:cs="Times New Roman"/>
        </w:rPr>
        <w:t>style, common in Britain in the pre-Roman era.</w:t>
      </w:r>
      <w:r w:rsidR="00AD303D">
        <w:rPr>
          <w:rStyle w:val="FootnoteReference"/>
          <w:rFonts w:cs="Times New Roman"/>
        </w:rPr>
        <w:footnoteReference w:id="28"/>
      </w:r>
      <w:r w:rsidR="00AD303D">
        <w:rPr>
          <w:rFonts w:cs="Times New Roman"/>
        </w:rPr>
        <w:t xml:space="preserve"> The composition of this site would suggest that the individual in question shared a common Germanic culture with the sites in Sweden, as the Germanic artefacts make up the largest portion of the finds. The items from other</w:t>
      </w:r>
      <w:r w:rsidR="007F54B7">
        <w:rPr>
          <w:rFonts w:cs="Times New Roman"/>
        </w:rPr>
        <w:t xml:space="preserve"> areas are likely status items, to show the wealth of the royal figure buried within and, by extension, the wealth and far reaching influence of his kingdom.</w:t>
      </w:r>
      <w:r w:rsidR="00583DC3">
        <w:rPr>
          <w:rFonts w:cs="Times New Roman"/>
        </w:rPr>
        <w:t xml:space="preserve"> There is also a possibility that these items could be part of tribute payments from peoples with whom this king had diplomatic relations.</w:t>
      </w:r>
      <w:r w:rsidR="007F54B7">
        <w:rPr>
          <w:rFonts w:cs="Times New Roman"/>
        </w:rPr>
        <w:t xml:space="preserve"> Overall, the Sutton </w:t>
      </w:r>
      <w:proofErr w:type="spellStart"/>
      <w:r w:rsidR="007F54B7">
        <w:rPr>
          <w:rFonts w:cs="Times New Roman"/>
        </w:rPr>
        <w:t>Hoo</w:t>
      </w:r>
      <w:proofErr w:type="spellEnd"/>
      <w:r w:rsidR="007F54B7">
        <w:rPr>
          <w:rFonts w:cs="Times New Roman"/>
        </w:rPr>
        <w:t xml:space="preserve"> </w:t>
      </w:r>
      <w:r w:rsidR="002B5B2E">
        <w:rPr>
          <w:rFonts w:cs="Times New Roman"/>
        </w:rPr>
        <w:t xml:space="preserve">burial shows a </w:t>
      </w:r>
      <w:r w:rsidR="00583DC3">
        <w:rPr>
          <w:rFonts w:cs="Times New Roman"/>
        </w:rPr>
        <w:t>people with cultural links to Scandinavia, while also having contact with the nearby Frankish people and far reaching economic and/ or political power.</w:t>
      </w:r>
    </w:p>
    <w:p w14:paraId="164E9A61" w14:textId="73DBF15E" w:rsidR="00583DC3" w:rsidRDefault="00583DC3" w:rsidP="00B1662B">
      <w:pPr>
        <w:spacing w:line="480" w:lineRule="auto"/>
        <w:rPr>
          <w:rFonts w:cs="Times New Roman"/>
        </w:rPr>
      </w:pPr>
      <w:r>
        <w:rPr>
          <w:rFonts w:cs="Times New Roman"/>
        </w:rPr>
        <w:t>Generally, the material evidence of the Anglo-Saxon period appears to mostly confirm the literary</w:t>
      </w:r>
      <w:r w:rsidR="00D26AB9">
        <w:rPr>
          <w:rFonts w:cs="Times New Roman"/>
        </w:rPr>
        <w:t xml:space="preserve"> evidence, in that the Anglo-Saxon material culture seems to primarily match with the locations given as their origins. However, as previously mentioned it is not appropriate to assume that similarities between Anglo-Saxon and Scandinavian peoples means the Anglo-Saxons came from Scandinavia. Another obvious example of a dramatic change in material culture that did not derive from massive demographic change is the Roman conquests of the </w:t>
      </w:r>
      <w:r w:rsidR="00D26AB9">
        <w:rPr>
          <w:rFonts w:cs="Times New Roman"/>
        </w:rPr>
        <w:lastRenderedPageBreak/>
        <w:t>provinces</w:t>
      </w:r>
      <w:r w:rsidR="001C07C4">
        <w:rPr>
          <w:rFonts w:cs="Times New Roman"/>
        </w:rPr>
        <w:t xml:space="preserve"> in cities such as</w:t>
      </w:r>
      <w:r w:rsidR="00347F78">
        <w:rPr>
          <w:rFonts w:cs="Times New Roman"/>
        </w:rPr>
        <w:t xml:space="preserve"> </w:t>
      </w:r>
      <w:proofErr w:type="spellStart"/>
      <w:r w:rsidR="00347F78">
        <w:rPr>
          <w:rFonts w:cs="Times New Roman"/>
          <w:i/>
        </w:rPr>
        <w:t>Nemausus</w:t>
      </w:r>
      <w:proofErr w:type="spellEnd"/>
      <w:r w:rsidR="00347F78">
        <w:rPr>
          <w:rFonts w:cs="Times New Roman"/>
        </w:rPr>
        <w:t>/</w:t>
      </w:r>
      <w:r w:rsidR="001C07C4">
        <w:rPr>
          <w:rFonts w:cs="Times New Roman"/>
        </w:rPr>
        <w:t xml:space="preserve"> </w:t>
      </w:r>
      <w:proofErr w:type="spellStart"/>
      <w:r w:rsidR="001C07C4">
        <w:rPr>
          <w:rFonts w:cs="Times New Roman"/>
        </w:rPr>
        <w:t>Nȋmes</w:t>
      </w:r>
      <w:proofErr w:type="spellEnd"/>
      <w:r w:rsidR="001C07C4">
        <w:rPr>
          <w:rFonts w:cs="Times New Roman"/>
        </w:rPr>
        <w:t>, which adopted Roman style architecture, Latin inscriptions and cultural practices, without significant migration from Italy. Similarly, a dramatic change in material culture in Britain to a culture resembling northern Europe does not mean the replacement of people in Britain with people from northern Europe; the number of natives may well have outnumbered migrants significantly</w:t>
      </w:r>
      <w:r w:rsidR="00B37A80">
        <w:rPr>
          <w:rFonts w:cs="Times New Roman"/>
        </w:rPr>
        <w:t>.</w:t>
      </w:r>
      <w:r w:rsidR="00B37A80">
        <w:rPr>
          <w:rStyle w:val="FootnoteReference"/>
          <w:rFonts w:cs="Times New Roman"/>
        </w:rPr>
        <w:footnoteReference w:id="29"/>
      </w:r>
      <w:r w:rsidR="000D6BD2">
        <w:rPr>
          <w:rFonts w:cs="Times New Roman"/>
        </w:rPr>
        <w:t xml:space="preserve"> Overall, although the material evidence does appear to support the idea of the origin of the Anglo-Saxons being from northern Europe, we must consider additional evidence to attempt to prove this either way.</w:t>
      </w:r>
    </w:p>
    <w:p w14:paraId="6D25DF2C" w14:textId="17DEC498" w:rsidR="00A1006D" w:rsidRDefault="00885289" w:rsidP="00B1662B">
      <w:pPr>
        <w:spacing w:line="480" w:lineRule="auto"/>
        <w:rPr>
          <w:rFonts w:cs="Times New Roman"/>
        </w:rPr>
      </w:pPr>
      <w:r>
        <w:rPr>
          <w:rFonts w:cs="Times New Roman"/>
        </w:rPr>
        <w:t>Another form of evidence which can be used is the change of language from British Celtic and Latin to Old English. It is generally accepted that English has very little Celtic influence due to the lack of loanwords</w:t>
      </w:r>
      <w:r w:rsidR="000C6FBC">
        <w:rPr>
          <w:rFonts w:cs="Times New Roman"/>
        </w:rPr>
        <w:t xml:space="preserve"> and accent that does not resemble Celtic languages in any way</w:t>
      </w:r>
      <w:r>
        <w:rPr>
          <w:rFonts w:cs="Times New Roman"/>
        </w:rPr>
        <w:t>.</w:t>
      </w:r>
      <w:r>
        <w:rPr>
          <w:rStyle w:val="FootnoteReference"/>
          <w:rFonts w:cs="Times New Roman"/>
        </w:rPr>
        <w:footnoteReference w:id="30"/>
      </w:r>
      <w:r>
        <w:rPr>
          <w:rFonts w:cs="Times New Roman"/>
        </w:rPr>
        <w:t xml:space="preserve"> Trist</w:t>
      </w:r>
      <w:r w:rsidR="00C113BC">
        <w:rPr>
          <w:rFonts w:cs="Times New Roman"/>
        </w:rPr>
        <w:t>r</w:t>
      </w:r>
      <w:r>
        <w:rPr>
          <w:rFonts w:cs="Times New Roman"/>
        </w:rPr>
        <w:t>am however, argues that English was affected grammatically, pointing out the differences in word order between English and other Germanic languages, such as Dutch and German.</w:t>
      </w:r>
      <w:r>
        <w:rPr>
          <w:rStyle w:val="FootnoteReference"/>
          <w:rFonts w:cs="Times New Roman"/>
        </w:rPr>
        <w:footnoteReference w:id="31"/>
      </w:r>
      <w:r w:rsidR="000C6FBC">
        <w:rPr>
          <w:rFonts w:cs="Times New Roman"/>
        </w:rPr>
        <w:t xml:space="preserve"> </w:t>
      </w:r>
      <w:proofErr w:type="spellStart"/>
      <w:r w:rsidR="000C6FBC">
        <w:rPr>
          <w:rFonts w:cs="Times New Roman"/>
        </w:rPr>
        <w:t>Tristam</w:t>
      </w:r>
      <w:proofErr w:type="spellEnd"/>
      <w:r w:rsidR="000C6FBC">
        <w:rPr>
          <w:rFonts w:cs="Times New Roman"/>
        </w:rPr>
        <w:t xml:space="preserve"> offers multiple explanations for this: English being spoken by elites and British by the lower classes, giving English more prestige, leading to speakers of English suppressing the British language and locals adopting English to partake in said prestige, and the possibility of people being bilingual and that leading to the lack of loanword transfer.</w:t>
      </w:r>
      <w:r w:rsidR="000C6FBC">
        <w:rPr>
          <w:rStyle w:val="FootnoteReference"/>
          <w:rFonts w:cs="Times New Roman"/>
        </w:rPr>
        <w:footnoteReference w:id="32"/>
      </w:r>
      <w:r w:rsidR="000C6FBC">
        <w:rPr>
          <w:rFonts w:cs="Times New Roman"/>
        </w:rPr>
        <w:t xml:space="preserve"> This idea of the lack of Celtic loanwords being the result of English’s status as a prestige language for elites is also backed by Higham and Ryan, drawing a comparison with the adoption of Latin in Gaul under Roman control.</w:t>
      </w:r>
      <w:r w:rsidR="000C6FBC">
        <w:rPr>
          <w:rStyle w:val="FootnoteReference"/>
          <w:rFonts w:cs="Times New Roman"/>
        </w:rPr>
        <w:footnoteReference w:id="33"/>
      </w:r>
      <w:r w:rsidR="000C6FBC">
        <w:rPr>
          <w:rFonts w:cs="Times New Roman"/>
        </w:rPr>
        <w:t xml:space="preserve"> </w:t>
      </w:r>
      <w:r w:rsidR="00F74442">
        <w:rPr>
          <w:rFonts w:cs="Times New Roman"/>
        </w:rPr>
        <w:t>A</w:t>
      </w:r>
      <w:r w:rsidR="007F26D1">
        <w:rPr>
          <w:rFonts w:cs="Times New Roman"/>
        </w:rPr>
        <w:t xml:space="preserve"> possible</w:t>
      </w:r>
      <w:r w:rsidR="00F74442">
        <w:rPr>
          <w:rFonts w:cs="Times New Roman"/>
        </w:rPr>
        <w:t xml:space="preserve"> contradictory example is English after the Norman conquest, which contains many French loanwords, but remains a </w:t>
      </w:r>
      <w:r w:rsidR="00F74442">
        <w:rPr>
          <w:rFonts w:cs="Times New Roman"/>
        </w:rPr>
        <w:lastRenderedPageBreak/>
        <w:t>separate language</w:t>
      </w:r>
      <w:r w:rsidR="00A1006D">
        <w:rPr>
          <w:rFonts w:cs="Times New Roman"/>
        </w:rPr>
        <w:t xml:space="preserve">, rather than being </w:t>
      </w:r>
      <w:r w:rsidR="007B1622">
        <w:rPr>
          <w:rFonts w:cs="Times New Roman"/>
        </w:rPr>
        <w:t>replaced</w:t>
      </w:r>
      <w:r w:rsidR="00A1006D">
        <w:rPr>
          <w:rFonts w:cs="Times New Roman"/>
        </w:rPr>
        <w:t>. Therefore, linguistic evidence alone does not prove Anglo-Saxon culture and language to be of elite status, due to the existence of just as many examples contradicting this evidence as there is supporting it.</w:t>
      </w:r>
    </w:p>
    <w:p w14:paraId="115C444F" w14:textId="0A2A4311" w:rsidR="00885289" w:rsidRDefault="00A1006D" w:rsidP="00B1662B">
      <w:pPr>
        <w:spacing w:line="480" w:lineRule="auto"/>
        <w:rPr>
          <w:rFonts w:cs="Times New Roman"/>
        </w:rPr>
      </w:pPr>
      <w:r>
        <w:rPr>
          <w:rFonts w:cs="Times New Roman"/>
        </w:rPr>
        <w:t xml:space="preserve">Another form of linguistic evidence which can prove useful however, is place names. </w:t>
      </w:r>
      <w:r w:rsidR="00CD0FE1">
        <w:rPr>
          <w:rFonts w:cs="Times New Roman"/>
        </w:rPr>
        <w:t>Most</w:t>
      </w:r>
      <w:r>
        <w:rPr>
          <w:rFonts w:cs="Times New Roman"/>
        </w:rPr>
        <w:t xml:space="preserve"> pre-Old English place names in British consisted of Latinised Celtic names, such as </w:t>
      </w:r>
      <w:proofErr w:type="spellStart"/>
      <w:r w:rsidRPr="00E40235">
        <w:rPr>
          <w:rFonts w:cs="Times New Roman"/>
          <w:i/>
        </w:rPr>
        <w:t>Camulodunum</w:t>
      </w:r>
      <w:proofErr w:type="spellEnd"/>
      <w:r w:rsidRPr="00E40235">
        <w:rPr>
          <w:rFonts w:cs="Times New Roman"/>
          <w:i/>
        </w:rPr>
        <w:t xml:space="preserve">/ </w:t>
      </w:r>
      <w:proofErr w:type="spellStart"/>
      <w:r w:rsidRPr="00E40235">
        <w:rPr>
          <w:rFonts w:cs="Times New Roman"/>
          <w:i/>
        </w:rPr>
        <w:t>Camulodunon</w:t>
      </w:r>
      <w:proofErr w:type="spellEnd"/>
      <w:r>
        <w:rPr>
          <w:rFonts w:cs="Times New Roman"/>
        </w:rPr>
        <w:t xml:space="preserve"> (Colchester) or </w:t>
      </w:r>
      <w:proofErr w:type="spellStart"/>
      <w:r w:rsidRPr="00E40235">
        <w:rPr>
          <w:rFonts w:cs="Times New Roman"/>
          <w:i/>
        </w:rPr>
        <w:t>Veralamium</w:t>
      </w:r>
      <w:proofErr w:type="spellEnd"/>
      <w:r w:rsidRPr="00E40235">
        <w:rPr>
          <w:rFonts w:cs="Times New Roman"/>
          <w:i/>
        </w:rPr>
        <w:t xml:space="preserve">/ </w:t>
      </w:r>
      <w:proofErr w:type="spellStart"/>
      <w:r w:rsidRPr="00E40235">
        <w:rPr>
          <w:rFonts w:cs="Times New Roman"/>
          <w:i/>
        </w:rPr>
        <w:t>Veralamion</w:t>
      </w:r>
      <w:proofErr w:type="spellEnd"/>
      <w:r>
        <w:rPr>
          <w:rFonts w:cs="Times New Roman"/>
        </w:rPr>
        <w:t xml:space="preserve"> (St Albans)</w:t>
      </w:r>
      <w:r w:rsidR="00834812">
        <w:rPr>
          <w:rFonts w:cs="Times New Roman"/>
        </w:rPr>
        <w:t>. Outside of Cornwall few place names today originate from before Old English.</w:t>
      </w:r>
      <w:r w:rsidR="00834812">
        <w:rPr>
          <w:rStyle w:val="FootnoteReference"/>
          <w:rFonts w:cs="Times New Roman"/>
        </w:rPr>
        <w:footnoteReference w:id="34"/>
      </w:r>
      <w:r w:rsidR="00834812">
        <w:rPr>
          <w:rFonts w:cs="Times New Roman"/>
        </w:rPr>
        <w:t xml:space="preserve"> </w:t>
      </w:r>
      <w:r w:rsidR="00B24D19">
        <w:rPr>
          <w:rFonts w:cs="Times New Roman"/>
        </w:rPr>
        <w:t>Nonetheless</w:t>
      </w:r>
      <w:r w:rsidR="00834812">
        <w:rPr>
          <w:rFonts w:cs="Times New Roman"/>
        </w:rPr>
        <w:t>, it is difficult to establish a chronology for these names, which could have been changed centuries after the initial Anglo-Saxon settlements were founded.</w:t>
      </w:r>
      <w:r w:rsidR="00834812">
        <w:rPr>
          <w:rStyle w:val="FootnoteReference"/>
          <w:rFonts w:cs="Times New Roman"/>
        </w:rPr>
        <w:footnoteReference w:id="35"/>
      </w:r>
      <w:r w:rsidR="00834812">
        <w:rPr>
          <w:rFonts w:cs="Times New Roman"/>
        </w:rPr>
        <w:t xml:space="preserve"> Another problem is that most places in Wales also did not retain their Roman era names</w:t>
      </w:r>
      <w:r w:rsidR="00D20CC3">
        <w:rPr>
          <w:rFonts w:cs="Times New Roman"/>
        </w:rPr>
        <w:t>, meaning name loss was equally present among the Romano-British as it was among the Anglo-Saxons.</w:t>
      </w:r>
      <w:r w:rsidR="00D20CC3">
        <w:rPr>
          <w:rStyle w:val="FootnoteReference"/>
          <w:rFonts w:cs="Times New Roman"/>
        </w:rPr>
        <w:footnoteReference w:id="36"/>
      </w:r>
      <w:r w:rsidR="00834812">
        <w:rPr>
          <w:rFonts w:cs="Times New Roman"/>
        </w:rPr>
        <w:t xml:space="preserve"> </w:t>
      </w:r>
      <w:r w:rsidR="00D20CC3">
        <w:rPr>
          <w:rFonts w:cs="Times New Roman"/>
        </w:rPr>
        <w:t xml:space="preserve">There is also a presence of British names, particularly in the south-east coast, such </w:t>
      </w:r>
      <w:r w:rsidR="000F2279">
        <w:rPr>
          <w:rFonts w:cs="Times New Roman"/>
        </w:rPr>
        <w:t>Canterbury and Dover, among others.</w:t>
      </w:r>
      <w:r w:rsidR="000F2279">
        <w:rPr>
          <w:rStyle w:val="FootnoteReference"/>
          <w:rFonts w:cs="Times New Roman"/>
        </w:rPr>
        <w:footnoteReference w:id="37"/>
      </w:r>
      <w:r w:rsidR="000F2279">
        <w:rPr>
          <w:rFonts w:cs="Times New Roman"/>
        </w:rPr>
        <w:t xml:space="preserve"> There are also some names such as Portsmouth, which derive from Latin, and some Celtic-English compound names, such as </w:t>
      </w:r>
      <w:proofErr w:type="spellStart"/>
      <w:r w:rsidR="000F2279">
        <w:rPr>
          <w:rFonts w:cs="Times New Roman"/>
        </w:rPr>
        <w:t>Doverdale</w:t>
      </w:r>
      <w:proofErr w:type="spellEnd"/>
      <w:r w:rsidR="000F2279">
        <w:rPr>
          <w:rFonts w:cs="Times New Roman"/>
        </w:rPr>
        <w:t xml:space="preserve"> and </w:t>
      </w:r>
      <w:proofErr w:type="spellStart"/>
      <w:r w:rsidR="000F2279">
        <w:rPr>
          <w:rFonts w:cs="Times New Roman"/>
        </w:rPr>
        <w:t>Breedon</w:t>
      </w:r>
      <w:proofErr w:type="spellEnd"/>
      <w:r w:rsidR="000F2279">
        <w:rPr>
          <w:rFonts w:cs="Times New Roman"/>
        </w:rPr>
        <w:t>, suggesting some interaction between the Anglo-Saxons and the native British settlements, although these examples are rare.</w:t>
      </w:r>
      <w:r w:rsidR="000F2279">
        <w:rPr>
          <w:rStyle w:val="FootnoteReference"/>
          <w:rFonts w:cs="Times New Roman"/>
        </w:rPr>
        <w:footnoteReference w:id="38"/>
      </w:r>
      <w:r w:rsidR="000F2279">
        <w:rPr>
          <w:rFonts w:cs="Times New Roman"/>
        </w:rPr>
        <w:t xml:space="preserve"> It is also interesting that most of these examples of Celtic and Latin derived place names are located in the east, where the earliest Anglo-Saxon settlements were located. The place names with the earliest form of English </w:t>
      </w:r>
      <w:r w:rsidR="00E40235">
        <w:rPr>
          <w:rFonts w:cs="Times New Roman"/>
        </w:rPr>
        <w:t xml:space="preserve">still in use in the names today, such as Hastings, from </w:t>
      </w:r>
      <w:proofErr w:type="spellStart"/>
      <w:r w:rsidR="00E40235">
        <w:rPr>
          <w:rFonts w:cs="Times New Roman"/>
          <w:i/>
        </w:rPr>
        <w:t>Hæstingas</w:t>
      </w:r>
      <w:proofErr w:type="spellEnd"/>
      <w:r w:rsidR="00E40235">
        <w:rPr>
          <w:rFonts w:cs="Times New Roman"/>
        </w:rPr>
        <w:t xml:space="preserve"> are located, with the correlation between the two </w:t>
      </w:r>
      <w:r w:rsidR="00E942C5">
        <w:rPr>
          <w:rFonts w:cs="Times New Roman"/>
        </w:rPr>
        <w:t>possibly being another indication of an early peaceful co-existence.</w:t>
      </w:r>
      <w:r w:rsidR="00E942C5">
        <w:rPr>
          <w:rStyle w:val="FootnoteReference"/>
          <w:rFonts w:cs="Times New Roman"/>
        </w:rPr>
        <w:footnoteReference w:id="39"/>
      </w:r>
      <w:r w:rsidR="00E942C5">
        <w:rPr>
          <w:rFonts w:cs="Times New Roman"/>
        </w:rPr>
        <w:t xml:space="preserve"> It has also been noted by Laycock that the earliest Anglo-Saxon settlements are in areas under the jurisdiction of the </w:t>
      </w:r>
      <w:proofErr w:type="spellStart"/>
      <w:r w:rsidR="00E942C5" w:rsidRPr="00E942C5">
        <w:rPr>
          <w:rFonts w:cs="Times New Roman"/>
          <w:i/>
        </w:rPr>
        <w:lastRenderedPageBreak/>
        <w:t>catuvellauni</w:t>
      </w:r>
      <w:proofErr w:type="spellEnd"/>
      <w:r w:rsidR="00E942C5">
        <w:rPr>
          <w:rFonts w:cs="Times New Roman"/>
        </w:rPr>
        <w:t xml:space="preserve"> people in the Thames Valley, possibly being an indication that they were invited by said people.</w:t>
      </w:r>
      <w:r w:rsidR="00E942C5">
        <w:rPr>
          <w:rStyle w:val="FootnoteReference"/>
          <w:rFonts w:cs="Times New Roman"/>
        </w:rPr>
        <w:footnoteReference w:id="40"/>
      </w:r>
      <w:r w:rsidR="00E942C5">
        <w:rPr>
          <w:rFonts w:cs="Times New Roman"/>
        </w:rPr>
        <w:t xml:space="preserve"> It is also notable that </w:t>
      </w:r>
      <w:proofErr w:type="spellStart"/>
      <w:r w:rsidR="00E942C5">
        <w:rPr>
          <w:rFonts w:cs="Times New Roman"/>
        </w:rPr>
        <w:t>Gildas</w:t>
      </w:r>
      <w:proofErr w:type="spellEnd"/>
      <w:r w:rsidR="00E942C5">
        <w:rPr>
          <w:rFonts w:cs="Times New Roman"/>
        </w:rPr>
        <w:t xml:space="preserve"> fails to mention any of these settlements in his account of the time, possibly because of lack of knowledge about them, or because it runs counter to his narrative, as the Anglo-Saxons in this area did not appear to rebel until the Battle of </w:t>
      </w:r>
      <w:proofErr w:type="spellStart"/>
      <w:r w:rsidR="00E942C5" w:rsidRPr="00890BDF">
        <w:rPr>
          <w:rFonts w:cs="Times New Roman"/>
          <w:i/>
        </w:rPr>
        <w:t>Bedcanford</w:t>
      </w:r>
      <w:proofErr w:type="spellEnd"/>
      <w:r w:rsidR="00E942C5">
        <w:rPr>
          <w:rFonts w:cs="Times New Roman"/>
        </w:rPr>
        <w:t xml:space="preserve">/ Bedford, in 571, according to the </w:t>
      </w:r>
      <w:r w:rsidR="00E942C5">
        <w:rPr>
          <w:rFonts w:cs="Times New Roman"/>
          <w:i/>
        </w:rPr>
        <w:t>Anglo-Saxon Chronicle.</w:t>
      </w:r>
      <w:r w:rsidR="00E942C5">
        <w:rPr>
          <w:rStyle w:val="FootnoteReference"/>
          <w:rFonts w:cs="Times New Roman"/>
          <w:i/>
        </w:rPr>
        <w:footnoteReference w:id="41"/>
      </w:r>
      <w:r w:rsidR="00E942C5">
        <w:rPr>
          <w:rFonts w:cs="Times New Roman"/>
          <w:i/>
        </w:rPr>
        <w:t xml:space="preserve"> </w:t>
      </w:r>
      <w:r w:rsidR="00890BDF">
        <w:rPr>
          <w:rFonts w:cs="Times New Roman"/>
        </w:rPr>
        <w:t>The 5</w:t>
      </w:r>
      <w:r w:rsidR="00890BDF" w:rsidRPr="00890BDF">
        <w:rPr>
          <w:rFonts w:cs="Times New Roman"/>
          <w:vertAlign w:val="superscript"/>
        </w:rPr>
        <w:t>th</w:t>
      </w:r>
      <w:r w:rsidR="00890BDF">
        <w:rPr>
          <w:rFonts w:cs="Times New Roman"/>
        </w:rPr>
        <w:t xml:space="preserve"> and 6</w:t>
      </w:r>
      <w:r w:rsidR="00890BDF" w:rsidRPr="00890BDF">
        <w:rPr>
          <w:rFonts w:cs="Times New Roman"/>
          <w:vertAlign w:val="superscript"/>
        </w:rPr>
        <w:t>th</w:t>
      </w:r>
      <w:r w:rsidR="00890BDF">
        <w:rPr>
          <w:rFonts w:cs="Times New Roman"/>
        </w:rPr>
        <w:t xml:space="preserve"> century cemetery at Kempston, Bedfordshire also shows signs of interaction, due to the existence of both Romano-British and Anglo-Saxon burials at the site.</w:t>
      </w:r>
      <w:r w:rsidR="00890BDF">
        <w:rPr>
          <w:rStyle w:val="FootnoteReference"/>
          <w:rFonts w:cs="Times New Roman"/>
        </w:rPr>
        <w:footnoteReference w:id="42"/>
      </w:r>
      <w:r w:rsidR="00890BDF">
        <w:rPr>
          <w:rFonts w:cs="Times New Roman"/>
        </w:rPr>
        <w:t xml:space="preserve"> Blair also notes that the early Anglo-Saxon names in this area are very rare, with the explanation being the exposure to attack from the Romano-British and rival Anglo-Saxon groups around the Icknield Way.</w:t>
      </w:r>
      <w:r w:rsidR="00890BDF">
        <w:rPr>
          <w:rStyle w:val="FootnoteReference"/>
          <w:rFonts w:cs="Times New Roman"/>
        </w:rPr>
        <w:footnoteReference w:id="43"/>
      </w:r>
    </w:p>
    <w:p w14:paraId="5495C721" w14:textId="513EF987" w:rsidR="000214E9" w:rsidRDefault="00890BDF" w:rsidP="00B1662B">
      <w:pPr>
        <w:spacing w:line="480" w:lineRule="auto"/>
        <w:rPr>
          <w:rFonts w:cs="Times New Roman"/>
        </w:rPr>
      </w:pPr>
      <w:r>
        <w:rPr>
          <w:rFonts w:cs="Times New Roman"/>
        </w:rPr>
        <w:t>The origin of the place names is also a matter of debate. Fleming suggests that place names derived primarily from marking land ownership, implying that they developed 300 years after the initial settlement</w:t>
      </w:r>
      <w:r w:rsidR="00C6331A">
        <w:rPr>
          <w:rFonts w:cs="Times New Roman"/>
        </w:rPr>
        <w:t>.</w:t>
      </w:r>
      <w:r w:rsidR="00C6331A">
        <w:rPr>
          <w:rStyle w:val="FootnoteReference"/>
          <w:rFonts w:cs="Times New Roman"/>
        </w:rPr>
        <w:footnoteReference w:id="44"/>
      </w:r>
      <w:r w:rsidR="00C6331A">
        <w:rPr>
          <w:rFonts w:cs="Times New Roman"/>
        </w:rPr>
        <w:t xml:space="preserve"> Blair, on the other hand, points out that the earliest known place names, such as the previously mentioned </w:t>
      </w:r>
      <w:proofErr w:type="spellStart"/>
      <w:r w:rsidR="00C6331A">
        <w:rPr>
          <w:rFonts w:cs="Times New Roman"/>
          <w:i/>
        </w:rPr>
        <w:t>Hæstingas</w:t>
      </w:r>
      <w:proofErr w:type="spellEnd"/>
      <w:r w:rsidR="00C6331A">
        <w:rPr>
          <w:rFonts w:cs="Times New Roman"/>
        </w:rPr>
        <w:t xml:space="preserve">, which specifically translates to ‘followers of </w:t>
      </w:r>
      <w:proofErr w:type="spellStart"/>
      <w:r w:rsidR="00C6331A">
        <w:rPr>
          <w:rFonts w:cs="Times New Roman"/>
        </w:rPr>
        <w:t>Hæsta</w:t>
      </w:r>
      <w:proofErr w:type="spellEnd"/>
      <w:r w:rsidR="00C6331A">
        <w:rPr>
          <w:rFonts w:cs="Times New Roman"/>
        </w:rPr>
        <w:t>’ could be the names of a people inhabiting an area, rather than a mark of land ownership by an individual.</w:t>
      </w:r>
      <w:r w:rsidR="00C6331A">
        <w:rPr>
          <w:rStyle w:val="FootnoteReference"/>
          <w:rFonts w:cs="Times New Roman"/>
        </w:rPr>
        <w:footnoteReference w:id="45"/>
      </w:r>
      <w:r w:rsidR="00C6331A">
        <w:rPr>
          <w:rFonts w:cs="Times New Roman"/>
        </w:rPr>
        <w:t xml:space="preserve"> On the whole, the change in place names do give the impression that Anglo-Saxon settlements were new and separate from the previous settlements, suggesting influence, migrations or invasions from overseas.</w:t>
      </w:r>
      <w:r w:rsidR="00C6331A">
        <w:rPr>
          <w:rStyle w:val="FootnoteReference"/>
          <w:rFonts w:cs="Times New Roman"/>
        </w:rPr>
        <w:footnoteReference w:id="46"/>
      </w:r>
      <w:r w:rsidR="00C6331A">
        <w:rPr>
          <w:rFonts w:cs="Times New Roman"/>
        </w:rPr>
        <w:t xml:space="preserve"> The existence of Celtic, Latin and hybrid place names are indications of an initial peaceful co-existence in the east during the early Anglo-Saxon period, with later expansions potentially being less </w:t>
      </w:r>
      <w:r w:rsidR="00C6331A">
        <w:rPr>
          <w:rFonts w:cs="Times New Roman"/>
        </w:rPr>
        <w:lastRenderedPageBreak/>
        <w:t xml:space="preserve">peaceful, as hinted at in the </w:t>
      </w:r>
      <w:r w:rsidR="00C6331A">
        <w:rPr>
          <w:rFonts w:cs="Times New Roman"/>
          <w:i/>
        </w:rPr>
        <w:t>Anglo-Chronicle</w:t>
      </w:r>
      <w:r w:rsidR="00C6331A">
        <w:rPr>
          <w:rFonts w:cs="Times New Roman"/>
        </w:rPr>
        <w:t xml:space="preserve">. However, as with other evidence, this is merely speculative, and requires </w:t>
      </w:r>
      <w:r w:rsidR="00177370">
        <w:rPr>
          <w:rFonts w:cs="Times New Roman"/>
        </w:rPr>
        <w:t xml:space="preserve">more scientific evidence to </w:t>
      </w:r>
      <w:r w:rsidR="0036534D">
        <w:rPr>
          <w:rFonts w:cs="Times New Roman"/>
        </w:rPr>
        <w:t>back up.</w:t>
      </w:r>
      <w:r w:rsidR="00177370">
        <w:rPr>
          <w:rFonts w:cs="Times New Roman"/>
        </w:rPr>
        <w:t xml:space="preserve"> </w:t>
      </w:r>
    </w:p>
    <w:p w14:paraId="77F792A5" w14:textId="73AC9C2F" w:rsidR="00FD34F0" w:rsidRDefault="00FD34F0" w:rsidP="00B1662B">
      <w:pPr>
        <w:spacing w:line="480" w:lineRule="auto"/>
        <w:rPr>
          <w:rFonts w:cs="Times New Roman"/>
        </w:rPr>
      </w:pPr>
      <w:r>
        <w:rPr>
          <w:rFonts w:cs="Times New Roman"/>
        </w:rPr>
        <w:t>The first of these methods is isotope analysis, which is used to determine an individual’s location of birth. The examples I will be focussing on are two studies from Hughes et. al. in 2014 and 201</w:t>
      </w:r>
      <w:r w:rsidR="00512CF3">
        <w:rPr>
          <w:rFonts w:cs="Times New Roman"/>
        </w:rPr>
        <w:t>8</w:t>
      </w:r>
      <w:r w:rsidR="007D4281">
        <w:rPr>
          <w:rFonts w:cs="Times New Roman"/>
        </w:rPr>
        <w:t xml:space="preserve">, </w:t>
      </w:r>
      <w:r w:rsidR="002A4D96">
        <w:rPr>
          <w:rFonts w:cs="Times New Roman"/>
        </w:rPr>
        <w:t>both</w:t>
      </w:r>
      <w:r w:rsidR="007D4281">
        <w:rPr>
          <w:rFonts w:cs="Times New Roman"/>
        </w:rPr>
        <w:t xml:space="preserve"> with samples of 19 individuals from between the years 450-600</w:t>
      </w:r>
      <w:r>
        <w:rPr>
          <w:rFonts w:cs="Times New Roman"/>
        </w:rPr>
        <w:t>.</w:t>
      </w:r>
      <w:r>
        <w:rPr>
          <w:rStyle w:val="FootnoteReference"/>
          <w:rFonts w:cs="Times New Roman"/>
        </w:rPr>
        <w:footnoteReference w:id="47"/>
      </w:r>
      <w:r w:rsidR="007D4281">
        <w:rPr>
          <w:rFonts w:cs="Times New Roman"/>
        </w:rPr>
        <w:t xml:space="preserve"> The first study in </w:t>
      </w:r>
      <w:proofErr w:type="spellStart"/>
      <w:r w:rsidR="007D4281">
        <w:rPr>
          <w:rFonts w:cs="Times New Roman"/>
        </w:rPr>
        <w:t>Berinsfield</w:t>
      </w:r>
      <w:proofErr w:type="spellEnd"/>
      <w:r w:rsidR="007D4281">
        <w:rPr>
          <w:rFonts w:cs="Times New Roman"/>
        </w:rPr>
        <w:t xml:space="preserve">, Oxfordshire shows most were born in the area, having eaten locally grown food and drank local water, with the remaining population containing isotopes from northern Germany, an area </w:t>
      </w:r>
      <w:r w:rsidR="001C4DD2">
        <w:rPr>
          <w:rFonts w:cs="Times New Roman"/>
        </w:rPr>
        <w:t>matching the</w:t>
      </w:r>
      <w:r w:rsidR="007D4281">
        <w:rPr>
          <w:rFonts w:cs="Times New Roman"/>
        </w:rPr>
        <w:t xml:space="preserve"> cultural links.</w:t>
      </w:r>
      <w:r w:rsidR="007D4281">
        <w:rPr>
          <w:rStyle w:val="FootnoteReference"/>
          <w:rFonts w:cs="Times New Roman"/>
        </w:rPr>
        <w:footnoteReference w:id="48"/>
      </w:r>
      <w:r w:rsidR="007D4281">
        <w:rPr>
          <w:rFonts w:cs="Times New Roman"/>
        </w:rPr>
        <w:t xml:space="preserve"> However, only 5.8% of the sample were originally from the continent, a number too low to suggest mass migrations, although not ruling out smaller scale, slower migrations.</w:t>
      </w:r>
      <w:r w:rsidR="007D4281">
        <w:rPr>
          <w:rStyle w:val="FootnoteReference"/>
          <w:rFonts w:cs="Times New Roman"/>
        </w:rPr>
        <w:footnoteReference w:id="49"/>
      </w:r>
      <w:r w:rsidR="00FF2B18">
        <w:rPr>
          <w:rFonts w:cs="Times New Roman"/>
        </w:rPr>
        <w:t xml:space="preserve"> Similar results were found in the 201</w:t>
      </w:r>
      <w:r w:rsidR="00512CF3">
        <w:rPr>
          <w:rFonts w:cs="Times New Roman"/>
        </w:rPr>
        <w:t>8</w:t>
      </w:r>
      <w:r w:rsidR="00FF2B18">
        <w:rPr>
          <w:rFonts w:cs="Times New Roman"/>
        </w:rPr>
        <w:t xml:space="preserve"> study in Eastbourne, Sussex, with 9 out of the 19 being born outside of the local area, 2 of which were from surrounding villages, 1 from continental Europe, and 6 either from western Europe or elsewhere in England.</w:t>
      </w:r>
      <w:r w:rsidR="00FF2B18">
        <w:rPr>
          <w:rStyle w:val="FootnoteReference"/>
          <w:rFonts w:cs="Times New Roman"/>
        </w:rPr>
        <w:footnoteReference w:id="50"/>
      </w:r>
      <w:r w:rsidR="00FF2B18">
        <w:rPr>
          <w:rFonts w:cs="Times New Roman"/>
        </w:rPr>
        <w:t xml:space="preserve"> Interestingly, most of the migrants displayed little wealth, making a migrant elite unlikely in this scenario, and is not compatible with current models, showing a diversity of migration and demographic processes.</w:t>
      </w:r>
      <w:r w:rsidR="00FF2B18">
        <w:rPr>
          <w:rStyle w:val="FootnoteReference"/>
          <w:rFonts w:cs="Times New Roman"/>
        </w:rPr>
        <w:footnoteReference w:id="51"/>
      </w:r>
      <w:r w:rsidR="00FF2B18">
        <w:rPr>
          <w:rFonts w:cs="Times New Roman"/>
        </w:rPr>
        <w:t xml:space="preserve"> Overall, these studies show a variety of different processes in different locations. More studies will need to be undertaken to increase the sample sizes and see trends in other locations to confirm the conclusions from these studies.</w:t>
      </w:r>
    </w:p>
    <w:p w14:paraId="1D3603F6" w14:textId="010C2B8A" w:rsidR="00FF2B18" w:rsidRDefault="00FF2B18" w:rsidP="00B1662B">
      <w:pPr>
        <w:spacing w:line="480" w:lineRule="auto"/>
        <w:rPr>
          <w:rFonts w:cs="Times New Roman"/>
        </w:rPr>
      </w:pPr>
      <w:r>
        <w:rPr>
          <w:rFonts w:cs="Times New Roman"/>
        </w:rPr>
        <w:t xml:space="preserve">Another important recent development is DNA analysis. The first major study, of modern DNA, was undertaken in 2002, containing DNA from 313 males in the UK from between </w:t>
      </w:r>
      <w:r>
        <w:rPr>
          <w:rFonts w:cs="Times New Roman"/>
        </w:rPr>
        <w:lastRenderedPageBreak/>
        <w:t xml:space="preserve">East Anglia and North Wales, and 117 from Friesland and Norway. This study found that the central English individuals were indistinguishable from the Frisian samples, which could not be said for the </w:t>
      </w:r>
      <w:r w:rsidR="00512CF3">
        <w:rPr>
          <w:rFonts w:cs="Times New Roman"/>
        </w:rPr>
        <w:t>samples from Wales, explaining this by offering mass migration of people with common DNA with Frisians into central England.</w:t>
      </w:r>
      <w:r w:rsidR="00512CF3">
        <w:rPr>
          <w:rStyle w:val="FootnoteReference"/>
          <w:rFonts w:cs="Times New Roman"/>
        </w:rPr>
        <w:footnoteReference w:id="52"/>
      </w:r>
      <w:r w:rsidR="00A309E8">
        <w:rPr>
          <w:rFonts w:cs="Times New Roman"/>
        </w:rPr>
        <w:t xml:space="preserve"> However, as pointed out in the </w:t>
      </w:r>
      <w:proofErr w:type="spellStart"/>
      <w:r w:rsidR="00A309E8">
        <w:rPr>
          <w:rFonts w:cs="Times New Roman"/>
        </w:rPr>
        <w:t>Schiffels</w:t>
      </w:r>
      <w:proofErr w:type="spellEnd"/>
      <w:r w:rsidR="00A309E8">
        <w:rPr>
          <w:rFonts w:cs="Times New Roman"/>
        </w:rPr>
        <w:t xml:space="preserve"> et. al. study from 2016, basing a study on modern DNA alone has its problems, as there is no pre or post-migration DNA as a point of comparison, so the Frisian DNA could theoretically have come at any time and therefore, does not prove mass migration during the Anglo-Saxon period.</w:t>
      </w:r>
      <w:r w:rsidR="00B155DC">
        <w:rPr>
          <w:rStyle w:val="FootnoteReference"/>
          <w:rFonts w:cs="Times New Roman"/>
        </w:rPr>
        <w:footnoteReference w:id="53"/>
      </w:r>
      <w:r w:rsidR="00B155DC">
        <w:rPr>
          <w:rFonts w:cs="Times New Roman"/>
        </w:rPr>
        <w:t xml:space="preserve"> This study studied 10 individuals, 7 of whom were Anglo-Saxon, and 3 of whom were Iron Age</w:t>
      </w:r>
      <w:r w:rsidR="00DF7D07">
        <w:rPr>
          <w:rFonts w:cs="Times New Roman"/>
        </w:rPr>
        <w:t>, showing the Anglo-Saxon individuals to be of mixed ancestry, with common ancestry with modern Dutch, mixed with the Iron Age DNA.</w:t>
      </w:r>
      <w:r w:rsidR="00DF7D07">
        <w:rPr>
          <w:rStyle w:val="FootnoteReference"/>
          <w:rFonts w:cs="Times New Roman"/>
        </w:rPr>
        <w:footnoteReference w:id="54"/>
      </w:r>
      <w:r w:rsidR="00DF7D07">
        <w:rPr>
          <w:rFonts w:cs="Times New Roman"/>
        </w:rPr>
        <w:t xml:space="preserve"> An interesting observation from this study is that the individual in the wealthiest grave goods has the most DNA in common with the Iron Age examples, whereas an individual with the least grave goods has the highest proportion of foreign DNA, supporting the findings from the 2018 isotope analysis study.</w:t>
      </w:r>
      <w:r w:rsidR="00DF7D07">
        <w:rPr>
          <w:rStyle w:val="FootnoteReference"/>
          <w:rFonts w:cs="Times New Roman"/>
        </w:rPr>
        <w:footnoteReference w:id="55"/>
      </w:r>
    </w:p>
    <w:p w14:paraId="4AEF0135" w14:textId="5813BA1B" w:rsidR="00DF7D07" w:rsidRDefault="00DF7D07" w:rsidP="00B1662B">
      <w:pPr>
        <w:spacing w:line="480" w:lineRule="auto"/>
        <w:rPr>
          <w:rFonts w:cs="Times New Roman"/>
        </w:rPr>
      </w:pPr>
      <w:r>
        <w:rPr>
          <w:rFonts w:cs="Times New Roman"/>
        </w:rPr>
        <w:t xml:space="preserve">Another DNA study is the </w:t>
      </w:r>
      <w:proofErr w:type="spellStart"/>
      <w:r>
        <w:rPr>
          <w:rFonts w:cs="Times New Roman"/>
        </w:rPr>
        <w:t>Martiniano</w:t>
      </w:r>
      <w:proofErr w:type="spellEnd"/>
      <w:r>
        <w:rPr>
          <w:rFonts w:cs="Times New Roman"/>
        </w:rPr>
        <w:t xml:space="preserve"> et. al. study from 2016, sampling 9 individuals; 7 from Roman-era York, 1 Iron Age and 1 Anglo-Saxon example. The study found that 6 of the Roman examples had common DNA with the Iron Age examples, as well as modern Welsh, 1 had ancestry from Arabia, and the Anglo-Saxon example having different ancestral origins to the Iron Age examples</w:t>
      </w:r>
      <w:r w:rsidR="009F7292">
        <w:rPr>
          <w:rFonts w:cs="Times New Roman"/>
        </w:rPr>
        <w:t>, showing a degree of demographic shift.</w:t>
      </w:r>
      <w:r w:rsidR="009F7292">
        <w:rPr>
          <w:rStyle w:val="FootnoteReference"/>
          <w:rFonts w:cs="Times New Roman"/>
        </w:rPr>
        <w:footnoteReference w:id="56"/>
      </w:r>
      <w:r w:rsidR="009F7292">
        <w:rPr>
          <w:rFonts w:cs="Times New Roman"/>
        </w:rPr>
        <w:t xml:space="preserve"> Overall, the sample sizes of these studies are too small to draw definite conclusions, and are of course, limited to inhumation</w:t>
      </w:r>
      <w:r w:rsidR="003E6836">
        <w:rPr>
          <w:rFonts w:cs="Times New Roman"/>
        </w:rPr>
        <w:t>s</w:t>
      </w:r>
      <w:r w:rsidR="009F7292">
        <w:rPr>
          <w:rFonts w:cs="Times New Roman"/>
        </w:rPr>
        <w:t>, ruling out the majority of burials</w:t>
      </w:r>
      <w:r w:rsidR="0032477B">
        <w:rPr>
          <w:rFonts w:cs="Times New Roman"/>
        </w:rPr>
        <w:t xml:space="preserve">, but with further studies into isotopes and </w:t>
      </w:r>
      <w:r w:rsidR="0032477B">
        <w:rPr>
          <w:rFonts w:cs="Times New Roman"/>
        </w:rPr>
        <w:lastRenderedPageBreak/>
        <w:t>DNA, we could get a good idea of general trends in geographical origins, and some regional differences. Preliminary conclusions so far are that the isotopes and DNA evidence do correlate, showing that Anglo-Saxon cultural spread was triggered by an influx of new arrivals, but migration was not in large enough numbers to suggest population replacement, so locals must have adopted the culture themselves.</w:t>
      </w:r>
    </w:p>
    <w:p w14:paraId="2BE1E49A" w14:textId="776715A3" w:rsidR="0032477B" w:rsidRDefault="0032477B" w:rsidP="00B1662B">
      <w:pPr>
        <w:spacing w:line="480" w:lineRule="auto"/>
        <w:rPr>
          <w:rFonts w:cs="Times New Roman"/>
        </w:rPr>
      </w:pPr>
      <w:r>
        <w:rPr>
          <w:rFonts w:cs="Times New Roman"/>
        </w:rPr>
        <w:t>The question now must be ‘why did the Anglo-Saxon culture spread to locals?’. The first idea is that the locals simply chose to adopt the culture out of admiration.</w:t>
      </w:r>
      <w:r>
        <w:rPr>
          <w:rStyle w:val="FootnoteReference"/>
          <w:rFonts w:cs="Times New Roman"/>
        </w:rPr>
        <w:footnoteReference w:id="57"/>
      </w:r>
      <w:r>
        <w:rPr>
          <w:rFonts w:cs="Times New Roman"/>
        </w:rPr>
        <w:t xml:space="preserve"> This is disputed by Manco, who uses </w:t>
      </w:r>
      <w:proofErr w:type="spellStart"/>
      <w:r>
        <w:rPr>
          <w:rFonts w:cs="Times New Roman"/>
        </w:rPr>
        <w:t>Gildas</w:t>
      </w:r>
      <w:proofErr w:type="spellEnd"/>
      <w:r>
        <w:rPr>
          <w:rFonts w:cs="Times New Roman"/>
        </w:rPr>
        <w:t xml:space="preserve">’ negative view of the Saxons to show that the Saxons were hated by the Romano-British as ‘pagan </w:t>
      </w:r>
      <w:proofErr w:type="gramStart"/>
      <w:r>
        <w:rPr>
          <w:rFonts w:cs="Times New Roman"/>
        </w:rPr>
        <w:t>barbarians’</w:t>
      </w:r>
      <w:proofErr w:type="gramEnd"/>
      <w:r>
        <w:rPr>
          <w:rFonts w:cs="Times New Roman"/>
        </w:rPr>
        <w:t>.</w:t>
      </w:r>
      <w:r>
        <w:rPr>
          <w:rStyle w:val="FootnoteReference"/>
          <w:rFonts w:cs="Times New Roman"/>
        </w:rPr>
        <w:footnoteReference w:id="58"/>
      </w:r>
      <w:r>
        <w:rPr>
          <w:rFonts w:cs="Times New Roman"/>
        </w:rPr>
        <w:t xml:space="preserve"> The problem with using </w:t>
      </w:r>
      <w:proofErr w:type="spellStart"/>
      <w:r>
        <w:rPr>
          <w:rFonts w:cs="Times New Roman"/>
        </w:rPr>
        <w:t>Gildas</w:t>
      </w:r>
      <w:proofErr w:type="spellEnd"/>
      <w:r>
        <w:rPr>
          <w:rFonts w:cs="Times New Roman"/>
        </w:rPr>
        <w:t xml:space="preserve"> as evidence for this is that </w:t>
      </w:r>
      <w:proofErr w:type="spellStart"/>
      <w:r>
        <w:rPr>
          <w:rFonts w:cs="Times New Roman"/>
        </w:rPr>
        <w:t>Gildas</w:t>
      </w:r>
      <w:proofErr w:type="spellEnd"/>
      <w:r>
        <w:rPr>
          <w:rFonts w:cs="Times New Roman"/>
        </w:rPr>
        <w:t xml:space="preserve"> represents the position of a fairly elite figure, which may not represent the views of the whole population. Another theory is that the Romano-British economy collapsed after leaving the Roman Empire, as the Romano-British returned to the Iron Age hillforts, or </w:t>
      </w:r>
      <w:r>
        <w:rPr>
          <w:rFonts w:cs="Times New Roman"/>
          <w:i/>
        </w:rPr>
        <w:t>oppida</w:t>
      </w:r>
      <w:r>
        <w:rPr>
          <w:rFonts w:cs="Times New Roman"/>
        </w:rPr>
        <w:t xml:space="preserve">, abandoning their previous production centres, creating a lack of resources. This means that the Romano-British adopted the Anglo-Saxon culture </w:t>
      </w:r>
      <w:r w:rsidR="00E24D83">
        <w:rPr>
          <w:rFonts w:cs="Times New Roman"/>
        </w:rPr>
        <w:t>because it was all that was available, out of necessity rather than out of admiration.</w:t>
      </w:r>
      <w:r w:rsidR="00E24D83">
        <w:rPr>
          <w:rStyle w:val="FootnoteReference"/>
          <w:rFonts w:cs="Times New Roman"/>
        </w:rPr>
        <w:footnoteReference w:id="59"/>
      </w:r>
      <w:r w:rsidR="0063148C">
        <w:rPr>
          <w:rFonts w:cs="Times New Roman"/>
        </w:rPr>
        <w:t xml:space="preserve"> This could be responded to by suggesting that some Roman settlements such as </w:t>
      </w:r>
      <w:proofErr w:type="spellStart"/>
      <w:r w:rsidR="0063148C">
        <w:rPr>
          <w:rFonts w:cs="Times New Roman"/>
        </w:rPr>
        <w:t>Wroxeter</w:t>
      </w:r>
      <w:proofErr w:type="spellEnd"/>
      <w:r w:rsidR="0063148C">
        <w:rPr>
          <w:rFonts w:cs="Times New Roman"/>
        </w:rPr>
        <w:t xml:space="preserve"> had continued occupation during the Anglo-Saxon period, but this has been disputed.</w:t>
      </w:r>
      <w:r w:rsidR="0063148C">
        <w:rPr>
          <w:rStyle w:val="FootnoteReference"/>
          <w:rFonts w:cs="Times New Roman"/>
        </w:rPr>
        <w:footnoteReference w:id="60"/>
      </w:r>
      <w:r w:rsidR="0063148C">
        <w:rPr>
          <w:rFonts w:cs="Times New Roman"/>
        </w:rPr>
        <w:t xml:space="preserve"> It has also been suggested by Ward-Perkins that the British adopted the Anglo-Saxon culture as a way of avoiding the </w:t>
      </w:r>
      <w:r w:rsidR="0063148C">
        <w:rPr>
          <w:rFonts w:cs="Times New Roman"/>
          <w:i/>
        </w:rPr>
        <w:t>wergild.</w:t>
      </w:r>
      <w:r w:rsidR="0063148C">
        <w:rPr>
          <w:rStyle w:val="FootnoteReference"/>
          <w:rFonts w:cs="Times New Roman"/>
          <w:i/>
        </w:rPr>
        <w:footnoteReference w:id="61"/>
      </w:r>
      <w:r w:rsidR="0063148C">
        <w:rPr>
          <w:rFonts w:cs="Times New Roman"/>
          <w:i/>
        </w:rPr>
        <w:t xml:space="preserve"> </w:t>
      </w:r>
      <w:r w:rsidR="0063148C">
        <w:rPr>
          <w:rFonts w:cs="Times New Roman"/>
        </w:rPr>
        <w:t xml:space="preserve">Due to the DNA and isotope evidence suggesting a mixed ancestry, the most likely explanation is that the Romano-British’s own economic problems were the cause of their </w:t>
      </w:r>
      <w:r w:rsidR="0063148C">
        <w:rPr>
          <w:rFonts w:cs="Times New Roman"/>
        </w:rPr>
        <w:lastRenderedPageBreak/>
        <w:t>culture’s decline, rather than Anglo-Saxon migrants, who brought a way of expressing themselves that the British no longer had of their own.</w:t>
      </w:r>
    </w:p>
    <w:p w14:paraId="48B60221" w14:textId="402A67B2" w:rsidR="00B1662B" w:rsidRDefault="0063148C" w:rsidP="00B1662B">
      <w:pPr>
        <w:spacing w:line="480" w:lineRule="auto"/>
        <w:rPr>
          <w:rFonts w:cs="Times New Roman"/>
        </w:rPr>
      </w:pPr>
      <w:r>
        <w:rPr>
          <w:rFonts w:cs="Times New Roman"/>
        </w:rPr>
        <w:t xml:space="preserve">All in all, </w:t>
      </w:r>
      <w:proofErr w:type="gramStart"/>
      <w:r>
        <w:rPr>
          <w:rFonts w:cs="Times New Roman"/>
        </w:rPr>
        <w:t>it is clear that one</w:t>
      </w:r>
      <w:proofErr w:type="gramEnd"/>
      <w:r>
        <w:rPr>
          <w:rFonts w:cs="Times New Roman"/>
        </w:rPr>
        <w:t xml:space="preserve"> model and method of study alone will not adequately explain Anglo-Saxon origins and cultural spread. For this reason, a multidisciplinary approach is necessary, including literary history</w:t>
      </w:r>
      <w:r w:rsidR="007C66DC">
        <w:rPr>
          <w:rFonts w:cs="Times New Roman"/>
        </w:rPr>
        <w:t xml:space="preserve">, archaeology, linguistics, anthropology, chemistry and biology to cover </w:t>
      </w:r>
      <w:proofErr w:type="gramStart"/>
      <w:r w:rsidR="007C66DC">
        <w:rPr>
          <w:rFonts w:cs="Times New Roman"/>
        </w:rPr>
        <w:t>all of</w:t>
      </w:r>
      <w:proofErr w:type="gramEnd"/>
      <w:r w:rsidR="007C66DC">
        <w:rPr>
          <w:rFonts w:cs="Times New Roman"/>
        </w:rPr>
        <w:t xml:space="preserve"> the aspects of this area. The reality of the Anglo-Saxon spread to Britain is a complex and varied mixture of migrations, military campaigns and cultural exchange, caused by the collapse of the post-Roman economy, along with initial migration from northern Europe on a modest scale. More work needs to be done in the areas of isotope analysis and DNA analysis in the future, to increase sample sizes to further study if the trend of mixed native and northern European ancestry is consistent.</w:t>
      </w:r>
    </w:p>
    <w:p w14:paraId="35D8EB49" w14:textId="4ED87BBA" w:rsidR="00B1662B" w:rsidRDefault="003B41E6">
      <w:pPr>
        <w:rPr>
          <w:rFonts w:cs="Times New Roman"/>
        </w:rPr>
      </w:pPr>
      <w:r>
        <w:rPr>
          <w:rFonts w:cs="Times New Roman"/>
          <w:b/>
        </w:rPr>
        <w:t>Word Count: 4326</w:t>
      </w:r>
      <w:bookmarkStart w:id="1" w:name="_GoBack"/>
      <w:bookmarkEnd w:id="1"/>
      <w:r w:rsidR="00B1662B">
        <w:rPr>
          <w:rFonts w:cs="Times New Roman"/>
        </w:rPr>
        <w:br w:type="page"/>
      </w:r>
    </w:p>
    <w:p w14:paraId="497C49DC" w14:textId="75988E97" w:rsidR="0063148C" w:rsidRDefault="00B1662B" w:rsidP="00B1662B">
      <w:pPr>
        <w:spacing w:line="480" w:lineRule="auto"/>
        <w:rPr>
          <w:rFonts w:cs="Times New Roman"/>
          <w:u w:val="single"/>
        </w:rPr>
      </w:pPr>
      <w:r w:rsidRPr="00B1662B">
        <w:rPr>
          <w:rFonts w:cs="Times New Roman"/>
          <w:u w:val="single"/>
        </w:rPr>
        <w:lastRenderedPageBreak/>
        <w:t>Primary Sources</w:t>
      </w:r>
    </w:p>
    <w:p w14:paraId="2567D019" w14:textId="77777777" w:rsidR="00000D43" w:rsidRDefault="00000D43" w:rsidP="00000D43">
      <w:pPr>
        <w:spacing w:line="480" w:lineRule="auto"/>
        <w:rPr>
          <w:rFonts w:cs="Times New Roman"/>
        </w:rPr>
      </w:pPr>
      <w:r>
        <w:rPr>
          <w:rFonts w:cs="Times New Roman"/>
        </w:rPr>
        <w:t xml:space="preserve">Bede, </w:t>
      </w:r>
      <w:r>
        <w:rPr>
          <w:rFonts w:cs="Times New Roman"/>
          <w:i/>
        </w:rPr>
        <w:t xml:space="preserve">Ecclesiastical History of the English People, </w:t>
      </w:r>
      <w:r>
        <w:rPr>
          <w:rFonts w:cs="Times New Roman"/>
        </w:rPr>
        <w:t>translated by Leo Shirley-Price, (London: Penguin, 1990).</w:t>
      </w:r>
    </w:p>
    <w:p w14:paraId="62F14C07" w14:textId="77777777" w:rsidR="00000D43" w:rsidRDefault="00000D43" w:rsidP="00000D43">
      <w:pPr>
        <w:spacing w:line="480" w:lineRule="auto"/>
        <w:rPr>
          <w:rFonts w:cs="Times New Roman"/>
        </w:rPr>
      </w:pPr>
      <w:r w:rsidRPr="00B1662B">
        <w:rPr>
          <w:rFonts w:cs="Times New Roman"/>
          <w:i/>
        </w:rPr>
        <w:t>Beowulf</w:t>
      </w:r>
      <w:r>
        <w:rPr>
          <w:rFonts w:cs="Times New Roman"/>
          <w:i/>
        </w:rPr>
        <w:t xml:space="preserve">, </w:t>
      </w:r>
      <w:r>
        <w:rPr>
          <w:rFonts w:cs="Times New Roman"/>
        </w:rPr>
        <w:t>translated by David Wright, (Harmondsworth: Penguin, 1957).</w:t>
      </w:r>
    </w:p>
    <w:p w14:paraId="24454D0A" w14:textId="06E23397" w:rsidR="00000D43" w:rsidRDefault="00000D43" w:rsidP="00000D43">
      <w:pPr>
        <w:spacing w:line="480" w:lineRule="auto"/>
        <w:rPr>
          <w:rFonts w:cs="Times New Roman"/>
        </w:rPr>
      </w:pPr>
      <w:r>
        <w:rPr>
          <w:rFonts w:cs="Times New Roman"/>
        </w:rPr>
        <w:t>‘Gallic Chronicle of 452: A New Critical Edition with a Brief Introduction’</w:t>
      </w:r>
      <w:r w:rsidR="00F448E9">
        <w:rPr>
          <w:rFonts w:cs="Times New Roman"/>
        </w:rPr>
        <w:t>,</w:t>
      </w:r>
      <w:r w:rsidR="00D0332B">
        <w:rPr>
          <w:rFonts w:cs="Times New Roman"/>
        </w:rPr>
        <w:t xml:space="preserve"> in</w:t>
      </w:r>
      <w:r>
        <w:rPr>
          <w:rFonts w:cs="Times New Roman"/>
        </w:rPr>
        <w:t xml:space="preserve"> </w:t>
      </w:r>
      <w:r>
        <w:rPr>
          <w:rFonts w:cs="Times New Roman"/>
          <w:i/>
        </w:rPr>
        <w:t xml:space="preserve">Society and </w:t>
      </w:r>
      <w:proofErr w:type="spellStart"/>
      <w:r>
        <w:rPr>
          <w:rFonts w:cs="Times New Roman"/>
          <w:i/>
        </w:rPr>
        <w:t>Cuture</w:t>
      </w:r>
      <w:proofErr w:type="spellEnd"/>
      <w:r>
        <w:rPr>
          <w:rFonts w:cs="Times New Roman"/>
          <w:i/>
        </w:rPr>
        <w:t xml:space="preserve"> in Late Antique Gaul: Revisiting the Sources’,</w:t>
      </w:r>
      <w:r>
        <w:rPr>
          <w:rFonts w:cs="Times New Roman"/>
        </w:rPr>
        <w:t xml:space="preserve"> </w:t>
      </w:r>
      <w:r w:rsidR="00E0397C">
        <w:rPr>
          <w:rFonts w:cs="Times New Roman"/>
        </w:rPr>
        <w:t>ed.</w:t>
      </w:r>
      <w:r>
        <w:rPr>
          <w:rFonts w:cs="Times New Roman"/>
        </w:rPr>
        <w:t xml:space="preserve"> </w:t>
      </w:r>
      <w:proofErr w:type="spellStart"/>
      <w:r>
        <w:rPr>
          <w:rFonts w:cs="Times New Roman"/>
        </w:rPr>
        <w:t>Mathisen</w:t>
      </w:r>
      <w:proofErr w:type="spellEnd"/>
      <w:r w:rsidR="000F1307">
        <w:rPr>
          <w:rFonts w:cs="Times New Roman"/>
        </w:rPr>
        <w:t>, R. W</w:t>
      </w:r>
      <w:r>
        <w:rPr>
          <w:rFonts w:cs="Times New Roman"/>
        </w:rPr>
        <w:t xml:space="preserve"> and </w:t>
      </w:r>
      <w:proofErr w:type="spellStart"/>
      <w:r>
        <w:rPr>
          <w:rFonts w:cs="Times New Roman"/>
        </w:rPr>
        <w:t>Shanzer</w:t>
      </w:r>
      <w:proofErr w:type="spellEnd"/>
      <w:r>
        <w:rPr>
          <w:rFonts w:cs="Times New Roman"/>
        </w:rPr>
        <w:t>,</w:t>
      </w:r>
      <w:r w:rsidR="000F1307">
        <w:rPr>
          <w:rFonts w:cs="Times New Roman"/>
        </w:rPr>
        <w:t xml:space="preserve"> D.,</w:t>
      </w:r>
      <w:r>
        <w:rPr>
          <w:rFonts w:cs="Times New Roman"/>
        </w:rPr>
        <w:t xml:space="preserve"> (</w:t>
      </w:r>
      <w:proofErr w:type="spellStart"/>
      <w:r>
        <w:rPr>
          <w:rFonts w:cs="Times New Roman"/>
        </w:rPr>
        <w:t>Abindon</w:t>
      </w:r>
      <w:proofErr w:type="spellEnd"/>
      <w:r>
        <w:rPr>
          <w:rFonts w:cs="Times New Roman"/>
        </w:rPr>
        <w:t>: Routledge, 2001), p.p. 52-84.</w:t>
      </w:r>
    </w:p>
    <w:p w14:paraId="1D1EC62D" w14:textId="77777777" w:rsidR="00000D43" w:rsidRDefault="00000D43" w:rsidP="00000D43">
      <w:pPr>
        <w:spacing w:line="480" w:lineRule="auto"/>
        <w:rPr>
          <w:rFonts w:cs="Times New Roman"/>
        </w:rPr>
      </w:pPr>
      <w:r>
        <w:rPr>
          <w:rFonts w:cs="Times New Roman"/>
        </w:rPr>
        <w:t xml:space="preserve">Geoffrey of Monmouth, </w:t>
      </w:r>
      <w:r>
        <w:rPr>
          <w:rFonts w:cs="Times New Roman"/>
          <w:i/>
        </w:rPr>
        <w:t xml:space="preserve">The History of the Kings of Britain, </w:t>
      </w:r>
      <w:r>
        <w:rPr>
          <w:rFonts w:cs="Times New Roman"/>
        </w:rPr>
        <w:t>translated by Lewis Thorpe, (London: Penguin, 1966).</w:t>
      </w:r>
    </w:p>
    <w:p w14:paraId="2F27D8E8" w14:textId="77777777" w:rsidR="00000D43" w:rsidRDefault="00000D43" w:rsidP="00000D43">
      <w:pPr>
        <w:spacing w:line="480" w:lineRule="auto"/>
        <w:rPr>
          <w:rFonts w:cs="Times New Roman"/>
        </w:rPr>
      </w:pPr>
      <w:proofErr w:type="spellStart"/>
      <w:r>
        <w:rPr>
          <w:rFonts w:cs="Times New Roman"/>
          <w:i/>
        </w:rPr>
        <w:t>Gildas</w:t>
      </w:r>
      <w:proofErr w:type="spellEnd"/>
      <w:r>
        <w:rPr>
          <w:rFonts w:cs="Times New Roman"/>
          <w:i/>
        </w:rPr>
        <w:t xml:space="preserve">, </w:t>
      </w:r>
      <w:r>
        <w:rPr>
          <w:rFonts w:cs="Times New Roman"/>
        </w:rPr>
        <w:t>translated by J.A. Giles, (Cambridge, Ontario: In Parentheses Publications, 2000)</w:t>
      </w:r>
    </w:p>
    <w:p w14:paraId="6164D676" w14:textId="77777777" w:rsidR="00000D43" w:rsidRDefault="00000D43" w:rsidP="00000D43">
      <w:pPr>
        <w:spacing w:line="480" w:lineRule="auto"/>
        <w:rPr>
          <w:rFonts w:cs="Times New Roman"/>
        </w:rPr>
      </w:pPr>
      <w:r w:rsidRPr="00B1662B">
        <w:rPr>
          <w:rFonts w:cs="Times New Roman"/>
        </w:rPr>
        <w:t xml:space="preserve">Henry of Huntingdon, </w:t>
      </w:r>
      <w:r w:rsidRPr="00F11A7D">
        <w:rPr>
          <w:rFonts w:cs="Times New Roman"/>
          <w:i/>
        </w:rPr>
        <w:t>The History of the English People: 1000-1054</w:t>
      </w:r>
      <w:r w:rsidRPr="00B1662B">
        <w:rPr>
          <w:rFonts w:cs="Times New Roman"/>
        </w:rPr>
        <w:t>, translated by Diana Greenway, (Oxford: Oxford University Press, 2002)</w:t>
      </w:r>
    </w:p>
    <w:p w14:paraId="78A3224D" w14:textId="7652C883" w:rsidR="00000D43" w:rsidRPr="00000D43" w:rsidRDefault="00000D43" w:rsidP="00B1662B">
      <w:pPr>
        <w:spacing w:line="480" w:lineRule="auto"/>
        <w:rPr>
          <w:rFonts w:cs="Times New Roman"/>
        </w:rPr>
      </w:pPr>
      <w:r>
        <w:rPr>
          <w:rFonts w:cs="Times New Roman"/>
        </w:rPr>
        <w:t xml:space="preserve">Livy, </w:t>
      </w:r>
      <w:r>
        <w:rPr>
          <w:rFonts w:cs="Times New Roman"/>
          <w:i/>
        </w:rPr>
        <w:t xml:space="preserve">The Early History of Rome, </w:t>
      </w:r>
      <w:r>
        <w:rPr>
          <w:rFonts w:cs="Times New Roman"/>
        </w:rPr>
        <w:t xml:space="preserve">translated by Aubrey De </w:t>
      </w:r>
      <w:proofErr w:type="spellStart"/>
      <w:r>
        <w:rPr>
          <w:rFonts w:cs="Times New Roman"/>
        </w:rPr>
        <w:t>Sélincourt</w:t>
      </w:r>
      <w:proofErr w:type="spellEnd"/>
      <w:r>
        <w:rPr>
          <w:rFonts w:cs="Times New Roman"/>
        </w:rPr>
        <w:t>, (London: Penguin, 1960).</w:t>
      </w:r>
    </w:p>
    <w:p w14:paraId="041C07D1" w14:textId="77110D17" w:rsidR="00000D43" w:rsidRDefault="00000D43" w:rsidP="00B1662B">
      <w:pPr>
        <w:spacing w:line="480" w:lineRule="auto"/>
        <w:rPr>
          <w:rFonts w:cs="Times New Roman"/>
        </w:rPr>
      </w:pPr>
      <w:r>
        <w:rPr>
          <w:rFonts w:cs="Times New Roman"/>
          <w:i/>
        </w:rPr>
        <w:t xml:space="preserve">The Anglo-Saxon Chronicles, </w:t>
      </w:r>
      <w:r>
        <w:rPr>
          <w:rFonts w:cs="Times New Roman"/>
        </w:rPr>
        <w:t>New Edition, translated by Michael Swanton, (London: Phoenix Press, 2002).</w:t>
      </w:r>
    </w:p>
    <w:p w14:paraId="643015C0" w14:textId="79C94C97" w:rsidR="00194B82" w:rsidRDefault="00194B82" w:rsidP="00B1662B">
      <w:pPr>
        <w:spacing w:line="480" w:lineRule="auto"/>
        <w:rPr>
          <w:rFonts w:cs="Times New Roman"/>
          <w:u w:val="single"/>
        </w:rPr>
      </w:pPr>
      <w:r>
        <w:rPr>
          <w:rFonts w:cs="Times New Roman"/>
          <w:u w:val="single"/>
        </w:rPr>
        <w:t>Modern Scholarship</w:t>
      </w:r>
    </w:p>
    <w:p w14:paraId="3A8C3A23" w14:textId="3E04BFC4" w:rsidR="003869EA" w:rsidRDefault="003869EA" w:rsidP="00B1662B">
      <w:pPr>
        <w:spacing w:line="480" w:lineRule="auto"/>
        <w:rPr>
          <w:rFonts w:cs="Times New Roman"/>
          <w:u w:val="single"/>
        </w:rPr>
      </w:pPr>
      <w:r>
        <w:t>Blair,</w:t>
      </w:r>
      <w:r>
        <w:t xml:space="preserve"> P. H.,</w:t>
      </w:r>
      <w:r>
        <w:t xml:space="preserve"> </w:t>
      </w:r>
      <w:r>
        <w:rPr>
          <w:i/>
        </w:rPr>
        <w:t xml:space="preserve">An Introduction to Anglo-Saxon England, </w:t>
      </w:r>
      <w:r>
        <w:t>2</w:t>
      </w:r>
      <w:r w:rsidRPr="0058108E">
        <w:rPr>
          <w:vertAlign w:val="superscript"/>
        </w:rPr>
        <w:t>nd</w:t>
      </w:r>
      <w:r>
        <w:t xml:space="preserve"> ed. (Cambridge: Cambridge University Press, 1977)</w:t>
      </w:r>
      <w:r w:rsidR="00D85AA8">
        <w:t>.</w:t>
      </w:r>
    </w:p>
    <w:p w14:paraId="72BF13F5" w14:textId="59207838" w:rsidR="003869EA" w:rsidRDefault="003869EA" w:rsidP="00B1662B">
      <w:pPr>
        <w:spacing w:line="480" w:lineRule="auto"/>
      </w:pPr>
      <w:r>
        <w:t>Blair,</w:t>
      </w:r>
      <w:r>
        <w:t xml:space="preserve"> P. H.,</w:t>
      </w:r>
      <w:r>
        <w:t xml:space="preserve"> </w:t>
      </w:r>
      <w:r>
        <w:rPr>
          <w:i/>
        </w:rPr>
        <w:t>Roman Britain and Early England: 55BC-871 AD</w:t>
      </w:r>
      <w:r>
        <w:t>, (London: Cardinal, 1963)</w:t>
      </w:r>
      <w:r w:rsidR="00D85AA8">
        <w:t>.</w:t>
      </w:r>
    </w:p>
    <w:p w14:paraId="4DB0F4D4" w14:textId="561585CF" w:rsidR="00D85AA8" w:rsidRDefault="00D85AA8" w:rsidP="00B1662B">
      <w:pPr>
        <w:spacing w:line="480" w:lineRule="auto"/>
        <w:rPr>
          <w:rFonts w:cs="Times New Roman"/>
          <w:u w:val="single"/>
        </w:rPr>
      </w:pPr>
      <w:r>
        <w:t>Fleming,</w:t>
      </w:r>
      <w:r>
        <w:t xml:space="preserve"> R.,</w:t>
      </w:r>
      <w:r>
        <w:t xml:space="preserve"> </w:t>
      </w:r>
      <w:r>
        <w:rPr>
          <w:i/>
        </w:rPr>
        <w:t xml:space="preserve">Britain After Rome: The Fall and Rise 400 to 1070, </w:t>
      </w:r>
      <w:r>
        <w:t>(London: Penguin, 2010)</w:t>
      </w:r>
      <w:r>
        <w:t>.</w:t>
      </w:r>
    </w:p>
    <w:p w14:paraId="6C8329FE" w14:textId="598E2A97" w:rsidR="00194B82" w:rsidRDefault="00194B82" w:rsidP="00B1662B">
      <w:pPr>
        <w:spacing w:line="480" w:lineRule="auto"/>
      </w:pPr>
      <w:r>
        <w:lastRenderedPageBreak/>
        <w:t>Higham</w:t>
      </w:r>
      <w:r>
        <w:t>, N.J.</w:t>
      </w:r>
      <w:r>
        <w:t xml:space="preserve"> and Ryan,</w:t>
      </w:r>
      <w:r>
        <w:t xml:space="preserve"> M.J.,</w:t>
      </w:r>
      <w:r>
        <w:t xml:space="preserve"> </w:t>
      </w:r>
      <w:r>
        <w:rPr>
          <w:i/>
        </w:rPr>
        <w:t xml:space="preserve">The Anglo-Saxon World, </w:t>
      </w:r>
      <w:r>
        <w:t>(New Haven and London: Yale University Press, 2013)</w:t>
      </w:r>
      <w:r w:rsidR="00D85AA8">
        <w:t>.</w:t>
      </w:r>
    </w:p>
    <w:p w14:paraId="21C443E1" w14:textId="48A1176F" w:rsidR="00B31C46" w:rsidRDefault="00B31C46" w:rsidP="00B1662B">
      <w:pPr>
        <w:spacing w:line="480" w:lineRule="auto"/>
      </w:pPr>
      <w:r>
        <w:t>Hindley,</w:t>
      </w:r>
      <w:r>
        <w:t xml:space="preserve"> G.,</w:t>
      </w:r>
      <w:r>
        <w:t xml:space="preserve"> </w:t>
      </w:r>
      <w:r>
        <w:rPr>
          <w:i/>
        </w:rPr>
        <w:t xml:space="preserve">A Brief History of the Anglo-Saxons: The Beginnings of the English Nation, </w:t>
      </w:r>
      <w:r>
        <w:t>(London: Robinson, 2006)</w:t>
      </w:r>
      <w:r w:rsidR="00D85AA8">
        <w:t>.</w:t>
      </w:r>
    </w:p>
    <w:p w14:paraId="670CCBC6" w14:textId="2B12869B" w:rsidR="007B6995" w:rsidRDefault="007B6995" w:rsidP="00B1662B">
      <w:pPr>
        <w:spacing w:line="480" w:lineRule="auto"/>
      </w:pPr>
      <w:r>
        <w:t>Hughes</w:t>
      </w:r>
      <w:r w:rsidR="00655248">
        <w:t>, S.,</w:t>
      </w:r>
      <w:r w:rsidR="00CF6A52">
        <w:t xml:space="preserve"> Millard, A. R., Lucy, S. J., Chenery, C. A., Evans, J. A., Nowell, G., Pearson, D. G.,</w:t>
      </w:r>
      <w:r>
        <w:t xml:space="preserve"> ‘Anglo-Saxon Origins Investigated by Isotopic Analysis of Burials from </w:t>
      </w:r>
      <w:proofErr w:type="spellStart"/>
      <w:r>
        <w:t>Berinsfield</w:t>
      </w:r>
      <w:proofErr w:type="spellEnd"/>
      <w:r>
        <w:t>, Oxfordshire, UK’,</w:t>
      </w:r>
      <w:r w:rsidR="00655248">
        <w:t xml:space="preserve"> in</w:t>
      </w:r>
      <w:r>
        <w:t xml:space="preserve"> </w:t>
      </w:r>
      <w:r>
        <w:rPr>
          <w:i/>
        </w:rPr>
        <w:t xml:space="preserve">Journal of Archaeological Science, </w:t>
      </w:r>
      <w:r>
        <w:t>Vol. 42 (2014), p.p. 81-92</w:t>
      </w:r>
      <w:r>
        <w:t>.</w:t>
      </w:r>
    </w:p>
    <w:p w14:paraId="6724DDC5" w14:textId="0C069FBA" w:rsidR="007B6995" w:rsidRDefault="007B6995" w:rsidP="00B1662B">
      <w:pPr>
        <w:spacing w:line="480" w:lineRule="auto"/>
      </w:pPr>
      <w:r>
        <w:t>Hughes</w:t>
      </w:r>
      <w:r w:rsidR="00834B95">
        <w:t>, S.,</w:t>
      </w:r>
      <w:r>
        <w:t xml:space="preserve"> </w:t>
      </w:r>
      <w:r w:rsidR="00CF6A52">
        <w:t xml:space="preserve">Millard, A. R., Chenery, C. A., Nowell, G., Pearson, D. G., </w:t>
      </w:r>
      <w:r>
        <w:t>‘Isotopic Analysis of Burials from the Early Anglo-Saxon Cemetery at Eastbourne, Sussex, UK’,</w:t>
      </w:r>
      <w:r w:rsidR="00655248">
        <w:t xml:space="preserve"> in</w:t>
      </w:r>
      <w:r>
        <w:t xml:space="preserve"> </w:t>
      </w:r>
      <w:r>
        <w:rPr>
          <w:i/>
        </w:rPr>
        <w:t xml:space="preserve">Journal of Archaeological Science: Reports, </w:t>
      </w:r>
      <w:r>
        <w:t>Vol. 19 (2018), p.p. 513-525.</w:t>
      </w:r>
    </w:p>
    <w:p w14:paraId="210F1747" w14:textId="6B5CFF9A" w:rsidR="00CF3DD6" w:rsidRDefault="00CF3DD6" w:rsidP="00B1662B">
      <w:pPr>
        <w:spacing w:line="480" w:lineRule="auto"/>
      </w:pPr>
      <w:r w:rsidRPr="00CF3DD6">
        <w:t>Lane,</w:t>
      </w:r>
      <w:r>
        <w:t xml:space="preserve"> A.,</w:t>
      </w:r>
      <w:r w:rsidRPr="00CF3DD6">
        <w:t xml:space="preserve"> ‘</w:t>
      </w:r>
      <w:proofErr w:type="spellStart"/>
      <w:r w:rsidRPr="00CF3DD6">
        <w:t>Wroxeter</w:t>
      </w:r>
      <w:proofErr w:type="spellEnd"/>
      <w:r w:rsidRPr="00CF3DD6">
        <w:t xml:space="preserve"> and the End of Roman Britain’,</w:t>
      </w:r>
      <w:r w:rsidR="00655248">
        <w:t xml:space="preserve"> in</w:t>
      </w:r>
      <w:r w:rsidRPr="00CF3DD6">
        <w:t xml:space="preserve"> </w:t>
      </w:r>
      <w:r w:rsidRPr="00CF3DD6">
        <w:rPr>
          <w:i/>
        </w:rPr>
        <w:t>Antiquity</w:t>
      </w:r>
      <w:r w:rsidRPr="00CF3DD6">
        <w:t>, Vol. 88 (2014), p.p. 501-515.</w:t>
      </w:r>
    </w:p>
    <w:p w14:paraId="6DFABA64" w14:textId="6AF47EE2" w:rsidR="00F448E9" w:rsidRDefault="00F448E9" w:rsidP="00B1662B">
      <w:pPr>
        <w:spacing w:line="480" w:lineRule="auto"/>
      </w:pPr>
      <w:r>
        <w:t>Laycock,</w:t>
      </w:r>
      <w:r>
        <w:t xml:space="preserve"> </w:t>
      </w:r>
      <w:r w:rsidR="00A34930">
        <w:t>S.,</w:t>
      </w:r>
      <w:r>
        <w:t xml:space="preserve"> </w:t>
      </w:r>
      <w:r>
        <w:rPr>
          <w:i/>
        </w:rPr>
        <w:t xml:space="preserve">Britannia: The Failed State: Tribal Conflicts and the End of Roman Britain, </w:t>
      </w:r>
      <w:r>
        <w:t>(Stroud, The History Press, 2008)</w:t>
      </w:r>
      <w:r w:rsidR="00CF3DD6">
        <w:t>.</w:t>
      </w:r>
    </w:p>
    <w:p w14:paraId="6A1631A5" w14:textId="6FF747D2" w:rsidR="00F448E9" w:rsidRDefault="00F448E9" w:rsidP="00B1662B">
      <w:pPr>
        <w:spacing w:line="480" w:lineRule="auto"/>
      </w:pPr>
      <w:r>
        <w:t>Lucy,</w:t>
      </w:r>
      <w:r>
        <w:t xml:space="preserve"> S.,</w:t>
      </w:r>
      <w:r>
        <w:t xml:space="preserve"> </w:t>
      </w:r>
      <w:r>
        <w:rPr>
          <w:i/>
        </w:rPr>
        <w:t xml:space="preserve">The Anglo-Saxon Way of Death, </w:t>
      </w:r>
      <w:r>
        <w:t>(Stroud: Sutton, 2000)</w:t>
      </w:r>
      <w:r>
        <w:t>.</w:t>
      </w:r>
    </w:p>
    <w:p w14:paraId="3936BEC1" w14:textId="358E5F70" w:rsidR="00D85AA8" w:rsidRDefault="00D85AA8" w:rsidP="00B1662B">
      <w:pPr>
        <w:spacing w:line="480" w:lineRule="auto"/>
      </w:pPr>
      <w:r>
        <w:t>Manco,</w:t>
      </w:r>
      <w:r>
        <w:t xml:space="preserve"> J.,</w:t>
      </w:r>
      <w:r>
        <w:t xml:space="preserve"> </w:t>
      </w:r>
      <w:r>
        <w:rPr>
          <w:i/>
        </w:rPr>
        <w:t xml:space="preserve">The Origins of the Anglo-Saxons: Decoding the Ancestry of the English, </w:t>
      </w:r>
      <w:r>
        <w:t>(London: Thames and Hudson, 2018)</w:t>
      </w:r>
      <w:r>
        <w:t>.</w:t>
      </w:r>
    </w:p>
    <w:p w14:paraId="31F01D49" w14:textId="45C0C114" w:rsidR="00CF3DD6" w:rsidRDefault="00CF3DD6" w:rsidP="00B1662B">
      <w:pPr>
        <w:spacing w:line="480" w:lineRule="auto"/>
      </w:pPr>
      <w:proofErr w:type="spellStart"/>
      <w:r>
        <w:t>Martiniano</w:t>
      </w:r>
      <w:proofErr w:type="spellEnd"/>
      <w:r>
        <w:t>,</w:t>
      </w:r>
      <w:r w:rsidR="00CF6A52">
        <w:t xml:space="preserve"> R., </w:t>
      </w:r>
      <w:proofErr w:type="spellStart"/>
      <w:r w:rsidR="00CF6A52">
        <w:t>Caffell</w:t>
      </w:r>
      <w:proofErr w:type="spellEnd"/>
      <w:r w:rsidR="00CF6A52">
        <w:t xml:space="preserve">, A., Holst, M., Hunter-Mann, K., Montgomery, J., </w:t>
      </w:r>
      <w:proofErr w:type="spellStart"/>
      <w:r w:rsidR="00CF6A52">
        <w:t>M</w:t>
      </w:r>
      <w:r w:rsidR="00CF6A52">
        <w:rPr>
          <w:rFonts w:cs="Times New Roman"/>
        </w:rPr>
        <w:t>ü</w:t>
      </w:r>
      <w:r w:rsidR="00CF6A52">
        <w:t>ldner</w:t>
      </w:r>
      <w:proofErr w:type="spellEnd"/>
      <w:r w:rsidR="00CF6A52">
        <w:t xml:space="preserve">, G., McLaughlin, R. L., Teasdale, M. D., Van </w:t>
      </w:r>
      <w:proofErr w:type="spellStart"/>
      <w:r w:rsidR="00CF6A52">
        <w:t>Rheenen</w:t>
      </w:r>
      <w:proofErr w:type="spellEnd"/>
      <w:r w:rsidR="00CF6A52">
        <w:t xml:space="preserve">, W., </w:t>
      </w:r>
      <w:proofErr w:type="spellStart"/>
      <w:r w:rsidR="00CF6A52">
        <w:t>Veldink</w:t>
      </w:r>
      <w:proofErr w:type="spellEnd"/>
      <w:r w:rsidR="00CF6A52">
        <w:t xml:space="preserve">, J. H., Van Den Berg, L. H., Hardiman, O., Carroll, M., </w:t>
      </w:r>
      <w:proofErr w:type="spellStart"/>
      <w:r w:rsidR="00CF6A52">
        <w:t>Roskams</w:t>
      </w:r>
      <w:proofErr w:type="spellEnd"/>
      <w:r w:rsidR="00CF6A52">
        <w:t xml:space="preserve">, S., Oxley, J., </w:t>
      </w:r>
      <w:r w:rsidR="005B0EED">
        <w:t>Morgan, C., Thomas, M. G., Barnes, I., McDonnell, C., Collins, M. J., Bradley, D. G.,</w:t>
      </w:r>
      <w:r w:rsidR="00CF6A52">
        <w:t xml:space="preserve"> </w:t>
      </w:r>
      <w:r>
        <w:t xml:space="preserve"> ‘Genomic </w:t>
      </w:r>
      <w:proofErr w:type="spellStart"/>
      <w:r>
        <w:t>Signlans</w:t>
      </w:r>
      <w:proofErr w:type="spellEnd"/>
      <w:r>
        <w:t xml:space="preserve"> of Migration and Continuity in Britain before the Anglo-Saxons’,</w:t>
      </w:r>
      <w:r w:rsidR="00655248">
        <w:t xml:space="preserve"> in</w:t>
      </w:r>
      <w:r>
        <w:t xml:space="preserve"> </w:t>
      </w:r>
      <w:r>
        <w:rPr>
          <w:i/>
        </w:rPr>
        <w:t xml:space="preserve">Nature Communications, </w:t>
      </w:r>
      <w:r>
        <w:t>Vol. 7 (2016), p.p. 1-7.</w:t>
      </w:r>
    </w:p>
    <w:p w14:paraId="7321B0C1" w14:textId="0F8FBE88" w:rsidR="00194B82" w:rsidRDefault="00194B82" w:rsidP="00B1662B">
      <w:pPr>
        <w:spacing w:line="480" w:lineRule="auto"/>
      </w:pPr>
      <w:r>
        <w:lastRenderedPageBreak/>
        <w:t>Pryor</w:t>
      </w:r>
      <w:r>
        <w:t>, F.</w:t>
      </w:r>
      <w:r>
        <w:t xml:space="preserve">, </w:t>
      </w:r>
      <w:r>
        <w:rPr>
          <w:i/>
        </w:rPr>
        <w:t xml:space="preserve">Britain AD: A Quest for Arthur, England and the Anglo-Saxons </w:t>
      </w:r>
      <w:r>
        <w:t>(London: Harper Perennial, 2004)</w:t>
      </w:r>
      <w:r w:rsidR="00D85AA8">
        <w:t>.</w:t>
      </w:r>
    </w:p>
    <w:p w14:paraId="22D846C9" w14:textId="23701414" w:rsidR="008D25C7" w:rsidRDefault="008D25C7" w:rsidP="00B1662B">
      <w:pPr>
        <w:spacing w:line="480" w:lineRule="auto"/>
      </w:pPr>
      <w:proofErr w:type="spellStart"/>
      <w:r>
        <w:t>Schiffels</w:t>
      </w:r>
      <w:proofErr w:type="spellEnd"/>
      <w:r w:rsidR="005B0EED">
        <w:t xml:space="preserve">, S., </w:t>
      </w:r>
      <w:proofErr w:type="spellStart"/>
      <w:r w:rsidR="005B0EED">
        <w:t>Haak</w:t>
      </w:r>
      <w:proofErr w:type="spellEnd"/>
      <w:r w:rsidR="005B0EED">
        <w:t xml:space="preserve">, W., </w:t>
      </w:r>
      <w:proofErr w:type="spellStart"/>
      <w:r w:rsidR="005B0EED">
        <w:t>Paajanen</w:t>
      </w:r>
      <w:proofErr w:type="spellEnd"/>
      <w:r w:rsidR="005B0EED">
        <w:t xml:space="preserve">, P., Llamas, B., Popescu, E., </w:t>
      </w:r>
      <w:proofErr w:type="spellStart"/>
      <w:r w:rsidR="005B0EED">
        <w:t>Loe</w:t>
      </w:r>
      <w:proofErr w:type="spellEnd"/>
      <w:r w:rsidR="005B0EED">
        <w:t xml:space="preserve">, L., Clarke, R., Lyons, A., Mortimer, R., Sayer, D., Tyler-Smith, C., Cooper, A., Durbin, </w:t>
      </w:r>
      <w:proofErr w:type="spellStart"/>
      <w:r w:rsidR="005B0EED">
        <w:t>R.,</w:t>
      </w:r>
      <w:r>
        <w:t>‘Iron</w:t>
      </w:r>
      <w:proofErr w:type="spellEnd"/>
      <w:r>
        <w:t xml:space="preserve"> Age and Anglo-Saxon genomes from East England Reveal British Migration History’, </w:t>
      </w:r>
      <w:r>
        <w:rPr>
          <w:i/>
        </w:rPr>
        <w:t xml:space="preserve">Nature Communications, </w:t>
      </w:r>
      <w:r>
        <w:t>Vol. 7 (2016)</w:t>
      </w:r>
      <w:r>
        <w:t>, p.p. 1-7</w:t>
      </w:r>
      <w:r w:rsidR="00CF3DD6">
        <w:t>.</w:t>
      </w:r>
    </w:p>
    <w:p w14:paraId="21AC4165" w14:textId="638E67D5" w:rsidR="00C113BC" w:rsidRDefault="00C113BC" w:rsidP="00B1662B">
      <w:pPr>
        <w:spacing w:line="480" w:lineRule="auto"/>
      </w:pPr>
      <w:r>
        <w:t>Trist</w:t>
      </w:r>
      <w:r>
        <w:t>r</w:t>
      </w:r>
      <w:r>
        <w:t>am,</w:t>
      </w:r>
      <w:r w:rsidR="003603A6">
        <w:t xml:space="preserve"> H.,</w:t>
      </w:r>
      <w:r>
        <w:t xml:space="preserve"> ‘Why Don’t the English Speak Welsh?’</w:t>
      </w:r>
      <w:r w:rsidR="00655248">
        <w:t>, in</w:t>
      </w:r>
      <w:r>
        <w:t xml:space="preserve"> </w:t>
      </w:r>
      <w:r>
        <w:rPr>
          <w:i/>
        </w:rPr>
        <w:t xml:space="preserve">Britons in Anglo-Saxon England, </w:t>
      </w:r>
      <w:r w:rsidR="00655248">
        <w:t>ed.</w:t>
      </w:r>
      <w:r>
        <w:t xml:space="preserve"> Higham, N.,</w:t>
      </w:r>
      <w:r>
        <w:rPr>
          <w:i/>
        </w:rPr>
        <w:t xml:space="preserve"> </w:t>
      </w:r>
      <w:r>
        <w:t>(Woodbridge: Boydell &amp; Brewer, 2008</w:t>
      </w:r>
      <w:r>
        <w:t>), p.p. 192-214.</w:t>
      </w:r>
    </w:p>
    <w:p w14:paraId="18D04351" w14:textId="0353D078" w:rsidR="00F448E9" w:rsidRDefault="00F448E9" w:rsidP="00B1662B">
      <w:pPr>
        <w:spacing w:line="480" w:lineRule="auto"/>
      </w:pPr>
      <w:r>
        <w:t>Ward-Perkins,</w:t>
      </w:r>
      <w:r>
        <w:t xml:space="preserve"> B.,</w:t>
      </w:r>
      <w:r>
        <w:t xml:space="preserve"> ‘Why did the Anglo-Saxons Not Become More British?’, </w:t>
      </w:r>
      <w:r>
        <w:rPr>
          <w:i/>
        </w:rPr>
        <w:t xml:space="preserve">The English Historical Review, </w:t>
      </w:r>
      <w:r>
        <w:t>Vol 115 (2000)</w:t>
      </w:r>
      <w:r>
        <w:t>, p.p. 513-533.</w:t>
      </w:r>
    </w:p>
    <w:p w14:paraId="41714F41" w14:textId="0CF9967E" w:rsidR="008D25C7" w:rsidRPr="00194B82" w:rsidRDefault="008D25C7" w:rsidP="00B1662B">
      <w:pPr>
        <w:spacing w:line="480" w:lineRule="auto"/>
        <w:rPr>
          <w:rFonts w:cs="Times New Roman"/>
        </w:rPr>
      </w:pPr>
      <w:proofErr w:type="spellStart"/>
      <w:r>
        <w:t>Weale</w:t>
      </w:r>
      <w:proofErr w:type="spellEnd"/>
      <w:r w:rsidR="005B0EED">
        <w:t>, M. E., Weiss, D. A., Jager, R. F., Bradman, N., Thomas, M. G.,</w:t>
      </w:r>
      <w:r>
        <w:t xml:space="preserve"> ‘Y Chromosome Evidence for Anglo-Saxon Mass Migration’,</w:t>
      </w:r>
      <w:r w:rsidR="00655248">
        <w:t xml:space="preserve"> in</w:t>
      </w:r>
      <w:r>
        <w:t xml:space="preserve"> </w:t>
      </w:r>
      <w:r>
        <w:rPr>
          <w:i/>
        </w:rPr>
        <w:t xml:space="preserve">Molecular Biology and Evolution, </w:t>
      </w:r>
      <w:r>
        <w:t>Vol. 19 (2002), p.p. 1008-1021.</w:t>
      </w:r>
    </w:p>
    <w:sectPr w:rsidR="008D25C7" w:rsidRPr="00194B8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4E80BD" w14:textId="77777777" w:rsidR="0033316B" w:rsidRDefault="0033316B" w:rsidP="00FD6C50">
      <w:pPr>
        <w:spacing w:after="0" w:line="240" w:lineRule="auto"/>
      </w:pPr>
      <w:r>
        <w:separator/>
      </w:r>
    </w:p>
  </w:endnote>
  <w:endnote w:type="continuationSeparator" w:id="0">
    <w:p w14:paraId="19C3611B" w14:textId="77777777" w:rsidR="0033316B" w:rsidRDefault="0033316B" w:rsidP="00FD6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3D7F1" w14:textId="77777777" w:rsidR="0033316B" w:rsidRDefault="0033316B" w:rsidP="00FD6C50">
      <w:pPr>
        <w:spacing w:after="0" w:line="240" w:lineRule="auto"/>
      </w:pPr>
      <w:r>
        <w:separator/>
      </w:r>
    </w:p>
  </w:footnote>
  <w:footnote w:type="continuationSeparator" w:id="0">
    <w:p w14:paraId="64E71EDF" w14:textId="77777777" w:rsidR="0033316B" w:rsidRDefault="0033316B" w:rsidP="00FD6C50">
      <w:pPr>
        <w:spacing w:after="0" w:line="240" w:lineRule="auto"/>
      </w:pPr>
      <w:r>
        <w:continuationSeparator/>
      </w:r>
    </w:p>
  </w:footnote>
  <w:footnote w:id="1">
    <w:p w14:paraId="6EEE4B8D" w14:textId="6D7F8D55" w:rsidR="00FD6C50" w:rsidRPr="00FD6C50" w:rsidRDefault="00FD6C50">
      <w:pPr>
        <w:pStyle w:val="FootnoteText"/>
      </w:pPr>
      <w:r>
        <w:rPr>
          <w:rStyle w:val="FootnoteReference"/>
        </w:rPr>
        <w:footnoteRef/>
      </w:r>
      <w:r>
        <w:t xml:space="preserve"> </w:t>
      </w:r>
      <w:proofErr w:type="spellStart"/>
      <w:r>
        <w:t>Gildas</w:t>
      </w:r>
      <w:proofErr w:type="spellEnd"/>
      <w:r>
        <w:t xml:space="preserve">, </w:t>
      </w:r>
      <w:r w:rsidRPr="00FD6C50">
        <w:rPr>
          <w:i/>
        </w:rPr>
        <w:t xml:space="preserve">De </w:t>
      </w:r>
      <w:proofErr w:type="spellStart"/>
      <w:r w:rsidRPr="00FD6C50">
        <w:rPr>
          <w:i/>
        </w:rPr>
        <w:t>Excidio</w:t>
      </w:r>
      <w:proofErr w:type="spellEnd"/>
      <w:r w:rsidRPr="00FD6C50">
        <w:rPr>
          <w:i/>
        </w:rPr>
        <w:t xml:space="preserve"> et </w:t>
      </w:r>
      <w:proofErr w:type="spellStart"/>
      <w:r w:rsidRPr="00FD6C50">
        <w:rPr>
          <w:i/>
        </w:rPr>
        <w:t>Conquestu</w:t>
      </w:r>
      <w:proofErr w:type="spellEnd"/>
      <w:r w:rsidRPr="00FD6C50">
        <w:rPr>
          <w:i/>
        </w:rPr>
        <w:t xml:space="preserve"> Britanniae</w:t>
      </w:r>
      <w:r>
        <w:rPr>
          <w:i/>
        </w:rPr>
        <w:t xml:space="preserve">, </w:t>
      </w:r>
      <w:r>
        <w:t xml:space="preserve">20-26; Bede </w:t>
      </w:r>
      <w:r>
        <w:rPr>
          <w:i/>
        </w:rPr>
        <w:t xml:space="preserve">Ecclesiastical History, </w:t>
      </w:r>
      <w:r>
        <w:t>1.1</w:t>
      </w:r>
      <w:r w:rsidR="00802FD5">
        <w:t>4</w:t>
      </w:r>
      <w:r>
        <w:t xml:space="preserve">-22; </w:t>
      </w:r>
      <w:r>
        <w:rPr>
          <w:i/>
        </w:rPr>
        <w:t xml:space="preserve">Anglo-Saxon Chronicle, </w:t>
      </w:r>
      <w:r>
        <w:t>443-455.</w:t>
      </w:r>
    </w:p>
  </w:footnote>
  <w:footnote w:id="2">
    <w:p w14:paraId="6CB50899" w14:textId="7CBB818E" w:rsidR="00802FD5" w:rsidRPr="00802FD5" w:rsidRDefault="00802FD5">
      <w:pPr>
        <w:pStyle w:val="FootnoteText"/>
      </w:pPr>
      <w:r>
        <w:rPr>
          <w:rStyle w:val="FootnoteReference"/>
        </w:rPr>
        <w:footnoteRef/>
      </w:r>
      <w:r>
        <w:t xml:space="preserve"> Bede, </w:t>
      </w:r>
      <w:r>
        <w:rPr>
          <w:i/>
        </w:rPr>
        <w:t xml:space="preserve">Ecclesiastical History, </w:t>
      </w:r>
      <w:r>
        <w:t>1.15.</w:t>
      </w:r>
    </w:p>
  </w:footnote>
  <w:footnote w:id="3">
    <w:p w14:paraId="29638B3A" w14:textId="4E53721B" w:rsidR="00802FD5" w:rsidRPr="00802FD5" w:rsidRDefault="00802FD5">
      <w:pPr>
        <w:pStyle w:val="FootnoteText"/>
      </w:pPr>
      <w:r>
        <w:rPr>
          <w:rStyle w:val="FootnoteReference"/>
        </w:rPr>
        <w:footnoteRef/>
      </w:r>
      <w:r>
        <w:t xml:space="preserve"> </w:t>
      </w:r>
      <w:r>
        <w:rPr>
          <w:i/>
        </w:rPr>
        <w:t xml:space="preserve">Anglo-Saxon Chronicle, </w:t>
      </w:r>
      <w:r>
        <w:t xml:space="preserve">443; Geoffrey of Monmouth, </w:t>
      </w:r>
      <w:r>
        <w:rPr>
          <w:i/>
        </w:rPr>
        <w:t xml:space="preserve">History of the Kings of Britain, </w:t>
      </w:r>
      <w:r>
        <w:t>6.10-11.</w:t>
      </w:r>
    </w:p>
  </w:footnote>
  <w:footnote w:id="4">
    <w:p w14:paraId="23CBCC44" w14:textId="6F759020" w:rsidR="00802FD5" w:rsidRPr="0058108E" w:rsidRDefault="00802FD5">
      <w:pPr>
        <w:pStyle w:val="FootnoteText"/>
      </w:pPr>
      <w:r>
        <w:rPr>
          <w:rStyle w:val="FootnoteReference"/>
        </w:rPr>
        <w:footnoteRef/>
      </w:r>
      <w:r>
        <w:t xml:space="preserve"> Nicholas J. Higham and Martin J. Ryan, </w:t>
      </w:r>
      <w:r>
        <w:rPr>
          <w:i/>
        </w:rPr>
        <w:t xml:space="preserve">The Anglo-Saxon World, </w:t>
      </w:r>
      <w:r>
        <w:t xml:space="preserve">(New Haven and London: Yale University Press, 2013), p.p. 59, 75; Francis Pryor, </w:t>
      </w:r>
      <w:r w:rsidR="0058108E">
        <w:rPr>
          <w:i/>
        </w:rPr>
        <w:t xml:space="preserve">Britain AD: A Quest for Arthur, England and the Anglo-Saxons </w:t>
      </w:r>
      <w:r w:rsidR="0058108E">
        <w:t xml:space="preserve">(London: Harper Perennial, 2004), p.126; Peter Hunter  Blair, </w:t>
      </w:r>
      <w:r w:rsidR="0058108E">
        <w:rPr>
          <w:i/>
        </w:rPr>
        <w:t>Roman Britain and Early England: 55BC-871 AD</w:t>
      </w:r>
      <w:r w:rsidR="0058108E">
        <w:t xml:space="preserve">, (London: Cardinal, 1963), p.p. 169-170; Peter Hunter Blair, </w:t>
      </w:r>
      <w:r w:rsidR="0058108E">
        <w:rPr>
          <w:i/>
        </w:rPr>
        <w:t xml:space="preserve">An Introduction to Anglo-Saxon England, </w:t>
      </w:r>
      <w:r w:rsidR="0058108E">
        <w:t>2</w:t>
      </w:r>
      <w:r w:rsidR="0058108E" w:rsidRPr="0058108E">
        <w:rPr>
          <w:vertAlign w:val="superscript"/>
        </w:rPr>
        <w:t>nd</w:t>
      </w:r>
      <w:r w:rsidR="0058108E">
        <w:t xml:space="preserve"> ed. (Cambridge: Cambridge University Press, 1977), p.p. 13-18.</w:t>
      </w:r>
    </w:p>
  </w:footnote>
  <w:footnote w:id="5">
    <w:p w14:paraId="5B8E4546" w14:textId="1A5E7E77" w:rsidR="00403DE6" w:rsidRPr="00403DE6" w:rsidRDefault="00403DE6">
      <w:pPr>
        <w:pStyle w:val="FootnoteText"/>
      </w:pPr>
      <w:r>
        <w:rPr>
          <w:rStyle w:val="FootnoteReference"/>
        </w:rPr>
        <w:footnoteRef/>
      </w:r>
      <w:r>
        <w:t xml:space="preserve"> Higham and Ryan, </w:t>
      </w:r>
      <w:r>
        <w:rPr>
          <w:i/>
        </w:rPr>
        <w:t xml:space="preserve">Anglo-Saxon World, </w:t>
      </w:r>
      <w:r>
        <w:t xml:space="preserve">p. 57; Pryor, </w:t>
      </w:r>
      <w:r>
        <w:rPr>
          <w:i/>
        </w:rPr>
        <w:t xml:space="preserve">Britain AD, </w:t>
      </w:r>
      <w:r>
        <w:t xml:space="preserve">p. 126; Blair, </w:t>
      </w:r>
      <w:r w:rsidRPr="00403DE6">
        <w:rPr>
          <w:i/>
        </w:rPr>
        <w:t>Anglo-Saxon England</w:t>
      </w:r>
      <w:r>
        <w:rPr>
          <w:i/>
        </w:rPr>
        <w:t xml:space="preserve">, </w:t>
      </w:r>
      <w:r>
        <w:t>p. 13.</w:t>
      </w:r>
    </w:p>
  </w:footnote>
  <w:footnote w:id="6">
    <w:p w14:paraId="69C3AE8A" w14:textId="66D19309" w:rsidR="00403DE6" w:rsidRPr="00403DE6" w:rsidRDefault="00403DE6">
      <w:pPr>
        <w:pStyle w:val="FootnoteText"/>
      </w:pPr>
      <w:r>
        <w:rPr>
          <w:rStyle w:val="FootnoteReference"/>
        </w:rPr>
        <w:footnoteRef/>
      </w:r>
      <w:r>
        <w:t xml:space="preserve"> Higham and Ryan, </w:t>
      </w:r>
      <w:r>
        <w:rPr>
          <w:i/>
        </w:rPr>
        <w:t xml:space="preserve">Anglo-Saxon World, </w:t>
      </w:r>
      <w:r>
        <w:t>p.75.</w:t>
      </w:r>
    </w:p>
  </w:footnote>
  <w:footnote w:id="7">
    <w:p w14:paraId="2C34AEA2" w14:textId="5ABF0095" w:rsidR="00403DE6" w:rsidRPr="00403DE6" w:rsidRDefault="00403DE6">
      <w:pPr>
        <w:pStyle w:val="FootnoteText"/>
      </w:pPr>
      <w:r>
        <w:rPr>
          <w:rStyle w:val="FootnoteReference"/>
        </w:rPr>
        <w:footnoteRef/>
      </w:r>
      <w:r>
        <w:t xml:space="preserve"> </w:t>
      </w:r>
      <w:bookmarkStart w:id="0" w:name="_Hlk8385915"/>
      <w:r>
        <w:t xml:space="preserve">Henry of Huntingdon, </w:t>
      </w:r>
      <w:r w:rsidRPr="00403DE6">
        <w:rPr>
          <w:i/>
        </w:rPr>
        <w:t>The History of the English People: 1000-1054,</w:t>
      </w:r>
      <w:r>
        <w:rPr>
          <w:i/>
        </w:rPr>
        <w:t xml:space="preserve"> </w:t>
      </w:r>
      <w:r>
        <w:t>translated by Diana Greenway, (Oxford: Oxford University Press, 2002)</w:t>
      </w:r>
      <w:bookmarkEnd w:id="0"/>
      <w:r>
        <w:t>, p. 31.</w:t>
      </w:r>
    </w:p>
  </w:footnote>
  <w:footnote w:id="8">
    <w:p w14:paraId="5AD9EA9D" w14:textId="70935D79" w:rsidR="001610C1" w:rsidRPr="00396DC4" w:rsidRDefault="001610C1">
      <w:pPr>
        <w:pStyle w:val="FootnoteText"/>
      </w:pPr>
      <w:r>
        <w:rPr>
          <w:rStyle w:val="FootnoteReference"/>
        </w:rPr>
        <w:footnoteRef/>
      </w:r>
      <w:r>
        <w:t xml:space="preserve"> Geoffrey Hindley, </w:t>
      </w:r>
      <w:r>
        <w:rPr>
          <w:i/>
        </w:rPr>
        <w:t xml:space="preserve">A Brief History of the Anglo-Saxons: The Beginnings of the English Nation, </w:t>
      </w:r>
      <w:r>
        <w:t>(London: Robinson, 2006), p. 14</w:t>
      </w:r>
      <w:r w:rsidR="00E41402">
        <w:t xml:space="preserve">; Livy, </w:t>
      </w:r>
      <w:r w:rsidR="00396DC4">
        <w:rPr>
          <w:i/>
        </w:rPr>
        <w:t xml:space="preserve">Ab Urbe Condita Libri, </w:t>
      </w:r>
      <w:r w:rsidR="00396DC4">
        <w:t>1.4-7.</w:t>
      </w:r>
    </w:p>
  </w:footnote>
  <w:footnote w:id="9">
    <w:p w14:paraId="09A01EB9" w14:textId="0DE9F864" w:rsidR="001610C1" w:rsidRPr="001610C1" w:rsidRDefault="001610C1">
      <w:pPr>
        <w:pStyle w:val="FootnoteText"/>
      </w:pPr>
      <w:r>
        <w:rPr>
          <w:rStyle w:val="FootnoteReference"/>
        </w:rPr>
        <w:footnoteRef/>
      </w:r>
      <w:r>
        <w:t xml:space="preserve"> </w:t>
      </w:r>
      <w:proofErr w:type="spellStart"/>
      <w:r>
        <w:rPr>
          <w:i/>
        </w:rPr>
        <w:t>Gildas</w:t>
      </w:r>
      <w:proofErr w:type="spellEnd"/>
      <w:r>
        <w:rPr>
          <w:i/>
        </w:rPr>
        <w:t xml:space="preserve">, </w:t>
      </w:r>
      <w:r>
        <w:t xml:space="preserve">7; Higham and Ryan, </w:t>
      </w:r>
      <w:r>
        <w:rPr>
          <w:i/>
        </w:rPr>
        <w:t xml:space="preserve">Anglo-Saxon World, </w:t>
      </w:r>
      <w:r>
        <w:t xml:space="preserve">p. 58; </w:t>
      </w:r>
      <w:r>
        <w:rPr>
          <w:i/>
        </w:rPr>
        <w:t xml:space="preserve">Gallic Chronicle of 452, </w:t>
      </w:r>
      <w:r>
        <w:t xml:space="preserve">84; Jean Manco, </w:t>
      </w:r>
      <w:r>
        <w:rPr>
          <w:i/>
        </w:rPr>
        <w:t xml:space="preserve">The Origins of the Anglo-Saxons: Decoding the Ancestry of the English, </w:t>
      </w:r>
      <w:r>
        <w:t>(London: Thames and Hudson, 2018), p. 124.</w:t>
      </w:r>
    </w:p>
  </w:footnote>
  <w:footnote w:id="10">
    <w:p w14:paraId="159010A0" w14:textId="634687CF" w:rsidR="001610C1" w:rsidRPr="00945AAA" w:rsidRDefault="001610C1">
      <w:pPr>
        <w:pStyle w:val="FootnoteText"/>
      </w:pPr>
      <w:r>
        <w:rPr>
          <w:rStyle w:val="FootnoteReference"/>
        </w:rPr>
        <w:footnoteRef/>
      </w:r>
      <w:r>
        <w:t xml:space="preserve"> </w:t>
      </w:r>
      <w:r w:rsidR="00945AAA">
        <w:t xml:space="preserve">Blair, </w:t>
      </w:r>
      <w:r w:rsidR="00945AAA">
        <w:rPr>
          <w:i/>
        </w:rPr>
        <w:t xml:space="preserve">Anglo-Saxon England, </w:t>
      </w:r>
      <w:r w:rsidR="00945AAA">
        <w:t xml:space="preserve">p. 18; Stuart Laycock, </w:t>
      </w:r>
      <w:r w:rsidR="00945AAA">
        <w:rPr>
          <w:i/>
        </w:rPr>
        <w:t xml:space="preserve">Britannia: The Failed State: Tribal Conflicts and the End of Roman Britain, </w:t>
      </w:r>
      <w:r w:rsidR="00945AAA">
        <w:t>(Stroud, The History Press, 2008), p. 169.</w:t>
      </w:r>
    </w:p>
  </w:footnote>
  <w:footnote w:id="11">
    <w:p w14:paraId="28284541" w14:textId="28F9E4A5" w:rsidR="00945AAA" w:rsidRPr="00945AAA" w:rsidRDefault="00945AAA">
      <w:pPr>
        <w:pStyle w:val="FootnoteText"/>
      </w:pPr>
      <w:r>
        <w:rPr>
          <w:rStyle w:val="FootnoteReference"/>
        </w:rPr>
        <w:footnoteRef/>
      </w:r>
      <w:r>
        <w:t xml:space="preserve"> Manco, </w:t>
      </w:r>
      <w:r>
        <w:rPr>
          <w:i/>
        </w:rPr>
        <w:t xml:space="preserve">Origins of the Anglo-Saxons, </w:t>
      </w:r>
      <w:r>
        <w:t xml:space="preserve">p. 28-9; Hindley, </w:t>
      </w:r>
      <w:r>
        <w:rPr>
          <w:i/>
        </w:rPr>
        <w:t xml:space="preserve">Brief History, </w:t>
      </w:r>
      <w:r>
        <w:t xml:space="preserve">p. 1; Blair, </w:t>
      </w:r>
      <w:r>
        <w:rPr>
          <w:i/>
        </w:rPr>
        <w:t xml:space="preserve">Anglo-Saxon England, </w:t>
      </w:r>
      <w:r>
        <w:t>p. 15.</w:t>
      </w:r>
    </w:p>
  </w:footnote>
  <w:footnote w:id="12">
    <w:p w14:paraId="398B5B55" w14:textId="1F039F69" w:rsidR="00945AAA" w:rsidRPr="00945AAA" w:rsidRDefault="00945AAA">
      <w:pPr>
        <w:pStyle w:val="FootnoteText"/>
      </w:pPr>
      <w:r>
        <w:rPr>
          <w:rStyle w:val="FootnoteReference"/>
        </w:rPr>
        <w:footnoteRef/>
      </w:r>
      <w:r>
        <w:t xml:space="preserve"> Blair, </w:t>
      </w:r>
      <w:r>
        <w:rPr>
          <w:i/>
        </w:rPr>
        <w:t xml:space="preserve">Anglo-Saxon England, </w:t>
      </w:r>
      <w:r>
        <w:t>p. 15.</w:t>
      </w:r>
    </w:p>
  </w:footnote>
  <w:footnote w:id="13">
    <w:p w14:paraId="2750B566" w14:textId="224B77CF" w:rsidR="00945AAA" w:rsidRPr="00945AAA" w:rsidRDefault="00945AAA">
      <w:pPr>
        <w:pStyle w:val="FootnoteText"/>
      </w:pPr>
      <w:r>
        <w:rPr>
          <w:rStyle w:val="FootnoteReference"/>
        </w:rPr>
        <w:footnoteRef/>
      </w:r>
      <w:r>
        <w:t xml:space="preserve"> ILS (vol 1), 2549, 2554; Manco, </w:t>
      </w:r>
      <w:r>
        <w:rPr>
          <w:i/>
        </w:rPr>
        <w:t xml:space="preserve">Origins of the Anglo-Saxons, </w:t>
      </w:r>
      <w:r>
        <w:t xml:space="preserve">p. 122; Laycock, </w:t>
      </w:r>
      <w:r>
        <w:rPr>
          <w:i/>
        </w:rPr>
        <w:t xml:space="preserve">Britannia: The Failed State, </w:t>
      </w:r>
      <w:r>
        <w:t>p. 176.</w:t>
      </w:r>
    </w:p>
  </w:footnote>
  <w:footnote w:id="14">
    <w:p w14:paraId="29A85F48" w14:textId="44E75B56" w:rsidR="00E163BE" w:rsidRPr="00E163BE" w:rsidRDefault="00E163BE">
      <w:pPr>
        <w:pStyle w:val="FootnoteText"/>
      </w:pPr>
      <w:r>
        <w:rPr>
          <w:rStyle w:val="FootnoteReference"/>
        </w:rPr>
        <w:footnoteRef/>
      </w:r>
      <w:r>
        <w:t xml:space="preserve"> Blair, </w:t>
      </w:r>
      <w:r>
        <w:rPr>
          <w:i/>
        </w:rPr>
        <w:t xml:space="preserve">Anglo-Saxon England, </w:t>
      </w:r>
      <w:r>
        <w:t>p. 19.</w:t>
      </w:r>
    </w:p>
  </w:footnote>
  <w:footnote w:id="15">
    <w:p w14:paraId="1D684721" w14:textId="03F4B41F" w:rsidR="00E163BE" w:rsidRPr="00E163BE" w:rsidRDefault="00E163BE">
      <w:pPr>
        <w:pStyle w:val="FootnoteText"/>
      </w:pPr>
      <w:r>
        <w:rPr>
          <w:rStyle w:val="FootnoteReference"/>
        </w:rPr>
        <w:footnoteRef/>
      </w:r>
      <w:r>
        <w:t xml:space="preserve"> Manco, </w:t>
      </w:r>
      <w:r>
        <w:rPr>
          <w:i/>
        </w:rPr>
        <w:t xml:space="preserve">Origins of the Anglo-Saxons, </w:t>
      </w:r>
      <w:r>
        <w:t>p. 128.</w:t>
      </w:r>
    </w:p>
  </w:footnote>
  <w:footnote w:id="16">
    <w:p w14:paraId="2A6FD342" w14:textId="2C255EC8" w:rsidR="00E163BE" w:rsidRPr="00E163BE" w:rsidRDefault="00E163BE">
      <w:pPr>
        <w:pStyle w:val="FootnoteText"/>
      </w:pPr>
      <w:r>
        <w:rPr>
          <w:rStyle w:val="FootnoteReference"/>
        </w:rPr>
        <w:footnoteRef/>
      </w:r>
      <w:r>
        <w:t xml:space="preserve"> Blair, </w:t>
      </w:r>
      <w:r>
        <w:rPr>
          <w:i/>
        </w:rPr>
        <w:t xml:space="preserve">Anglo-Saxon England, </w:t>
      </w:r>
      <w:r>
        <w:t>p. 19.</w:t>
      </w:r>
    </w:p>
  </w:footnote>
  <w:footnote w:id="17">
    <w:p w14:paraId="4117E9C2" w14:textId="096AAC50" w:rsidR="003678E5" w:rsidRPr="003678E5" w:rsidRDefault="003678E5">
      <w:pPr>
        <w:pStyle w:val="FootnoteText"/>
      </w:pPr>
      <w:r>
        <w:rPr>
          <w:rStyle w:val="FootnoteReference"/>
        </w:rPr>
        <w:footnoteRef/>
      </w:r>
      <w:r>
        <w:t xml:space="preserve"> Higham and Ryan, </w:t>
      </w:r>
      <w:r>
        <w:rPr>
          <w:i/>
        </w:rPr>
        <w:t xml:space="preserve">Anglo-Saxon World, </w:t>
      </w:r>
      <w:r>
        <w:t xml:space="preserve">p. 79; Manco, </w:t>
      </w:r>
      <w:r>
        <w:rPr>
          <w:i/>
        </w:rPr>
        <w:t xml:space="preserve">Origins of the Anglo-Saxons, </w:t>
      </w:r>
      <w:r>
        <w:t>p. 126.</w:t>
      </w:r>
    </w:p>
  </w:footnote>
  <w:footnote w:id="18">
    <w:p w14:paraId="5010B25F" w14:textId="46C96F4A" w:rsidR="003678E5" w:rsidRPr="003678E5" w:rsidRDefault="003678E5">
      <w:pPr>
        <w:pStyle w:val="FootnoteText"/>
      </w:pPr>
      <w:r>
        <w:rPr>
          <w:rStyle w:val="FootnoteReference"/>
        </w:rPr>
        <w:footnoteRef/>
      </w:r>
      <w:r>
        <w:t xml:space="preserve"> Higham and Ryan, </w:t>
      </w:r>
      <w:r>
        <w:rPr>
          <w:i/>
        </w:rPr>
        <w:t xml:space="preserve">Anglo-Saxon World, </w:t>
      </w:r>
      <w:r>
        <w:t>p. 79.</w:t>
      </w:r>
    </w:p>
  </w:footnote>
  <w:footnote w:id="19">
    <w:p w14:paraId="0A98A7DC" w14:textId="7C4051E6" w:rsidR="000C4CE9" w:rsidRPr="000C4CE9" w:rsidRDefault="000C4CE9">
      <w:pPr>
        <w:pStyle w:val="FootnoteText"/>
      </w:pPr>
      <w:r>
        <w:rPr>
          <w:rStyle w:val="FootnoteReference"/>
        </w:rPr>
        <w:footnoteRef/>
      </w:r>
      <w:r>
        <w:t xml:space="preserve"> </w:t>
      </w:r>
      <w:r w:rsidR="00347F78">
        <w:t xml:space="preserve">Higham and Ryan, </w:t>
      </w:r>
      <w:r w:rsidR="00347F78">
        <w:rPr>
          <w:i/>
        </w:rPr>
        <w:t>Anglo-Saxon World</w:t>
      </w:r>
      <w:r>
        <w:rPr>
          <w:i/>
        </w:rPr>
        <w:t xml:space="preserve">, </w:t>
      </w:r>
      <w:r>
        <w:t>p. 81.</w:t>
      </w:r>
    </w:p>
  </w:footnote>
  <w:footnote w:id="20">
    <w:p w14:paraId="25923E64" w14:textId="434BCEBF" w:rsidR="00E571E0" w:rsidRDefault="00E571E0">
      <w:pPr>
        <w:pStyle w:val="FootnoteText"/>
      </w:pPr>
      <w:r>
        <w:rPr>
          <w:rStyle w:val="FootnoteReference"/>
        </w:rPr>
        <w:footnoteRef/>
      </w:r>
      <w:r w:rsidR="00347F78">
        <w:t xml:space="preserve"> </w:t>
      </w:r>
      <w:r w:rsidR="00347F78">
        <w:t xml:space="preserve">Higham and Ryan, </w:t>
      </w:r>
      <w:r w:rsidR="00347F78">
        <w:rPr>
          <w:i/>
        </w:rPr>
        <w:t>Anglo-Saxon World</w:t>
      </w:r>
      <w:r w:rsidR="00347F78">
        <w:rPr>
          <w:i/>
        </w:rPr>
        <w:t>,</w:t>
      </w:r>
      <w:r>
        <w:t xml:space="preserve"> p.</w:t>
      </w:r>
      <w:r w:rsidR="00347F78">
        <w:t>p.</w:t>
      </w:r>
      <w:r>
        <w:t xml:space="preserve"> 85-86.</w:t>
      </w:r>
    </w:p>
  </w:footnote>
  <w:footnote w:id="21">
    <w:p w14:paraId="20A4B1E6" w14:textId="69C74F2B" w:rsidR="00C858AB" w:rsidRPr="00C858AB" w:rsidRDefault="00C858AB">
      <w:pPr>
        <w:pStyle w:val="FootnoteText"/>
      </w:pPr>
      <w:r>
        <w:rPr>
          <w:rStyle w:val="FootnoteReference"/>
        </w:rPr>
        <w:footnoteRef/>
      </w:r>
      <w:r>
        <w:t xml:space="preserve"> Robin Fleming, </w:t>
      </w:r>
      <w:r>
        <w:rPr>
          <w:i/>
        </w:rPr>
        <w:t xml:space="preserve">Britain After Rome: The Fall and Rise 400 to 1070, </w:t>
      </w:r>
      <w:r>
        <w:t>(London: Penguin, 2010), p. 48.</w:t>
      </w:r>
    </w:p>
  </w:footnote>
  <w:footnote w:id="22">
    <w:p w14:paraId="59B6DBCB" w14:textId="244CF51F" w:rsidR="00C858AB" w:rsidRPr="00C858AB" w:rsidRDefault="00C858AB">
      <w:pPr>
        <w:pStyle w:val="FootnoteText"/>
      </w:pPr>
      <w:r>
        <w:rPr>
          <w:rStyle w:val="FootnoteReference"/>
        </w:rPr>
        <w:footnoteRef/>
      </w:r>
      <w:r>
        <w:t xml:space="preserve"> Higham and Ryan, </w:t>
      </w:r>
      <w:r>
        <w:rPr>
          <w:i/>
        </w:rPr>
        <w:t xml:space="preserve">Anglo-Saxon World, </w:t>
      </w:r>
      <w:r>
        <w:t>p. 87.</w:t>
      </w:r>
    </w:p>
  </w:footnote>
  <w:footnote w:id="23">
    <w:p w14:paraId="28E2A424" w14:textId="6B4906A6" w:rsidR="00B91533" w:rsidRPr="00535A5D" w:rsidRDefault="00B91533">
      <w:pPr>
        <w:pStyle w:val="FootnoteText"/>
      </w:pPr>
      <w:r>
        <w:rPr>
          <w:rStyle w:val="FootnoteReference"/>
        </w:rPr>
        <w:footnoteRef/>
      </w:r>
      <w:r>
        <w:t xml:space="preserve"> Higham and Ryan, </w:t>
      </w:r>
      <w:r>
        <w:rPr>
          <w:i/>
        </w:rPr>
        <w:t xml:space="preserve">Anglo-Saxon World, </w:t>
      </w:r>
      <w:r>
        <w:t>p.p. 115-116</w:t>
      </w:r>
      <w:r w:rsidR="00535A5D">
        <w:t xml:space="preserve">; Manco, </w:t>
      </w:r>
      <w:r w:rsidR="00535A5D">
        <w:rPr>
          <w:i/>
        </w:rPr>
        <w:t xml:space="preserve">Origins of the Anglo-Saxons, </w:t>
      </w:r>
      <w:r w:rsidR="00535A5D">
        <w:t>p.p. 127-8.</w:t>
      </w:r>
    </w:p>
  </w:footnote>
  <w:footnote w:id="24">
    <w:p w14:paraId="19780E50" w14:textId="5EDB003A" w:rsidR="00535A5D" w:rsidRPr="00535A5D" w:rsidRDefault="00535A5D">
      <w:pPr>
        <w:pStyle w:val="FootnoteText"/>
      </w:pPr>
      <w:r>
        <w:rPr>
          <w:rStyle w:val="FootnoteReference"/>
        </w:rPr>
        <w:footnoteRef/>
      </w:r>
      <w:r>
        <w:t xml:space="preserve"> Fleming, </w:t>
      </w:r>
      <w:r>
        <w:rPr>
          <w:i/>
        </w:rPr>
        <w:t xml:space="preserve">Britain After Rome, </w:t>
      </w:r>
      <w:r>
        <w:t>p.p. 49-50.</w:t>
      </w:r>
    </w:p>
  </w:footnote>
  <w:footnote w:id="25">
    <w:p w14:paraId="4B3F1675" w14:textId="5F1D2450" w:rsidR="000A1E70" w:rsidRPr="001C07C4" w:rsidRDefault="000A1E70">
      <w:pPr>
        <w:pStyle w:val="FootnoteText"/>
      </w:pPr>
      <w:r>
        <w:rPr>
          <w:rStyle w:val="FootnoteReference"/>
        </w:rPr>
        <w:footnoteRef/>
      </w:r>
      <w:r>
        <w:t xml:space="preserve"> Pryor, </w:t>
      </w:r>
      <w:r>
        <w:rPr>
          <w:i/>
        </w:rPr>
        <w:t xml:space="preserve">Britain AD, </w:t>
      </w:r>
      <w:r>
        <w:t xml:space="preserve">p.p. 154-5; Samantha Lucy, </w:t>
      </w:r>
      <w:r>
        <w:rPr>
          <w:i/>
        </w:rPr>
        <w:t xml:space="preserve">The Anglo-Saxon Way of Death, </w:t>
      </w:r>
      <w:r>
        <w:t xml:space="preserve">(Stroud: Sutton, 2000); Fleming, </w:t>
      </w:r>
      <w:r>
        <w:rPr>
          <w:i/>
        </w:rPr>
        <w:t xml:space="preserve">Britain After Rome, </w:t>
      </w:r>
      <w:r>
        <w:t>p. 49</w:t>
      </w:r>
      <w:r w:rsidR="001C07C4">
        <w:t xml:space="preserve">; Bryan Ward-Perkins, ‘Why did the Anglo-Saxons Not Become More British?’, </w:t>
      </w:r>
      <w:r w:rsidR="001C07C4">
        <w:rPr>
          <w:i/>
        </w:rPr>
        <w:t xml:space="preserve">The English Historical Review, </w:t>
      </w:r>
      <w:r w:rsidR="001C07C4">
        <w:t>Vol 115 (2000), p. 520.</w:t>
      </w:r>
    </w:p>
  </w:footnote>
  <w:footnote w:id="26">
    <w:p w14:paraId="2252688F" w14:textId="5A45A8A6" w:rsidR="00544438" w:rsidRPr="00544438" w:rsidRDefault="00544438">
      <w:pPr>
        <w:pStyle w:val="FootnoteText"/>
      </w:pPr>
      <w:r>
        <w:rPr>
          <w:rStyle w:val="FootnoteReference"/>
        </w:rPr>
        <w:footnoteRef/>
      </w:r>
      <w:r>
        <w:t xml:space="preserve"> Higham and Ryan, </w:t>
      </w:r>
      <w:r>
        <w:rPr>
          <w:i/>
        </w:rPr>
        <w:t xml:space="preserve">Anglo-Saxon World, </w:t>
      </w:r>
      <w:r>
        <w:t>p. 116.</w:t>
      </w:r>
    </w:p>
  </w:footnote>
  <w:footnote w:id="27">
    <w:p w14:paraId="41F7F26A" w14:textId="0338F84B" w:rsidR="009526E1" w:rsidRPr="009526E1" w:rsidRDefault="009526E1">
      <w:pPr>
        <w:pStyle w:val="FootnoteText"/>
      </w:pPr>
      <w:r>
        <w:rPr>
          <w:rStyle w:val="FootnoteReference"/>
        </w:rPr>
        <w:footnoteRef/>
      </w:r>
      <w:r>
        <w:t xml:space="preserve"> Manco, </w:t>
      </w:r>
      <w:r>
        <w:rPr>
          <w:i/>
        </w:rPr>
        <w:t xml:space="preserve">Origins of the Anglo-Saxons, </w:t>
      </w:r>
      <w:r>
        <w:t>p.p. 21-2.</w:t>
      </w:r>
    </w:p>
  </w:footnote>
  <w:footnote w:id="28">
    <w:p w14:paraId="252CCF39" w14:textId="2E9A596A" w:rsidR="00AD303D" w:rsidRPr="00AD303D" w:rsidRDefault="00AD303D">
      <w:pPr>
        <w:pStyle w:val="FootnoteText"/>
      </w:pPr>
      <w:r>
        <w:rPr>
          <w:rStyle w:val="FootnoteReference"/>
        </w:rPr>
        <w:footnoteRef/>
      </w:r>
      <w:r>
        <w:t xml:space="preserve"> Manco, </w:t>
      </w:r>
      <w:r>
        <w:rPr>
          <w:i/>
        </w:rPr>
        <w:t xml:space="preserve">Origins of the Anglo-Saxons, </w:t>
      </w:r>
      <w:r>
        <w:t>p.p. 24-5.</w:t>
      </w:r>
    </w:p>
  </w:footnote>
  <w:footnote w:id="29">
    <w:p w14:paraId="17F91DAF" w14:textId="1B084093" w:rsidR="00B37A80" w:rsidRPr="00B37A80" w:rsidRDefault="00B37A80">
      <w:pPr>
        <w:pStyle w:val="FootnoteText"/>
      </w:pPr>
      <w:r>
        <w:rPr>
          <w:rStyle w:val="FootnoteReference"/>
        </w:rPr>
        <w:footnoteRef/>
      </w:r>
      <w:r>
        <w:t xml:space="preserve"> </w:t>
      </w:r>
      <w:r w:rsidR="000D6BD2">
        <w:t>Ward-Perkins,</w:t>
      </w:r>
      <w:r>
        <w:t xml:space="preserve"> </w:t>
      </w:r>
      <w:r>
        <w:rPr>
          <w:i/>
        </w:rPr>
        <w:t xml:space="preserve">Why Did the Anglo Saxons, </w:t>
      </w:r>
      <w:r>
        <w:t>p. 523.</w:t>
      </w:r>
    </w:p>
  </w:footnote>
  <w:footnote w:id="30">
    <w:p w14:paraId="02A720C7" w14:textId="4113727A" w:rsidR="00885289" w:rsidRPr="00885289" w:rsidRDefault="00885289">
      <w:pPr>
        <w:pStyle w:val="FootnoteText"/>
      </w:pPr>
      <w:r>
        <w:rPr>
          <w:rStyle w:val="FootnoteReference"/>
        </w:rPr>
        <w:footnoteRef/>
      </w:r>
      <w:r>
        <w:t xml:space="preserve"> Manco, </w:t>
      </w:r>
      <w:r>
        <w:rPr>
          <w:i/>
        </w:rPr>
        <w:t xml:space="preserve">Origin of the Anglo-Saxons, </w:t>
      </w:r>
      <w:r>
        <w:t>p. 138.</w:t>
      </w:r>
    </w:p>
  </w:footnote>
  <w:footnote w:id="31">
    <w:p w14:paraId="1DEE0C45" w14:textId="4F7564A1" w:rsidR="00885289" w:rsidRPr="00885289" w:rsidRDefault="00885289">
      <w:pPr>
        <w:pStyle w:val="FootnoteText"/>
      </w:pPr>
      <w:r>
        <w:rPr>
          <w:rStyle w:val="FootnoteReference"/>
        </w:rPr>
        <w:footnoteRef/>
      </w:r>
      <w:r>
        <w:t xml:space="preserve"> </w:t>
      </w:r>
      <w:proofErr w:type="spellStart"/>
      <w:r>
        <w:t>Hildegaard</w:t>
      </w:r>
      <w:proofErr w:type="spellEnd"/>
      <w:r>
        <w:t xml:space="preserve"> Trist</w:t>
      </w:r>
      <w:r w:rsidR="00C113BC">
        <w:t>r</w:t>
      </w:r>
      <w:r>
        <w:t xml:space="preserve">am, ‘Why Don’t the English Speak Welsh?’ </w:t>
      </w:r>
      <w:r>
        <w:rPr>
          <w:i/>
        </w:rPr>
        <w:t>Britons in Anglo-Saxon England,</w:t>
      </w:r>
      <w:r w:rsidR="00C113BC">
        <w:rPr>
          <w:i/>
        </w:rPr>
        <w:t xml:space="preserve"> </w:t>
      </w:r>
      <w:r w:rsidR="00E0397C">
        <w:t>ed.</w:t>
      </w:r>
      <w:r w:rsidR="00C113BC">
        <w:t xml:space="preserve"> Higham, N.,</w:t>
      </w:r>
      <w:r>
        <w:rPr>
          <w:i/>
        </w:rPr>
        <w:t xml:space="preserve"> </w:t>
      </w:r>
      <w:r>
        <w:t>(Woodbridge: Boydell &amp; Brewer, 2008), p.p. 192-3, 214.</w:t>
      </w:r>
    </w:p>
  </w:footnote>
  <w:footnote w:id="32">
    <w:p w14:paraId="1C0A7BC9" w14:textId="59C93ABA" w:rsidR="000C6FBC" w:rsidRPr="000C6FBC" w:rsidRDefault="000C6FBC">
      <w:pPr>
        <w:pStyle w:val="FootnoteText"/>
      </w:pPr>
      <w:r>
        <w:rPr>
          <w:rStyle w:val="FootnoteReference"/>
        </w:rPr>
        <w:footnoteRef/>
      </w:r>
      <w:r>
        <w:t xml:space="preserve"> Trist</w:t>
      </w:r>
      <w:r w:rsidR="00C113BC">
        <w:t>r</w:t>
      </w:r>
      <w:r>
        <w:t xml:space="preserve">am, </w:t>
      </w:r>
      <w:r>
        <w:rPr>
          <w:i/>
        </w:rPr>
        <w:t xml:space="preserve">Why Don’t the English Speak </w:t>
      </w:r>
      <w:proofErr w:type="gramStart"/>
      <w:r>
        <w:rPr>
          <w:i/>
        </w:rPr>
        <w:t>Welsh?,</w:t>
      </w:r>
      <w:proofErr w:type="gramEnd"/>
      <w:r>
        <w:rPr>
          <w:i/>
        </w:rPr>
        <w:t xml:space="preserve"> </w:t>
      </w:r>
      <w:r>
        <w:t>p.p. 194-6, 202-3.</w:t>
      </w:r>
    </w:p>
  </w:footnote>
  <w:footnote w:id="33">
    <w:p w14:paraId="5DE40E00" w14:textId="2EA21029" w:rsidR="000C6FBC" w:rsidRPr="000C6FBC" w:rsidRDefault="000C6FBC">
      <w:pPr>
        <w:pStyle w:val="FootnoteText"/>
      </w:pPr>
      <w:r>
        <w:rPr>
          <w:rStyle w:val="FootnoteReference"/>
        </w:rPr>
        <w:footnoteRef/>
      </w:r>
      <w:r>
        <w:t xml:space="preserve"> Higham and Ryan, </w:t>
      </w:r>
      <w:r>
        <w:rPr>
          <w:i/>
        </w:rPr>
        <w:t xml:space="preserve">Anglo-Saxon World, </w:t>
      </w:r>
      <w:r>
        <w:t>p. 98.</w:t>
      </w:r>
    </w:p>
  </w:footnote>
  <w:footnote w:id="34">
    <w:p w14:paraId="4C897FE7" w14:textId="747B401E" w:rsidR="00834812" w:rsidRPr="00834812" w:rsidRDefault="00834812">
      <w:pPr>
        <w:pStyle w:val="FootnoteText"/>
      </w:pPr>
      <w:r>
        <w:rPr>
          <w:rStyle w:val="FootnoteReference"/>
        </w:rPr>
        <w:footnoteRef/>
      </w:r>
      <w:r>
        <w:t xml:space="preserve"> Higham and Ryan, </w:t>
      </w:r>
      <w:r>
        <w:rPr>
          <w:i/>
        </w:rPr>
        <w:t xml:space="preserve">Anglo-Saxon World, </w:t>
      </w:r>
      <w:r>
        <w:t>p. 99.</w:t>
      </w:r>
    </w:p>
  </w:footnote>
  <w:footnote w:id="35">
    <w:p w14:paraId="56439A48" w14:textId="23DA943B" w:rsidR="00834812" w:rsidRPr="00834812" w:rsidRDefault="00834812">
      <w:pPr>
        <w:pStyle w:val="FootnoteText"/>
      </w:pPr>
      <w:r>
        <w:rPr>
          <w:rStyle w:val="FootnoteReference"/>
        </w:rPr>
        <w:footnoteRef/>
      </w:r>
      <w:r>
        <w:t xml:space="preserve"> Fleming, </w:t>
      </w:r>
      <w:r>
        <w:rPr>
          <w:i/>
        </w:rPr>
        <w:t xml:space="preserve">Britain After Rome, </w:t>
      </w:r>
      <w:r>
        <w:t xml:space="preserve">p. 57; Blair, </w:t>
      </w:r>
      <w:r>
        <w:rPr>
          <w:i/>
        </w:rPr>
        <w:t xml:space="preserve">Anglo-Saxon England, </w:t>
      </w:r>
      <w:r>
        <w:t>p. 21.</w:t>
      </w:r>
    </w:p>
  </w:footnote>
  <w:footnote w:id="36">
    <w:p w14:paraId="12C22CF7" w14:textId="2BEA7F3E" w:rsidR="00D20CC3" w:rsidRPr="00D20CC3" w:rsidRDefault="00D20CC3">
      <w:pPr>
        <w:pStyle w:val="FootnoteText"/>
      </w:pPr>
      <w:r>
        <w:rPr>
          <w:rStyle w:val="FootnoteReference"/>
        </w:rPr>
        <w:footnoteRef/>
      </w:r>
      <w:r>
        <w:t xml:space="preserve"> Higham and Ryan, </w:t>
      </w:r>
      <w:r>
        <w:rPr>
          <w:i/>
        </w:rPr>
        <w:t xml:space="preserve">Anglo-Saxon World, </w:t>
      </w:r>
      <w:r>
        <w:t>p. 99.</w:t>
      </w:r>
    </w:p>
  </w:footnote>
  <w:footnote w:id="37">
    <w:p w14:paraId="65D85EB1" w14:textId="111E3166" w:rsidR="000F2279" w:rsidRPr="000F2279" w:rsidRDefault="000F2279">
      <w:pPr>
        <w:pStyle w:val="FootnoteText"/>
      </w:pPr>
      <w:r>
        <w:rPr>
          <w:rStyle w:val="FootnoteReference"/>
        </w:rPr>
        <w:footnoteRef/>
      </w:r>
      <w:r>
        <w:t xml:space="preserve"> Higham and Ryan, </w:t>
      </w:r>
      <w:r>
        <w:rPr>
          <w:i/>
        </w:rPr>
        <w:t xml:space="preserve">Anglo-Saxon World, </w:t>
      </w:r>
      <w:r>
        <w:t xml:space="preserve">p. 99; Fleming, </w:t>
      </w:r>
      <w:r>
        <w:rPr>
          <w:i/>
        </w:rPr>
        <w:t xml:space="preserve">Britain After Rome, </w:t>
      </w:r>
      <w:r>
        <w:t>p. 57.</w:t>
      </w:r>
    </w:p>
  </w:footnote>
  <w:footnote w:id="38">
    <w:p w14:paraId="4E63F2B6" w14:textId="63C0AD28" w:rsidR="000F2279" w:rsidRPr="000F2279" w:rsidRDefault="000F2279">
      <w:pPr>
        <w:pStyle w:val="FootnoteText"/>
      </w:pPr>
      <w:r>
        <w:rPr>
          <w:rStyle w:val="FootnoteReference"/>
        </w:rPr>
        <w:footnoteRef/>
      </w:r>
      <w:r>
        <w:t xml:space="preserve"> Higham and Ryan, </w:t>
      </w:r>
      <w:r>
        <w:rPr>
          <w:i/>
        </w:rPr>
        <w:t xml:space="preserve">Anglo-Saxon World, </w:t>
      </w:r>
      <w:r>
        <w:t xml:space="preserve">p. 99; Fleming, </w:t>
      </w:r>
      <w:r>
        <w:rPr>
          <w:i/>
        </w:rPr>
        <w:t xml:space="preserve">Britain After Rome, </w:t>
      </w:r>
      <w:r>
        <w:t>p. 58.</w:t>
      </w:r>
    </w:p>
  </w:footnote>
  <w:footnote w:id="39">
    <w:p w14:paraId="65C794D3" w14:textId="2A1E8808" w:rsidR="00E942C5" w:rsidRPr="00E942C5" w:rsidRDefault="00E942C5">
      <w:pPr>
        <w:pStyle w:val="FootnoteText"/>
      </w:pPr>
      <w:r>
        <w:rPr>
          <w:rStyle w:val="FootnoteReference"/>
        </w:rPr>
        <w:footnoteRef/>
      </w:r>
      <w:r>
        <w:t xml:space="preserve"> Blair, </w:t>
      </w:r>
      <w:r>
        <w:rPr>
          <w:i/>
        </w:rPr>
        <w:t xml:space="preserve">Anglo-Saxon England, </w:t>
      </w:r>
      <w:r>
        <w:t>p.p. 22-4.</w:t>
      </w:r>
    </w:p>
  </w:footnote>
  <w:footnote w:id="40">
    <w:p w14:paraId="4DCB7CF2" w14:textId="0D84419F" w:rsidR="00E942C5" w:rsidRPr="00E942C5" w:rsidRDefault="00E942C5">
      <w:pPr>
        <w:pStyle w:val="FootnoteText"/>
      </w:pPr>
      <w:r>
        <w:rPr>
          <w:rStyle w:val="FootnoteReference"/>
        </w:rPr>
        <w:footnoteRef/>
      </w:r>
      <w:r>
        <w:t xml:space="preserve"> Laycock, </w:t>
      </w:r>
      <w:r>
        <w:rPr>
          <w:i/>
        </w:rPr>
        <w:t xml:space="preserve">Britannia: The Failed State, </w:t>
      </w:r>
      <w:r>
        <w:t>p. 124.</w:t>
      </w:r>
    </w:p>
  </w:footnote>
  <w:footnote w:id="41">
    <w:p w14:paraId="013882A6" w14:textId="720D8434" w:rsidR="00E942C5" w:rsidRPr="00E942C5" w:rsidRDefault="00E942C5">
      <w:pPr>
        <w:pStyle w:val="FootnoteText"/>
      </w:pPr>
      <w:r>
        <w:rPr>
          <w:rStyle w:val="FootnoteReference"/>
        </w:rPr>
        <w:footnoteRef/>
      </w:r>
      <w:r>
        <w:t xml:space="preserve"> Laycock, </w:t>
      </w:r>
      <w:r>
        <w:rPr>
          <w:i/>
        </w:rPr>
        <w:t xml:space="preserve">Britannia: The Failed State, </w:t>
      </w:r>
      <w:r>
        <w:t xml:space="preserve">p.p. 124-7; </w:t>
      </w:r>
      <w:r>
        <w:rPr>
          <w:i/>
        </w:rPr>
        <w:t xml:space="preserve">Anglo-Saxon Chronicle, </w:t>
      </w:r>
      <w:r>
        <w:t>571.</w:t>
      </w:r>
    </w:p>
  </w:footnote>
  <w:footnote w:id="42">
    <w:p w14:paraId="42412675" w14:textId="255B4287" w:rsidR="00890BDF" w:rsidRPr="00890BDF" w:rsidRDefault="00890BDF">
      <w:pPr>
        <w:pStyle w:val="FootnoteText"/>
      </w:pPr>
      <w:r>
        <w:rPr>
          <w:rStyle w:val="FootnoteReference"/>
        </w:rPr>
        <w:footnoteRef/>
      </w:r>
      <w:r>
        <w:t xml:space="preserve"> Laycock, </w:t>
      </w:r>
      <w:r>
        <w:rPr>
          <w:i/>
        </w:rPr>
        <w:t xml:space="preserve">Britannia: The Failed State, </w:t>
      </w:r>
      <w:r>
        <w:t>p.p. 126-7.</w:t>
      </w:r>
    </w:p>
  </w:footnote>
  <w:footnote w:id="43">
    <w:p w14:paraId="01272761" w14:textId="7DA7D4FE" w:rsidR="00890BDF" w:rsidRPr="00890BDF" w:rsidRDefault="00890BDF">
      <w:pPr>
        <w:pStyle w:val="FootnoteText"/>
      </w:pPr>
      <w:r>
        <w:rPr>
          <w:rStyle w:val="FootnoteReference"/>
        </w:rPr>
        <w:footnoteRef/>
      </w:r>
      <w:r>
        <w:t xml:space="preserve"> Blair, </w:t>
      </w:r>
      <w:r>
        <w:rPr>
          <w:i/>
        </w:rPr>
        <w:t xml:space="preserve">Anglo-Saxon England, </w:t>
      </w:r>
      <w:r>
        <w:t>p. 24.</w:t>
      </w:r>
    </w:p>
  </w:footnote>
  <w:footnote w:id="44">
    <w:p w14:paraId="22A84379" w14:textId="2F312E67" w:rsidR="00C6331A" w:rsidRPr="00C6331A" w:rsidRDefault="00C6331A">
      <w:pPr>
        <w:pStyle w:val="FootnoteText"/>
      </w:pPr>
      <w:r>
        <w:rPr>
          <w:rStyle w:val="FootnoteReference"/>
        </w:rPr>
        <w:footnoteRef/>
      </w:r>
      <w:r>
        <w:t xml:space="preserve"> Fleming, </w:t>
      </w:r>
      <w:proofErr w:type="spellStart"/>
      <w:r>
        <w:rPr>
          <w:i/>
        </w:rPr>
        <w:t>Brtain</w:t>
      </w:r>
      <w:proofErr w:type="spellEnd"/>
      <w:r>
        <w:rPr>
          <w:i/>
        </w:rPr>
        <w:t xml:space="preserve"> After Rome, </w:t>
      </w:r>
      <w:r>
        <w:t>p. 57.</w:t>
      </w:r>
    </w:p>
  </w:footnote>
  <w:footnote w:id="45">
    <w:p w14:paraId="4ADF0DCC" w14:textId="2303E08D" w:rsidR="00C6331A" w:rsidRPr="00C6331A" w:rsidRDefault="00C6331A">
      <w:pPr>
        <w:pStyle w:val="FootnoteText"/>
      </w:pPr>
      <w:r>
        <w:rPr>
          <w:rStyle w:val="FootnoteReference"/>
        </w:rPr>
        <w:footnoteRef/>
      </w:r>
      <w:r>
        <w:t xml:space="preserve"> Blair, </w:t>
      </w:r>
      <w:r>
        <w:rPr>
          <w:i/>
        </w:rPr>
        <w:t xml:space="preserve">Anglo-Saxon England, </w:t>
      </w:r>
      <w:r>
        <w:t>p. 22.</w:t>
      </w:r>
    </w:p>
  </w:footnote>
  <w:footnote w:id="46">
    <w:p w14:paraId="5C0513CF" w14:textId="70E958A6" w:rsidR="00C6331A" w:rsidRPr="00C6331A" w:rsidRDefault="00C6331A">
      <w:pPr>
        <w:pStyle w:val="FootnoteText"/>
      </w:pPr>
      <w:r>
        <w:rPr>
          <w:rStyle w:val="FootnoteReference"/>
        </w:rPr>
        <w:footnoteRef/>
      </w:r>
      <w:r>
        <w:t xml:space="preserve"> Higham and Ryan, </w:t>
      </w:r>
      <w:r>
        <w:rPr>
          <w:i/>
        </w:rPr>
        <w:t xml:space="preserve">Anglo-Saxon World, </w:t>
      </w:r>
      <w:r>
        <w:t xml:space="preserve">p. 97; Blair, </w:t>
      </w:r>
      <w:r>
        <w:rPr>
          <w:i/>
        </w:rPr>
        <w:t xml:space="preserve">Anglo-Saxon England, </w:t>
      </w:r>
      <w:r>
        <w:t>p. 22.</w:t>
      </w:r>
    </w:p>
  </w:footnote>
  <w:footnote w:id="47">
    <w:p w14:paraId="2B20A9E1" w14:textId="4CC53944" w:rsidR="00FD34F0" w:rsidRPr="007D4281" w:rsidRDefault="00FD34F0">
      <w:pPr>
        <w:pStyle w:val="FootnoteText"/>
      </w:pPr>
      <w:r>
        <w:rPr>
          <w:rStyle w:val="FootnoteReference"/>
        </w:rPr>
        <w:footnoteRef/>
      </w:r>
      <w:r>
        <w:t xml:space="preserve"> Hughes et. al., ‘Anglo-Saxon Origins Investigated by </w:t>
      </w:r>
      <w:r w:rsidR="007D4281">
        <w:t xml:space="preserve">Isotopic Analysis of Burials from </w:t>
      </w:r>
      <w:proofErr w:type="spellStart"/>
      <w:r w:rsidR="007D4281">
        <w:t>Berinsfield</w:t>
      </w:r>
      <w:proofErr w:type="spellEnd"/>
      <w:r w:rsidR="007D4281">
        <w:t xml:space="preserve">, Oxfordshire, UK’, </w:t>
      </w:r>
      <w:r w:rsidR="007D4281">
        <w:rPr>
          <w:i/>
        </w:rPr>
        <w:t xml:space="preserve">Journal of Archaeological Science, </w:t>
      </w:r>
      <w:r w:rsidR="007D4281">
        <w:t xml:space="preserve">Vol. 42 (2014), p.p. 81-92; Hughes et. al., ‘Isotopic Analysis of Burials from the Early Anglo-Saxon Cemetery at Eastbourne, Sussex, UK’, </w:t>
      </w:r>
      <w:r w:rsidR="007D4281">
        <w:rPr>
          <w:i/>
        </w:rPr>
        <w:t xml:space="preserve">Journal of Archaeological Science: Reports, </w:t>
      </w:r>
      <w:r w:rsidR="007D4281">
        <w:t>Vol. 19 (2018), p.p. 513-525.</w:t>
      </w:r>
    </w:p>
  </w:footnote>
  <w:footnote w:id="48">
    <w:p w14:paraId="0BBD7CDC" w14:textId="5E8C57E5" w:rsidR="007D4281" w:rsidRPr="007D4281" w:rsidRDefault="007D4281">
      <w:pPr>
        <w:pStyle w:val="FootnoteText"/>
      </w:pPr>
      <w:r>
        <w:rPr>
          <w:rStyle w:val="FootnoteReference"/>
        </w:rPr>
        <w:footnoteRef/>
      </w:r>
      <w:r>
        <w:t xml:space="preserve"> Hughes et. al</w:t>
      </w:r>
      <w:r w:rsidR="00FF2B18">
        <w:t>.</w:t>
      </w:r>
      <w:r>
        <w:t xml:space="preserve">, </w:t>
      </w:r>
      <w:r>
        <w:rPr>
          <w:i/>
        </w:rPr>
        <w:t xml:space="preserve">Anglo-Saxon Origins, </w:t>
      </w:r>
      <w:r>
        <w:t>p. 90.</w:t>
      </w:r>
    </w:p>
  </w:footnote>
  <w:footnote w:id="49">
    <w:p w14:paraId="0B51A94B" w14:textId="6BC7797B" w:rsidR="007D4281" w:rsidRPr="007D4281" w:rsidRDefault="007D4281">
      <w:pPr>
        <w:pStyle w:val="FootnoteText"/>
      </w:pPr>
      <w:r>
        <w:rPr>
          <w:rStyle w:val="FootnoteReference"/>
        </w:rPr>
        <w:footnoteRef/>
      </w:r>
      <w:r>
        <w:t xml:space="preserve"> Hughes et. al</w:t>
      </w:r>
      <w:r w:rsidR="00FF2B18">
        <w:t>.,</w:t>
      </w:r>
      <w:r>
        <w:t xml:space="preserve"> </w:t>
      </w:r>
      <w:r>
        <w:rPr>
          <w:i/>
        </w:rPr>
        <w:t xml:space="preserve">Anglo-Saxon Origins, </w:t>
      </w:r>
      <w:r>
        <w:t>p. 90.</w:t>
      </w:r>
    </w:p>
  </w:footnote>
  <w:footnote w:id="50">
    <w:p w14:paraId="5F1F3939" w14:textId="67C9F1ED" w:rsidR="00FF2B18" w:rsidRPr="00FF2B18" w:rsidRDefault="00FF2B18">
      <w:pPr>
        <w:pStyle w:val="FootnoteText"/>
      </w:pPr>
      <w:r>
        <w:rPr>
          <w:rStyle w:val="FootnoteReference"/>
        </w:rPr>
        <w:footnoteRef/>
      </w:r>
      <w:r>
        <w:t xml:space="preserve"> Hughes et. al., </w:t>
      </w:r>
      <w:r>
        <w:rPr>
          <w:i/>
        </w:rPr>
        <w:t>Isotopic Analysis of Burials.</w:t>
      </w:r>
    </w:p>
  </w:footnote>
  <w:footnote w:id="51">
    <w:p w14:paraId="060D509C" w14:textId="3F946842" w:rsidR="00FF2B18" w:rsidRPr="00FF2B18" w:rsidRDefault="00FF2B18">
      <w:pPr>
        <w:pStyle w:val="FootnoteText"/>
      </w:pPr>
      <w:r>
        <w:rPr>
          <w:rStyle w:val="FootnoteReference"/>
        </w:rPr>
        <w:footnoteRef/>
      </w:r>
      <w:r>
        <w:t xml:space="preserve"> Hughes et. al., </w:t>
      </w:r>
      <w:r>
        <w:rPr>
          <w:i/>
        </w:rPr>
        <w:t xml:space="preserve">Isotopic Analysis of Burials, </w:t>
      </w:r>
      <w:r>
        <w:t>p. 523.</w:t>
      </w:r>
    </w:p>
  </w:footnote>
  <w:footnote w:id="52">
    <w:p w14:paraId="41E4E7BB" w14:textId="394B3079" w:rsidR="00512CF3" w:rsidRPr="00512CF3" w:rsidRDefault="00512CF3">
      <w:pPr>
        <w:pStyle w:val="FootnoteText"/>
      </w:pPr>
      <w:r>
        <w:rPr>
          <w:rStyle w:val="FootnoteReference"/>
        </w:rPr>
        <w:footnoteRef/>
      </w:r>
      <w:r>
        <w:t xml:space="preserve"> </w:t>
      </w:r>
      <w:proofErr w:type="spellStart"/>
      <w:r>
        <w:t>Weale</w:t>
      </w:r>
      <w:proofErr w:type="spellEnd"/>
      <w:r>
        <w:t xml:space="preserve"> at. al., ‘Y Chromosome Evidence for Anglo-Saxon Mass Migration’, </w:t>
      </w:r>
      <w:r>
        <w:rPr>
          <w:i/>
        </w:rPr>
        <w:t xml:space="preserve">Molecular Biology and Evolution, </w:t>
      </w:r>
      <w:r>
        <w:t>Vol. 19 (2002), p.p. 1008-1021.</w:t>
      </w:r>
    </w:p>
  </w:footnote>
  <w:footnote w:id="53">
    <w:p w14:paraId="7BF49804" w14:textId="3178C0FE" w:rsidR="00B155DC" w:rsidRPr="00B155DC" w:rsidRDefault="00B155DC">
      <w:pPr>
        <w:pStyle w:val="FootnoteText"/>
      </w:pPr>
      <w:r>
        <w:rPr>
          <w:rStyle w:val="FootnoteReference"/>
        </w:rPr>
        <w:footnoteRef/>
      </w:r>
      <w:r>
        <w:t xml:space="preserve"> </w:t>
      </w:r>
      <w:proofErr w:type="spellStart"/>
      <w:r>
        <w:t>Schiffels</w:t>
      </w:r>
      <w:proofErr w:type="spellEnd"/>
      <w:r>
        <w:t xml:space="preserve"> et. al., ‘Iron Age and Anglo-Saxon genomes from East England Reveal British Migration History’, </w:t>
      </w:r>
      <w:r>
        <w:rPr>
          <w:i/>
        </w:rPr>
        <w:t xml:space="preserve">Nature Communications, </w:t>
      </w:r>
      <w:r>
        <w:t>Vol. 7 (2016), p. 2.</w:t>
      </w:r>
    </w:p>
  </w:footnote>
  <w:footnote w:id="54">
    <w:p w14:paraId="2CBBBABC" w14:textId="371ADC2A" w:rsidR="00DF7D07" w:rsidRPr="00DF7D07" w:rsidRDefault="00DF7D07">
      <w:pPr>
        <w:pStyle w:val="FootnoteText"/>
      </w:pPr>
      <w:r>
        <w:rPr>
          <w:rStyle w:val="FootnoteReference"/>
        </w:rPr>
        <w:footnoteRef/>
      </w:r>
      <w:r>
        <w:t xml:space="preserve"> </w:t>
      </w:r>
      <w:proofErr w:type="spellStart"/>
      <w:r>
        <w:t>Schiffels</w:t>
      </w:r>
      <w:proofErr w:type="spellEnd"/>
      <w:r>
        <w:t xml:space="preserve"> et. al., </w:t>
      </w:r>
      <w:r>
        <w:rPr>
          <w:i/>
        </w:rPr>
        <w:t xml:space="preserve">Iron Age and Anglo-Saxon Genomes, </w:t>
      </w:r>
      <w:r>
        <w:t>p.p. 3-6.</w:t>
      </w:r>
    </w:p>
  </w:footnote>
  <w:footnote w:id="55">
    <w:p w14:paraId="0628D1CE" w14:textId="1C7CF693" w:rsidR="00DF7D07" w:rsidRPr="00DF7D07" w:rsidRDefault="00DF7D07">
      <w:pPr>
        <w:pStyle w:val="FootnoteText"/>
      </w:pPr>
      <w:r>
        <w:rPr>
          <w:rStyle w:val="FootnoteReference"/>
        </w:rPr>
        <w:footnoteRef/>
      </w:r>
      <w:r>
        <w:t xml:space="preserve"> </w:t>
      </w:r>
      <w:proofErr w:type="spellStart"/>
      <w:r>
        <w:t>Schiffels</w:t>
      </w:r>
      <w:proofErr w:type="spellEnd"/>
      <w:r>
        <w:t xml:space="preserve"> et. al., </w:t>
      </w:r>
      <w:r>
        <w:rPr>
          <w:i/>
        </w:rPr>
        <w:t xml:space="preserve">Iron Age and Anglo-Saxon Genomes, </w:t>
      </w:r>
      <w:r>
        <w:t>p.p. 6-7.</w:t>
      </w:r>
    </w:p>
  </w:footnote>
  <w:footnote w:id="56">
    <w:p w14:paraId="2FF6CC8C" w14:textId="232D78EB" w:rsidR="009F7292" w:rsidRPr="009F7292" w:rsidRDefault="009F7292">
      <w:pPr>
        <w:pStyle w:val="FootnoteText"/>
      </w:pPr>
      <w:r>
        <w:rPr>
          <w:rStyle w:val="FootnoteReference"/>
        </w:rPr>
        <w:footnoteRef/>
      </w:r>
      <w:r>
        <w:t xml:space="preserve"> </w:t>
      </w:r>
      <w:proofErr w:type="spellStart"/>
      <w:r>
        <w:t>Martiniano</w:t>
      </w:r>
      <w:proofErr w:type="spellEnd"/>
      <w:r>
        <w:t xml:space="preserve"> et. al, ‘Genomic </w:t>
      </w:r>
      <w:proofErr w:type="spellStart"/>
      <w:r>
        <w:t>Signlans</w:t>
      </w:r>
      <w:proofErr w:type="spellEnd"/>
      <w:r>
        <w:t xml:space="preserve"> of Migration and Continuity in Britain before the Anglo-Saxons’, </w:t>
      </w:r>
      <w:r>
        <w:rPr>
          <w:i/>
        </w:rPr>
        <w:t xml:space="preserve">Nature Communications, </w:t>
      </w:r>
      <w:r w:rsidR="008D25C7">
        <w:t xml:space="preserve">Vol. </w:t>
      </w:r>
      <w:r>
        <w:t>7 (2016), p.p. 1-7.</w:t>
      </w:r>
    </w:p>
  </w:footnote>
  <w:footnote w:id="57">
    <w:p w14:paraId="35A8295B" w14:textId="554E288D" w:rsidR="0032477B" w:rsidRPr="0032477B" w:rsidRDefault="0032477B">
      <w:pPr>
        <w:pStyle w:val="FootnoteText"/>
      </w:pPr>
      <w:r>
        <w:rPr>
          <w:rStyle w:val="FootnoteReference"/>
        </w:rPr>
        <w:footnoteRef/>
      </w:r>
      <w:r>
        <w:t xml:space="preserve"> Pryor, </w:t>
      </w:r>
      <w:r>
        <w:rPr>
          <w:i/>
        </w:rPr>
        <w:t xml:space="preserve">Britain AD, </w:t>
      </w:r>
      <w:r>
        <w:t xml:space="preserve">p.p. 155-6; Lucy, </w:t>
      </w:r>
      <w:r>
        <w:rPr>
          <w:i/>
        </w:rPr>
        <w:t xml:space="preserve">Anglo-Saxon Way of Death, </w:t>
      </w:r>
      <w:r>
        <w:t>p.p.186-7</w:t>
      </w:r>
    </w:p>
  </w:footnote>
  <w:footnote w:id="58">
    <w:p w14:paraId="72A3B50F" w14:textId="671C2DEE" w:rsidR="0032477B" w:rsidRPr="0032477B" w:rsidRDefault="0032477B">
      <w:pPr>
        <w:pStyle w:val="FootnoteText"/>
      </w:pPr>
      <w:r>
        <w:rPr>
          <w:rStyle w:val="FootnoteReference"/>
        </w:rPr>
        <w:footnoteRef/>
      </w:r>
      <w:r>
        <w:t xml:space="preserve"> Manco, </w:t>
      </w:r>
      <w:r>
        <w:rPr>
          <w:i/>
        </w:rPr>
        <w:t xml:space="preserve">Origins of the Anglo-Saxons, </w:t>
      </w:r>
      <w:r>
        <w:t>p.p. 118-9</w:t>
      </w:r>
    </w:p>
  </w:footnote>
  <w:footnote w:id="59">
    <w:p w14:paraId="4879209A" w14:textId="5E0235EE" w:rsidR="00E24D83" w:rsidRPr="0063148C" w:rsidRDefault="00E24D83">
      <w:pPr>
        <w:pStyle w:val="FootnoteText"/>
      </w:pPr>
      <w:r>
        <w:rPr>
          <w:rStyle w:val="FootnoteReference"/>
        </w:rPr>
        <w:footnoteRef/>
      </w:r>
      <w:r>
        <w:t xml:space="preserve"> Fleming, </w:t>
      </w:r>
      <w:r w:rsidR="00CD6D4C">
        <w:rPr>
          <w:i/>
        </w:rPr>
        <w:t xml:space="preserve">Britain After Rome, </w:t>
      </w:r>
      <w:r w:rsidR="00CD6D4C">
        <w:t xml:space="preserve">p.p. 31-2, 50-1; Laycock, </w:t>
      </w:r>
      <w:r w:rsidR="00CD6D4C">
        <w:rPr>
          <w:i/>
        </w:rPr>
        <w:t xml:space="preserve">Britannia: The Failed State, </w:t>
      </w:r>
      <w:r w:rsidR="00CD6D4C">
        <w:t xml:space="preserve">p. 170; Ward-Perkins, </w:t>
      </w:r>
      <w:proofErr w:type="gramStart"/>
      <w:r w:rsidR="00CD6D4C">
        <w:rPr>
          <w:i/>
        </w:rPr>
        <w:t>Why</w:t>
      </w:r>
      <w:proofErr w:type="gramEnd"/>
      <w:r w:rsidR="00CD6D4C">
        <w:rPr>
          <w:i/>
        </w:rPr>
        <w:t xml:space="preserve"> did the Anglo-Saxons, </w:t>
      </w:r>
      <w:r w:rsidR="0063148C">
        <w:t>p. 528.</w:t>
      </w:r>
    </w:p>
  </w:footnote>
  <w:footnote w:id="60">
    <w:p w14:paraId="251F4B93" w14:textId="11887301" w:rsidR="0063148C" w:rsidRPr="0063148C" w:rsidRDefault="0063148C">
      <w:pPr>
        <w:pStyle w:val="FootnoteText"/>
      </w:pPr>
      <w:r>
        <w:rPr>
          <w:rStyle w:val="FootnoteReference"/>
        </w:rPr>
        <w:footnoteRef/>
      </w:r>
      <w:r>
        <w:t xml:space="preserve"> Pryor, </w:t>
      </w:r>
      <w:r>
        <w:rPr>
          <w:i/>
        </w:rPr>
        <w:t xml:space="preserve">Britain AD, </w:t>
      </w:r>
      <w:r>
        <w:t>p.p. 167-172; Alan Lane, ‘</w:t>
      </w:r>
      <w:proofErr w:type="spellStart"/>
      <w:r>
        <w:t>Wroxeter</w:t>
      </w:r>
      <w:proofErr w:type="spellEnd"/>
      <w:r>
        <w:t xml:space="preserve"> and the End of Roman Britain’, </w:t>
      </w:r>
      <w:r>
        <w:rPr>
          <w:i/>
        </w:rPr>
        <w:t xml:space="preserve">Antiquity, </w:t>
      </w:r>
      <w:r>
        <w:t>Vol. 88 (2014), p.p. 501-515.</w:t>
      </w:r>
    </w:p>
  </w:footnote>
  <w:footnote w:id="61">
    <w:p w14:paraId="2094D137" w14:textId="2428068C" w:rsidR="0063148C" w:rsidRPr="0063148C" w:rsidRDefault="0063148C">
      <w:pPr>
        <w:pStyle w:val="FootnoteText"/>
      </w:pPr>
      <w:r>
        <w:rPr>
          <w:rStyle w:val="FootnoteReference"/>
        </w:rPr>
        <w:footnoteRef/>
      </w:r>
      <w:r>
        <w:t xml:space="preserve"> Ward-Perkins, </w:t>
      </w:r>
      <w:proofErr w:type="gramStart"/>
      <w:r>
        <w:rPr>
          <w:i/>
        </w:rPr>
        <w:t>Why</w:t>
      </w:r>
      <w:proofErr w:type="gramEnd"/>
      <w:r>
        <w:rPr>
          <w:i/>
        </w:rPr>
        <w:t xml:space="preserve"> did the Anglo Saxons, </w:t>
      </w:r>
      <w:r>
        <w:t>p. 524.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0CBC6" w14:textId="3E2A18E7" w:rsidR="005A4928" w:rsidRDefault="005A4928">
    <w:pPr>
      <w:pStyle w:val="Header"/>
    </w:pPr>
    <w:r>
      <w:t>James Forder 1701007</w:t>
    </w:r>
  </w:p>
  <w:p w14:paraId="752DBCE7" w14:textId="77777777" w:rsidR="005A4928" w:rsidRDefault="005A49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8C2"/>
    <w:rsid w:val="00000D43"/>
    <w:rsid w:val="000214E9"/>
    <w:rsid w:val="00036DA5"/>
    <w:rsid w:val="000A1E70"/>
    <w:rsid w:val="000C4CE9"/>
    <w:rsid w:val="000C6FBC"/>
    <w:rsid w:val="000D6BD2"/>
    <w:rsid w:val="000F1307"/>
    <w:rsid w:val="000F2279"/>
    <w:rsid w:val="001610C1"/>
    <w:rsid w:val="0017537B"/>
    <w:rsid w:val="00177370"/>
    <w:rsid w:val="0018099B"/>
    <w:rsid w:val="00183F9F"/>
    <w:rsid w:val="001846AB"/>
    <w:rsid w:val="00194B82"/>
    <w:rsid w:val="001B2176"/>
    <w:rsid w:val="001C07C4"/>
    <w:rsid w:val="001C4DD2"/>
    <w:rsid w:val="001F0387"/>
    <w:rsid w:val="001F208E"/>
    <w:rsid w:val="00263728"/>
    <w:rsid w:val="0029067C"/>
    <w:rsid w:val="002A4D96"/>
    <w:rsid w:val="002B5B2E"/>
    <w:rsid w:val="0032477B"/>
    <w:rsid w:val="0033316B"/>
    <w:rsid w:val="00347F78"/>
    <w:rsid w:val="0035263A"/>
    <w:rsid w:val="003603A6"/>
    <w:rsid w:val="0036534D"/>
    <w:rsid w:val="003678E5"/>
    <w:rsid w:val="003869EA"/>
    <w:rsid w:val="00396DC4"/>
    <w:rsid w:val="003B41E6"/>
    <w:rsid w:val="003C4317"/>
    <w:rsid w:val="003E6836"/>
    <w:rsid w:val="00403DE6"/>
    <w:rsid w:val="00466E8B"/>
    <w:rsid w:val="004E3169"/>
    <w:rsid w:val="00500BA8"/>
    <w:rsid w:val="00512CF3"/>
    <w:rsid w:val="00535A5D"/>
    <w:rsid w:val="00544438"/>
    <w:rsid w:val="0058108E"/>
    <w:rsid w:val="00583DC3"/>
    <w:rsid w:val="005A4928"/>
    <w:rsid w:val="005B0EED"/>
    <w:rsid w:val="005D243A"/>
    <w:rsid w:val="006019E3"/>
    <w:rsid w:val="0063148C"/>
    <w:rsid w:val="00655248"/>
    <w:rsid w:val="00667501"/>
    <w:rsid w:val="006946F3"/>
    <w:rsid w:val="006B1792"/>
    <w:rsid w:val="00751057"/>
    <w:rsid w:val="007542EB"/>
    <w:rsid w:val="0078187B"/>
    <w:rsid w:val="007B1622"/>
    <w:rsid w:val="007B6995"/>
    <w:rsid w:val="007C66DC"/>
    <w:rsid w:val="007D4281"/>
    <w:rsid w:val="007F26D1"/>
    <w:rsid w:val="007F54B7"/>
    <w:rsid w:val="00802FD5"/>
    <w:rsid w:val="00834159"/>
    <w:rsid w:val="00834812"/>
    <w:rsid w:val="00834B95"/>
    <w:rsid w:val="008472D8"/>
    <w:rsid w:val="00850015"/>
    <w:rsid w:val="00860198"/>
    <w:rsid w:val="008704D0"/>
    <w:rsid w:val="00885289"/>
    <w:rsid w:val="00890BDF"/>
    <w:rsid w:val="008D25C7"/>
    <w:rsid w:val="00945AAA"/>
    <w:rsid w:val="009526E1"/>
    <w:rsid w:val="009D4A3D"/>
    <w:rsid w:val="009F7292"/>
    <w:rsid w:val="00A1006D"/>
    <w:rsid w:val="00A17EC8"/>
    <w:rsid w:val="00A309E8"/>
    <w:rsid w:val="00A34930"/>
    <w:rsid w:val="00A41EBF"/>
    <w:rsid w:val="00AD303D"/>
    <w:rsid w:val="00AE4ED5"/>
    <w:rsid w:val="00B155DC"/>
    <w:rsid w:val="00B159B9"/>
    <w:rsid w:val="00B1662B"/>
    <w:rsid w:val="00B24D19"/>
    <w:rsid w:val="00B31C46"/>
    <w:rsid w:val="00B37A80"/>
    <w:rsid w:val="00B91533"/>
    <w:rsid w:val="00BE6B2C"/>
    <w:rsid w:val="00BE6D23"/>
    <w:rsid w:val="00C113BC"/>
    <w:rsid w:val="00C35D03"/>
    <w:rsid w:val="00C41ED9"/>
    <w:rsid w:val="00C6331A"/>
    <w:rsid w:val="00C858AB"/>
    <w:rsid w:val="00CD0FE1"/>
    <w:rsid w:val="00CD6D4C"/>
    <w:rsid w:val="00CF3DD6"/>
    <w:rsid w:val="00CF435C"/>
    <w:rsid w:val="00CF6A52"/>
    <w:rsid w:val="00D0332B"/>
    <w:rsid w:val="00D20CC3"/>
    <w:rsid w:val="00D26AB9"/>
    <w:rsid w:val="00D4170F"/>
    <w:rsid w:val="00D526D1"/>
    <w:rsid w:val="00D85AA8"/>
    <w:rsid w:val="00DA089C"/>
    <w:rsid w:val="00DF2A52"/>
    <w:rsid w:val="00DF7D07"/>
    <w:rsid w:val="00E0397C"/>
    <w:rsid w:val="00E163BE"/>
    <w:rsid w:val="00E24D83"/>
    <w:rsid w:val="00E40235"/>
    <w:rsid w:val="00E41402"/>
    <w:rsid w:val="00E571E0"/>
    <w:rsid w:val="00E942C5"/>
    <w:rsid w:val="00EB5A71"/>
    <w:rsid w:val="00EC28C2"/>
    <w:rsid w:val="00EE197E"/>
    <w:rsid w:val="00EE36EC"/>
    <w:rsid w:val="00F11A7D"/>
    <w:rsid w:val="00F448E9"/>
    <w:rsid w:val="00F74442"/>
    <w:rsid w:val="00FA54DD"/>
    <w:rsid w:val="00FA725B"/>
    <w:rsid w:val="00FD34F0"/>
    <w:rsid w:val="00FD6C50"/>
    <w:rsid w:val="00FF2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5B063"/>
  <w15:chartTrackingRefBased/>
  <w15:docId w15:val="{05D5709E-0C43-42DD-9DC8-9AB8EACD3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D6C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6C50"/>
    <w:rPr>
      <w:sz w:val="20"/>
      <w:szCs w:val="20"/>
    </w:rPr>
  </w:style>
  <w:style w:type="character" w:styleId="FootnoteReference">
    <w:name w:val="footnote reference"/>
    <w:basedOn w:val="DefaultParagraphFont"/>
    <w:uiPriority w:val="99"/>
    <w:semiHidden/>
    <w:unhideWhenUsed/>
    <w:rsid w:val="00FD6C50"/>
    <w:rPr>
      <w:vertAlign w:val="superscript"/>
    </w:rPr>
  </w:style>
  <w:style w:type="paragraph" w:styleId="EndnoteText">
    <w:name w:val="endnote text"/>
    <w:basedOn w:val="Normal"/>
    <w:link w:val="EndnoteTextChar"/>
    <w:uiPriority w:val="99"/>
    <w:semiHidden/>
    <w:unhideWhenUsed/>
    <w:rsid w:val="00A309E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309E8"/>
    <w:rPr>
      <w:sz w:val="20"/>
      <w:szCs w:val="20"/>
    </w:rPr>
  </w:style>
  <w:style w:type="character" w:styleId="EndnoteReference">
    <w:name w:val="endnote reference"/>
    <w:basedOn w:val="DefaultParagraphFont"/>
    <w:uiPriority w:val="99"/>
    <w:semiHidden/>
    <w:unhideWhenUsed/>
    <w:rsid w:val="00A309E8"/>
    <w:rPr>
      <w:vertAlign w:val="superscript"/>
    </w:rPr>
  </w:style>
  <w:style w:type="paragraph" w:styleId="Header">
    <w:name w:val="header"/>
    <w:basedOn w:val="Normal"/>
    <w:link w:val="HeaderChar"/>
    <w:uiPriority w:val="99"/>
    <w:unhideWhenUsed/>
    <w:rsid w:val="005A4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928"/>
  </w:style>
  <w:style w:type="paragraph" w:styleId="Footer">
    <w:name w:val="footer"/>
    <w:basedOn w:val="Normal"/>
    <w:link w:val="FooterChar"/>
    <w:uiPriority w:val="99"/>
    <w:unhideWhenUsed/>
    <w:rsid w:val="005A4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9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565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3883</Words>
  <Characters>22135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3</cp:revision>
  <dcterms:created xsi:type="dcterms:W3CDTF">2019-05-10T12:57:00Z</dcterms:created>
  <dcterms:modified xsi:type="dcterms:W3CDTF">2019-05-10T12:57:00Z</dcterms:modified>
</cp:coreProperties>
</file>