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b w:val="0"/>
          <w:bCs w:val="0"/>
          <w:sz w:val="24"/>
          <w:szCs w:val="24"/>
        </w:rPr>
        <w:id w:val="1609007492"/>
        <w:docPartObj>
          <w:docPartGallery w:val="autotext"/>
        </w:docPartObj>
      </w:sdtPr>
      <w:sdtEndPr>
        <w:rPr>
          <w:rFonts w:hint="default" w:ascii="Arial" w:hAnsi="Arial" w:cs="Arial"/>
          <w:b w:val="0"/>
          <w:bCs w:val="0"/>
          <w:sz w:val="24"/>
          <w:szCs w:val="24"/>
        </w:rPr>
      </w:sdtEndPr>
      <w:sdtConten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sz w:val="24"/>
              <w:szCs w:val="24"/>
            </w:rPr>
            <w:t>Strategic Marketing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eastAsia="宋体" w:cs="Arial"/>
              <w:sz w:val="24"/>
              <w:szCs w:val="24"/>
            </w:rPr>
            <w:t>BMBM6016</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Assignment Title:</w:t>
          </w:r>
          <w:r>
            <w:rPr>
              <w:rFonts w:hint="default" w:ascii="Arial" w:hAnsi="Arial" w:eastAsia="宋体" w:cs="Arial"/>
              <w:sz w:val="24"/>
              <w:szCs w:val="24"/>
            </w:rPr>
            <w:t>Business Management</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eastAsia="宋体" w:cs="Arial"/>
              <w:sz w:val="24"/>
              <w:szCs w:val="24"/>
            </w:rPr>
            <w:t>Gwyneth Jones</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textAlignment w:val="auto"/>
          </w:pPr>
        </w:p>
      </w:sdtContent>
    </w:sd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Executive summary</w:t>
      </w:r>
      <w:r>
        <w:rPr>
          <w:rFonts w:hint="eastAsia" w:ascii="Arial" w:hAnsi="Arial" w:cs="Arial"/>
          <w:sz w:val="24"/>
          <w:szCs w:val="24"/>
          <w:lang w:val="en-US" w:eastAsia="zh-CN"/>
        </w:rPr>
        <w:t>：</w:t>
      </w:r>
    </w:p>
    <w:p>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left"/>
        <w:textAlignment w:val="auto"/>
        <w:rPr>
          <w:rFonts w:hint="default" w:ascii="Arial" w:hAnsi="Arial" w:cs="Arial"/>
          <w:sz w:val="24"/>
          <w:szCs w:val="24"/>
        </w:rPr>
      </w:pPr>
      <w:r>
        <w:rPr>
          <w:rFonts w:hint="default" w:ascii="Arial" w:hAnsi="Arial" w:cs="Arial"/>
          <w:sz w:val="24"/>
          <w:szCs w:val="24"/>
        </w:rPr>
        <w:t>This report evaluates Tesco's response to the dynamic global economic landscape through PESTEL, Porter Five Force, McKinsey 7S and SWOT analysis, analyzes five problems with the current development of tesco, and gives relevant strategic suggestions to support tesco's sustainable development in the future</w:t>
      </w:r>
      <w:r>
        <w:rPr>
          <w:rFonts w:hint="default" w:ascii="Arial" w:hAnsi="Arial" w:cs="Arial"/>
          <w:sz w:val="24"/>
          <w:szCs w:val="24"/>
        </w:rPr>
        <w:br w:type="page"/>
      </w:r>
    </w:p>
    <w:sdt>
      <w:sdtPr>
        <w:rPr>
          <w:rFonts w:hint="default" w:ascii="Arial" w:hAnsi="Arial" w:eastAsia="宋体" w:cs="Arial"/>
          <w:kern w:val="2"/>
          <w:sz w:val="32"/>
          <w:szCs w:val="32"/>
          <w:lang w:val="en-US" w:eastAsia="zh-CN" w:bidi="ar-SA"/>
        </w:rPr>
        <w:id w:val="147452815"/>
        <w15:color w:val="DBDBDB"/>
        <w:docPartObj>
          <w:docPartGallery w:val="Table of Contents"/>
          <w:docPartUnique/>
        </w:docPartObj>
      </w:sdtPr>
      <w:sdtEndPr>
        <w:rPr>
          <w:rFonts w:hint="default" w:ascii="Arial" w:hAnsi="Arial" w:eastAsia="宋体" w:cs="Arial"/>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32"/>
              <w:szCs w:val="32"/>
              <w:lang w:val="en-US"/>
            </w:rPr>
          </w:pPr>
          <w:r>
            <w:rPr>
              <w:rFonts w:hint="default" w:ascii="Arial" w:hAnsi="Arial" w:eastAsia="宋体" w:cs="Arial"/>
              <w:kern w:val="2"/>
              <w:sz w:val="32"/>
              <w:szCs w:val="32"/>
              <w:lang w:val="en-US" w:eastAsia="zh-CN" w:bidi="ar-SA"/>
            </w:rPr>
            <w:t>Content</w:t>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_Toc31086 </w:instrText>
          </w:r>
          <w:r>
            <w:rPr>
              <w:rFonts w:hint="default" w:ascii="Arial" w:hAnsi="Arial" w:cs="Arial"/>
              <w:sz w:val="24"/>
              <w:szCs w:val="24"/>
            </w:rPr>
            <w:fldChar w:fldCharType="separate"/>
          </w:r>
          <w:r>
            <w:rPr>
              <w:rFonts w:hint="default" w:ascii="Arial" w:hAnsi="Arial" w:cs="Arial"/>
              <w:sz w:val="24"/>
              <w:szCs w:val="24"/>
              <w:lang w:val="en-US" w:eastAsia="zh-CN"/>
            </w:rPr>
            <w:t>1.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_Toc31086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_Toc12834 </w:instrText>
          </w:r>
          <w:r>
            <w:rPr>
              <w:rFonts w:hint="default" w:ascii="Arial" w:hAnsi="Arial" w:cs="Arial"/>
              <w:sz w:val="24"/>
              <w:szCs w:val="24"/>
            </w:rPr>
            <w:fldChar w:fldCharType="separate"/>
          </w:r>
          <w:r>
            <w:rPr>
              <w:rFonts w:hint="default" w:ascii="Arial" w:hAnsi="Arial" w:cs="Arial"/>
              <w:sz w:val="24"/>
              <w:szCs w:val="24"/>
              <w:lang w:val="en-US" w:eastAsia="zh-CN"/>
            </w:rPr>
            <w:t>1.1Background：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_Toc12834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_Toc23819 </w:instrText>
          </w:r>
          <w:r>
            <w:rPr>
              <w:rFonts w:hint="default" w:ascii="Arial" w:hAnsi="Arial" w:cs="Arial"/>
              <w:sz w:val="24"/>
              <w:szCs w:val="24"/>
            </w:rPr>
            <w:fldChar w:fldCharType="separate"/>
          </w:r>
          <w:r>
            <w:rPr>
              <w:rFonts w:hint="default" w:ascii="Arial" w:hAnsi="Arial" w:cs="Arial"/>
              <w:sz w:val="24"/>
              <w:szCs w:val="24"/>
              <w:lang w:val="en-US" w:eastAsia="zh-CN"/>
            </w:rPr>
            <w:t>2.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_Toc23819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_Toc18613 </w:instrText>
          </w:r>
          <w:r>
            <w:rPr>
              <w:rFonts w:hint="default" w:ascii="Arial" w:hAnsi="Arial" w:cs="Arial"/>
              <w:sz w:val="24"/>
              <w:szCs w:val="24"/>
            </w:rPr>
            <w:fldChar w:fldCharType="separate"/>
          </w:r>
          <w:r>
            <w:rPr>
              <w:rFonts w:hint="default" w:ascii="Arial" w:hAnsi="Arial" w:cs="Arial"/>
              <w:sz w:val="24"/>
              <w:szCs w:val="24"/>
              <w:lang w:val="en-US" w:eastAsia="zh-CN"/>
            </w:rPr>
            <w:t>2.1Issue 1:The effect of not complying with the law on the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_Toc18613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_Toc15932 </w:instrText>
          </w:r>
          <w:r>
            <w:rPr>
              <w:rFonts w:hint="default" w:ascii="Arial" w:hAnsi="Arial" w:cs="Arial"/>
              <w:sz w:val="24"/>
              <w:szCs w:val="24"/>
            </w:rPr>
            <w:fldChar w:fldCharType="separate"/>
          </w:r>
          <w:r>
            <w:rPr>
              <w:rFonts w:hint="default" w:ascii="Arial" w:hAnsi="Arial" w:cs="Arial"/>
              <w:sz w:val="24"/>
              <w:szCs w:val="24"/>
              <w:lang w:val="en-US" w:eastAsia="zh-CN"/>
            </w:rPr>
            <w:t>2.2 Issue 2：The impact of changes in consumer purchasing behavior on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_Toc15932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_Toc31496 </w:instrText>
          </w:r>
          <w:r>
            <w:rPr>
              <w:rFonts w:hint="default" w:ascii="Arial" w:hAnsi="Arial" w:cs="Arial"/>
              <w:sz w:val="24"/>
              <w:szCs w:val="24"/>
            </w:rPr>
            <w:fldChar w:fldCharType="separate"/>
          </w:r>
          <w:r>
            <w:rPr>
              <w:rFonts w:hint="default" w:ascii="Arial" w:hAnsi="Arial" w:cs="Arial"/>
              <w:sz w:val="24"/>
              <w:szCs w:val="24"/>
              <w:lang w:val="en-US" w:eastAsia="zh-CN"/>
            </w:rPr>
            <w:t>3. Porter's Five-force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_Toc31496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_Toc22448 </w:instrText>
          </w:r>
          <w:r>
            <w:rPr>
              <w:rFonts w:hint="default" w:ascii="Arial" w:hAnsi="Arial" w:cs="Arial"/>
              <w:sz w:val="24"/>
              <w:szCs w:val="24"/>
            </w:rPr>
            <w:fldChar w:fldCharType="separate"/>
          </w:r>
          <w:r>
            <w:rPr>
              <w:rFonts w:hint="default" w:ascii="Arial" w:hAnsi="Arial" w:cs="Arial"/>
              <w:sz w:val="24"/>
              <w:szCs w:val="24"/>
              <w:lang w:val="en-US" w:eastAsia="zh-CN"/>
            </w:rPr>
            <w:t>3.1 Issue 3：</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_Toc22448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_Toc1793 </w:instrText>
          </w:r>
          <w:r>
            <w:rPr>
              <w:rFonts w:hint="default" w:ascii="Arial" w:hAnsi="Arial" w:cs="Arial"/>
              <w:sz w:val="24"/>
              <w:szCs w:val="24"/>
            </w:rPr>
            <w:fldChar w:fldCharType="separate"/>
          </w:r>
          <w:r>
            <w:rPr>
              <w:rFonts w:hint="default" w:ascii="Arial" w:hAnsi="Arial" w:cs="Arial"/>
              <w:sz w:val="24"/>
              <w:szCs w:val="24"/>
              <w:lang w:eastAsia="zh-CN"/>
            </w:rPr>
            <w:t xml:space="preserve">4. </w:t>
          </w:r>
          <w:r>
            <w:rPr>
              <w:rFonts w:hint="default" w:ascii="Arial" w:hAnsi="Arial" w:cs="Arial"/>
              <w:sz w:val="24"/>
              <w:szCs w:val="24"/>
            </w:rPr>
            <w:t>McKinsey’s 7S Framewokr</w:t>
          </w:r>
          <w:r>
            <w:rPr>
              <w:rFonts w:hint="default" w:ascii="Arial" w:hAnsi="Arial" w:cs="Arial"/>
              <w:sz w:val="24"/>
              <w:szCs w:val="24"/>
              <w:lang w:val="en-US" w:eastAsia="zh-CN"/>
            </w:rPr>
            <w:t xml:space="preserve"> </w:t>
          </w:r>
          <w:r>
            <w:rPr>
              <w:rFonts w:hint="default" w:ascii="Arial" w:hAnsi="Arial" w:cs="Arial"/>
              <w:sz w:val="24"/>
              <w:szCs w:val="24"/>
              <w:lang w:eastAsia="zh-CN"/>
            </w:rPr>
            <w: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_Toc1793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_Toc28129 </w:instrText>
          </w:r>
          <w:r>
            <w:rPr>
              <w:rFonts w:hint="default" w:ascii="Arial" w:hAnsi="Arial" w:cs="Arial"/>
              <w:sz w:val="24"/>
              <w:szCs w:val="24"/>
            </w:rPr>
            <w:fldChar w:fldCharType="separate"/>
          </w:r>
          <w:r>
            <w:rPr>
              <w:rFonts w:hint="default" w:ascii="Arial" w:hAnsi="Arial" w:cs="Arial"/>
              <w:sz w:val="24"/>
              <w:szCs w:val="24"/>
              <w:lang w:val="en-US" w:eastAsia="zh-CN"/>
            </w:rPr>
            <w:t> Style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_Toc28129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_Toc19638 </w:instrText>
          </w:r>
          <w:r>
            <w:rPr>
              <w:rFonts w:hint="default" w:ascii="Arial" w:hAnsi="Arial" w:cs="Arial"/>
              <w:sz w:val="24"/>
              <w:szCs w:val="24"/>
            </w:rPr>
            <w:fldChar w:fldCharType="separate"/>
          </w:r>
          <w:r>
            <w:rPr>
              <w:rFonts w:hint="default" w:ascii="Arial" w:hAnsi="Arial" w:cs="Arial"/>
              <w:sz w:val="24"/>
              <w:szCs w:val="24"/>
              <w:lang w:val="en-US" w:eastAsia="zh-CN"/>
            </w:rPr>
            <w:t>4.1 Finding 4:</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_Toc19638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_Toc24584 </w:instrText>
          </w:r>
          <w:r>
            <w:rPr>
              <w:rFonts w:hint="default" w:ascii="Arial" w:hAnsi="Arial" w:cs="Arial"/>
              <w:sz w:val="24"/>
              <w:szCs w:val="24"/>
            </w:rPr>
            <w:fldChar w:fldCharType="separate"/>
          </w:r>
          <w:r>
            <w:rPr>
              <w:rFonts w:hint="default" w:ascii="Arial" w:hAnsi="Arial" w:cs="Arial"/>
              <w:sz w:val="24"/>
              <w:szCs w:val="24"/>
              <w:lang w:val="en-US" w:eastAsia="zh-CN"/>
            </w:rPr>
            <w:t>5. The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_Toc24584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3"/>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_Toc6157 </w:instrText>
          </w:r>
          <w:r>
            <w:rPr>
              <w:rFonts w:hint="default" w:ascii="Arial" w:hAnsi="Arial" w:cs="Arial"/>
              <w:sz w:val="24"/>
              <w:szCs w:val="24"/>
            </w:rPr>
            <w:fldChar w:fldCharType="separate"/>
          </w:r>
          <w:r>
            <w:rPr>
              <w:rFonts w:hint="default" w:ascii="Arial" w:hAnsi="Arial" w:eastAsia="宋体" w:cs="Arial"/>
              <w:sz w:val="24"/>
              <w:szCs w:val="24"/>
              <w:lang w:val="en-US" w:eastAsia="zh-CN"/>
            </w:rPr>
            <w:t>5.1 Finding 5：Effect of autonomous products on Tesco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_Toc6157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_Toc21949 </w:instrText>
          </w:r>
          <w:r>
            <w:rPr>
              <w:rFonts w:hint="default" w:ascii="Arial" w:hAnsi="Arial" w:cs="Arial"/>
              <w:sz w:val="24"/>
              <w:szCs w:val="24"/>
            </w:rPr>
            <w:fldChar w:fldCharType="separate"/>
          </w:r>
          <w:r>
            <w:rPr>
              <w:rFonts w:hint="default" w:ascii="Arial" w:hAnsi="Arial" w:cs="Arial"/>
              <w:bCs w:val="0"/>
              <w:sz w:val="24"/>
              <w:szCs w:val="24"/>
              <w:lang w:val="en-US" w:eastAsia="zh-CN"/>
            </w:rPr>
            <w:t xml:space="preserve">6. </w:t>
          </w:r>
          <w:r>
            <w:rPr>
              <w:rFonts w:hint="default" w:ascii="Arial" w:hAnsi="Arial" w:cs="Arial"/>
              <w:bCs w:val="0"/>
              <w:sz w:val="24"/>
              <w:szCs w:val="24"/>
            </w:rPr>
            <w:t>Recommendations</w:t>
          </w:r>
          <w:r>
            <w:rPr>
              <w:rFonts w:hint="default" w:ascii="Arial" w:hAnsi="Arial" w:cs="Arial"/>
              <w:bCs w:val="0"/>
              <w:sz w:val="24"/>
              <w:szCs w:val="24"/>
              <w:lang w:val="en-US" w:eastAsia="zh-CN"/>
            </w:rPr>
            <w: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_Toc21949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pStyle w:val="2"/>
            <w:tabs>
              <w:tab w:val="right" w:leader="dot" w:pos="8306"/>
            </w:tabs>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_Toc30819 </w:instrText>
          </w:r>
          <w:r>
            <w:rPr>
              <w:rFonts w:hint="default" w:ascii="Arial" w:hAnsi="Arial" w:cs="Arial"/>
              <w:sz w:val="24"/>
              <w:szCs w:val="24"/>
            </w:rPr>
            <w:fldChar w:fldCharType="separate"/>
          </w:r>
          <w:r>
            <w:rPr>
              <w:rFonts w:hint="default" w:ascii="Arial" w:hAnsi="Arial" w:eastAsia="宋体" w:cs="Arial"/>
              <w:bCs w:val="0"/>
              <w:sz w:val="24"/>
              <w:szCs w:val="24"/>
              <w:lang w:val="en-US" w:eastAsia="zh-CN"/>
            </w:rPr>
            <w:t>7.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_Toc30819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rPr>
            <w:fldChar w:fldCharType="end"/>
          </w:r>
        </w:p>
        <w:p>
          <w:r>
            <w:rPr>
              <w:rFonts w:hint="default" w:ascii="Arial" w:hAnsi="Arial" w:cs="Arial"/>
              <w:sz w:val="24"/>
              <w:szCs w:val="24"/>
            </w:rPr>
            <w:fldChar w:fldCharType="end"/>
          </w:r>
        </w:p>
      </w:sdtContent>
    </w:sdt>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outlineLvl w:val="0"/>
        <w:rPr>
          <w:rFonts w:hint="default" w:ascii="Arial" w:hAnsi="Arial" w:cs="Arial"/>
          <w:sz w:val="24"/>
          <w:szCs w:val="24"/>
          <w:lang w:val="en-US" w:eastAsia="zh-CN"/>
        </w:rPr>
      </w:pPr>
      <w:bookmarkStart w:id="0" w:name="_Toc31086"/>
      <w:bookmarkStart w:id="1" w:name="OLE_LINK4"/>
      <w:r>
        <w:rPr>
          <w:rFonts w:hint="default" w:ascii="Arial" w:hAnsi="Arial" w:cs="Arial"/>
          <w:sz w:val="24"/>
          <w:szCs w:val="24"/>
          <w:lang w:val="en-US" w:eastAsia="zh-CN"/>
        </w:rPr>
        <w:t>Introduction：</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In order to address the ongoing challenges of the global economic environment, strategic analysis is crucial for the organization's adaptation and development. The current global economic environment is characterized by various uncertainties, including trade tensions, geopolitical instability, inflationary pressures and the continued impact of the COVID-19, which has brought challenges to enterprises (Henry Curr, 2023).Especially in the food retailing industry, these economic changes have caused significant changes (Wu, G. etal., 2023). The impact of consumer behavior and preference on the supply chain interruption, the impact on the purchasing power, and the change in the global economy has made a serious repercussion in the industry, and it is necessary to provide a thorough strategic plan and management to cope with the complex global economic environment.</w:t>
      </w:r>
    </w:p>
    <w:p>
      <w:pPr>
        <w:outlineLvl w:val="1"/>
        <w:rPr>
          <w:rFonts w:hint="eastAsia" w:ascii="Arial" w:hAnsi="Arial" w:cs="Arial"/>
          <w:sz w:val="24"/>
          <w:szCs w:val="24"/>
          <w:lang w:val="en-US" w:eastAsia="zh-CN"/>
        </w:rPr>
      </w:pPr>
      <w:bookmarkStart w:id="2" w:name="_Toc12834"/>
      <w:r>
        <w:rPr>
          <w:rFonts w:hint="eastAsia" w:ascii="Arial" w:hAnsi="Arial" w:cs="Arial"/>
          <w:sz w:val="24"/>
          <w:szCs w:val="24"/>
          <w:lang w:val="en-US" w:eastAsia="zh-CN"/>
        </w:rPr>
        <w:t>1.1Background：</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Tesco was founded in 1919, headquartered in the UK and grew into a well-known brand known for its commitment to broad product supply, efficient supply chain management and customer satisfaction (Gennaro, 2024). Due to the growing impact on the national store network and the international market in the international market, Tesco embodies elasticity and agility in the face of a changing economic structure.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Considering the various challenges faced by the company in the global economic environment, the purpose of this audit is to use various theoretical foundations and models to analyze and analyze its macro, micro, external, and internal conditions in order to make strategic decisions. The purpose of this report is to analyze and provide valuable information to help TexForm achieve sustainable growth and competitive advantage in a constantly changing economic environment.</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cs="Arial"/>
          <w:sz w:val="24"/>
          <w:szCs w:val="24"/>
          <w:lang w:val="en-US" w:eastAsia="zh-CN"/>
        </w:rPr>
      </w:pPr>
      <w:bookmarkStart w:id="3" w:name="_Toc23819"/>
      <w:r>
        <w:rPr>
          <w:rFonts w:hint="default" w:ascii="Arial" w:hAnsi="Arial" w:cs="Arial"/>
          <w:sz w:val="24"/>
          <w:szCs w:val="24"/>
          <w:lang w:val="en-US" w:eastAsia="zh-CN"/>
        </w:rPr>
        <w:t>PESTEL analysis</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highlight w:val="none"/>
          <w:lang w:val="en-US" w:eastAsia="zh-CN"/>
        </w:rPr>
      </w:pPr>
      <w:r>
        <w:rPr>
          <w:rFonts w:hint="default" w:ascii="Arial" w:hAnsi="Arial" w:cs="Arial"/>
          <w:sz w:val="24"/>
          <w:szCs w:val="24"/>
          <w:lang w:val="en-US" w:eastAsia="zh-CN"/>
        </w:rPr>
        <w:t>The PESTEL framework is a mnemonic used in strategic management to classify macroeconomic environmental factors and assist strategists in identifying general opportunities and risks (Bratnicki, M., 2014; Peters TJ, Waterman RH2015).</w:t>
      </w:r>
      <w:r>
        <w:rPr>
          <w:rFonts w:hint="default" w:ascii="Arial" w:hAnsi="Arial" w:cs="Arial"/>
          <w:sz w:val="24"/>
          <w:szCs w:val="24"/>
          <w:highlight w:val="none"/>
          <w:lang w:val="en-US" w:eastAsia="zh-CN"/>
        </w:rPr>
        <w:t>The PESTEL framework includes political, environmental, social, technological, economic, and legal. The PESTEL framework is used to analyze the external business environment in order to gain a comprehensive understanding of the organizational process, identify opportunities, and mitigate threats to the organization's business activities (Mind Tools, n.d.; Isa, T. &amp; Isa, T., 2014).</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Political: Political factors may include unstable government policies, tax policies, changes in trade relations, and regulatory measures. These factors may affect Tesco's operations, costs, and market access.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Economic: Economic factors include inflation rate, economic recession, exchange rate, and other factors. (Euromonitor, 2010) Economic fluctuations can affect consumer purchasing power and decision-making, thereby affecting Lexo's sales and profitability.</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Social: Social factors include population structure, consumer preferences, cultural values, etc. As consumers pay more attention to health, environment, and social responsibility, Tesco may need to adjust its products and marketing strategies to adapt to constantly changing market demands.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sz w:val="24"/>
          <w:szCs w:val="24"/>
          <w:lang w:val="en-US" w:eastAsia="zh-CN"/>
        </w:rPr>
        <w:t>T</w:t>
      </w:r>
      <w:r>
        <w:rPr>
          <w:rFonts w:hint="default" w:ascii="Arial" w:hAnsi="Arial" w:eastAsia="宋体" w:cs="Arial"/>
          <w:sz w:val="24"/>
          <w:szCs w:val="24"/>
          <w:lang w:val="en-US" w:eastAsia="zh-CN"/>
        </w:rPr>
        <w:t>echnological</w:t>
      </w:r>
      <w:r>
        <w:rPr>
          <w:rFonts w:hint="default" w:ascii="Arial" w:hAnsi="Arial" w:cs="Arial"/>
          <w:sz w:val="24"/>
          <w:szCs w:val="24"/>
          <w:lang w:val="en-US" w:eastAsia="zh-CN"/>
        </w:rPr>
        <w:t xml:space="preserve">: Technical factors involve technological innovation, digital transformation, and the application of automation technology. With the development of technology, TESCO Group may need to continuously improve its facilities and technical systems to maintain competitive advantage and improve operational efficiency. (Tesco </w:t>
      </w:r>
      <w:r>
        <w:rPr>
          <w:rFonts w:hint="eastAsia" w:ascii="Arial" w:hAnsi="Arial" w:cs="Arial"/>
          <w:sz w:val="24"/>
          <w:szCs w:val="24"/>
          <w:lang w:val="en-US" w:eastAsia="zh-CN"/>
        </w:rPr>
        <w:t>Plc，</w:t>
      </w:r>
      <w:r>
        <w:rPr>
          <w:rFonts w:hint="default" w:ascii="Arial" w:hAnsi="Arial" w:cs="Arial"/>
          <w:sz w:val="24"/>
          <w:szCs w:val="24"/>
          <w:lang w:val="en-US" w:eastAsia="zh-CN"/>
        </w:rPr>
        <w:t>2023)</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Environmental factors: Environmental factors include climate change, resource sustainability, and environmental requirements. Tesco may need to take sustainable development measures to reduce its environmental impact and meet consumer demand for sustainable products (Gennaro, 2024).</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Legal factors: Legal factors involve requirements of departmental regulations, labor laws, competition laws, etc. </w:t>
      </w:r>
      <w:r>
        <w:rPr>
          <w:rFonts w:hint="eastAsia" w:ascii="Arial" w:hAnsi="Arial" w:cs="Arial"/>
          <w:sz w:val="24"/>
          <w:szCs w:val="24"/>
          <w:lang w:val="en-US" w:eastAsia="zh-CN"/>
        </w:rPr>
        <w:t xml:space="preserve">Tesco </w:t>
      </w:r>
      <w:r>
        <w:rPr>
          <w:rFonts w:hint="default" w:ascii="Arial" w:hAnsi="Arial" w:cs="Arial"/>
          <w:sz w:val="24"/>
          <w:szCs w:val="24"/>
          <w:lang w:val="en-US" w:eastAsia="zh-CN"/>
        </w:rPr>
        <w:t>must comply with all applicable laws and regulations to avoid legal disputes and maintain its reputation and brand.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default" w:ascii="Arial" w:hAnsi="Arial" w:cs="Arial"/>
          <w:sz w:val="24"/>
          <w:szCs w:val="24"/>
          <w:lang w:val="en-US" w:eastAsia="zh-CN"/>
        </w:rPr>
      </w:pPr>
      <w:bookmarkStart w:id="4" w:name="_Toc18613"/>
      <w:r>
        <w:rPr>
          <w:rFonts w:hint="eastAsia" w:ascii="Arial" w:hAnsi="Arial" w:cs="Arial"/>
          <w:sz w:val="24"/>
          <w:szCs w:val="24"/>
          <w:lang w:val="en-US" w:eastAsia="zh-CN"/>
        </w:rPr>
        <w:t xml:space="preserve">2.1Issue </w:t>
      </w:r>
      <w:r>
        <w:rPr>
          <w:rFonts w:hint="default" w:ascii="Arial" w:hAnsi="Arial" w:cs="Arial"/>
          <w:sz w:val="24"/>
          <w:szCs w:val="24"/>
          <w:lang w:val="en-US" w:eastAsia="zh-CN"/>
        </w:rPr>
        <w:t xml:space="preserve">1:The effect of not complying with the law on the </w:t>
      </w:r>
      <w:r>
        <w:rPr>
          <w:rFonts w:hint="eastAsia" w:ascii="Arial" w:hAnsi="Arial" w:cs="Arial"/>
          <w:sz w:val="24"/>
          <w:szCs w:val="24"/>
          <w:lang w:val="en-US" w:eastAsia="zh-CN"/>
        </w:rPr>
        <w:t>T</w:t>
      </w:r>
      <w:r>
        <w:rPr>
          <w:rFonts w:hint="default" w:ascii="Arial" w:hAnsi="Arial" w:cs="Arial"/>
          <w:sz w:val="24"/>
          <w:szCs w:val="24"/>
          <w:lang w:val="en-US" w:eastAsia="zh-CN"/>
        </w:rPr>
        <w:t>esco</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Compliance with food safety regulations, work regulations and environmental standards is crucial for Tesco. Non-compliance can lead to legal sanctions and damage to the brand image. Especially from the food flow scandal in 2015-2017 and the audit fraud scandal in 2017 (Gan, W. and Yan, C. (2023), Tesco used pre-ordered but unsold goods as revenue, deducted funds from supplier transaction accounts, extended unnoticed payment dates and reduced selling costs. Tesco therefore overestimated its profit by €263 million in the first half of last year (Danlin H.2015). These illegal activities have weakened Tesco's reputation and led not only to a significant decline in Tesco's share price, but also to a decline in consumer confidence as consumers choose to turn to competitors or reduce transactions with Tesco.</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eastAsia" w:ascii="Arial" w:hAnsi="Arial" w:cs="Arial"/>
          <w:sz w:val="24"/>
          <w:szCs w:val="24"/>
          <w:lang w:val="en-US" w:eastAsia="zh-CN"/>
        </w:rPr>
      </w:pPr>
      <w:bookmarkStart w:id="5" w:name="_Toc15932"/>
      <w:r>
        <w:rPr>
          <w:rFonts w:hint="eastAsia" w:ascii="Arial" w:hAnsi="Arial" w:cs="Arial"/>
          <w:sz w:val="24"/>
          <w:szCs w:val="24"/>
          <w:lang w:val="en-US" w:eastAsia="zh-CN"/>
        </w:rPr>
        <w:t>2.2 Issue 2：The impact of changes in consumer purchasing behavior on Tesco</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lang w:val="en-US" w:eastAsia="zh-CN"/>
        </w:rPr>
        <w:t>The economy has always been a concern as it directly affects people's purchasing behavior, and the recession threat faced by the company in recent years has been triggered by the outbreak. However, a positive aspect of the recession is that consumers have reduced restaurants and increased household food consumption, which allows food retailers like Special to increase production (National Bureau of Statistics, 2010).</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sz w:val="24"/>
          <w:szCs w:val="24"/>
          <w:lang w:val="en-US" w:eastAsia="zh-CN"/>
        </w:rPr>
      </w:pPr>
      <w:bookmarkStart w:id="6" w:name="_Toc31496"/>
      <w:r>
        <w:rPr>
          <w:rFonts w:hint="eastAsia" w:ascii="Arial" w:hAnsi="Arial" w:cs="Arial"/>
          <w:sz w:val="24"/>
          <w:szCs w:val="24"/>
          <w:lang w:val="en-US" w:eastAsia="zh-CN"/>
        </w:rPr>
        <w:t>Porter's Five-force analysis:</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r>
        <w:rPr>
          <w:rFonts w:hint="default" w:ascii="Arial" w:hAnsi="Arial" w:cs="Arial"/>
          <w:sz w:val="24"/>
          <w:szCs w:val="24"/>
          <w:highlight w:val="none"/>
          <w:lang w:val="en-US" w:eastAsia="zh-CN"/>
        </w:rPr>
        <w:t xml:space="preserve">The Porter's Five Forces model is a strategic analysis tool that companies use to understand project profitability and structural drivers, and to develop competitive strategies. The model identifies five forces: supplier power, buyer power, competitive rivalry, threat of substitution, and threat of new entry (Grundy, T. 2006). Its purpose is to identify project strengths and weaknesses, and then determine structure and strategy (Rachesekar, J. 2022). </w:t>
      </w:r>
      <w:r>
        <w:rPr>
          <w:rFonts w:hint="default" w:ascii="Arial" w:hAnsi="Arial" w:cs="Arial"/>
          <w:sz w:val="24"/>
          <w:szCs w:val="24"/>
          <w:lang w:val="en-US" w:eastAsia="zh-CN"/>
        </w:rPr>
        <w:t>This is an effective tool to identify the factors that make the industry truly profitable.</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Competition: Tesco faces fierce competition in the UK retail market, including other chain supermarkets, discounters and online retailers. These competitors compete for market share by continuously lowering prices, innovating products and services and expanding channels (Rajasekar, J., 2022).</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i w:val="0"/>
          <w:iCs w:val="0"/>
          <w:caps w:val="0"/>
          <w:color w:val="111111"/>
          <w:spacing w:val="0"/>
          <w:sz w:val="24"/>
          <w:szCs w:val="24"/>
          <w:shd w:val="clear" w:fill="FFFFFF"/>
          <w:lang w:val="en-US" w:eastAsia="zh-CN"/>
        </w:rPr>
        <w:t>S</w:t>
      </w:r>
      <w:r>
        <w:rPr>
          <w:rFonts w:hint="default" w:ascii="Arial" w:hAnsi="Arial" w:eastAsia="sans-serif" w:cs="Arial"/>
          <w:i w:val="0"/>
          <w:iCs w:val="0"/>
          <w:caps w:val="0"/>
          <w:color w:val="111111"/>
          <w:spacing w:val="0"/>
          <w:sz w:val="24"/>
          <w:szCs w:val="24"/>
          <w:shd w:val="clear" w:fill="FFFFFF"/>
        </w:rPr>
        <w:t>upplier bargaining power</w:t>
      </w:r>
      <w:r>
        <w:rPr>
          <w:rFonts w:hint="eastAsia" w:ascii="sans-serif" w:hAnsi="sans-serif" w:eastAsia="宋体" w:cs="sans-serif"/>
          <w:i w:val="0"/>
          <w:iCs w:val="0"/>
          <w:caps w:val="0"/>
          <w:color w:val="111111"/>
          <w:spacing w:val="0"/>
          <w:sz w:val="24"/>
          <w:szCs w:val="24"/>
          <w:shd w:val="clear" w:fill="FFFFFF"/>
          <w:lang w:eastAsia="zh-CN"/>
        </w:rPr>
        <w:t>：</w:t>
      </w:r>
      <w:r>
        <w:rPr>
          <w:rFonts w:hint="default" w:ascii="Arial" w:hAnsi="Arial" w:cs="Arial"/>
          <w:sz w:val="24"/>
          <w:szCs w:val="24"/>
          <w:lang w:val="en-US" w:eastAsia="zh-CN"/>
        </w:rPr>
        <w:t>Tesco offers products dependent on vendors, and their negotiating capabilities can affect cost and profitability. It is feared that vendors can manage important raw materials and products.</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eastAsia="宋体" w:cs="Arial"/>
          <w:i w:val="0"/>
          <w:iCs w:val="0"/>
          <w:caps w:val="0"/>
          <w:color w:val="111111"/>
          <w:spacing w:val="0"/>
          <w:sz w:val="24"/>
          <w:szCs w:val="24"/>
          <w:shd w:val="clear" w:fill="FFFFFF"/>
          <w:lang w:val="en-US" w:eastAsia="zh-CN"/>
        </w:rPr>
        <w:t>C</w:t>
      </w:r>
      <w:r>
        <w:rPr>
          <w:rFonts w:hint="default" w:ascii="Arial" w:hAnsi="Arial" w:eastAsia="sans-serif" w:cs="Arial"/>
          <w:i w:val="0"/>
          <w:iCs w:val="0"/>
          <w:caps w:val="0"/>
          <w:color w:val="111111"/>
          <w:spacing w:val="0"/>
          <w:sz w:val="24"/>
          <w:szCs w:val="24"/>
          <w:shd w:val="clear" w:fill="FFFFFF"/>
        </w:rPr>
        <w:t>ustomer bargaining power</w:t>
      </w:r>
      <w:r>
        <w:rPr>
          <w:rFonts w:hint="default" w:ascii="Arial" w:hAnsi="Arial" w:cs="Arial"/>
          <w:sz w:val="24"/>
          <w:szCs w:val="24"/>
          <w:lang w:val="en-US" w:eastAsia="zh-CN"/>
        </w:rPr>
        <w:t>: Consumers in the UK retail market have strong negotiation ability, are price sensitive, and are willing to compare prices through various channels. This requires efforts to provide competitive prices and value added to maintain customer loyalty (Online Time, 2009)</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Threat of Substitute Products or Services: Substitution threats come from other channels and retail products, such as convenience stores, online stores, and food services. With a wider range of consumer choices, TESCO Group needs to constantly innovate to attract customers.</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Threat of New Entrants:</w:t>
      </w:r>
      <w:r>
        <w:rPr>
          <w:rFonts w:hint="default" w:ascii="Arial" w:hAnsi="Arial" w:cs="Arial"/>
          <w:sz w:val="24"/>
          <w:szCs w:val="24"/>
          <w:lang w:val="en-US" w:eastAsia="zh-CN"/>
        </w:rPr>
        <w:t>Although entering the retail market requires significant investment and resources, there is still a risk of new entrants. Especially with the development of digital technologies, new online retailers can present Tesco with challenges.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1"/>
        <w:rPr>
          <w:rFonts w:hint="default" w:ascii="Arial" w:hAnsi="Arial" w:cs="Arial"/>
          <w:sz w:val="24"/>
          <w:szCs w:val="24"/>
          <w:lang w:val="en-US" w:eastAsia="zh-CN"/>
        </w:rPr>
      </w:pPr>
      <w:bookmarkStart w:id="7" w:name="_Toc22448"/>
      <w:r>
        <w:rPr>
          <w:rFonts w:hint="eastAsia" w:ascii="Arial" w:hAnsi="Arial" w:cs="Arial"/>
          <w:sz w:val="24"/>
          <w:szCs w:val="24"/>
          <w:lang w:val="en-US" w:eastAsia="zh-CN"/>
        </w:rPr>
        <w:t>3.1 Issue 3：</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For Tesco, buyers or customers have high bargaining power because with the development of technology, new electronic devices such as smartphones provide greater convenience and versatility, making it easier for customers to compare product prices and choose more suitable products in the store (online time, 2009). This can easily lead to unstable customer loyalty, so Tesco has to increase discounts or lower prices to attract more customers.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p>
    <w:p>
      <w:pPr>
        <w:keepNext w:val="0"/>
        <w:keepLines w:val="0"/>
        <w:pageBreakBefore w:val="0"/>
        <w:widowControl w:val="0"/>
        <w:numPr>
          <w:ilvl w:val="0"/>
          <w:numId w:val="1"/>
        </w:numPr>
        <w:tabs>
          <w:tab w:val="clear" w:pos="312"/>
        </w:tabs>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sz w:val="24"/>
          <w:szCs w:val="24"/>
          <w:lang w:eastAsia="zh-CN"/>
        </w:rPr>
      </w:pPr>
      <w:bookmarkStart w:id="8" w:name="OLE_LINK2"/>
      <w:bookmarkStart w:id="9" w:name="_Toc1793"/>
      <w:bookmarkStart w:id="10" w:name="OLE_LINK3"/>
      <w:r>
        <w:rPr>
          <w:rFonts w:hint="default" w:ascii="Arial" w:hAnsi="Arial" w:cs="Arial"/>
          <w:sz w:val="24"/>
          <w:szCs w:val="24"/>
        </w:rPr>
        <w:t>McKinsey’s 7S Framewokr</w:t>
      </w:r>
      <w:bookmarkEnd w:id="8"/>
      <w:r>
        <w:rPr>
          <w:rFonts w:hint="eastAsia" w:ascii="Arial" w:hAnsi="Arial" w:cs="Arial"/>
          <w:sz w:val="24"/>
          <w:szCs w:val="24"/>
          <w:lang w:val="en-US" w:eastAsia="zh-CN"/>
        </w:rPr>
        <w:t xml:space="preserve"> </w:t>
      </w:r>
      <w:r>
        <w:rPr>
          <w:rFonts w:hint="eastAsia" w:ascii="Arial" w:hAnsi="Arial" w:cs="Arial"/>
          <w:sz w:val="24"/>
          <w:szCs w:val="24"/>
          <w:lang w:eastAsia="zh-CN"/>
        </w:rPr>
        <w:t>：</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rPr>
        <w:t xml:space="preserve"> </w:t>
      </w:r>
      <w:bookmarkEnd w:id="10"/>
      <w:r>
        <w:rPr>
          <w:rFonts w:hint="default" w:ascii="Arial" w:hAnsi="Arial" w:cs="Arial"/>
          <w:sz w:val="24"/>
          <w:szCs w:val="24"/>
          <w:lang w:val="en-US" w:eastAsia="zh-CN"/>
        </w:rPr>
        <w:t>The McKinsey 7-S framework is a study of multiple dimensions in the organization for evaluating seven elements in the organization (Chmielewska, M., 2022). R. Waterman, t. Composed by Peters, J. R. Philips was designed for Macintosh (bratnicki, M., 2014; Peters TJ, Waterman RH, 2015).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In the McKinsey 7S model, the 7 S factors are interdependent and influence each other, and the coordination relationship between them directly affects the operational efficiency, competitiveness and long-term development of an enterprise.</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Strategy</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 Plan how to allocate limited business resources to achieve goals set over time. Environment, competition, and customers</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default" w:ascii="Arial" w:hAnsi="Arial" w:cs="Arial"/>
          <w:color w:val="000000" w:themeColor="text1"/>
          <w:sz w:val="24"/>
          <w:szCs w:val="24"/>
          <w:lang w:val="en-US" w:eastAsia="zh-CN"/>
          <w14:textFill>
            <w14:solidFill>
              <w14:schemeClr w14:val="tx1"/>
            </w14:solidFill>
          </w14:textFill>
        </w:rPr>
        <w:t>TESCO Group's strategic decisions will directly affect its business direction, market positioning and long-term development goals. Key issues include pricing strategy, investment portfolio, and channel selection.</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Structure: The way in which various departments are interconnected: the central department (from top to bottom); Decentralization of power (trend of large enterprises); Network matrix, preservation, etc</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default" w:ascii="Arial" w:hAnsi="Arial" w:cs="Arial"/>
          <w:color w:val="000000" w:themeColor="text1"/>
          <w:sz w:val="24"/>
          <w:szCs w:val="24"/>
          <w:lang w:val="en-US" w:eastAsia="zh-CN"/>
          <w14:textFill>
            <w14:solidFill>
              <w14:schemeClr w14:val="tx1"/>
            </w14:solidFill>
          </w14:textFill>
        </w:rPr>
        <w:t>.The organizational structure of Tesco determines the way power and responsibility are distributed, as well as the efficiency of information flow and decision-making process.</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Systems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Tesco's operational systems and processes are critical to its business operations. This includes supply chain management, inventory control, information technology systems, etc.</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Shared Values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 Group's common values reflect a culture and core beliefs, which have a huge impact on employee behavior and enterprise development. This may be related to values such as customer service, sustainable development, and social responsibility.</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Skills</w:t>
      </w:r>
      <w:r>
        <w:rPr>
          <w:rFonts w:hint="eastAsia" w:ascii="Arial" w:hAnsi="Arial" w:cs="Arial"/>
          <w:color w:val="000000" w:themeColor="text1"/>
          <w:sz w:val="24"/>
          <w:szCs w:val="24"/>
          <w:lang w:val="en-US" w:eastAsia="zh-CN"/>
          <w14:textFill>
            <w14:solidFill>
              <w14:schemeClr w14:val="tx1"/>
            </w14:solidFill>
          </w14:textFill>
        </w:rPr>
        <w:t xml:space="preserve">: </w:t>
      </w:r>
      <w:r>
        <w:rPr>
          <w:rFonts w:hint="default" w:ascii="Arial" w:hAnsi="Arial" w:cs="Arial"/>
          <w:color w:val="000000" w:themeColor="text1"/>
          <w:sz w:val="24"/>
          <w:szCs w:val="24"/>
          <w:lang w:val="en-US" w:eastAsia="zh-CN"/>
          <w14:textFill>
            <w14:solidFill>
              <w14:schemeClr w14:val="tx1"/>
            </w14:solidFill>
          </w14:textFill>
        </w:rPr>
        <w:t>Tesco's staff skills and ability level directly affect the execution efficiency and service quality of its business. This includes staff training, expertise, leadership, etc.</w:t>
      </w:r>
    </w:p>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eastAsia"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Staff: Personnel: Number and type of employees within the organization</w:t>
      </w:r>
      <w:bookmarkStart w:id="11" w:name="OLE_LINK1"/>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 xml:space="preserve">Harrington, H.J. </w:t>
      </w:r>
      <w:r>
        <w:rPr>
          <w:rFonts w:hint="default" w:ascii="Arial" w:hAnsi="Arial" w:cs="Arial" w:eastAsiaTheme="majorEastAsia"/>
          <w:i w:val="0"/>
          <w:iCs w:val="0"/>
          <w:caps w:val="0"/>
          <w:color w:val="000000" w:themeColor="text1"/>
          <w:spacing w:val="0"/>
          <w:sz w:val="24"/>
          <w:szCs w:val="24"/>
          <w:shd w:val="clear" w:fill="FFFFFF"/>
          <w:lang w:eastAsia="zh-CN"/>
          <w14:textFill>
            <w14:solidFill>
              <w14:schemeClr w14:val="tx1"/>
            </w14:solidFill>
          </w14:textFill>
        </w:rPr>
        <w:t>，</w:t>
      </w:r>
      <w:r>
        <w:rPr>
          <w:rFonts w:hint="default" w:ascii="Arial" w:hAnsi="Arial" w:cs="Arial" w:eastAsiaTheme="majorEastAsia"/>
          <w:i w:val="0"/>
          <w:iCs w:val="0"/>
          <w:caps w:val="0"/>
          <w:color w:val="000000" w:themeColor="text1"/>
          <w:spacing w:val="0"/>
          <w:sz w:val="24"/>
          <w:szCs w:val="24"/>
          <w:shd w:val="clear" w:fill="FFFFFF"/>
          <w14:textFill>
            <w14:solidFill>
              <w14:schemeClr w14:val="tx1"/>
            </w14:solidFill>
          </w14:textFill>
        </w:rPr>
        <w:t>2014)</w:t>
      </w:r>
      <w:r>
        <w:rPr>
          <w:rFonts w:hint="eastAsia" w:ascii="Arial" w:hAnsi="Arial" w:cs="Arial" w:eastAsiaTheme="majorEastAsia"/>
          <w:i w:val="0"/>
          <w:iCs w:val="0"/>
          <w:caps w:val="0"/>
          <w:color w:val="000000" w:themeColor="text1"/>
          <w:spacing w:val="0"/>
          <w:sz w:val="24"/>
          <w:szCs w:val="24"/>
          <w:shd w:val="clear" w:fill="FFFFFF"/>
          <w:lang w:val="en-US" w:eastAsia="zh-CN"/>
          <w14:textFill>
            <w14:solidFill>
              <w14:schemeClr w14:val="tx1"/>
            </w14:solidFill>
          </w14:textFill>
        </w:rPr>
        <w:t>.</w:t>
      </w:r>
      <w:r>
        <w:rPr>
          <w:rFonts w:hint="eastAsia" w:ascii="Arial" w:hAnsi="Arial" w:cs="Arial"/>
          <w:color w:val="000000" w:themeColor="text1"/>
          <w:sz w:val="24"/>
          <w:szCs w:val="24"/>
          <w:lang w:val="en-US" w:eastAsia="zh-CN"/>
          <w14:textFill>
            <w14:solidFill>
              <w14:schemeClr w14:val="tx1"/>
            </w14:solidFill>
          </w14:textFill>
        </w:rPr>
        <w:t>Tesco's employees constitute its most valuable asset, and their satisfaction and morale are critical to the success of the business. This includes employee benefits, recruitment, and retention strategies, etc.</w:t>
      </w:r>
    </w:p>
    <w:bookmarkEnd w:id="11"/>
    <w:p>
      <w:pPr>
        <w:keepNext w:val="0"/>
        <w:keepLines w:val="0"/>
        <w:pageBreakBefore w:val="0"/>
        <w:widowControl w:val="0"/>
        <w:numPr>
          <w:ilvl w:val="0"/>
          <w:numId w:val="4"/>
        </w:numPr>
        <w:tabs>
          <w:tab w:val="left" w:pos="898"/>
        </w:tabs>
        <w:kinsoku/>
        <w:wordWrap/>
        <w:overflowPunct/>
        <w:topLinePunct w:val="0"/>
        <w:autoSpaceDE/>
        <w:autoSpaceDN/>
        <w:bidi w:val="0"/>
        <w:adjustRightInd/>
        <w:snapToGrid/>
        <w:spacing w:line="480" w:lineRule="auto"/>
        <w:ind w:left="420" w:leftChars="0" w:hanging="420" w:firstLineChars="0"/>
        <w:textAlignment w:val="auto"/>
        <w:outlineLvl w:val="9"/>
        <w:rPr>
          <w:rFonts w:hint="eastAsia" w:ascii="Arial" w:hAnsi="Arial" w:cs="Arial"/>
          <w:color w:val="000000" w:themeColor="text1"/>
          <w:sz w:val="24"/>
          <w:szCs w:val="24"/>
          <w:lang w:val="en-US" w:eastAsia="zh-CN"/>
          <w14:textFill>
            <w14:solidFill>
              <w14:schemeClr w14:val="tx1"/>
            </w14:solidFill>
          </w14:textFill>
        </w:rPr>
      </w:pPr>
      <w:bookmarkStart w:id="12" w:name="_Toc28129"/>
      <w:r>
        <w:rPr>
          <w:rFonts w:hint="eastAsia" w:ascii="Arial" w:hAnsi="Arial" w:cs="Arial"/>
          <w:color w:val="000000" w:themeColor="text1"/>
          <w:sz w:val="24"/>
          <w:szCs w:val="24"/>
          <w:lang w:val="en-US" w:eastAsia="zh-CN"/>
          <w14:textFill>
            <w14:solidFill>
              <w14:schemeClr w14:val="tx1"/>
            </w14:solidFill>
          </w14:textFill>
        </w:rPr>
        <w:t>Style</w:t>
      </w:r>
      <w:bookmarkEnd w:id="12"/>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eastAsia"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Tesco's leadership style and organizational culture have a significant impact on employee behavior and decision-making styles. This may involve the leader's values, communication style, decision-making style, etc.</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eastAsia" w:ascii="Arial" w:hAnsi="Arial" w:cs="Arial"/>
          <w:color w:val="000000" w:themeColor="text1"/>
          <w:sz w:val="24"/>
          <w:szCs w:val="24"/>
          <w:lang w:val="en-US" w:eastAsia="zh-CN"/>
          <w14:textFill>
            <w14:solidFill>
              <w14:schemeClr w14:val="tx1"/>
            </w14:solidFill>
          </w14:textFill>
        </w:rPr>
      </w:pP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outlineLvl w:val="1"/>
        <w:rPr>
          <w:rFonts w:hint="default" w:ascii="Arial" w:hAnsi="Arial" w:cs="Arial"/>
          <w:color w:val="000000" w:themeColor="text1"/>
          <w:sz w:val="24"/>
          <w:szCs w:val="24"/>
          <w:lang w:val="en-US" w:eastAsia="zh-CN"/>
          <w14:textFill>
            <w14:solidFill>
              <w14:schemeClr w14:val="tx1"/>
            </w14:solidFill>
          </w14:textFill>
        </w:rPr>
      </w:pPr>
      <w:bookmarkStart w:id="13" w:name="_Toc19638"/>
      <w:r>
        <w:rPr>
          <w:rFonts w:hint="eastAsia" w:ascii="Arial" w:hAnsi="Arial" w:cs="Arial"/>
          <w:color w:val="000000" w:themeColor="text1"/>
          <w:sz w:val="24"/>
          <w:szCs w:val="24"/>
          <w:lang w:val="en-US" w:eastAsia="zh-CN"/>
          <w14:textFill>
            <w14:solidFill>
              <w14:schemeClr w14:val="tx1"/>
            </w14:solidFill>
          </w14:textFill>
        </w:rPr>
        <w:t>4.1 Finding 4:</w:t>
      </w:r>
      <w:bookmarkEnd w:id="13"/>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With the McKinsey 7S model, Tesco can discover some opportunities. This paragraph will elaborate on some of Tesco's opportunities.The impact of the epidemic has led to more customers' shopping online</w:t>
      </w:r>
      <w:r>
        <w:rPr>
          <w:rFonts w:hint="eastAsia" w:ascii="Arial" w:hAnsi="Arial" w:cs="Arial"/>
          <w:color w:val="000000" w:themeColor="text1"/>
          <w:sz w:val="24"/>
          <w:szCs w:val="24"/>
          <w:lang w:val="en-US" w:eastAsia="zh-CN"/>
          <w14:textFill>
            <w14:solidFill>
              <w14:schemeClr w14:val="tx1"/>
            </w14:solidFill>
          </w14:textFill>
        </w:rPr>
        <w:t xml:space="preserve">. Tesco </w:t>
      </w:r>
      <w:r>
        <w:rPr>
          <w:rFonts w:hint="default" w:ascii="Arial" w:hAnsi="Arial" w:cs="Arial"/>
          <w:color w:val="000000" w:themeColor="text1"/>
          <w:sz w:val="24"/>
          <w:szCs w:val="24"/>
          <w:lang w:val="en-US" w:eastAsia="zh-CN"/>
          <w14:textFill>
            <w14:solidFill>
              <w14:schemeClr w14:val="tx1"/>
            </w14:solidFill>
          </w14:textFill>
        </w:rPr>
        <w:t>has launched a one hour door-to-door delivery service and plans to increase the number of stores to at least 600 by the end of 2023 (Gan, W.&amp;Yan, C.2023). This strategic initiative can meet customer needs, attract more customers, and maintain a leading position in the fiercely competitive market (Gan, W.&amp;Yan, C.2023). Taking these factors into consideration, technology can better utilize internal resources and benefits, respond to changes in the external environment, and achieve sustainable growth</w:t>
      </w:r>
      <w:r>
        <w:rPr>
          <w:rFonts w:hint="eastAsia" w:ascii="Arial" w:hAnsi="Arial" w:cs="Arial"/>
          <w:color w:val="000000" w:themeColor="text1"/>
          <w:sz w:val="24"/>
          <w:szCs w:val="24"/>
          <w:lang w:val="en-US" w:eastAsia="zh-CN"/>
          <w14:textFill>
            <w14:solidFill>
              <w14:schemeClr w14:val="tx1"/>
            </w14:solidFill>
          </w14:textFill>
        </w:rPr>
        <w:t xml:space="preserve"> and development</w:t>
      </w:r>
      <w:r>
        <w:rPr>
          <w:rFonts w:hint="default" w:ascii="Arial" w:hAnsi="Arial" w:cs="Arial"/>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p>
    <w:p>
      <w:pPr>
        <w:keepNext w:val="0"/>
        <w:keepLines w:val="0"/>
        <w:pageBreakBefore w:val="0"/>
        <w:widowControl w:val="0"/>
        <w:numPr>
          <w:ilvl w:val="0"/>
          <w:numId w:val="1"/>
        </w:numPr>
        <w:tabs>
          <w:tab w:val="left" w:pos="898"/>
          <w:tab w:val="clear" w:pos="312"/>
        </w:tabs>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lang w:val="en-US" w:eastAsia="zh-CN"/>
          <w14:textFill>
            <w14:solidFill>
              <w14:schemeClr w14:val="tx1"/>
            </w14:solidFill>
          </w14:textFill>
        </w:rPr>
        <w:t xml:space="preserve"> </w:t>
      </w:r>
      <w:bookmarkStart w:id="14" w:name="_Toc24584"/>
      <w:r>
        <w:rPr>
          <w:rFonts w:hint="default" w:ascii="Arial" w:hAnsi="Arial" w:cs="Arial"/>
          <w:color w:val="000000" w:themeColor="text1"/>
          <w:sz w:val="24"/>
          <w:szCs w:val="24"/>
          <w:lang w:val="en-US" w:eastAsia="zh-CN"/>
          <w14:textFill>
            <w14:solidFill>
              <w14:schemeClr w14:val="tx1"/>
            </w14:solidFill>
          </w14:textFill>
        </w:rPr>
        <w:t>The SWOT analysis</w:t>
      </w:r>
      <w:bookmarkEnd w:id="14"/>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It is a strategic planning tool used to measure a company's strengths, weaknesses, opportunities, and threats (Jackson et al., 2003; Kim, 2005). Shang et al. (2014) believe that SWOT is an excellent research tool widely used for effective planning. Use this tool to predict internal and external factors (Rozmi et al., 2018; Wu, 2020). One advantage of SWOT analysis is that it can be used for critical decision-making (Pajni, N.S. et al., 2022)</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Strengths：</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eastAsia" w:ascii="Arial" w:hAnsi="Arial" w:eastAsia="宋体" w:cs="Arial"/>
          <w:sz w:val="24"/>
          <w:szCs w:val="24"/>
          <w:lang w:val="en-US" w:eastAsia="zh-CN"/>
        </w:rPr>
        <w:t>W</w:t>
      </w:r>
      <w:r>
        <w:rPr>
          <w:rFonts w:hint="default" w:ascii="Arial" w:hAnsi="Arial" w:eastAsia="宋体" w:cs="Arial"/>
          <w:sz w:val="24"/>
          <w:szCs w:val="24"/>
          <w:lang w:val="en-US" w:eastAsia="zh-CN"/>
        </w:rPr>
        <w:t>ell-known brand</w:t>
      </w:r>
      <w:r>
        <w:rPr>
          <w:rFonts w:hint="eastAsia" w:ascii="Arial" w:hAnsi="Arial" w:eastAsia="宋体" w:cs="Arial"/>
          <w:sz w:val="24"/>
          <w:szCs w:val="24"/>
          <w:lang w:val="en-US" w:eastAsia="zh-CN"/>
        </w:rPr>
        <w:t>:</w:t>
      </w:r>
      <w:r>
        <w:rPr>
          <w:rFonts w:hint="default" w:ascii="Arial" w:hAnsi="Arial" w:eastAsia="宋体" w:cs="Arial"/>
          <w:sz w:val="24"/>
          <w:szCs w:val="24"/>
          <w:lang w:val="en-US" w:eastAsia="zh-CN"/>
        </w:rPr>
        <w:t>The biggest advantage of Tesco lies in its well-known brand, known for its extensive product supply, efficient supply chain management, and commitment to customer satisfaction (Gennaro, 2024), with a market share of 27.9% and 4673 stores worldwide (Gan, W.&amp;Yan, C., 2023).</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has achieved stores and diversified products: including food, financial services and brand joint programs and its own brands (Sou, H., 2023).</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Weakness：</w:t>
      </w:r>
    </w:p>
    <w:p>
      <w:pPr>
        <w:keepNext w:val="0"/>
        <w:keepLines w:val="0"/>
        <w:pageBreakBefore w:val="0"/>
        <w:widowControl w:val="0"/>
        <w:numPr>
          <w:ilvl w:val="0"/>
          <w:numId w:val="8"/>
        </w:numPr>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Its biggest weakness lies in its performance on the global stage, especially in the US and Asia, where it has not met expectations, has not adapted and has not started its business and customers have high bargaining power, making it easy for them to choose products from other companies (Time Online, 2009).</w:t>
      </w:r>
    </w:p>
    <w:p>
      <w:pPr>
        <w:keepNext w:val="0"/>
        <w:keepLines w:val="0"/>
        <w:pageBreakBefore w:val="0"/>
        <w:widowControl w:val="0"/>
        <w:numPr>
          <w:ilvl w:val="0"/>
          <w:numId w:val="9"/>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rPr>
        <w:t>Threat</w:t>
      </w:r>
      <w:r>
        <w:rPr>
          <w:rFonts w:hint="default" w:ascii="Arial" w:hAnsi="Arial" w:eastAsia="宋体" w:cs="Arial"/>
          <w:sz w:val="24"/>
          <w:szCs w:val="24"/>
          <w:lang w:val="en-US" w:eastAsia="zh-CN"/>
        </w:rPr>
        <w:t>s：</w:t>
      </w:r>
    </w:p>
    <w:p>
      <w:pPr>
        <w:keepNext w:val="0"/>
        <w:keepLines w:val="0"/>
        <w:pageBreakBefore w:val="0"/>
        <w:widowControl w:val="0"/>
        <w:numPr>
          <w:ilvl w:val="0"/>
          <w:numId w:val="10"/>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decline in reputation：It has violated its corporate social responsibility, violated the law and damaged the company's reputation. The food expiration event between 2015 and 2017, the audit fraud scandal in 2017, and the negative publicity from senior management all had a serious negative impact on the company's reputation (Gan, W. and Yan, C. 2023). In addition, the controversy over the arbitrary adjustment of Clubcard membership cards and the alleged exploitation of migrant workers have further exacerbated the decline in Tesco's reputation, sending it to rock bottom.</w:t>
      </w:r>
    </w:p>
    <w:p>
      <w:pPr>
        <w:keepNext w:val="0"/>
        <w:keepLines w:val="0"/>
        <w:pageBreakBefore w:val="0"/>
        <w:widowControl w:val="0"/>
        <w:numPr>
          <w:ilvl w:val="0"/>
          <w:numId w:val="10"/>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global economy is unstable</w:t>
      </w:r>
      <w:r>
        <w:rPr>
          <w:rFonts w:hint="eastAsia" w:ascii="Arial" w:hAnsi="Arial" w:eastAsia="宋体" w:cs="Arial"/>
          <w:sz w:val="24"/>
          <w:szCs w:val="24"/>
          <w:lang w:val="en-US" w:eastAsia="zh-CN"/>
        </w:rPr>
        <w:t>：Global economic uncertainty and exchange rate fluctuations may affect commodity import prices</w:t>
      </w:r>
    </w:p>
    <w:p>
      <w:pPr>
        <w:keepNext w:val="0"/>
        <w:keepLines w:val="0"/>
        <w:pageBreakBefore w:val="0"/>
        <w:widowControl w:val="0"/>
        <w:numPr>
          <w:ilvl w:val="0"/>
          <w:numId w:val="11"/>
        </w:numPr>
        <w:tabs>
          <w:tab w:val="left" w:pos="898"/>
        </w:tabs>
        <w:kinsoku/>
        <w:wordWrap/>
        <w:overflowPunct/>
        <w:topLinePunct w:val="0"/>
        <w:autoSpaceDE/>
        <w:autoSpaceDN/>
        <w:bidi w:val="0"/>
        <w:adjustRightInd/>
        <w:snapToGrid/>
        <w:spacing w:line="480" w:lineRule="auto"/>
        <w:ind w:left="420" w:leftChars="0" w:hanging="420" w:firstLineChars="0"/>
        <w:textAlignment w:val="auto"/>
        <w:rPr>
          <w:rFonts w:hint="eastAsia" w:ascii="Arial" w:hAnsi="Arial" w:eastAsia="宋体" w:cs="Arial"/>
          <w:sz w:val="24"/>
          <w:szCs w:val="24"/>
          <w:lang w:val="en-US" w:eastAsia="zh-CN"/>
        </w:rPr>
      </w:pPr>
      <w:r>
        <w:rPr>
          <w:rFonts w:hint="default" w:ascii="Arial" w:hAnsi="Arial" w:eastAsia="宋体" w:cs="Arial"/>
          <w:sz w:val="24"/>
          <w:szCs w:val="24"/>
          <w:lang w:val="en-US" w:eastAsia="zh-CN"/>
        </w:rPr>
        <w:t>Opportunity</w:t>
      </w:r>
      <w:r>
        <w:rPr>
          <w:rFonts w:hint="eastAsia" w:ascii="Arial" w:hAnsi="Arial" w:eastAsia="宋体" w:cs="Arial"/>
          <w:sz w:val="24"/>
          <w:szCs w:val="24"/>
          <w:lang w:val="en-US" w:eastAsia="zh-CN"/>
        </w:rPr>
        <w:t>：</w:t>
      </w:r>
    </w:p>
    <w:p>
      <w:pPr>
        <w:keepNext w:val="0"/>
        <w:keepLines w:val="0"/>
        <w:pageBreakBefore w:val="0"/>
        <w:widowControl w:val="0"/>
        <w:numPr>
          <w:ilvl w:val="0"/>
          <w:numId w:val="12"/>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eastAsia" w:ascii="Arial" w:hAnsi="Arial" w:eastAsia="宋体" w:cs="Arial"/>
          <w:sz w:val="24"/>
          <w:szCs w:val="24"/>
          <w:lang w:val="en-US" w:eastAsia="zh-CN"/>
        </w:rPr>
      </w:pPr>
      <w:r>
        <w:rPr>
          <w:rFonts w:hint="eastAsia" w:ascii="Arial" w:hAnsi="Arial" w:eastAsia="宋体" w:cs="Arial"/>
          <w:sz w:val="24"/>
          <w:szCs w:val="24"/>
          <w:lang w:val="en-US" w:eastAsia="zh-CN"/>
        </w:rPr>
        <w:t>Tesco's biggest opportunity lies in online grocery sales. Taking advantage of the impact of the epidemic, they have introduced door-to-door delivery services and plan to expand their store numbers to attract more customers</w:t>
      </w:r>
      <w:r>
        <w:rPr>
          <w:rFonts w:hint="default" w:ascii="Arial" w:hAnsi="Arial" w:eastAsia="宋体" w:cs="Arial"/>
          <w:sz w:val="24"/>
          <w:szCs w:val="24"/>
          <w:lang w:val="en-US" w:eastAsia="zh-CN"/>
        </w:rPr>
        <w:t>(Gan, W. and Yan, C. 2023)</w:t>
      </w:r>
      <w:r>
        <w:rPr>
          <w:rFonts w:hint="eastAsia" w:ascii="Arial" w:hAnsi="Arial" w:eastAsia="宋体" w:cs="Arial"/>
          <w:sz w:val="24"/>
          <w:szCs w:val="24"/>
          <w:lang w:val="en-US" w:eastAsia="zh-CN"/>
        </w:rPr>
        <w:t>.</w:t>
      </w:r>
    </w:p>
    <w:p>
      <w:pPr>
        <w:keepNext w:val="0"/>
        <w:keepLines w:val="0"/>
        <w:pageBreakBefore w:val="0"/>
        <w:widowControl w:val="0"/>
        <w:numPr>
          <w:ilvl w:val="0"/>
          <w:numId w:val="12"/>
        </w:numPr>
        <w:tabs>
          <w:tab w:val="left" w:pos="898"/>
        </w:tabs>
        <w:kinsoku/>
        <w:wordWrap/>
        <w:overflowPunct/>
        <w:topLinePunct w:val="0"/>
        <w:autoSpaceDE/>
        <w:autoSpaceDN/>
        <w:bidi w:val="0"/>
        <w:adjustRightInd/>
        <w:snapToGrid/>
        <w:spacing w:line="480" w:lineRule="auto"/>
        <w:ind w:left="425" w:leftChars="0" w:hanging="425" w:firstLine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has also responded to competition by introducing new store discounts and price matches, and has gained the qualifications and ability to enter emerging markets to further grow (Gan, W. and Yan, C. 2023).</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outlineLvl w:val="1"/>
        <w:rPr>
          <w:rFonts w:hint="default" w:ascii="Arial" w:hAnsi="Arial" w:eastAsia="宋体" w:cs="Arial"/>
          <w:sz w:val="24"/>
          <w:szCs w:val="24"/>
          <w:lang w:val="en-US" w:eastAsia="zh-CN"/>
        </w:rPr>
      </w:pPr>
      <w:bookmarkStart w:id="15" w:name="_Toc6157"/>
      <w:r>
        <w:rPr>
          <w:rFonts w:hint="eastAsia" w:ascii="Arial" w:hAnsi="Arial" w:eastAsia="宋体" w:cs="Arial"/>
          <w:sz w:val="24"/>
          <w:szCs w:val="24"/>
          <w:lang w:val="en-US" w:eastAsia="zh-CN"/>
        </w:rPr>
        <w:t>5.1 Finding 5：Effect of autonomous products on Tesco</w:t>
      </w:r>
      <w:bookmarkEnd w:id="15"/>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Tesco is a multinational food and consumer goods retailer headquartered in the UK, but there are many competitors competing in terms of price and quality in food retail (Rajasekar, J.2022). With the same quality, Aldi and Lidl products are cheaper, while their food varieties are more diverse.</w:t>
      </w:r>
      <w:r>
        <w:rPr>
          <w:rFonts w:hint="eastAsia" w:ascii="Arial" w:hAnsi="Arial" w:eastAsia="宋体" w:cs="Arial"/>
          <w:sz w:val="24"/>
          <w:szCs w:val="24"/>
          <w:lang w:val="en-US" w:eastAsia="zh-CN"/>
        </w:rPr>
        <w:t xml:space="preserve"> However, to enhance market competitiveness, Tesco has introduced a joint branding program that combines multiple strong brands into a customer loyalty program. One such program is 'MeTime' for housewives, allowing them to earn points on their daily purchases that can be redeemed for high-end beauty and hair products or company discount coupons (Carers, M.Y., 2021). </w:t>
      </w:r>
      <w:r>
        <w:rPr>
          <w:rFonts w:hint="default" w:ascii="Arial" w:hAnsi="Arial" w:eastAsia="宋体" w:cs="Arial"/>
          <w:sz w:val="24"/>
          <w:szCs w:val="24"/>
          <w:lang w:val="en-US" w:eastAsia="zh-CN"/>
        </w:rPr>
        <w:t>Tesco and the collaborating brands achieved a mutually beneficial outcome in these activities. Additionally, Tesco has launched many independent brand products that offer significant price advantages compared to branded products due to lower promotional expenses and simpler packaging (Sou, H., 2023).</w:t>
      </w:r>
    </w:p>
    <w:p>
      <w:pPr>
        <w:keepNext w:val="0"/>
        <w:keepLines w:val="0"/>
        <w:pageBreakBefore w:val="0"/>
        <w:widowControl w:val="0"/>
        <w:numPr>
          <w:ilvl w:val="0"/>
          <w:numId w:val="0"/>
        </w:numPr>
        <w:tabs>
          <w:tab w:val="left" w:pos="898"/>
        </w:tabs>
        <w:kinsoku/>
        <w:wordWrap/>
        <w:overflowPunct/>
        <w:topLinePunct w:val="0"/>
        <w:autoSpaceDE/>
        <w:autoSpaceDN/>
        <w:bidi w:val="0"/>
        <w:adjustRightInd/>
        <w:snapToGrid/>
        <w:spacing w:line="480" w:lineRule="auto"/>
        <w:ind w:leftChars="0"/>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1"/>
        </w:numPr>
        <w:tabs>
          <w:tab w:val="clear" w:pos="312"/>
        </w:tabs>
        <w:kinsoku/>
        <w:wordWrap/>
        <w:overflowPunct/>
        <w:topLinePunct w:val="0"/>
        <w:autoSpaceDE/>
        <w:autoSpaceDN/>
        <w:bidi w:val="0"/>
        <w:adjustRightInd/>
        <w:snapToGrid/>
        <w:spacing w:line="480" w:lineRule="auto"/>
        <w:ind w:left="0" w:leftChars="0" w:firstLine="0" w:firstLineChars="0"/>
        <w:textAlignment w:val="auto"/>
        <w:outlineLvl w:val="0"/>
        <w:rPr>
          <w:rFonts w:hint="eastAsia" w:ascii="Arial" w:hAnsi="Arial" w:cs="Arial"/>
          <w:b w:val="0"/>
          <w:bCs w:val="0"/>
          <w:sz w:val="24"/>
          <w:szCs w:val="24"/>
          <w:u w:val="none"/>
          <w:lang w:val="en-US" w:eastAsia="zh-CN"/>
        </w:rPr>
      </w:pPr>
      <w:bookmarkStart w:id="16" w:name="_Toc21949"/>
      <w:r>
        <w:rPr>
          <w:rFonts w:hint="default" w:ascii="Arial" w:hAnsi="Arial" w:cs="Arial"/>
          <w:b w:val="0"/>
          <w:bCs w:val="0"/>
          <w:sz w:val="24"/>
          <w:szCs w:val="24"/>
          <w:u w:val="none"/>
        </w:rPr>
        <w:t>Recommendations</w:t>
      </w:r>
      <w:r>
        <w:rPr>
          <w:rFonts w:hint="eastAsia" w:ascii="Arial" w:hAnsi="Arial" w:cs="Arial"/>
          <w:b w:val="0"/>
          <w:bCs w:val="0"/>
          <w:sz w:val="24"/>
          <w:szCs w:val="24"/>
          <w:u w:val="none"/>
          <w:lang w:val="en-US" w:eastAsia="zh-CN"/>
        </w:rPr>
        <w:t>:</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Based on the above analysis, the following are the recommendations for Tesco:</w:t>
      </w:r>
    </w:p>
    <w:p>
      <w:pPr>
        <w:numPr>
          <w:ilvl w:val="0"/>
          <w:numId w:val="0"/>
        </w:numPr>
        <w:ind w:leftChars="0"/>
        <w:rPr>
          <w:rFonts w:hint="eastAsia" w:ascii="Arial" w:hAnsi="Arial" w:cs="Arial"/>
          <w:b w:val="0"/>
          <w:bCs w:val="0"/>
          <w:sz w:val="24"/>
          <w:szCs w:val="24"/>
          <w:u w:val="none"/>
          <w:lang w:val="en-US" w:eastAsia="zh-CN"/>
        </w:rPr>
      </w:pP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Strengthen compliance and ethical standards: Tesco must strictly adhere to legal and ethical standards, especially in terms of food safety, labor rights, and environmental protection. Establish a stricter internal audit supervision mechanism to ensure that employees comply with regulations, actively participate in social responsibility activities, and enhance brand image and public confidence.</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textAlignment w:val="auto"/>
        <w:rPr>
          <w:rFonts w:hint="default" w:ascii="Arial" w:hAnsi="Arial" w:eastAsia="宋体" w:cs="Arial"/>
          <w:sz w:val="24"/>
          <w:szCs w:val="24"/>
          <w:lang w:val="en-US" w:eastAsia="zh-CN"/>
        </w:rPr>
      </w:pPr>
      <w:r>
        <w:rPr>
          <w:rFonts w:hint="eastAsia" w:ascii="Arial" w:hAnsi="Arial" w:cs="Arial"/>
          <w:b w:val="0"/>
          <w:bCs w:val="0"/>
          <w:sz w:val="24"/>
          <w:szCs w:val="24"/>
          <w:u w:val="none"/>
          <w:lang w:val="en-US" w:eastAsia="zh-CN"/>
        </w:rPr>
        <w:t>Strengthen compliance and ethical standards: October must strictly comply with legal and ethical standards, especially in the areas of food safety, labor rights, and environmental protection. Establish a stricter internal audit supervision mechanism to ensure that employees comply with regulations, actively participate in social responsibility activities, and enhance brand image and public confidence.</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Arial" w:hAnsi="Arial" w:eastAsia="宋体" w:cs="Arial"/>
          <w:sz w:val="24"/>
          <w:szCs w:val="24"/>
          <w:highlight w:val="none"/>
          <w:lang w:val="en-US" w:eastAsia="zh-CN"/>
        </w:rPr>
      </w:pPr>
      <w:r>
        <w:rPr>
          <w:rFonts w:hint="default" w:ascii="Arial" w:hAnsi="Arial" w:eastAsia="宋体" w:cs="Arial"/>
          <w:sz w:val="24"/>
          <w:szCs w:val="24"/>
          <w:highlight w:val="none"/>
          <w:lang w:val="en-US" w:eastAsia="zh-CN"/>
        </w:rPr>
        <w:t>Optimize the product portfolio and pricing strategy by continuously meeting the needs of different consumers. Adjust the pricing strategy, offer competitive prices, and launch discounts and promotions to enhance purchase intention and loyalty.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Arial" w:hAnsi="Arial" w:cs="Arial"/>
          <w:b w:val="0"/>
          <w:bCs w:val="0"/>
          <w:sz w:val="24"/>
          <w:szCs w:val="24"/>
          <w:u w:val="none"/>
          <w:lang w:val="en-US" w:eastAsia="zh-CN"/>
        </w:rPr>
      </w:pPr>
      <w:r>
        <w:rPr>
          <w:rFonts w:hint="eastAsia" w:ascii="Arial" w:hAnsi="Arial" w:cs="Arial"/>
          <w:b w:val="0"/>
          <w:bCs w:val="0"/>
          <w:sz w:val="24"/>
          <w:szCs w:val="24"/>
          <w:u w:val="none"/>
          <w:lang w:val="en-US" w:eastAsia="zh-CN"/>
        </w:rPr>
        <w:t>Through the above suggestions, Tesco can better cope with the challenges of the external environment, give full play to its own advantages, improve its market competitiveness, and achieve sustainable growth and development.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outlineLvl w:val="0"/>
        <w:rPr>
          <w:rFonts w:hint="default" w:ascii="Arial" w:hAnsi="Arial" w:eastAsia="宋体" w:cs="Arial"/>
          <w:b w:val="0"/>
          <w:bCs w:val="0"/>
          <w:sz w:val="24"/>
          <w:szCs w:val="24"/>
          <w:u w:val="none"/>
          <w:lang w:val="en-US" w:eastAsia="zh-CN"/>
        </w:rPr>
      </w:pPr>
      <w:bookmarkStart w:id="17" w:name="_Toc30819"/>
      <w:r>
        <w:rPr>
          <w:rFonts w:hint="default" w:ascii="Arial" w:hAnsi="Arial" w:eastAsia="宋体" w:cs="Arial"/>
          <w:b w:val="0"/>
          <w:bCs w:val="0"/>
          <w:sz w:val="24"/>
          <w:szCs w:val="24"/>
          <w:u w:val="none"/>
          <w:lang w:val="en-US" w:eastAsia="zh-CN"/>
        </w:rPr>
        <w:t>Conclusion：</w:t>
      </w:r>
      <w:bookmarkEnd w:id="17"/>
    </w:p>
    <w:bookmarkEnd w:id="1"/>
    <w:p>
      <w:pPr>
        <w:keepNext w:val="0"/>
        <w:keepLines w:val="0"/>
        <w:pageBreakBefore w:val="0"/>
        <w:widowControl w:val="0"/>
        <w:numPr>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bookmarkStart w:id="18" w:name="_GoBack"/>
      <w:r>
        <w:rPr>
          <w:rFonts w:hint="default" w:ascii="Arial" w:hAnsi="Arial" w:eastAsia="宋体" w:cs="Arial"/>
          <w:b w:val="0"/>
          <w:bCs w:val="0"/>
          <w:sz w:val="24"/>
          <w:szCs w:val="24"/>
          <w:highlight w:val="none"/>
          <w:u w:val="none"/>
          <w:lang w:val="en-US" w:eastAsia="zh-CN"/>
        </w:rPr>
        <w:t>In summary, this strategic review thoroughly analyzes Tesco's current and future business environment. Global economic challenges, such as trade tensions and the impact of COVID-19, have significantly affected Tesco's operations.</w:t>
      </w:r>
    </w:p>
    <w:p>
      <w:pPr>
        <w:keepNext w:val="0"/>
        <w:keepLines w:val="0"/>
        <w:pageBreakBefore w:val="0"/>
        <w:widowControl w:val="0"/>
        <w:numPr>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r>
        <w:rPr>
          <w:rFonts w:hint="default" w:ascii="Arial" w:hAnsi="Arial" w:eastAsia="宋体" w:cs="Arial"/>
          <w:b w:val="0"/>
          <w:bCs w:val="0"/>
          <w:sz w:val="24"/>
          <w:szCs w:val="24"/>
          <w:highlight w:val="none"/>
          <w:u w:val="none"/>
          <w:lang w:val="en-US" w:eastAsia="zh-CN"/>
        </w:rPr>
        <w:t>By utilizing frameworks like PESTEL, Porter's Five Forces, McKinsey's 7S, and SWOT analysis, we have identified the key factors that affect Tesco's competitiveness. These factors include regulatory compliance, market dynamics, technological advances, and changes in consumer behavior.</w:t>
      </w:r>
    </w:p>
    <w:p>
      <w:pPr>
        <w:keepNext w:val="0"/>
        <w:keepLines w:val="0"/>
        <w:pageBreakBefore w:val="0"/>
        <w:widowControl w:val="0"/>
        <w:numPr>
          <w:numId w:val="0"/>
        </w:numPr>
        <w:kinsoku/>
        <w:wordWrap/>
        <w:overflowPunct/>
        <w:topLinePunct w:val="0"/>
        <w:autoSpaceDE/>
        <w:autoSpaceDN/>
        <w:bidi w:val="0"/>
        <w:adjustRightInd/>
        <w:snapToGrid/>
        <w:spacing w:line="480" w:lineRule="auto"/>
        <w:ind w:leftChars="0"/>
        <w:jc w:val="both"/>
        <w:textAlignment w:val="auto"/>
        <w:outlineLvl w:val="9"/>
        <w:rPr>
          <w:rFonts w:hint="default" w:ascii="Arial" w:hAnsi="Arial" w:eastAsia="宋体" w:cs="Arial"/>
          <w:b w:val="0"/>
          <w:bCs w:val="0"/>
          <w:sz w:val="24"/>
          <w:szCs w:val="24"/>
          <w:highlight w:val="none"/>
          <w:u w:val="none"/>
          <w:lang w:val="en-US" w:eastAsia="zh-CN"/>
        </w:rPr>
      </w:pPr>
      <w:r>
        <w:rPr>
          <w:rFonts w:hint="eastAsia" w:ascii="Arial" w:hAnsi="Arial" w:eastAsia="宋体" w:cs="Arial"/>
          <w:b w:val="0"/>
          <w:bCs w:val="0"/>
          <w:sz w:val="24"/>
          <w:szCs w:val="24"/>
          <w:highlight w:val="none"/>
          <w:u w:val="none"/>
          <w:lang w:val="en-US" w:eastAsia="zh-CN"/>
        </w:rPr>
        <w:t>By implementing the above strategy，</w:t>
      </w:r>
      <w:r>
        <w:rPr>
          <w:rFonts w:hint="default" w:ascii="Arial" w:hAnsi="Arial" w:eastAsia="宋体" w:cs="Arial"/>
          <w:b w:val="0"/>
          <w:bCs w:val="0"/>
          <w:sz w:val="24"/>
          <w:szCs w:val="24"/>
          <w:highlight w:val="none"/>
          <w:u w:val="none"/>
          <w:lang w:val="en-US" w:eastAsia="zh-CN"/>
        </w:rPr>
        <w:t xml:space="preserve"> Tesco can navigate the complexities of the retail industry and sustain growth despite evolving market conditions.</w:t>
      </w:r>
    </w:p>
    <w:bookmarkEnd w:id="18"/>
    <w:p>
      <w:pPr>
        <w:keepNext w:val="0"/>
        <w:keepLines w:val="0"/>
        <w:pageBreakBefore w:val="0"/>
        <w:widowControl w:val="0"/>
        <w:numPr>
          <w:numId w:val="0"/>
        </w:numPr>
        <w:kinsoku/>
        <w:wordWrap/>
        <w:overflowPunct/>
        <w:topLinePunct w:val="0"/>
        <w:autoSpaceDE/>
        <w:autoSpaceDN/>
        <w:bidi w:val="0"/>
        <w:adjustRightInd/>
        <w:snapToGrid/>
        <w:spacing w:line="480" w:lineRule="auto"/>
        <w:ind w:leftChars="0"/>
        <w:jc w:val="both"/>
        <w:textAlignment w:val="auto"/>
        <w:outlineLvl w:val="0"/>
        <w:rPr>
          <w:rFonts w:hint="default" w:ascii="Arial" w:hAnsi="Arial" w:eastAsia="宋体" w:cs="Arial"/>
          <w:b w:val="0"/>
          <w:bCs w:val="0"/>
          <w:sz w:val="24"/>
          <w:szCs w:val="24"/>
          <w:u w:val="none"/>
          <w:lang w:val="en-US" w:eastAsia="zh-CN"/>
        </w:rPr>
      </w:pPr>
      <w:r>
        <w:rPr>
          <w:rFonts w:hint="eastAsia" w:ascii="Arial" w:hAnsi="Arial" w:eastAsia="宋体" w:cs="Arial"/>
          <w:b w:val="0"/>
          <w:bCs w:val="0"/>
          <w:sz w:val="24"/>
          <w:szCs w:val="24"/>
          <w:u w:val="none"/>
          <w:lang w:val="en-US" w:eastAsia="zh-CN"/>
        </w:rPr>
        <w:t>8.</w:t>
      </w:r>
      <w:r>
        <w:rPr>
          <w:rFonts w:hint="default" w:ascii="Arial" w:hAnsi="Arial" w:eastAsia="宋体" w:cs="Arial"/>
          <w:b w:val="0"/>
          <w:bCs w:val="0"/>
          <w:sz w:val="24"/>
          <w:szCs w:val="24"/>
          <w:u w:val="none"/>
          <w:lang w:val="en-US" w:eastAsia="zh-CN"/>
        </w:rPr>
        <w:t>Reference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Benzaghta, M.A. </w:t>
      </w:r>
      <w:r>
        <w:rPr>
          <w:rFonts w:hint="default" w:ascii="Arial" w:hAnsi="Arial" w:cs="Arial"/>
          <w:i/>
          <w:iCs/>
        </w:rPr>
        <w:t>et al.</w:t>
      </w:r>
      <w:r>
        <w:rPr>
          <w:rFonts w:hint="default" w:ascii="Arial" w:hAnsi="Arial" w:cs="Arial"/>
        </w:rPr>
        <w:t xml:space="preserve"> (2021) ‘SWOT analysis applications: An integrative literature review’, </w:t>
      </w:r>
      <w:r>
        <w:rPr>
          <w:rFonts w:hint="default" w:ascii="Arial" w:hAnsi="Arial" w:cs="Arial"/>
          <w:i/>
          <w:iCs/>
        </w:rPr>
        <w:t>Journal of Global Business Insights</w:t>
      </w:r>
      <w:r>
        <w:rPr>
          <w:rFonts w:hint="default" w:ascii="Arial" w:hAnsi="Arial" w:cs="Arial"/>
        </w:rPr>
        <w:t xml:space="preserve">, 6(1), pp. 55–73. doi:10.5038/2640-6489.6.1.1148.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Carers, M.Y. (2021) </w:t>
      </w:r>
      <w:r>
        <w:rPr>
          <w:rFonts w:hint="default" w:ascii="Arial" w:hAnsi="Arial" w:cs="Arial"/>
          <w:i/>
          <w:iCs/>
        </w:rPr>
        <w:t>Can you help? vote for MYTIME at your nearest Tesco Store!</w:t>
      </w:r>
      <w:r>
        <w:rPr>
          <w:rFonts w:hint="default" w:ascii="Arial" w:hAnsi="Arial" w:cs="Arial"/>
        </w:rPr>
        <w:t xml:space="preserve"> Available at: https://www.mytimeyoungcarers.org/can-you-help-vote-for-mytime-at-your-nearest-tesco-store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Chmielewska, M. </w:t>
      </w:r>
      <w:r>
        <w:rPr>
          <w:rFonts w:hint="default" w:ascii="Arial" w:hAnsi="Arial" w:cs="Arial"/>
          <w:i/>
          <w:iCs/>
        </w:rPr>
        <w:t>et al.</w:t>
      </w:r>
      <w:r>
        <w:rPr>
          <w:rFonts w:hint="default" w:ascii="Arial" w:hAnsi="Arial" w:cs="Arial"/>
        </w:rPr>
        <w:t xml:space="preserve"> (2022) ‘Evaluating organizational performance of public hospitals using the mckinsey 7-S framework’, </w:t>
      </w:r>
      <w:r>
        <w:rPr>
          <w:rFonts w:hint="default" w:ascii="Arial" w:hAnsi="Arial" w:cs="Arial"/>
          <w:i/>
          <w:iCs/>
        </w:rPr>
        <w:t>BMC Health Services Research</w:t>
      </w:r>
      <w:r>
        <w:rPr>
          <w:rFonts w:hint="default" w:ascii="Arial" w:hAnsi="Arial" w:cs="Arial"/>
        </w:rPr>
        <w:t xml:space="preserve">, 22(1). doi:10.1186/s12913-021-07402-3. </w:t>
      </w:r>
    </w:p>
    <w:p>
      <w:pPr>
        <w:pStyle w:val="4"/>
        <w:keepNext w:val="0"/>
        <w:keepLines w:val="0"/>
        <w:widowControl/>
        <w:suppressLineNumbers w:val="0"/>
        <w:ind w:left="567" w:hanging="567"/>
        <w:rPr>
          <w:rFonts w:hint="default" w:ascii="Arial" w:hAnsi="Arial" w:cs="Arial"/>
        </w:rPr>
      </w:pPr>
      <w:r>
        <w:rPr>
          <w:rFonts w:hint="default" w:ascii="Arial" w:hAnsi="Arial" w:cs="Arial"/>
        </w:rPr>
        <w:t>Curr, H. (2023)</w:t>
      </w:r>
      <w:r>
        <w:rPr>
          <w:rFonts w:hint="default" w:ascii="Arial" w:hAnsi="Arial" w:cs="Arial"/>
          <w:i/>
          <w:iCs/>
        </w:rPr>
        <w:t xml:space="preserve"> Don’t count on a soft landing for the World Economy, The Economist</w:t>
      </w:r>
      <w:r>
        <w:rPr>
          <w:rFonts w:hint="default" w:ascii="Arial" w:hAnsi="Arial" w:cs="Arial"/>
        </w:rPr>
        <w:t>. Available at: https://www.economist.com/the-world-ahead/2023/11/13/dont-count-on-a-soft-landing-for-the-world-economy (Accessed: 20 March 2024).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Gan, W. and Yan, C. (2023) ‘Financial Analysis and Development Study of Tesco plc’, </w:t>
      </w:r>
      <w:r>
        <w:rPr>
          <w:rFonts w:hint="default" w:ascii="Arial" w:hAnsi="Arial" w:cs="Arial"/>
          <w:i/>
          <w:iCs/>
        </w:rPr>
        <w:t>Highlights in Business, Economics and Management</w:t>
      </w:r>
      <w:r>
        <w:rPr>
          <w:rFonts w:hint="default" w:ascii="Arial" w:hAnsi="Arial" w:cs="Arial"/>
        </w:rPr>
        <w:t xml:space="preserve">, 10, pp. 167–172. doi:10.54097/hbem.v10i.8035.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Gennaro (2024) </w:t>
      </w:r>
      <w:r>
        <w:rPr>
          <w:rFonts w:hint="default" w:ascii="Arial" w:hAnsi="Arial" w:cs="Arial"/>
          <w:i/>
          <w:iCs/>
        </w:rPr>
        <w:t>什么是 Pestel 分析及其重要性</w:t>
      </w:r>
      <w:r>
        <w:rPr>
          <w:rFonts w:hint="default" w:ascii="Arial" w:hAnsi="Arial" w:cs="Arial"/>
        </w:rPr>
        <w:t xml:space="preserve">, </w:t>
      </w:r>
      <w:r>
        <w:rPr>
          <w:rFonts w:hint="default" w:ascii="Arial" w:hAnsi="Arial" w:cs="Arial"/>
          <w:i/>
          <w:iCs/>
        </w:rPr>
        <w:t>FourWeekMBA</w:t>
      </w:r>
      <w:r>
        <w:rPr>
          <w:rFonts w:hint="default" w:ascii="Arial" w:hAnsi="Arial" w:cs="Arial"/>
        </w:rPr>
        <w:t xml:space="preserve">. Available at: https://fourweekmba.com/zh-CN/%E6%9D%B5%E5%88%86%E6%9E%90/ (Accessed: 22 March 2024). </w:t>
      </w:r>
    </w:p>
    <w:p>
      <w:pPr>
        <w:pStyle w:val="4"/>
        <w:keepNext w:val="0"/>
        <w:keepLines w:val="0"/>
        <w:widowControl/>
        <w:suppressLineNumbers w:val="0"/>
        <w:ind w:left="567" w:hanging="567"/>
        <w:rPr>
          <w:rFonts w:hint="default" w:ascii="Arial" w:hAnsi="Arial" w:cs="Arial"/>
        </w:rPr>
      </w:pPr>
      <w:r>
        <w:t xml:space="preserve">Gennaro (2024) </w:t>
      </w:r>
      <w:r>
        <w:rPr>
          <w:i/>
          <w:iCs/>
        </w:rPr>
        <w:t>简而言之，乐购 swot 分析</w:t>
      </w:r>
      <w:r>
        <w:t xml:space="preserve">, </w:t>
      </w:r>
      <w:r>
        <w:rPr>
          <w:i/>
          <w:iCs/>
        </w:rPr>
        <w:t>FourWeekMBA</w:t>
      </w:r>
      <w:r>
        <w:t xml:space="preserve">. Available at: https://fourweekmba.com/zh-CN/%E4%B9%90%E8%B4%ADswot%E5%88%86%E6%9E%90/ (Accessed: 20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Grundy, T. (2006) ‘Rethinking and reinventing Michael Porter’s five forces model’, </w:t>
      </w:r>
      <w:r>
        <w:rPr>
          <w:rFonts w:hint="default" w:ascii="Arial" w:hAnsi="Arial" w:cs="Arial"/>
          <w:i/>
          <w:iCs/>
        </w:rPr>
        <w:t>Strategic Change</w:t>
      </w:r>
      <w:r>
        <w:rPr>
          <w:rFonts w:hint="default" w:ascii="Arial" w:hAnsi="Arial" w:cs="Arial"/>
        </w:rPr>
        <w:t>, 15(5), pp. 213–229. doi:10.1002/jsc.764.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Harrington, H.J. (2014) </w:t>
      </w:r>
      <w:r>
        <w:rPr>
          <w:rFonts w:hint="default" w:ascii="Arial" w:hAnsi="Arial" w:cs="Arial"/>
          <w:i/>
          <w:iCs/>
        </w:rPr>
        <w:t>Organizational Change Management</w:t>
      </w:r>
      <w:r>
        <w:rPr>
          <w:rFonts w:hint="default" w:ascii="Arial" w:hAnsi="Arial" w:cs="Arial"/>
        </w:rPr>
        <w:t xml:space="preserve">. New York: Productivity Press.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He, D. (2015) </w:t>
      </w:r>
      <w:r>
        <w:rPr>
          <w:rFonts w:hint="default" w:ascii="Arial" w:hAnsi="Arial" w:cs="Arial"/>
          <w:i/>
          <w:iCs/>
        </w:rPr>
        <w:t>连英国本土市场都要亏损了 Tesco决意改变供应商合作方式</w:t>
      </w:r>
      <w:r>
        <w:rPr>
          <w:rFonts w:hint="default" w:ascii="Arial" w:hAnsi="Arial" w:cs="Arial"/>
        </w:rPr>
        <w:t xml:space="preserve">, </w:t>
      </w:r>
      <w:r>
        <w:rPr>
          <w:rFonts w:hint="default" w:ascii="Arial" w:hAnsi="Arial" w:cs="Arial"/>
          <w:i/>
          <w:iCs/>
        </w:rPr>
        <w:t>连英国本土市场都要亏损了 TESCO决意改变供应商合作方式|界面新闻 · 商业</w:t>
      </w:r>
      <w:r>
        <w:rPr>
          <w:rFonts w:hint="default" w:ascii="Arial" w:hAnsi="Arial" w:cs="Arial"/>
        </w:rPr>
        <w:t xml:space="preserve">. Available at: https://www.jiemian.com/article/221597.html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Hopkin, P. (2012) </w:t>
      </w:r>
      <w:r>
        <w:rPr>
          <w:rFonts w:hint="default" w:ascii="Arial" w:hAnsi="Arial" w:cs="Arial"/>
          <w:i/>
          <w:iCs/>
        </w:rPr>
        <w:t xml:space="preserve">Fundamentals of Risk Management Understanding, evaluating and implementing effective risk management. Kogan Page Publishers, London. - references - scientific research publishing. </w:t>
      </w:r>
      <w:r>
        <w:rPr>
          <w:rFonts w:hint="default" w:ascii="Arial" w:hAnsi="Arial" w:cs="Arial"/>
        </w:rPr>
        <w:t>Available at:</w:t>
      </w:r>
      <w:r>
        <w:rPr>
          <w:rFonts w:hint="eastAsia" w:ascii="Arial" w:hAnsi="Arial" w:cs="Arial"/>
          <w:lang w:val="en-US" w:eastAsia="zh-CN"/>
        </w:rPr>
        <w:t xml:space="preserve"> </w:t>
      </w:r>
      <w:r>
        <w:rPr>
          <w:rFonts w:hint="default" w:ascii="Arial" w:hAnsi="Arial" w:cs="Arial"/>
        </w:rPr>
        <w:t>https://scirp.org/reference/referencespapers?referenceid=1152778 (Accessed: 21 March 2024).</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International, E. (2010) </w:t>
      </w:r>
      <w:r>
        <w:rPr>
          <w:rFonts w:hint="default" w:ascii="Arial" w:hAnsi="Arial" w:cs="Arial"/>
          <w:i/>
          <w:iCs/>
        </w:rPr>
        <w:t>Euromonitor</w:t>
      </w:r>
      <w:r>
        <w:rPr>
          <w:rFonts w:hint="default" w:ascii="Arial" w:hAnsi="Arial" w:cs="Arial"/>
        </w:rPr>
        <w:t xml:space="preserve">. Available at: https://www.euromonitor.com/ (Accessed: 22 March 2024). </w:t>
      </w:r>
    </w:p>
    <w:p>
      <w:pPr>
        <w:pStyle w:val="4"/>
        <w:keepNext w:val="0"/>
        <w:keepLines w:val="0"/>
        <w:widowControl/>
        <w:suppressLineNumbers w:val="0"/>
        <w:ind w:left="567" w:hanging="567"/>
        <w:rPr>
          <w:rFonts w:hint="default" w:ascii="Arial" w:hAnsi="Arial" w:cs="Arial"/>
          <w:i/>
          <w:iCs/>
        </w:rPr>
      </w:pPr>
      <w:r>
        <w:rPr>
          <w:rFonts w:hint="default" w:ascii="Arial" w:hAnsi="Arial" w:cs="Arial"/>
        </w:rPr>
        <w:t>Issa, T., &amp; Issa, T. (2014). Sustainable business strategies and PESTEL framework. </w:t>
      </w:r>
      <w:r>
        <w:rPr>
          <w:rFonts w:hint="default" w:ascii="Arial" w:hAnsi="Arial" w:cs="Arial"/>
          <w:i/>
          <w:iCs/>
        </w:rPr>
        <w:t>GSTF Journal on Computing (JoC), 1(1).</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Jackson, S. E., Joshi, A., &amp; Erhardt, N. L. (2003). Recent research on team and organizational diversity: SWOT analysis and implications. </w:t>
      </w:r>
      <w:r>
        <w:rPr>
          <w:rFonts w:hint="default" w:ascii="Arial" w:hAnsi="Arial" w:cs="Arial"/>
          <w:i/>
          <w:iCs/>
        </w:rPr>
        <w:t>Journal of Management</w:t>
      </w:r>
      <w:r>
        <w:rPr>
          <w:rFonts w:hint="default" w:ascii="Arial" w:hAnsi="Arial" w:cs="Arial"/>
          <w:i w:val="0"/>
          <w:iCs w:val="0"/>
        </w:rPr>
        <w:t>, 29(6), 801-830</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Kulikowska-Pawlak, M. and Bratnicki, M. (2014) </w:t>
      </w:r>
      <w:r>
        <w:rPr>
          <w:rFonts w:hint="default" w:ascii="Arial" w:hAnsi="Arial" w:cs="Arial"/>
          <w:i/>
          <w:iCs/>
        </w:rPr>
        <w:t>Politykowanie organizacyjne I Przedsiębiorczość Strategiczna, Organizacja i Kierowanie</w:t>
      </w:r>
      <w:r>
        <w:rPr>
          <w:rFonts w:hint="default" w:ascii="Arial" w:hAnsi="Arial" w:cs="Arial"/>
          <w:i w:val="0"/>
          <w:iCs w:val="0"/>
        </w:rPr>
        <w:t>. Available at: http://yadda.icm.edu.pl/yadda/element/bwmeta1.element.ekon-element-000171324361 (Accessed: 21 March 2024).</w:t>
      </w:r>
    </w:p>
    <w:p>
      <w:pPr>
        <w:pStyle w:val="4"/>
        <w:keepNext w:val="0"/>
        <w:keepLines w:val="0"/>
        <w:widowControl/>
        <w:suppressLineNumbers w:val="0"/>
        <w:ind w:left="567" w:hanging="567"/>
        <w:rPr>
          <w:rFonts w:hint="eastAsia" w:ascii="Arial" w:hAnsi="Arial" w:cs="Arial" w:eastAsiaTheme="minorEastAsia"/>
          <w:i w:val="0"/>
          <w:iCs w:val="0"/>
          <w:lang w:val="en-US" w:eastAsia="zh-CN"/>
        </w:rPr>
      </w:pPr>
      <w:r>
        <w:rPr>
          <w:rFonts w:hint="default" w:ascii="Arial" w:hAnsi="Arial" w:cs="Arial"/>
          <w:i w:val="0"/>
          <w:iCs w:val="0"/>
        </w:rPr>
        <w:t xml:space="preserve">Office for National Statistics, 2010, Keynote, 2010, The Guardian </w:t>
      </w:r>
      <w:r>
        <w:rPr>
          <w:rFonts w:hint="eastAsia" w:ascii="Arial" w:hAnsi="Arial" w:cs="Arial"/>
          <w:i w:val="0"/>
          <w:iCs w:val="0"/>
          <w:lang w:val="en-US" w:eastAsia="zh-CN"/>
        </w:rPr>
        <w:t>.</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Pajni, N.S., Sharmaa, A. and Jain, R. (2022) ‘Risk identification techniques in retail industry: A case study of tesco plc’, </w:t>
      </w:r>
      <w:r>
        <w:rPr>
          <w:rFonts w:hint="default" w:ascii="Arial" w:hAnsi="Arial" w:cs="Arial"/>
          <w:i/>
          <w:iCs/>
        </w:rPr>
        <w:t>Journal of Corporate Governance, Insurance, and Risk Management</w:t>
      </w:r>
      <w:r>
        <w:rPr>
          <w:rFonts w:hint="default" w:ascii="Arial" w:hAnsi="Arial" w:cs="Arial"/>
        </w:rPr>
        <w:t xml:space="preserve">, 9(1), pp. 201–214. doi:10.51410/jcgirm.9.1.13. </w:t>
      </w:r>
    </w:p>
    <w:p>
      <w:pPr>
        <w:pStyle w:val="4"/>
        <w:keepNext w:val="0"/>
        <w:keepLines w:val="0"/>
        <w:widowControl/>
        <w:suppressLineNumbers w:val="0"/>
        <w:ind w:left="567" w:hanging="567"/>
        <w:rPr>
          <w:rFonts w:hint="default" w:ascii="Arial" w:hAnsi="Arial" w:cs="Arial"/>
          <w:i/>
          <w:iCs/>
        </w:rPr>
      </w:pPr>
      <w:r>
        <w:rPr>
          <w:rFonts w:hint="default" w:ascii="Arial" w:hAnsi="Arial" w:cs="Arial"/>
        </w:rPr>
        <w:t>Peters TJ, Waterman RH（2015）.In search of excellence. London: </w:t>
      </w:r>
      <w:r>
        <w:rPr>
          <w:rFonts w:hint="default" w:ascii="Arial" w:hAnsi="Arial" w:cs="Arial"/>
          <w:i/>
          <w:iCs/>
        </w:rPr>
        <w:t>Profile Books</w:t>
      </w:r>
    </w:p>
    <w:p>
      <w:pPr>
        <w:pStyle w:val="4"/>
        <w:keepNext w:val="0"/>
        <w:keepLines w:val="0"/>
        <w:widowControl/>
        <w:suppressLineNumbers w:val="0"/>
        <w:ind w:left="567" w:hanging="567"/>
        <w:rPr>
          <w:rFonts w:hint="default" w:ascii="Arial" w:hAnsi="Arial" w:cs="Arial"/>
          <w:i w:val="0"/>
          <w:iCs w:val="0"/>
        </w:rPr>
      </w:pPr>
      <w:r>
        <w:rPr>
          <w:rFonts w:hint="default" w:ascii="Arial" w:hAnsi="Arial" w:cs="Arial"/>
          <w:i w:val="0"/>
          <w:iCs w:val="0"/>
        </w:rPr>
        <w:t xml:space="preserve">Rozmi, A. N. A., Nordin, A., &amp; Bakar, M. I. A. (2018). The perception of ICT adoption in small medium enterprise: A SWOT analysis. </w:t>
      </w:r>
      <w:r>
        <w:rPr>
          <w:rFonts w:hint="default" w:ascii="Arial" w:hAnsi="Arial" w:cs="Arial"/>
          <w:i/>
          <w:iCs/>
        </w:rPr>
        <w:t>International Journal of Innovation Business Strategy</w:t>
      </w:r>
      <w:r>
        <w:rPr>
          <w:rFonts w:hint="default" w:ascii="Arial" w:hAnsi="Arial" w:cs="Arial"/>
          <w:i w:val="0"/>
          <w:iCs w:val="0"/>
        </w:rPr>
        <w:t>, 19(1), 69-79.</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Sou, H. (2023) </w:t>
      </w:r>
      <w:r>
        <w:rPr>
          <w:rFonts w:hint="default" w:ascii="Arial" w:hAnsi="Arial" w:cs="Arial"/>
          <w:i/>
          <w:iCs/>
        </w:rPr>
        <w:t>Tesco是什么牌子？Tesco的业务主要在哪些国家？</w:t>
      </w:r>
      <w:r>
        <w:rPr>
          <w:rFonts w:hint="default" w:ascii="Arial" w:hAnsi="Arial" w:cs="Arial"/>
        </w:rPr>
        <w:t xml:space="preserve">, </w:t>
      </w:r>
      <w:r>
        <w:rPr>
          <w:rFonts w:hint="default" w:ascii="Arial" w:hAnsi="Arial" w:cs="Arial"/>
          <w:i/>
          <w:iCs/>
        </w:rPr>
        <w:t>AMZ123跨境导航</w:t>
      </w:r>
      <w:r>
        <w:rPr>
          <w:rFonts w:hint="default" w:ascii="Arial" w:hAnsi="Arial" w:cs="Arial"/>
        </w:rPr>
        <w:t xml:space="preserve">. Available at: https://www.amz123.com/t/aqBahdtt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i/>
          <w:iCs/>
        </w:rPr>
        <w:t>Tesco</w:t>
      </w:r>
      <w:r>
        <w:rPr>
          <w:rFonts w:hint="default" w:ascii="Arial" w:hAnsi="Arial" w:cs="Arial"/>
        </w:rPr>
        <w:t xml:space="preserve"> (2024) </w:t>
      </w:r>
      <w:r>
        <w:rPr>
          <w:rFonts w:hint="default" w:ascii="Arial" w:hAnsi="Arial" w:cs="Arial"/>
          <w:i/>
          <w:iCs/>
        </w:rPr>
        <w:t>Wikipedia</w:t>
      </w:r>
      <w:r>
        <w:rPr>
          <w:rFonts w:hint="default" w:ascii="Arial" w:hAnsi="Arial" w:cs="Arial"/>
        </w:rPr>
        <w:t xml:space="preserve">. Available at: https://en.wikipedia.org/wiki/Tesco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Tesco Plc (2023) </w:t>
      </w:r>
      <w:r>
        <w:rPr>
          <w:rFonts w:hint="default" w:ascii="Arial" w:hAnsi="Arial" w:cs="Arial"/>
          <w:i/>
          <w:iCs/>
        </w:rPr>
        <w:t>Tesco plc - Digital Transformation Strategies</w:t>
      </w:r>
      <w:r>
        <w:rPr>
          <w:rFonts w:hint="default" w:ascii="Arial" w:hAnsi="Arial" w:cs="Arial"/>
        </w:rPr>
        <w:t xml:space="preserve">, </w:t>
      </w:r>
      <w:r>
        <w:rPr>
          <w:rFonts w:hint="default" w:ascii="Arial" w:hAnsi="Arial" w:cs="Arial"/>
          <w:i/>
          <w:iCs/>
        </w:rPr>
        <w:t>Market Research Reports &amp; Consulting | GlobalData UK Ltd.</w:t>
      </w:r>
      <w:r>
        <w:rPr>
          <w:rFonts w:hint="default" w:ascii="Arial" w:hAnsi="Arial" w:cs="Arial"/>
        </w:rPr>
        <w:t xml:space="preserve"> Available at: https://www.globaldata.com/store/report/tesco-plc-enterprise-tech-analysis/ (Accessed: 22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Times online (2009) </w:t>
      </w:r>
      <w:r>
        <w:rPr>
          <w:rFonts w:hint="default" w:ascii="Arial" w:hAnsi="Arial" w:cs="Arial"/>
          <w:i/>
          <w:iCs/>
        </w:rPr>
        <w:t>Tesco暗战供应商</w:t>
      </w:r>
      <w:r>
        <w:rPr>
          <w:rFonts w:hint="default" w:ascii="Arial" w:hAnsi="Arial" w:cs="Arial"/>
        </w:rPr>
        <w:t xml:space="preserve">, </w:t>
      </w:r>
      <w:r>
        <w:rPr>
          <w:rFonts w:hint="default" w:ascii="Arial" w:hAnsi="Arial" w:cs="Arial"/>
          <w:i/>
          <w:iCs/>
        </w:rPr>
        <w:t>Times online</w:t>
      </w:r>
      <w:r>
        <w:rPr>
          <w:rFonts w:hint="default" w:ascii="Arial" w:hAnsi="Arial" w:cs="Arial"/>
        </w:rPr>
        <w:t xml:space="preserve">. Available at: https://www.time-weekly.com/wap-article/3408 (Accessed: 21 March 2024). </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Witcher, BJ &amp; Chau </w:t>
      </w:r>
      <w:r>
        <w:rPr>
          <w:rFonts w:hint="eastAsia" w:ascii="Arial" w:hAnsi="Arial" w:cs="Arial"/>
          <w:lang w:val="en-US" w:eastAsia="zh-CN"/>
        </w:rPr>
        <w:t>(</w:t>
      </w:r>
      <w:r>
        <w:rPr>
          <w:rFonts w:hint="default" w:ascii="Arial" w:hAnsi="Arial" w:cs="Arial"/>
        </w:rPr>
        <w:t>2010</w:t>
      </w:r>
      <w:r>
        <w:rPr>
          <w:rFonts w:hint="eastAsia" w:ascii="Arial" w:hAnsi="Arial" w:cs="Arial"/>
          <w:lang w:val="en-US" w:eastAsia="zh-CN"/>
        </w:rPr>
        <w:t>)</w:t>
      </w:r>
      <w:r>
        <w:rPr>
          <w:rFonts w:hint="default" w:ascii="Arial" w:hAnsi="Arial" w:cs="Arial"/>
        </w:rPr>
        <w:t xml:space="preserve">, </w:t>
      </w:r>
      <w:r>
        <w:rPr>
          <w:rFonts w:hint="default" w:ascii="Arial" w:hAnsi="Arial" w:cs="Arial"/>
          <w:i/>
          <w:iCs/>
        </w:rPr>
        <w:t>Strategic Management Principles and Practice</w:t>
      </w:r>
      <w:r>
        <w:rPr>
          <w:rFonts w:hint="default" w:ascii="Arial" w:hAnsi="Arial" w:cs="Arial"/>
        </w:rPr>
        <w:t>, Cengage Learning EMEA, United Kingdom</w:t>
      </w:r>
    </w:p>
    <w:p>
      <w:pPr>
        <w:pStyle w:val="4"/>
        <w:keepNext w:val="0"/>
        <w:keepLines w:val="0"/>
        <w:widowControl/>
        <w:suppressLineNumbers w:val="0"/>
        <w:ind w:left="567" w:hanging="567"/>
        <w:rPr>
          <w:rFonts w:hint="default" w:ascii="Arial" w:hAnsi="Arial" w:cs="Arial"/>
        </w:rPr>
      </w:pPr>
      <w:r>
        <w:rPr>
          <w:rFonts w:hint="default" w:ascii="Arial" w:hAnsi="Arial" w:cs="Arial"/>
        </w:rPr>
        <w:t xml:space="preserve">Wu, G., Thomas Stanley and Kang, Y. (2023) 一文带你看懂疫情对各行业的影响和未来发展趋势, </w:t>
      </w:r>
      <w:r>
        <w:rPr>
          <w:rFonts w:hint="default" w:ascii="Arial" w:hAnsi="Arial" w:cs="Arial"/>
          <w:i/>
          <w:iCs/>
        </w:rPr>
        <w:t>KPMG</w:t>
      </w:r>
      <w:r>
        <w:rPr>
          <w:rFonts w:hint="default" w:ascii="Arial" w:hAnsi="Arial" w:cs="Arial"/>
        </w:rPr>
        <w:t xml:space="preserve">. Available at: https://kpmg.com/cn/zh/home/social/2020/02/how-novel-coronavirus-affects-various-industries-and-future-development-trends.html (Accessed: 20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 w:val="0"/>
          <w:bCs w:val="0"/>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8CD09"/>
    <w:multiLevelType w:val="singleLevel"/>
    <w:tmpl w:val="80C8CD09"/>
    <w:lvl w:ilvl="0" w:tentative="0">
      <w:start w:val="1"/>
      <w:numFmt w:val="bullet"/>
      <w:lvlText w:val=""/>
      <w:lvlJc w:val="left"/>
      <w:pPr>
        <w:ind w:left="420" w:hanging="420"/>
      </w:pPr>
      <w:rPr>
        <w:rFonts w:hint="default" w:ascii="Wingdings" w:hAnsi="Wingdings"/>
      </w:rPr>
    </w:lvl>
  </w:abstractNum>
  <w:abstractNum w:abstractNumId="1">
    <w:nsid w:val="A7529F50"/>
    <w:multiLevelType w:val="singleLevel"/>
    <w:tmpl w:val="A7529F50"/>
    <w:lvl w:ilvl="0" w:tentative="0">
      <w:start w:val="1"/>
      <w:numFmt w:val="bullet"/>
      <w:lvlText w:val=""/>
      <w:lvlJc w:val="left"/>
      <w:pPr>
        <w:ind w:left="420" w:hanging="420"/>
      </w:pPr>
      <w:rPr>
        <w:rFonts w:hint="default" w:ascii="Wingdings" w:hAnsi="Wingdings"/>
      </w:rPr>
    </w:lvl>
  </w:abstractNum>
  <w:abstractNum w:abstractNumId="2">
    <w:nsid w:val="BF90E978"/>
    <w:multiLevelType w:val="singleLevel"/>
    <w:tmpl w:val="BF90E978"/>
    <w:lvl w:ilvl="0" w:tentative="0">
      <w:start w:val="1"/>
      <w:numFmt w:val="bullet"/>
      <w:lvlText w:val=""/>
      <w:lvlJc w:val="left"/>
      <w:pPr>
        <w:ind w:left="420" w:hanging="420"/>
      </w:pPr>
      <w:rPr>
        <w:rFonts w:hint="default" w:ascii="Wingdings" w:hAnsi="Wingdings"/>
      </w:rPr>
    </w:lvl>
  </w:abstractNum>
  <w:abstractNum w:abstractNumId="3">
    <w:nsid w:val="C1E960DF"/>
    <w:multiLevelType w:val="multilevel"/>
    <w:tmpl w:val="C1E960DF"/>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C3966FF2"/>
    <w:multiLevelType w:val="singleLevel"/>
    <w:tmpl w:val="C3966FF2"/>
    <w:lvl w:ilvl="0" w:tentative="0">
      <w:start w:val="1"/>
      <w:numFmt w:val="bullet"/>
      <w:lvlText w:val=""/>
      <w:lvlJc w:val="left"/>
      <w:pPr>
        <w:ind w:left="420" w:hanging="420"/>
      </w:pPr>
      <w:rPr>
        <w:rFonts w:hint="default" w:ascii="Wingdings" w:hAnsi="Wingdings"/>
      </w:rPr>
    </w:lvl>
  </w:abstractNum>
  <w:abstractNum w:abstractNumId="5">
    <w:nsid w:val="C9A61047"/>
    <w:multiLevelType w:val="singleLevel"/>
    <w:tmpl w:val="C9A61047"/>
    <w:lvl w:ilvl="0" w:tentative="0">
      <w:start w:val="1"/>
      <w:numFmt w:val="decimal"/>
      <w:lvlText w:val="%1."/>
      <w:lvlJc w:val="left"/>
      <w:pPr>
        <w:ind w:left="425" w:hanging="425"/>
      </w:pPr>
      <w:rPr>
        <w:rFonts w:hint="default"/>
      </w:rPr>
    </w:lvl>
  </w:abstractNum>
  <w:abstractNum w:abstractNumId="6">
    <w:nsid w:val="D492AF6A"/>
    <w:multiLevelType w:val="singleLevel"/>
    <w:tmpl w:val="D492AF6A"/>
    <w:lvl w:ilvl="0" w:tentative="0">
      <w:start w:val="1"/>
      <w:numFmt w:val="decimal"/>
      <w:lvlText w:val="%1."/>
      <w:lvlJc w:val="left"/>
      <w:pPr>
        <w:ind w:left="425" w:hanging="425"/>
      </w:pPr>
      <w:rPr>
        <w:rFonts w:hint="default"/>
      </w:rPr>
    </w:lvl>
  </w:abstractNum>
  <w:abstractNum w:abstractNumId="7">
    <w:nsid w:val="E67A50D6"/>
    <w:multiLevelType w:val="singleLevel"/>
    <w:tmpl w:val="E67A50D6"/>
    <w:lvl w:ilvl="0" w:tentative="0">
      <w:start w:val="1"/>
      <w:numFmt w:val="decimal"/>
      <w:lvlText w:val="%1."/>
      <w:lvlJc w:val="left"/>
      <w:pPr>
        <w:ind w:left="425" w:hanging="425"/>
      </w:pPr>
      <w:rPr>
        <w:rFonts w:hint="default"/>
      </w:rPr>
    </w:lvl>
  </w:abstractNum>
  <w:abstractNum w:abstractNumId="8">
    <w:nsid w:val="08754A63"/>
    <w:multiLevelType w:val="singleLevel"/>
    <w:tmpl w:val="08754A63"/>
    <w:lvl w:ilvl="0" w:tentative="0">
      <w:start w:val="1"/>
      <w:numFmt w:val="bullet"/>
      <w:lvlText w:val=""/>
      <w:lvlJc w:val="left"/>
      <w:pPr>
        <w:ind w:left="420" w:hanging="420"/>
      </w:pPr>
      <w:rPr>
        <w:rFonts w:hint="default" w:ascii="Wingdings" w:hAnsi="Wingdings"/>
      </w:rPr>
    </w:lvl>
  </w:abstractNum>
  <w:abstractNum w:abstractNumId="9">
    <w:nsid w:val="54B1F0FF"/>
    <w:multiLevelType w:val="singleLevel"/>
    <w:tmpl w:val="54B1F0FF"/>
    <w:lvl w:ilvl="0" w:tentative="0">
      <w:start w:val="1"/>
      <w:numFmt w:val="decimal"/>
      <w:lvlText w:val="%1."/>
      <w:lvlJc w:val="left"/>
      <w:pPr>
        <w:ind w:left="425" w:hanging="425"/>
      </w:pPr>
      <w:rPr>
        <w:rFonts w:hint="default"/>
      </w:rPr>
    </w:lvl>
  </w:abstractNum>
  <w:abstractNum w:abstractNumId="10">
    <w:nsid w:val="6A6281DA"/>
    <w:multiLevelType w:val="multilevel"/>
    <w:tmpl w:val="6A6281DA"/>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1">
    <w:nsid w:val="6AF9105B"/>
    <w:multiLevelType w:val="singleLevel"/>
    <w:tmpl w:val="6AF9105B"/>
    <w:lvl w:ilvl="0" w:tentative="0">
      <w:start w:val="1"/>
      <w:numFmt w:val="bullet"/>
      <w:lvlText w:val=""/>
      <w:lvlJc w:val="left"/>
      <w:pPr>
        <w:ind w:left="420" w:hanging="420"/>
      </w:pPr>
      <w:rPr>
        <w:rFonts w:hint="default" w:ascii="Wingdings" w:hAnsi="Wingdings"/>
      </w:rPr>
    </w:lvl>
  </w:abstractNum>
  <w:abstractNum w:abstractNumId="12">
    <w:nsid w:val="6AFEB7FA"/>
    <w:multiLevelType w:val="singleLevel"/>
    <w:tmpl w:val="6AFEB7FA"/>
    <w:lvl w:ilvl="0" w:tentative="0">
      <w:start w:val="1"/>
      <w:numFmt w:val="bullet"/>
      <w:lvlText w:val=""/>
      <w:lvlJc w:val="left"/>
      <w:pPr>
        <w:ind w:left="420" w:hanging="420"/>
      </w:pPr>
      <w:rPr>
        <w:rFonts w:hint="default" w:ascii="Wingdings" w:hAnsi="Wingdings"/>
      </w:rPr>
    </w:lvl>
  </w:abstractNum>
  <w:num w:numId="1">
    <w:abstractNumId w:val="10"/>
  </w:num>
  <w:num w:numId="2">
    <w:abstractNumId w:val="11"/>
  </w:num>
  <w:num w:numId="3">
    <w:abstractNumId w:val="12"/>
  </w:num>
  <w:num w:numId="4">
    <w:abstractNumId w:val="2"/>
  </w:num>
  <w:num w:numId="5">
    <w:abstractNumId w:val="1"/>
  </w:num>
  <w:num w:numId="6">
    <w:abstractNumId w:val="5"/>
  </w:num>
  <w:num w:numId="7">
    <w:abstractNumId w:val="4"/>
  </w:num>
  <w:num w:numId="8">
    <w:abstractNumId w:val="9"/>
  </w:num>
  <w:num w:numId="9">
    <w:abstractNumId w:val="8"/>
  </w:num>
  <w:num w:numId="10">
    <w:abstractNumId w:val="7"/>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2AB40A2"/>
    <w:rsid w:val="008528E0"/>
    <w:rsid w:val="02AB40A2"/>
    <w:rsid w:val="02C51382"/>
    <w:rsid w:val="0B061AD5"/>
    <w:rsid w:val="0C66480D"/>
    <w:rsid w:val="0F3D58B6"/>
    <w:rsid w:val="103A670E"/>
    <w:rsid w:val="12132A21"/>
    <w:rsid w:val="18FE652B"/>
    <w:rsid w:val="20C0056A"/>
    <w:rsid w:val="26431A21"/>
    <w:rsid w:val="27541A0C"/>
    <w:rsid w:val="2D5E35E4"/>
    <w:rsid w:val="2F2D7712"/>
    <w:rsid w:val="38A61C0E"/>
    <w:rsid w:val="392A6A70"/>
    <w:rsid w:val="3B9F54F4"/>
    <w:rsid w:val="422E596D"/>
    <w:rsid w:val="442C1D3F"/>
    <w:rsid w:val="44CB1108"/>
    <w:rsid w:val="46B04A59"/>
    <w:rsid w:val="46E2098A"/>
    <w:rsid w:val="4B4C7022"/>
    <w:rsid w:val="61B71D7D"/>
    <w:rsid w:val="6B3C7DBA"/>
    <w:rsid w:val="6FC767EC"/>
    <w:rsid w:val="75DA08FB"/>
    <w:rsid w:val="77D73344"/>
    <w:rsid w:val="790A14F7"/>
    <w:rsid w:val="7EEF7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uiPriority w:val="0"/>
  </w:style>
  <w:style w:type="paragraph" w:styleId="3">
    <w:name w:val="toc 2"/>
    <w:basedOn w:val="1"/>
    <w:next w:val="1"/>
    <w:uiPriority w:val="0"/>
    <w:pPr>
      <w:ind w:left="420" w:leftChars="200"/>
    </w:p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WPSOffice手动目录 1"/>
    <w:uiPriority w:val="0"/>
    <w:pPr>
      <w:ind w:leftChars="0"/>
    </w:pPr>
    <w:rPr>
      <w:rFonts w:ascii="Times New Roman" w:hAnsi="Times New Roman" w:eastAsia="宋体" w:cs="Times New Roman"/>
      <w:sz w:val="20"/>
      <w:szCs w:val="20"/>
    </w:rPr>
  </w:style>
  <w:style w:type="paragraph" w:customStyle="1" w:styleId="9">
    <w:name w:val="WPSOffice手动目录 2"/>
    <w:uiPriority w:val="0"/>
    <w:pPr>
      <w:ind w:leftChars="200"/>
    </w:pPr>
    <w:rPr>
      <w:rFonts w:ascii="Times New Roman" w:hAnsi="Times New Roman" w:eastAsia="宋体" w:cs="Times New Roman"/>
      <w:sz w:val="20"/>
      <w:szCs w:val="20"/>
    </w:rPr>
  </w:style>
  <w:style w:type="paragraph" w:styleId="10">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2024-03-20T23:06:00Z</dcterms:created>
  <dc:creator>龚洁</dc:creator>
  <cp:lastModifiedBy>龚洁</cp:lastModifiedBy>
  <dcterms:modified xsi:type="dcterms:W3CDTF">2024-03-22T21:33:31Z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F2FB9BCA50144CD486AE7AF51CBFE6D5_11</vt:lpwstr>
  </property>
</Properties>
</file>