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58655" w14:textId="1057BE5C" w:rsidR="00923702" w:rsidRPr="005311DB" w:rsidRDefault="00923702" w:rsidP="00121CD6">
      <w:pPr>
        <w:spacing w:after="0" w:line="360" w:lineRule="auto"/>
        <w:ind w:left="360"/>
        <w:contextualSpacing/>
        <w:jc w:val="center"/>
        <w:rPr>
          <w:rFonts w:cs="Arial"/>
          <w:color w:val="000000" w:themeColor="text1"/>
          <w:szCs w:val="22"/>
          <w:lang w:val="en-GB"/>
        </w:rPr>
      </w:pPr>
    </w:p>
    <w:p w14:paraId="2D87666A"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05214BC3"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4303F26B"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519C6ED1"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2E26F0C7"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59D461EC" w14:textId="77777777" w:rsidR="00923702" w:rsidRPr="005311DB" w:rsidRDefault="00923702" w:rsidP="00121CD6">
      <w:pPr>
        <w:spacing w:after="0" w:line="360" w:lineRule="auto"/>
        <w:ind w:left="360"/>
        <w:contextualSpacing/>
        <w:jc w:val="center"/>
        <w:rPr>
          <w:rFonts w:cs="Arial"/>
          <w:color w:val="000000" w:themeColor="text1"/>
          <w:szCs w:val="22"/>
          <w:lang w:val="en-GB"/>
        </w:rPr>
      </w:pPr>
    </w:p>
    <w:p w14:paraId="3C601FE1" w14:textId="52BD1FB2" w:rsidR="00245C77" w:rsidRPr="005311DB" w:rsidRDefault="00923702" w:rsidP="00121CD6">
      <w:pPr>
        <w:spacing w:after="0" w:line="360" w:lineRule="auto"/>
        <w:ind w:left="360"/>
        <w:contextualSpacing/>
        <w:jc w:val="center"/>
        <w:rPr>
          <w:rFonts w:cs="Arial"/>
          <w:bCs/>
          <w:color w:val="000000" w:themeColor="text1"/>
          <w:sz w:val="36"/>
          <w:szCs w:val="22"/>
          <w:lang w:val="en-GB"/>
        </w:rPr>
      </w:pPr>
      <w:r w:rsidRPr="005311DB">
        <w:rPr>
          <w:rFonts w:cs="Arial"/>
          <w:bCs/>
          <w:color w:val="000000" w:themeColor="text1"/>
          <w:sz w:val="36"/>
          <w:szCs w:val="22"/>
          <w:lang w:val="en-GB"/>
        </w:rPr>
        <w:t>COMPONENT 2 – WRITTEN ASSIGNMENT (REPORT): CLASSIFICATION AND TREATMENT OF BODERLINE PERSONALITY DISORDER</w:t>
      </w:r>
    </w:p>
    <w:p w14:paraId="2511C6F2" w14:textId="77777777" w:rsidR="00A37213" w:rsidRPr="005311DB" w:rsidRDefault="00A37213" w:rsidP="00121CD6">
      <w:pPr>
        <w:spacing w:after="0" w:line="360" w:lineRule="auto"/>
        <w:ind w:left="360"/>
        <w:contextualSpacing/>
        <w:jc w:val="center"/>
        <w:rPr>
          <w:rFonts w:cs="Arial"/>
          <w:color w:val="000000" w:themeColor="text1"/>
          <w:szCs w:val="22"/>
          <w:lang w:val="en-GB"/>
        </w:rPr>
      </w:pPr>
    </w:p>
    <w:p w14:paraId="11D9A773" w14:textId="05C9C6EE" w:rsidR="00245C77" w:rsidRPr="005311DB" w:rsidRDefault="00245C77" w:rsidP="00121CD6">
      <w:pPr>
        <w:spacing w:after="0" w:line="360" w:lineRule="auto"/>
        <w:ind w:left="360"/>
        <w:contextualSpacing/>
        <w:jc w:val="center"/>
        <w:rPr>
          <w:rFonts w:cs="Arial"/>
          <w:color w:val="000000" w:themeColor="text1"/>
          <w:szCs w:val="22"/>
          <w:lang w:val="en-GB"/>
        </w:rPr>
      </w:pPr>
      <w:r w:rsidRPr="005311DB">
        <w:rPr>
          <w:rFonts w:cs="Arial"/>
          <w:color w:val="000000" w:themeColor="text1"/>
          <w:szCs w:val="22"/>
          <w:lang w:val="en-GB"/>
        </w:rPr>
        <w:t>[Name]</w:t>
      </w:r>
      <w:r w:rsidR="00094185">
        <w:rPr>
          <w:rFonts w:cs="Arial"/>
          <w:color w:val="000000" w:themeColor="text1"/>
          <w:szCs w:val="22"/>
          <w:lang w:val="en-GB"/>
        </w:rPr>
        <w:t>Rogers Nyanga</w:t>
      </w:r>
    </w:p>
    <w:p w14:paraId="72C84C6F" w14:textId="58130761" w:rsidR="00245C77" w:rsidRPr="005311DB" w:rsidRDefault="00245C77" w:rsidP="00121CD6">
      <w:pPr>
        <w:spacing w:after="0" w:line="360" w:lineRule="auto"/>
        <w:ind w:left="360"/>
        <w:contextualSpacing/>
        <w:jc w:val="center"/>
        <w:rPr>
          <w:rFonts w:cs="Arial"/>
          <w:color w:val="000000" w:themeColor="text1"/>
          <w:szCs w:val="22"/>
          <w:lang w:val="en-GB"/>
        </w:rPr>
      </w:pPr>
      <w:r w:rsidRPr="005311DB">
        <w:rPr>
          <w:rFonts w:cs="Arial"/>
          <w:color w:val="000000" w:themeColor="text1"/>
          <w:szCs w:val="22"/>
          <w:lang w:val="en-GB"/>
        </w:rPr>
        <w:t>[Student Number]</w:t>
      </w:r>
      <w:r w:rsidR="00094185">
        <w:rPr>
          <w:rFonts w:cs="Arial"/>
          <w:color w:val="000000" w:themeColor="text1"/>
          <w:szCs w:val="22"/>
          <w:lang w:val="en-GB"/>
        </w:rPr>
        <w:t>2309150</w:t>
      </w:r>
    </w:p>
    <w:p w14:paraId="748C833B" w14:textId="27416400" w:rsidR="00245C77" w:rsidRPr="005311DB" w:rsidRDefault="00245C77" w:rsidP="00121CD6">
      <w:pPr>
        <w:spacing w:after="0" w:line="360" w:lineRule="auto"/>
        <w:ind w:left="360"/>
        <w:contextualSpacing/>
        <w:jc w:val="center"/>
        <w:rPr>
          <w:rFonts w:cs="Arial"/>
          <w:color w:val="000000" w:themeColor="text1"/>
          <w:szCs w:val="22"/>
          <w:lang w:val="en-GB"/>
        </w:rPr>
      </w:pPr>
      <w:r w:rsidRPr="005311DB">
        <w:rPr>
          <w:rFonts w:cs="Arial"/>
          <w:color w:val="000000" w:themeColor="text1"/>
          <w:szCs w:val="22"/>
          <w:lang w:val="en-GB"/>
        </w:rPr>
        <w:t>[Module Code]</w:t>
      </w:r>
      <w:r w:rsidR="00745E42">
        <w:rPr>
          <w:rFonts w:cs="Arial"/>
          <w:color w:val="000000" w:themeColor="text1"/>
          <w:szCs w:val="22"/>
          <w:lang w:val="en-GB"/>
        </w:rPr>
        <w:t>6029</w:t>
      </w:r>
    </w:p>
    <w:p w14:paraId="27D0C867" w14:textId="439F1578" w:rsidR="00245C77" w:rsidRPr="005311DB" w:rsidRDefault="00245C77" w:rsidP="00745E42">
      <w:pPr>
        <w:spacing w:after="0" w:line="360" w:lineRule="auto"/>
        <w:ind w:left="360"/>
        <w:contextualSpacing/>
        <w:rPr>
          <w:rFonts w:cs="Arial"/>
          <w:color w:val="000000" w:themeColor="text1"/>
          <w:szCs w:val="22"/>
          <w:lang w:val="en-GB"/>
        </w:rPr>
      </w:pPr>
    </w:p>
    <w:p w14:paraId="2F86D110" w14:textId="77777777" w:rsidR="00245C77" w:rsidRPr="005311DB" w:rsidRDefault="00245C77" w:rsidP="00121CD6">
      <w:pPr>
        <w:spacing w:after="0" w:line="360" w:lineRule="auto"/>
        <w:ind w:left="360"/>
        <w:contextualSpacing/>
        <w:jc w:val="center"/>
        <w:rPr>
          <w:rFonts w:cs="Arial"/>
          <w:b/>
          <w:bCs/>
          <w:color w:val="000000" w:themeColor="text1"/>
          <w:szCs w:val="22"/>
          <w:lang w:val="en-GB"/>
        </w:rPr>
      </w:pPr>
    </w:p>
    <w:p w14:paraId="184B9817" w14:textId="77777777" w:rsidR="00A211EA" w:rsidRPr="005311DB" w:rsidRDefault="00A211EA" w:rsidP="00121CD6">
      <w:pPr>
        <w:spacing w:after="0" w:line="360" w:lineRule="auto"/>
        <w:contextualSpacing/>
        <w:rPr>
          <w:rFonts w:cs="Arial"/>
          <w:b/>
          <w:bCs/>
          <w:color w:val="000000" w:themeColor="text1"/>
          <w:szCs w:val="22"/>
          <w:lang w:val="en-GB"/>
        </w:rPr>
      </w:pPr>
      <w:r w:rsidRPr="005311DB">
        <w:rPr>
          <w:rFonts w:cs="Arial"/>
          <w:b/>
          <w:bCs/>
          <w:color w:val="000000" w:themeColor="text1"/>
          <w:szCs w:val="22"/>
          <w:lang w:val="en-GB"/>
        </w:rPr>
        <w:br w:type="page"/>
      </w:r>
    </w:p>
    <w:sdt>
      <w:sdtPr>
        <w:rPr>
          <w:rFonts w:eastAsiaTheme="minorHAnsi" w:cstheme="minorBidi"/>
          <w:b w:val="0"/>
          <w:bCs w:val="0"/>
          <w:color w:val="auto"/>
          <w:kern w:val="2"/>
          <w:sz w:val="22"/>
          <w:szCs w:val="24"/>
          <w:lang w:val="en-US"/>
          <w14:ligatures w14:val="standardContextual"/>
        </w:rPr>
        <w:id w:val="553120287"/>
        <w:docPartObj>
          <w:docPartGallery w:val="Table of Contents"/>
          <w:docPartUnique/>
        </w:docPartObj>
      </w:sdtPr>
      <w:sdtEndPr>
        <w:rPr>
          <w:noProof/>
          <w:szCs w:val="22"/>
        </w:rPr>
      </w:sdtEndPr>
      <w:sdtContent>
        <w:p w14:paraId="549351AF" w14:textId="47833B04" w:rsidR="00DC052E" w:rsidRPr="00CE0D6B" w:rsidRDefault="00DC052E" w:rsidP="00121CD6">
          <w:pPr>
            <w:pStyle w:val="TOCHeading"/>
            <w:spacing w:line="360" w:lineRule="auto"/>
          </w:pPr>
          <w:r w:rsidRPr="00CE0D6B">
            <w:t>Table of Contents</w:t>
          </w:r>
        </w:p>
        <w:p w14:paraId="0BDDEADB" w14:textId="0D9E5201"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r w:rsidRPr="005311DB">
            <w:rPr>
              <w:rFonts w:cs="Arial"/>
              <w:color w:val="000000" w:themeColor="text1"/>
              <w:szCs w:val="22"/>
              <w:lang w:val="en-GB"/>
            </w:rPr>
            <w:fldChar w:fldCharType="begin"/>
          </w:r>
          <w:r w:rsidRPr="005311DB">
            <w:rPr>
              <w:rFonts w:cs="Arial"/>
              <w:color w:val="000000" w:themeColor="text1"/>
              <w:szCs w:val="22"/>
              <w:lang w:val="en-GB"/>
            </w:rPr>
            <w:instrText xml:space="preserve"> TOC \o "1-3" \h \z \u </w:instrText>
          </w:r>
          <w:r w:rsidRPr="005311DB">
            <w:rPr>
              <w:rFonts w:cs="Arial"/>
              <w:color w:val="000000" w:themeColor="text1"/>
              <w:szCs w:val="22"/>
              <w:lang w:val="en-GB"/>
            </w:rPr>
            <w:fldChar w:fldCharType="separate"/>
          </w:r>
          <w:hyperlink w:anchor="_Toc232222069" w:history="1">
            <w:r w:rsidRPr="005311DB">
              <w:rPr>
                <w:rStyle w:val="Hyperlink"/>
                <w:rFonts w:cs="Arial"/>
                <w:noProof/>
                <w:color w:val="000000" w:themeColor="text1"/>
                <w:szCs w:val="22"/>
                <w:lang w:val="en-GB"/>
              </w:rPr>
              <w:t>Introduction</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_Toc232222069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2</w:t>
            </w:r>
            <w:r w:rsidRPr="005311DB">
              <w:rPr>
                <w:rFonts w:cs="Arial"/>
                <w:noProof/>
                <w:webHidden/>
                <w:color w:val="000000" w:themeColor="text1"/>
                <w:szCs w:val="22"/>
                <w:lang w:val="en-GB"/>
              </w:rPr>
              <w:fldChar w:fldCharType="end"/>
            </w:r>
          </w:hyperlink>
        </w:p>
        <w:p w14:paraId="5B8798B7" w14:textId="1BDA3EC4"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0" w:history="1">
            <w:r w:rsidRPr="005311DB">
              <w:rPr>
                <w:rStyle w:val="Hyperlink"/>
                <w:rFonts w:cs="Arial"/>
                <w:noProof/>
                <w:color w:val="000000" w:themeColor="text1"/>
                <w:szCs w:val="22"/>
                <w:lang w:val="en-GB"/>
              </w:rPr>
              <w:t>ICD-11 Classification and Diagnosis</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_Toc232222070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2</w:t>
            </w:r>
            <w:r w:rsidRPr="005311DB">
              <w:rPr>
                <w:rFonts w:cs="Arial"/>
                <w:noProof/>
                <w:webHidden/>
                <w:color w:val="000000" w:themeColor="text1"/>
                <w:szCs w:val="22"/>
                <w:lang w:val="en-GB"/>
              </w:rPr>
              <w:fldChar w:fldCharType="end"/>
            </w:r>
          </w:hyperlink>
        </w:p>
        <w:p w14:paraId="7BFA976B" w14:textId="7C77CC20"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1" w:history="1">
            <w:r w:rsidRPr="005311DB">
              <w:rPr>
                <w:rStyle w:val="Hyperlink"/>
                <w:rFonts w:cs="Arial"/>
                <w:noProof/>
                <w:color w:val="000000" w:themeColor="text1"/>
                <w:szCs w:val="22"/>
                <w:lang w:val="en-GB"/>
              </w:rPr>
              <w:t>Treatment and Rehabilitation</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_Toc232222071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3</w:t>
            </w:r>
            <w:r w:rsidRPr="005311DB">
              <w:rPr>
                <w:rFonts w:cs="Arial"/>
                <w:noProof/>
                <w:webHidden/>
                <w:color w:val="000000" w:themeColor="text1"/>
                <w:szCs w:val="22"/>
                <w:lang w:val="en-GB"/>
              </w:rPr>
              <w:fldChar w:fldCharType="end"/>
            </w:r>
          </w:hyperlink>
        </w:p>
        <w:p w14:paraId="578FD623" w14:textId="71824397"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2" w:history="1">
            <w:r w:rsidRPr="005311DB">
              <w:rPr>
                <w:rStyle w:val="Hyperlink"/>
                <w:rFonts w:cs="Arial"/>
                <w:noProof/>
                <w:color w:val="000000" w:themeColor="text1"/>
                <w:szCs w:val="22"/>
                <w:lang w:val="en-GB"/>
              </w:rPr>
              <w:t>Current Debates and Emerging Issues</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_Toc232222072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4</w:t>
            </w:r>
            <w:r w:rsidRPr="005311DB">
              <w:rPr>
                <w:rFonts w:cs="Arial"/>
                <w:noProof/>
                <w:webHidden/>
                <w:color w:val="000000" w:themeColor="text1"/>
                <w:szCs w:val="22"/>
                <w:lang w:val="en-GB"/>
              </w:rPr>
              <w:fldChar w:fldCharType="end"/>
            </w:r>
          </w:hyperlink>
        </w:p>
        <w:p w14:paraId="4416D6B4" w14:textId="052071C1"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3" w:history="1">
            <w:r w:rsidRPr="005311DB">
              <w:rPr>
                <w:rStyle w:val="Hyperlink"/>
                <w:rFonts w:cs="Arial"/>
                <w:noProof/>
                <w:color w:val="000000" w:themeColor="text1"/>
                <w:szCs w:val="22"/>
                <w:lang w:val="en-GB"/>
              </w:rPr>
              <w:t>Recommendations</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_Toc232222073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6</w:t>
            </w:r>
            <w:r w:rsidRPr="005311DB">
              <w:rPr>
                <w:rFonts w:cs="Arial"/>
                <w:noProof/>
                <w:webHidden/>
                <w:color w:val="000000" w:themeColor="text1"/>
                <w:szCs w:val="22"/>
                <w:lang w:val="en-GB"/>
              </w:rPr>
              <w:fldChar w:fldCharType="end"/>
            </w:r>
          </w:hyperlink>
        </w:p>
        <w:p w14:paraId="3B379700" w14:textId="6F9C9035"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4" w:history="1">
            <w:r w:rsidRPr="005311DB">
              <w:rPr>
                <w:rStyle w:val="Hyperlink"/>
                <w:rFonts w:cs="Arial"/>
                <w:noProof/>
                <w:color w:val="000000" w:themeColor="text1"/>
                <w:szCs w:val="22"/>
                <w:lang w:val="en-GB"/>
              </w:rPr>
              <w:t>Conclusion</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_Toc232222074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6</w:t>
            </w:r>
            <w:r w:rsidRPr="005311DB">
              <w:rPr>
                <w:rFonts w:cs="Arial"/>
                <w:noProof/>
                <w:webHidden/>
                <w:color w:val="000000" w:themeColor="text1"/>
                <w:szCs w:val="22"/>
                <w:lang w:val="en-GB"/>
              </w:rPr>
              <w:fldChar w:fldCharType="end"/>
            </w:r>
          </w:hyperlink>
        </w:p>
        <w:p w14:paraId="5EA8AC25" w14:textId="32337FEA" w:rsidR="00DC052E" w:rsidRPr="005311DB" w:rsidRDefault="00DC052E" w:rsidP="00121CD6">
          <w:pPr>
            <w:pStyle w:val="TOC1"/>
            <w:tabs>
              <w:tab w:val="right" w:leader="dot" w:pos="9350"/>
            </w:tabs>
            <w:spacing w:after="0" w:line="360" w:lineRule="auto"/>
            <w:contextualSpacing/>
            <w:rPr>
              <w:rFonts w:cs="Arial"/>
              <w:noProof/>
              <w:color w:val="000000" w:themeColor="text1"/>
              <w:szCs w:val="22"/>
              <w:lang w:val="en-GB"/>
            </w:rPr>
          </w:pPr>
          <w:hyperlink w:anchor="_Toc232222075" w:history="1">
            <w:r w:rsidRPr="005311DB">
              <w:rPr>
                <w:rStyle w:val="Hyperlink"/>
                <w:rFonts w:cs="Arial"/>
                <w:noProof/>
                <w:color w:val="000000" w:themeColor="text1"/>
                <w:szCs w:val="22"/>
                <w:lang w:val="en-GB"/>
              </w:rPr>
              <w:t>References</w:t>
            </w:r>
            <w:r w:rsidRPr="005311DB">
              <w:rPr>
                <w:rFonts w:cs="Arial"/>
                <w:noProof/>
                <w:webHidden/>
                <w:color w:val="000000" w:themeColor="text1"/>
                <w:szCs w:val="22"/>
                <w:lang w:val="en-GB"/>
              </w:rPr>
              <w:tab/>
            </w:r>
            <w:r w:rsidRPr="005311DB">
              <w:rPr>
                <w:rFonts w:cs="Arial"/>
                <w:noProof/>
                <w:webHidden/>
                <w:color w:val="000000" w:themeColor="text1"/>
                <w:szCs w:val="22"/>
                <w:lang w:val="en-GB"/>
              </w:rPr>
              <w:fldChar w:fldCharType="begin"/>
            </w:r>
            <w:r w:rsidRPr="005311DB">
              <w:rPr>
                <w:rFonts w:cs="Arial"/>
                <w:noProof/>
                <w:webHidden/>
                <w:color w:val="000000" w:themeColor="text1"/>
                <w:szCs w:val="22"/>
                <w:lang w:val="en-GB"/>
              </w:rPr>
              <w:instrText xml:space="preserve"> PAGEREF _Toc232222075 \h </w:instrText>
            </w:r>
            <w:r w:rsidRPr="005311DB">
              <w:rPr>
                <w:rFonts w:cs="Arial"/>
                <w:noProof/>
                <w:webHidden/>
                <w:color w:val="000000" w:themeColor="text1"/>
                <w:szCs w:val="22"/>
                <w:lang w:val="en-GB"/>
              </w:rPr>
            </w:r>
            <w:r w:rsidRPr="005311DB">
              <w:rPr>
                <w:rFonts w:cs="Arial"/>
                <w:noProof/>
                <w:webHidden/>
                <w:color w:val="000000" w:themeColor="text1"/>
                <w:szCs w:val="22"/>
                <w:lang w:val="en-GB"/>
              </w:rPr>
              <w:fldChar w:fldCharType="separate"/>
            </w:r>
            <w:r w:rsidRPr="005311DB">
              <w:rPr>
                <w:rFonts w:cs="Arial"/>
                <w:noProof/>
                <w:webHidden/>
                <w:color w:val="000000" w:themeColor="text1"/>
                <w:szCs w:val="22"/>
                <w:lang w:val="en-GB"/>
              </w:rPr>
              <w:t>8</w:t>
            </w:r>
            <w:r w:rsidRPr="005311DB">
              <w:rPr>
                <w:rFonts w:cs="Arial"/>
                <w:noProof/>
                <w:webHidden/>
                <w:color w:val="000000" w:themeColor="text1"/>
                <w:szCs w:val="22"/>
                <w:lang w:val="en-GB"/>
              </w:rPr>
              <w:fldChar w:fldCharType="end"/>
            </w:r>
          </w:hyperlink>
        </w:p>
        <w:p w14:paraId="32B17D7E" w14:textId="7CBF072D" w:rsidR="00DC052E" w:rsidRPr="005311DB" w:rsidRDefault="00DC052E" w:rsidP="00121CD6">
          <w:pPr>
            <w:spacing w:after="0" w:line="360" w:lineRule="auto"/>
            <w:contextualSpacing/>
            <w:rPr>
              <w:rFonts w:cs="Arial"/>
              <w:lang w:val="en-GB"/>
            </w:rPr>
          </w:pPr>
          <w:r w:rsidRPr="005311DB">
            <w:rPr>
              <w:rFonts w:cs="Arial"/>
              <w:noProof/>
              <w:color w:val="000000" w:themeColor="text1"/>
              <w:szCs w:val="22"/>
              <w:lang w:val="en-GB"/>
            </w:rPr>
            <w:fldChar w:fldCharType="end"/>
          </w:r>
        </w:p>
      </w:sdtContent>
    </w:sdt>
    <w:p w14:paraId="40F2C2C9" w14:textId="77777777" w:rsidR="00DC052E" w:rsidRPr="005311DB" w:rsidRDefault="00DC052E" w:rsidP="00121CD6">
      <w:pPr>
        <w:spacing w:after="0" w:line="360" w:lineRule="auto"/>
        <w:contextualSpacing/>
        <w:rPr>
          <w:rFonts w:eastAsiaTheme="majorEastAsia" w:cs="Arial"/>
          <w:b/>
          <w:bCs/>
          <w:color w:val="000000" w:themeColor="text1"/>
          <w:szCs w:val="22"/>
          <w:lang w:val="en-GB"/>
        </w:rPr>
      </w:pPr>
      <w:r w:rsidRPr="005311DB">
        <w:rPr>
          <w:rFonts w:cs="Arial"/>
          <w:b/>
          <w:bCs/>
          <w:color w:val="000000" w:themeColor="text1"/>
          <w:szCs w:val="22"/>
          <w:lang w:val="en-GB"/>
        </w:rPr>
        <w:br w:type="page"/>
      </w:r>
    </w:p>
    <w:p w14:paraId="4DA02BA4" w14:textId="3274ABE2" w:rsidR="00245C77" w:rsidRPr="00CE0D6B" w:rsidRDefault="00245C77" w:rsidP="00121CD6">
      <w:pPr>
        <w:pStyle w:val="Heading1"/>
      </w:pPr>
      <w:bookmarkStart w:id="0" w:name="_Toc232222069"/>
      <w:r w:rsidRPr="00CE0D6B">
        <w:lastRenderedPageBreak/>
        <w:t>Introduction</w:t>
      </w:r>
      <w:bookmarkEnd w:id="0"/>
    </w:p>
    <w:p w14:paraId="6C23CE46" w14:textId="111B723C" w:rsidR="00185911" w:rsidRPr="005311DB" w:rsidRDefault="00A211EA"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Borderline Personality Disorder (BPD) is a complex mental health disorder that is characterised by unstable emotional regulation, interpersonal relationships, self-image, and behavioural control (Leichsenring et al., 2024). People with BPD often have strong emotional reactions, impulsive behavio</w:t>
      </w:r>
      <w:r w:rsidR="00185911" w:rsidRPr="005311DB">
        <w:rPr>
          <w:rFonts w:cs="Arial"/>
          <w:color w:val="000000" w:themeColor="text1"/>
          <w:szCs w:val="22"/>
          <w:lang w:val="en-GB"/>
        </w:rPr>
        <w:t>u</w:t>
      </w:r>
      <w:r w:rsidRPr="005311DB">
        <w:rPr>
          <w:rFonts w:cs="Arial"/>
          <w:color w:val="000000" w:themeColor="text1"/>
          <w:szCs w:val="22"/>
          <w:lang w:val="en-GB"/>
        </w:rPr>
        <w:t xml:space="preserve">rs, frequent self-destructive acts and trouble with maintaining stable relationships. BPD has been one of the most problematic psychiatric conditions historically because of questions about the validity of the diagnosis, the stigma associated with being diagnosed with the condition, and the availability of treatment. Following the International Classification of Diseases Eleventh Revision (ICD-11), the conceptualisation of personality disorders has been completely transformed, changing the focus from categorical diagnoses to dimensional diagnoses based on the severity and domains of personality traits (Swales, 2022). </w:t>
      </w:r>
    </w:p>
    <w:p w14:paraId="14B708F9" w14:textId="167D9E04" w:rsidR="00245C77" w:rsidRPr="005311DB" w:rsidRDefault="00A211EA"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Pan and Wang (2024) stated that ICD-11 model aims to improve clinical utility by reflecting the complexity and heterogeneity of personality pathology. The implementation of this approach, however, will rely on the ability of clinicians to make accurate severity and personality functioning judgments. This report critically reviews the definition and diagnosis of BPD in ICD-11, the current treatments and rehabilitation options, the contemporary discussion of neurodivergence and the validity of the diagnosis, and recommendations for a future course of practice and policy.</w:t>
      </w:r>
    </w:p>
    <w:p w14:paraId="4CDFFC7E" w14:textId="27166B9F" w:rsidR="00245C77" w:rsidRPr="005311DB" w:rsidRDefault="00245C77" w:rsidP="00121CD6">
      <w:pPr>
        <w:spacing w:after="0" w:line="360" w:lineRule="auto"/>
        <w:ind w:left="360"/>
        <w:contextualSpacing/>
        <w:jc w:val="both"/>
        <w:rPr>
          <w:rFonts w:cs="Arial"/>
          <w:color w:val="000000" w:themeColor="text1"/>
          <w:szCs w:val="22"/>
          <w:lang w:val="en-GB"/>
        </w:rPr>
      </w:pPr>
    </w:p>
    <w:p w14:paraId="47E644EA" w14:textId="7873A09F" w:rsidR="00245C77" w:rsidRPr="005311DB" w:rsidRDefault="00245C77" w:rsidP="00121CD6">
      <w:pPr>
        <w:pStyle w:val="Heading1"/>
      </w:pPr>
      <w:bookmarkStart w:id="1" w:name="_Toc232222070"/>
      <w:r w:rsidRPr="005311DB">
        <w:t>ICD-11 Classification and Diagnosis</w:t>
      </w:r>
      <w:bookmarkEnd w:id="1"/>
    </w:p>
    <w:p w14:paraId="4FE915B2" w14:textId="77777777" w:rsidR="00774288" w:rsidRPr="00774288" w:rsidRDefault="00A211EA" w:rsidP="00774288">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The ICD-11 has redefined the taxonomy of personality disorders, shifting it from a categorical to a dimensional approach. At present, the World Health Organisation (2022) defines personality disorders by identifying maladaptive personality traits and the severity of impairment of self and interpersonal functioning. ICD-11 does not diagnose BPD as a distinct </w:t>
      </w:r>
      <w:proofErr w:type="gramStart"/>
      <w:r w:rsidRPr="005311DB">
        <w:rPr>
          <w:rFonts w:cs="Arial"/>
          <w:color w:val="000000" w:themeColor="text1"/>
          <w:szCs w:val="22"/>
          <w:lang w:val="en-GB"/>
        </w:rPr>
        <w:t>disorder, but</w:t>
      </w:r>
      <w:proofErr w:type="gramEnd"/>
      <w:r w:rsidRPr="005311DB">
        <w:rPr>
          <w:rFonts w:cs="Arial"/>
          <w:color w:val="000000" w:themeColor="text1"/>
          <w:szCs w:val="22"/>
          <w:lang w:val="en-GB"/>
        </w:rPr>
        <w:t xml:space="preserve"> instead includes the option to diagnose a Personality Disorder and use a Borderline Pattern Qualifier if applicable. According to Pan and Wang (2024), the dimensional framework was created in response to the long-standing concerns about the shortcomings of categorical diagnostic systems. Some former classifications led to significant overlap in diagnoses; people often had multiple personality disorders at the same time. </w:t>
      </w:r>
      <w:r w:rsidR="00774288" w:rsidRPr="00774288">
        <w:rPr>
          <w:rFonts w:cs="Arial"/>
          <w:color w:val="000000" w:themeColor="text1"/>
          <w:szCs w:val="22"/>
          <w:lang w:val="en-GB"/>
        </w:rPr>
        <w:t xml:space="preserve">Consequently, ICD-11 aims at presenting a more flexible approach that would </w:t>
      </w:r>
      <w:proofErr w:type="gramStart"/>
      <w:r w:rsidR="00774288" w:rsidRPr="00774288">
        <w:rPr>
          <w:rFonts w:cs="Arial"/>
          <w:color w:val="000000" w:themeColor="text1"/>
          <w:szCs w:val="22"/>
          <w:lang w:val="en-GB"/>
        </w:rPr>
        <w:t>take into account</w:t>
      </w:r>
      <w:proofErr w:type="gramEnd"/>
      <w:r w:rsidR="00774288" w:rsidRPr="00774288">
        <w:rPr>
          <w:rFonts w:cs="Arial"/>
          <w:color w:val="000000" w:themeColor="text1"/>
          <w:szCs w:val="22"/>
          <w:lang w:val="en-GB"/>
        </w:rPr>
        <w:t xml:space="preserve"> a range of personality disorder symptoms. </w:t>
      </w:r>
    </w:p>
    <w:p w14:paraId="7DA16D3A" w14:textId="54A8A89C" w:rsidR="00185911" w:rsidRPr="005311DB" w:rsidRDefault="00774288" w:rsidP="00774288">
      <w:pPr>
        <w:spacing w:after="0" w:line="360" w:lineRule="auto"/>
        <w:ind w:firstLine="720"/>
        <w:contextualSpacing/>
        <w:jc w:val="both"/>
        <w:rPr>
          <w:rFonts w:cs="Arial"/>
          <w:color w:val="000000" w:themeColor="text1"/>
          <w:szCs w:val="22"/>
          <w:lang w:val="en-GB"/>
        </w:rPr>
      </w:pPr>
      <w:r w:rsidRPr="00774288">
        <w:rPr>
          <w:rFonts w:cs="Arial"/>
          <w:color w:val="000000" w:themeColor="text1"/>
          <w:szCs w:val="22"/>
          <w:lang w:val="en-GB"/>
        </w:rPr>
        <w:t xml:space="preserve">Qualifiers for the borderline pattern </w:t>
      </w:r>
      <w:proofErr w:type="gramStart"/>
      <w:r w:rsidRPr="00774288">
        <w:rPr>
          <w:rFonts w:cs="Arial"/>
          <w:color w:val="000000" w:themeColor="text1"/>
          <w:szCs w:val="22"/>
          <w:lang w:val="en-GB"/>
        </w:rPr>
        <w:t>are:</w:t>
      </w:r>
      <w:proofErr w:type="gramEnd"/>
      <w:r w:rsidRPr="00774288">
        <w:rPr>
          <w:rFonts w:cs="Arial"/>
          <w:color w:val="000000" w:themeColor="text1"/>
          <w:szCs w:val="22"/>
          <w:lang w:val="en-GB"/>
        </w:rPr>
        <w:t xml:space="preserve"> emotional instability; fear of being abandoned; unstable relationships with other people; impulsivity; repeated self-harmful acts; feeling of emptiness; and frequent changes in self-image or personal goals. All these signs of personality dysfunction still prove clinically significant since they allow identifying psychological symptoms </w:t>
      </w:r>
      <w:r w:rsidRPr="00774288">
        <w:rPr>
          <w:rFonts w:cs="Arial"/>
          <w:color w:val="000000" w:themeColor="text1"/>
          <w:szCs w:val="22"/>
          <w:lang w:val="en-GB"/>
        </w:rPr>
        <w:lastRenderedPageBreak/>
        <w:t>rather than making definitive diagnoses</w:t>
      </w:r>
      <w:r w:rsidR="00A211EA" w:rsidRPr="005311DB">
        <w:rPr>
          <w:rFonts w:cs="Arial"/>
          <w:color w:val="000000" w:themeColor="text1"/>
          <w:szCs w:val="22"/>
          <w:lang w:val="en-GB"/>
        </w:rPr>
        <w:t xml:space="preserve">. According to </w:t>
      </w:r>
      <w:proofErr w:type="spellStart"/>
      <w:r w:rsidR="00A211EA" w:rsidRPr="005311DB">
        <w:rPr>
          <w:rFonts w:cs="Arial"/>
          <w:color w:val="000000" w:themeColor="text1"/>
          <w:szCs w:val="22"/>
          <w:lang w:val="en-GB"/>
        </w:rPr>
        <w:t>Sellbom</w:t>
      </w:r>
      <w:proofErr w:type="spellEnd"/>
      <w:r w:rsidR="00A211EA" w:rsidRPr="005311DB">
        <w:rPr>
          <w:rFonts w:cs="Arial"/>
          <w:color w:val="000000" w:themeColor="text1"/>
          <w:szCs w:val="22"/>
          <w:lang w:val="en-GB"/>
        </w:rPr>
        <w:t xml:space="preserve"> et al. (2024), the measurement of personality disorder severity is a key aspect of the ICD-11 framework. Their research proved that there are tools available that are structured by clinicians that can help to ensure greater consistency in diagnosis and assist with more accurate treatment planning. It also emphasised the need for professional education </w:t>
      </w:r>
      <w:proofErr w:type="gramStart"/>
      <w:r w:rsidR="00A211EA" w:rsidRPr="005311DB">
        <w:rPr>
          <w:rFonts w:cs="Arial"/>
          <w:color w:val="000000" w:themeColor="text1"/>
          <w:szCs w:val="22"/>
          <w:lang w:val="en-GB"/>
        </w:rPr>
        <w:t>in order to</w:t>
      </w:r>
      <w:proofErr w:type="gramEnd"/>
      <w:r w:rsidR="00A211EA" w:rsidRPr="005311DB">
        <w:rPr>
          <w:rFonts w:cs="Arial"/>
          <w:color w:val="000000" w:themeColor="text1"/>
          <w:szCs w:val="22"/>
          <w:lang w:val="en-GB"/>
        </w:rPr>
        <w:t xml:space="preserve"> be able to apply severity assessments in different clinical contexts with consistency.</w:t>
      </w:r>
    </w:p>
    <w:p w14:paraId="114105F2" w14:textId="654B8A9A" w:rsidR="00185911" w:rsidRPr="005311DB" w:rsidRDefault="00A211EA"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Although the ICD-11 classification system has its benefits, there are certain concerns about it. It was suggested that psychiatric labels like BPD can also be a form of epistemic injustice in which the experiences of service users are ignored or understood in a way that is likely to be stigmatising (Watts, 2024). Likewise, Foye et al. (2022) indicated that clinicians are increasingly aware of the need for personali</w:t>
      </w:r>
      <w:r w:rsidR="00185911" w:rsidRPr="005311DB">
        <w:rPr>
          <w:rFonts w:cs="Arial"/>
          <w:color w:val="000000" w:themeColor="text1"/>
          <w:szCs w:val="22"/>
          <w:lang w:val="en-GB"/>
        </w:rPr>
        <w:t>s</w:t>
      </w:r>
      <w:r w:rsidRPr="005311DB">
        <w:rPr>
          <w:rFonts w:cs="Arial"/>
          <w:color w:val="000000" w:themeColor="text1"/>
          <w:szCs w:val="22"/>
          <w:lang w:val="en-GB"/>
        </w:rPr>
        <w:t xml:space="preserve">ed approaches that transcend diagnostic labels and </w:t>
      </w:r>
      <w:proofErr w:type="spellStart"/>
      <w:r w:rsidRPr="005311DB">
        <w:rPr>
          <w:rFonts w:cs="Arial"/>
          <w:color w:val="000000" w:themeColor="text1"/>
          <w:szCs w:val="22"/>
          <w:lang w:val="en-GB"/>
        </w:rPr>
        <w:t>center</w:t>
      </w:r>
      <w:proofErr w:type="spellEnd"/>
      <w:r w:rsidRPr="005311DB">
        <w:rPr>
          <w:rFonts w:cs="Arial"/>
          <w:color w:val="000000" w:themeColor="text1"/>
          <w:szCs w:val="22"/>
          <w:lang w:val="en-GB"/>
        </w:rPr>
        <w:t xml:space="preserve"> on the individual's needs and experiences.</w:t>
      </w:r>
    </w:p>
    <w:p w14:paraId="35392F0E" w14:textId="4DECD1FF" w:rsidR="00245C77" w:rsidRPr="005311DB" w:rsidRDefault="00A211EA"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Moreover, </w:t>
      </w:r>
      <w:proofErr w:type="spellStart"/>
      <w:r w:rsidRPr="005311DB">
        <w:rPr>
          <w:rFonts w:cs="Arial"/>
          <w:color w:val="000000" w:themeColor="text1"/>
          <w:szCs w:val="22"/>
          <w:lang w:val="en-GB"/>
        </w:rPr>
        <w:t>Cobbaert</w:t>
      </w:r>
      <w:proofErr w:type="spellEnd"/>
      <w:r w:rsidRPr="005311DB">
        <w:rPr>
          <w:rFonts w:cs="Arial"/>
          <w:color w:val="000000" w:themeColor="text1"/>
          <w:szCs w:val="22"/>
          <w:lang w:val="en-GB"/>
        </w:rPr>
        <w:t xml:space="preserve"> et al. (2026) argued that the diagnostic concept of BPD needs to be critically re-evaluated. Their analysis indicated that some of the characteristics that have been typically linked to BPD could be signs of more general social, developmental and relational problems. Those who support the diagnosis state that the recognition of the borderline diagnosis is still needed to ensure access to specialist treatment services and evidence-based interventions. Overall, the ICD-11 classification system is a major improvement in the field of personality disorder diagnosis. However, the perspectives of validity, stigma and implementation remain with ongoing debates and have significant implications for ongoing clinical practices and policy development.</w:t>
      </w:r>
    </w:p>
    <w:p w14:paraId="6DCEF570" w14:textId="102BF0E1" w:rsidR="00245C77" w:rsidRPr="005311DB" w:rsidRDefault="00245C77" w:rsidP="00121CD6">
      <w:pPr>
        <w:spacing w:after="0" w:line="360" w:lineRule="auto"/>
        <w:ind w:left="360"/>
        <w:contextualSpacing/>
        <w:jc w:val="both"/>
        <w:rPr>
          <w:rFonts w:cs="Arial"/>
          <w:color w:val="000000" w:themeColor="text1"/>
          <w:szCs w:val="22"/>
          <w:lang w:val="en-GB"/>
        </w:rPr>
      </w:pPr>
    </w:p>
    <w:p w14:paraId="37AAC339" w14:textId="5A33A323" w:rsidR="00245C77" w:rsidRPr="005311DB" w:rsidRDefault="00245C77" w:rsidP="00121CD6">
      <w:pPr>
        <w:pStyle w:val="Heading1"/>
      </w:pPr>
      <w:bookmarkStart w:id="2" w:name="_Toc232222071"/>
      <w:r w:rsidRPr="005311DB">
        <w:t>Treatment and Rehabilitation</w:t>
      </w:r>
      <w:bookmarkEnd w:id="2"/>
    </w:p>
    <w:p w14:paraId="38945E5E" w14:textId="087D3459" w:rsidR="00774288" w:rsidRPr="007D2EE8" w:rsidRDefault="00774288" w:rsidP="00774288">
      <w:pPr>
        <w:spacing w:after="0" w:line="360" w:lineRule="auto"/>
        <w:ind w:firstLine="720"/>
        <w:contextualSpacing/>
        <w:jc w:val="both"/>
        <w:rPr>
          <w:rFonts w:asciiTheme="minorBidi" w:hAnsiTheme="minorBidi"/>
          <w:color w:val="000000" w:themeColor="text1"/>
          <w:szCs w:val="22"/>
          <w:highlight w:val="yellow"/>
          <w:lang w:val="en-GB"/>
        </w:rPr>
      </w:pPr>
      <w:r w:rsidRPr="007D2EE8">
        <w:rPr>
          <w:rFonts w:asciiTheme="minorBidi" w:hAnsiTheme="minorBidi"/>
          <w:color w:val="000000" w:themeColor="text1"/>
          <w:szCs w:val="22"/>
          <w:lang w:val="en-GB"/>
        </w:rPr>
        <w:t xml:space="preserve">The treatment of </w:t>
      </w:r>
      <w:proofErr w:type="gramStart"/>
      <w:r w:rsidRPr="007D2EE8">
        <w:rPr>
          <w:rFonts w:asciiTheme="minorBidi" w:hAnsiTheme="minorBidi"/>
          <w:color w:val="000000" w:themeColor="text1"/>
          <w:szCs w:val="22"/>
          <w:lang w:val="en-GB"/>
        </w:rPr>
        <w:t>Borderline Personality Disorder</w:t>
      </w:r>
      <w:proofErr w:type="gramEnd"/>
      <w:r w:rsidRPr="007D2EE8">
        <w:rPr>
          <w:rFonts w:asciiTheme="minorBidi" w:hAnsiTheme="minorBidi"/>
          <w:color w:val="000000" w:themeColor="text1"/>
          <w:szCs w:val="22"/>
          <w:lang w:val="en-GB"/>
        </w:rPr>
        <w:t xml:space="preserve"> has been significantly transformed over the last several decades, and now the importance of evidence-based psychological treatments is increasingly recogni</w:t>
      </w:r>
      <w:r w:rsidR="00B63085">
        <w:rPr>
          <w:rFonts w:asciiTheme="minorBidi" w:hAnsiTheme="minorBidi"/>
          <w:color w:val="000000" w:themeColor="text1"/>
          <w:szCs w:val="22"/>
          <w:lang w:val="en-GB"/>
        </w:rPr>
        <w:t>s</w:t>
      </w:r>
      <w:r w:rsidRPr="007D2EE8">
        <w:rPr>
          <w:rFonts w:asciiTheme="minorBidi" w:hAnsiTheme="minorBidi"/>
          <w:color w:val="000000" w:themeColor="text1"/>
          <w:szCs w:val="22"/>
          <w:lang w:val="en-GB"/>
        </w:rPr>
        <w:t>ed. Treatment modalities recommended in the recent practice guidelines involve therapy because it is efficient in addressing the core symptoms of emotional regulation disorders, impulsivity, and relational instability. Medications have proved to be rather inefficient in treating core symptoms of BPD (Stoffers-Winterling et al., 2020). Sufficient evidence has not been found that would prove the need for medications in treating BPD itself; however, it is quite useful when dealing with various comorbid diseases accompanying BPD such as depressive disorder or mood disturbances</w:t>
      </w:r>
      <w:r w:rsidRPr="007D2EE8">
        <w:rPr>
          <w:rFonts w:asciiTheme="minorBidi" w:hAnsiTheme="minorBidi"/>
          <w:color w:val="000000" w:themeColor="text1"/>
          <w:szCs w:val="22"/>
          <w:highlight w:val="yellow"/>
          <w:lang w:val="en-GB"/>
        </w:rPr>
        <w:t>.</w:t>
      </w:r>
    </w:p>
    <w:p w14:paraId="0593ADF2" w14:textId="367FC614" w:rsidR="0088405A" w:rsidRPr="0088405A" w:rsidRDefault="00774288" w:rsidP="0088405A">
      <w:pPr>
        <w:spacing w:after="0" w:line="360" w:lineRule="auto"/>
        <w:ind w:firstLine="720"/>
        <w:contextualSpacing/>
        <w:jc w:val="both"/>
        <w:rPr>
          <w:rFonts w:asciiTheme="minorBidi" w:hAnsiTheme="minorBidi"/>
          <w:color w:val="000000" w:themeColor="text1"/>
          <w:szCs w:val="22"/>
          <w:lang w:val="en-GB"/>
        </w:rPr>
      </w:pPr>
      <w:r w:rsidRPr="007D2EE8">
        <w:rPr>
          <w:rFonts w:asciiTheme="minorBidi" w:hAnsiTheme="minorBidi"/>
          <w:color w:val="000000" w:themeColor="text1"/>
          <w:szCs w:val="22"/>
          <w:lang w:val="en-GB"/>
        </w:rPr>
        <w:t xml:space="preserve">National Institute for Health and Care Excellence (2024) identified that structured psychological therapies should serve as the core of the treatment program. The most prevalent and </w:t>
      </w:r>
      <w:proofErr w:type="gramStart"/>
      <w:r w:rsidRPr="007D2EE8">
        <w:rPr>
          <w:rFonts w:asciiTheme="minorBidi" w:hAnsiTheme="minorBidi"/>
          <w:color w:val="000000" w:themeColor="text1"/>
          <w:szCs w:val="22"/>
          <w:lang w:val="en-GB"/>
        </w:rPr>
        <w:t>scientifically-backed</w:t>
      </w:r>
      <w:proofErr w:type="gramEnd"/>
      <w:r w:rsidRPr="007D2EE8">
        <w:rPr>
          <w:rFonts w:asciiTheme="minorBidi" w:hAnsiTheme="minorBidi"/>
          <w:color w:val="000000" w:themeColor="text1"/>
          <w:szCs w:val="22"/>
          <w:lang w:val="en-GB"/>
        </w:rPr>
        <w:t xml:space="preserve"> intervention was the Dialectical Behaviour Therapy (DBT). </w:t>
      </w:r>
      <w:r w:rsidR="0088405A" w:rsidRPr="0088405A">
        <w:rPr>
          <w:rFonts w:asciiTheme="minorBidi" w:hAnsiTheme="minorBidi"/>
          <w:color w:val="000000" w:themeColor="text1"/>
          <w:szCs w:val="22"/>
          <w:lang w:val="en-GB"/>
        </w:rPr>
        <w:t xml:space="preserve">The </w:t>
      </w:r>
      <w:r w:rsidR="0088405A" w:rsidRPr="0088405A">
        <w:rPr>
          <w:rFonts w:asciiTheme="minorBidi" w:hAnsiTheme="minorBidi"/>
          <w:color w:val="000000" w:themeColor="text1"/>
          <w:szCs w:val="22"/>
          <w:lang w:val="en-GB"/>
        </w:rPr>
        <w:lastRenderedPageBreak/>
        <w:t xml:space="preserve">intervention requires the application of emotion regulation, distress tolerance, mindfulness, and interpersonal skills. Various studies have demonstrated that the application of DBT among patients leads to a reduction in self-harm </w:t>
      </w:r>
      <w:r w:rsidR="007C3DAB" w:rsidRPr="0088405A">
        <w:rPr>
          <w:rFonts w:asciiTheme="minorBidi" w:hAnsiTheme="minorBidi"/>
          <w:color w:val="000000" w:themeColor="text1"/>
          <w:szCs w:val="22"/>
          <w:lang w:val="en-GB"/>
        </w:rPr>
        <w:t>behaviours</w:t>
      </w:r>
      <w:r w:rsidR="0088405A" w:rsidRPr="0088405A">
        <w:rPr>
          <w:rFonts w:asciiTheme="minorBidi" w:hAnsiTheme="minorBidi"/>
          <w:color w:val="000000" w:themeColor="text1"/>
          <w:szCs w:val="22"/>
          <w:lang w:val="en-GB"/>
        </w:rPr>
        <w:t>, suicide attempts, and psychiatric admissions. Recovery not only involves a focus on symptom removal but rather seeks to promote a state of wellbeing and community reintegration. According to Foye et al.</w:t>
      </w:r>
      <w:r w:rsidR="0088405A">
        <w:rPr>
          <w:rFonts w:asciiTheme="minorBidi" w:hAnsiTheme="minorBidi"/>
          <w:color w:val="000000" w:themeColor="text1"/>
          <w:szCs w:val="22"/>
          <w:lang w:val="en-GB"/>
        </w:rPr>
        <w:t xml:space="preserve"> (2022)</w:t>
      </w:r>
      <w:r w:rsidR="0088405A" w:rsidRPr="0088405A">
        <w:rPr>
          <w:rFonts w:asciiTheme="minorBidi" w:hAnsiTheme="minorBidi"/>
          <w:color w:val="000000" w:themeColor="text1"/>
          <w:szCs w:val="22"/>
          <w:lang w:val="en-GB"/>
        </w:rPr>
        <w:t>, a "whole person" approach is supported by clinicians to improve access to housing, jobs, learning, and participation opportunities. This suggests that one recogni</w:t>
      </w:r>
      <w:r w:rsidR="0088405A">
        <w:rPr>
          <w:rFonts w:asciiTheme="minorBidi" w:hAnsiTheme="minorBidi"/>
          <w:color w:val="000000" w:themeColor="text1"/>
          <w:szCs w:val="22"/>
          <w:lang w:val="en-GB"/>
        </w:rPr>
        <w:t>s</w:t>
      </w:r>
      <w:r w:rsidR="0088405A" w:rsidRPr="0088405A">
        <w:rPr>
          <w:rFonts w:asciiTheme="minorBidi" w:hAnsiTheme="minorBidi"/>
          <w:color w:val="000000" w:themeColor="text1"/>
          <w:szCs w:val="22"/>
          <w:lang w:val="en-GB"/>
        </w:rPr>
        <w:t>es that recovery involves much more than symptom control and rather seeks to improve wellbeing and community integration.</w:t>
      </w:r>
    </w:p>
    <w:p w14:paraId="07681BAD" w14:textId="0A19BF3A" w:rsidR="00185911" w:rsidRPr="005311DB" w:rsidRDefault="0088405A" w:rsidP="0088405A">
      <w:pPr>
        <w:spacing w:after="0" w:line="360" w:lineRule="auto"/>
        <w:ind w:firstLine="720"/>
        <w:contextualSpacing/>
        <w:jc w:val="both"/>
        <w:rPr>
          <w:rFonts w:cs="Arial"/>
          <w:color w:val="000000" w:themeColor="text1"/>
          <w:szCs w:val="22"/>
          <w:lang w:val="en-GB"/>
        </w:rPr>
      </w:pPr>
      <w:r w:rsidRPr="0088405A">
        <w:rPr>
          <w:rFonts w:asciiTheme="minorBidi" w:hAnsiTheme="minorBidi"/>
          <w:color w:val="000000" w:themeColor="text1"/>
          <w:szCs w:val="22"/>
          <w:lang w:val="en-GB"/>
        </w:rPr>
        <w:t>Moreover, the notion of trauma-informed care has become important over time. For example, according to Schmitz et al., traumatic experiences have a strong association with lower emotional regulation skills in children with BPD. One can utili</w:t>
      </w:r>
      <w:r>
        <w:rPr>
          <w:rFonts w:asciiTheme="minorBidi" w:hAnsiTheme="minorBidi"/>
          <w:color w:val="000000" w:themeColor="text1"/>
          <w:szCs w:val="22"/>
          <w:lang w:val="en-GB"/>
        </w:rPr>
        <w:t>s</w:t>
      </w:r>
      <w:r w:rsidRPr="0088405A">
        <w:rPr>
          <w:rFonts w:asciiTheme="minorBidi" w:hAnsiTheme="minorBidi"/>
          <w:color w:val="000000" w:themeColor="text1"/>
          <w:szCs w:val="22"/>
          <w:lang w:val="en-GB"/>
        </w:rPr>
        <w:t>e experiences in such cases as targets for the improvement of emotional regulation and recovery. Over time, trauma-informed care has become an important part of assessment and treatment at mental healthcare facilities</w:t>
      </w:r>
      <w:r w:rsidR="002D26E9" w:rsidRPr="005311DB">
        <w:rPr>
          <w:rFonts w:cs="Arial"/>
          <w:color w:val="000000" w:themeColor="text1"/>
          <w:szCs w:val="22"/>
          <w:lang w:val="en-GB"/>
        </w:rPr>
        <w:t>. However, accessing specialist services is still difficult. However, evidence-based practices are often unavailable, there are few professionals willing to work with children, few funds available to implement a comprehensive system, and long wait lists often stand in the way of children accessing services that can help them. Foye et al. (2022) emphasi</w:t>
      </w:r>
      <w:r w:rsidR="00185911" w:rsidRPr="005311DB">
        <w:rPr>
          <w:rFonts w:cs="Arial"/>
          <w:color w:val="000000" w:themeColor="text1"/>
          <w:szCs w:val="22"/>
          <w:lang w:val="en-GB"/>
        </w:rPr>
        <w:t>s</w:t>
      </w:r>
      <w:r w:rsidR="002D26E9" w:rsidRPr="005311DB">
        <w:rPr>
          <w:rFonts w:cs="Arial"/>
          <w:color w:val="000000" w:themeColor="text1"/>
          <w:szCs w:val="22"/>
          <w:lang w:val="en-GB"/>
        </w:rPr>
        <w:t>ed the role these systemic barriers play in inequalities in treatment provision and how this could worsen psychological distress among people seeking services.</w:t>
      </w:r>
    </w:p>
    <w:p w14:paraId="74E392A7" w14:textId="660275A5" w:rsidR="00245C77"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The growing awareness of the importance of neurodevelopmental disorders has also led to changes in treatment planning. May et al. (2021) highlighted the need to be aware of the overlapping characteristics between autism spectrum disorder and BPD to provide appropriate treatment. Likewise, </w:t>
      </w:r>
      <w:proofErr w:type="spellStart"/>
      <w:r w:rsidRPr="005311DB">
        <w:rPr>
          <w:rFonts w:cs="Arial"/>
          <w:color w:val="000000" w:themeColor="text1"/>
          <w:szCs w:val="22"/>
          <w:lang w:val="en-GB"/>
        </w:rPr>
        <w:t>Kenézlői</w:t>
      </w:r>
      <w:proofErr w:type="spellEnd"/>
      <w:r w:rsidRPr="005311DB">
        <w:rPr>
          <w:rFonts w:cs="Arial"/>
          <w:color w:val="000000" w:themeColor="text1"/>
          <w:szCs w:val="22"/>
          <w:lang w:val="en-GB"/>
        </w:rPr>
        <w:t xml:space="preserve"> et al. (2025) found that emotional dysregulation and impulsivity are present in both ADHD and BPD, indicating the need for individualised treatment that </w:t>
      </w:r>
      <w:proofErr w:type="gramStart"/>
      <w:r w:rsidRPr="005311DB">
        <w:rPr>
          <w:rFonts w:cs="Arial"/>
          <w:color w:val="000000" w:themeColor="text1"/>
          <w:szCs w:val="22"/>
          <w:lang w:val="en-GB"/>
        </w:rPr>
        <w:t>takes into account</w:t>
      </w:r>
      <w:proofErr w:type="gramEnd"/>
      <w:r w:rsidRPr="005311DB">
        <w:rPr>
          <w:rFonts w:cs="Arial"/>
          <w:color w:val="000000" w:themeColor="text1"/>
          <w:szCs w:val="22"/>
          <w:lang w:val="en-GB"/>
        </w:rPr>
        <w:t xml:space="preserve"> individual differences. Despite significant advances in the treatment and rehabilitation of BPD, ongoing funding for specialist services and integrated care pathways is required to enhance the outcomes and address inequalities in access to services</w:t>
      </w:r>
      <w:r w:rsidR="00245C77" w:rsidRPr="005311DB">
        <w:rPr>
          <w:rFonts w:cs="Arial"/>
          <w:color w:val="000000" w:themeColor="text1"/>
          <w:szCs w:val="22"/>
          <w:lang w:val="en-GB"/>
        </w:rPr>
        <w:t>.</w:t>
      </w:r>
    </w:p>
    <w:p w14:paraId="597DFE49" w14:textId="27323D40" w:rsidR="00245C77" w:rsidRPr="005311DB" w:rsidRDefault="00245C77" w:rsidP="00121CD6">
      <w:pPr>
        <w:spacing w:after="0" w:line="360" w:lineRule="auto"/>
        <w:ind w:left="360"/>
        <w:contextualSpacing/>
        <w:jc w:val="both"/>
        <w:rPr>
          <w:rFonts w:cs="Arial"/>
          <w:color w:val="000000" w:themeColor="text1"/>
          <w:szCs w:val="22"/>
          <w:lang w:val="en-GB"/>
        </w:rPr>
      </w:pPr>
    </w:p>
    <w:p w14:paraId="51912CD5" w14:textId="07408529" w:rsidR="00245C77" w:rsidRPr="005311DB" w:rsidRDefault="00245C77" w:rsidP="00121CD6">
      <w:pPr>
        <w:pStyle w:val="Heading1"/>
      </w:pPr>
      <w:bookmarkStart w:id="3" w:name="_Toc232222072"/>
      <w:r w:rsidRPr="005311DB">
        <w:t>Current Debates and Emerging Issues</w:t>
      </w:r>
      <w:bookmarkEnd w:id="3"/>
    </w:p>
    <w:p w14:paraId="35A80167" w14:textId="704C23B5" w:rsidR="00185911"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A major modern controversy around BPD is the connection between BPD and neurodivergence. </w:t>
      </w:r>
      <w:r w:rsidR="007C3DAB" w:rsidRPr="007C3DAB">
        <w:rPr>
          <w:rFonts w:cs="Arial"/>
          <w:color w:val="000000" w:themeColor="text1"/>
          <w:szCs w:val="22"/>
          <w:lang w:val="en-GB"/>
        </w:rPr>
        <w:t xml:space="preserve">The association between BPD and co-occurring neuropsychiatric conditions, such as </w:t>
      </w:r>
      <w:proofErr w:type="gramStart"/>
      <w:r w:rsidR="007C3DAB" w:rsidRPr="007C3DAB">
        <w:rPr>
          <w:rFonts w:cs="Arial"/>
          <w:color w:val="000000" w:themeColor="text1"/>
          <w:szCs w:val="22"/>
          <w:lang w:val="en-GB"/>
        </w:rPr>
        <w:t>Autism Spectrum Disorder</w:t>
      </w:r>
      <w:proofErr w:type="gramEnd"/>
      <w:r w:rsidR="007C3DAB" w:rsidRPr="007C3DAB">
        <w:rPr>
          <w:rFonts w:cs="Arial"/>
          <w:color w:val="000000" w:themeColor="text1"/>
          <w:szCs w:val="22"/>
          <w:lang w:val="en-GB"/>
        </w:rPr>
        <w:t xml:space="preserve"> (ASD) and </w:t>
      </w:r>
      <w:proofErr w:type="gramStart"/>
      <w:r w:rsidR="007C3DAB" w:rsidRPr="007C3DAB">
        <w:rPr>
          <w:rFonts w:cs="Arial"/>
          <w:color w:val="000000" w:themeColor="text1"/>
          <w:szCs w:val="22"/>
          <w:lang w:val="en-GB"/>
        </w:rPr>
        <w:t>Attention Deficit Hyperactivity Disorder</w:t>
      </w:r>
      <w:proofErr w:type="gramEnd"/>
      <w:r w:rsidR="007C3DAB" w:rsidRPr="007C3DAB">
        <w:rPr>
          <w:rFonts w:cs="Arial"/>
          <w:color w:val="000000" w:themeColor="text1"/>
          <w:szCs w:val="22"/>
          <w:lang w:val="en-GB"/>
        </w:rPr>
        <w:t xml:space="preserve"> (ADHD), has been clearly recogni</w:t>
      </w:r>
      <w:r w:rsidR="00303724">
        <w:rPr>
          <w:rFonts w:cs="Arial"/>
          <w:color w:val="000000" w:themeColor="text1"/>
          <w:szCs w:val="22"/>
          <w:lang w:val="en-GB"/>
        </w:rPr>
        <w:t>s</w:t>
      </w:r>
      <w:r w:rsidR="007C3DAB" w:rsidRPr="007C3DAB">
        <w:rPr>
          <w:rFonts w:cs="Arial"/>
          <w:color w:val="000000" w:themeColor="text1"/>
          <w:szCs w:val="22"/>
          <w:lang w:val="en-GB"/>
        </w:rPr>
        <w:t xml:space="preserve">ed in recent studies. According to May et al., emotions dysregulation, problems with interpersonal relationships, and self-injury are among the many symptoms that </w:t>
      </w:r>
      <w:r w:rsidR="007C3DAB" w:rsidRPr="007C3DAB">
        <w:rPr>
          <w:rFonts w:cs="Arial"/>
          <w:color w:val="000000" w:themeColor="text1"/>
          <w:szCs w:val="22"/>
          <w:lang w:val="en-GB"/>
        </w:rPr>
        <w:lastRenderedPageBreak/>
        <w:t>both BPD and ASD share</w:t>
      </w:r>
      <w:r w:rsidR="00774288">
        <w:rPr>
          <w:rFonts w:cs="Arial"/>
          <w:color w:val="000000" w:themeColor="text1"/>
          <w:szCs w:val="22"/>
          <w:lang w:val="en-GB"/>
        </w:rPr>
        <w:t xml:space="preserve">. </w:t>
      </w:r>
      <w:r w:rsidR="00774288" w:rsidRPr="00774288">
        <w:rPr>
          <w:rFonts w:cs="Arial"/>
          <w:color w:val="000000" w:themeColor="text1"/>
          <w:szCs w:val="22"/>
          <w:lang w:val="en-GB"/>
        </w:rPr>
        <w:t>In addition, through conducting a systematic review, these researchers found there was concern about BPD being misdiagnosed among autistic individuals, particularly female patients. Therefore, diagnostic overshadowing is one of the key concerns when providing mental health care</w:t>
      </w:r>
      <w:r w:rsidRPr="005311DB">
        <w:rPr>
          <w:rFonts w:cs="Arial"/>
          <w:color w:val="000000" w:themeColor="text1"/>
          <w:szCs w:val="22"/>
          <w:lang w:val="en-GB"/>
        </w:rPr>
        <w:t>.</w:t>
      </w:r>
    </w:p>
    <w:p w14:paraId="446F7393" w14:textId="0E9FE558" w:rsidR="00185911"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In addition, problems with empathy, mentalisation and theory of mind are reported both in the two conditions, making the differential diagnosis more complicated (</w:t>
      </w:r>
      <w:proofErr w:type="spellStart"/>
      <w:r w:rsidRPr="005311DB">
        <w:rPr>
          <w:rFonts w:cs="Arial"/>
          <w:color w:val="000000" w:themeColor="text1"/>
          <w:szCs w:val="22"/>
          <w:lang w:val="en-GB"/>
        </w:rPr>
        <w:t>Vegni</w:t>
      </w:r>
      <w:proofErr w:type="spellEnd"/>
      <w:r w:rsidRPr="005311DB">
        <w:rPr>
          <w:rFonts w:cs="Arial"/>
          <w:color w:val="000000" w:themeColor="text1"/>
          <w:szCs w:val="22"/>
          <w:lang w:val="en-GB"/>
        </w:rPr>
        <w:t xml:space="preserve">, </w:t>
      </w:r>
      <w:proofErr w:type="spellStart"/>
      <w:r w:rsidRPr="005311DB">
        <w:rPr>
          <w:rFonts w:cs="Arial"/>
          <w:color w:val="000000" w:themeColor="text1"/>
          <w:szCs w:val="22"/>
          <w:lang w:val="en-GB"/>
        </w:rPr>
        <w:t>D'Ardia</w:t>
      </w:r>
      <w:proofErr w:type="spellEnd"/>
      <w:r w:rsidRPr="005311DB">
        <w:rPr>
          <w:rFonts w:cs="Arial"/>
          <w:color w:val="000000" w:themeColor="text1"/>
          <w:szCs w:val="22"/>
          <w:lang w:val="en-GB"/>
        </w:rPr>
        <w:t xml:space="preserve"> and Torregiani, 2021). Likewise, </w:t>
      </w:r>
      <w:proofErr w:type="spellStart"/>
      <w:r w:rsidRPr="005311DB">
        <w:rPr>
          <w:rFonts w:cs="Arial"/>
          <w:color w:val="000000" w:themeColor="text1"/>
          <w:szCs w:val="22"/>
          <w:lang w:val="en-GB"/>
        </w:rPr>
        <w:t>Bemmouna</w:t>
      </w:r>
      <w:proofErr w:type="spellEnd"/>
      <w:r w:rsidRPr="005311DB">
        <w:rPr>
          <w:rFonts w:cs="Arial"/>
          <w:color w:val="000000" w:themeColor="text1"/>
          <w:szCs w:val="22"/>
          <w:lang w:val="en-GB"/>
        </w:rPr>
        <w:t xml:space="preserve">, </w:t>
      </w:r>
      <w:proofErr w:type="spellStart"/>
      <w:r w:rsidRPr="005311DB">
        <w:rPr>
          <w:rFonts w:cs="Arial"/>
          <w:color w:val="000000" w:themeColor="text1"/>
          <w:szCs w:val="22"/>
          <w:lang w:val="en-GB"/>
        </w:rPr>
        <w:t>Lagzouli</w:t>
      </w:r>
      <w:proofErr w:type="spellEnd"/>
      <w:r w:rsidRPr="005311DB">
        <w:rPr>
          <w:rFonts w:cs="Arial"/>
          <w:color w:val="000000" w:themeColor="text1"/>
          <w:szCs w:val="22"/>
          <w:lang w:val="en-GB"/>
        </w:rPr>
        <w:t xml:space="preserve">, and Weiner (2023) reported that emotional dysregulation is another domain that is shared by autistic adults and persons diagnosed with BPD. The results imply that neurodevelopmental issues should be </w:t>
      </w:r>
      <w:proofErr w:type="gramStart"/>
      <w:r w:rsidRPr="005311DB">
        <w:rPr>
          <w:rFonts w:cs="Arial"/>
          <w:color w:val="000000" w:themeColor="text1"/>
          <w:szCs w:val="22"/>
          <w:lang w:val="en-GB"/>
        </w:rPr>
        <w:t>taken into account</w:t>
      </w:r>
      <w:proofErr w:type="gramEnd"/>
      <w:r w:rsidRPr="005311DB">
        <w:rPr>
          <w:rFonts w:cs="Arial"/>
          <w:color w:val="000000" w:themeColor="text1"/>
          <w:szCs w:val="22"/>
          <w:lang w:val="en-GB"/>
        </w:rPr>
        <w:t xml:space="preserve"> more seriously in the diagnostic evaluation process. </w:t>
      </w:r>
      <w:r w:rsidR="007C3DAB" w:rsidRPr="007C3DAB">
        <w:rPr>
          <w:rFonts w:cs="Arial"/>
          <w:color w:val="000000" w:themeColor="text1"/>
          <w:szCs w:val="22"/>
          <w:lang w:val="en-GB"/>
        </w:rPr>
        <w:t xml:space="preserve">Another topic of interest which has been considered is Attention Deficit Hyperactive Disorder. It has been highlighted by </w:t>
      </w:r>
      <w:proofErr w:type="spellStart"/>
      <w:r w:rsidR="007C3DAB" w:rsidRPr="007C3DAB">
        <w:rPr>
          <w:rFonts w:cs="Arial"/>
          <w:color w:val="000000" w:themeColor="text1"/>
          <w:szCs w:val="22"/>
          <w:lang w:val="en-GB"/>
        </w:rPr>
        <w:t>Kenézlői</w:t>
      </w:r>
      <w:proofErr w:type="spellEnd"/>
      <w:r w:rsidR="007C3DAB" w:rsidRPr="007C3DAB">
        <w:rPr>
          <w:rFonts w:cs="Arial"/>
          <w:color w:val="000000" w:themeColor="text1"/>
          <w:szCs w:val="22"/>
          <w:lang w:val="en-GB"/>
        </w:rPr>
        <w:t xml:space="preserve"> et al. (2025) that impulsivity and emotional dysregulation are key features in both ADHD and BPD patients. Childhood experiences and personality functioning can affect the manifestation and progression of the symptoms</w:t>
      </w:r>
      <w:r w:rsidRPr="005311DB">
        <w:rPr>
          <w:rFonts w:cs="Arial"/>
          <w:color w:val="000000" w:themeColor="text1"/>
          <w:szCs w:val="22"/>
          <w:lang w:val="en-GB"/>
        </w:rPr>
        <w:t xml:space="preserve">. It is therefore more important than ever for the clinician to screen for ADHD in those who come with </w:t>
      </w:r>
      <w:r w:rsidR="00185911" w:rsidRPr="005311DB">
        <w:rPr>
          <w:rFonts w:cs="Arial"/>
          <w:color w:val="000000" w:themeColor="text1"/>
          <w:szCs w:val="22"/>
          <w:lang w:val="en-GB"/>
        </w:rPr>
        <w:t>their “</w:t>
      </w:r>
      <w:r w:rsidRPr="005311DB">
        <w:rPr>
          <w:rFonts w:cs="Arial"/>
          <w:color w:val="000000" w:themeColor="text1"/>
          <w:szCs w:val="22"/>
          <w:lang w:val="en-GB"/>
        </w:rPr>
        <w:t>borderline” characteristics.</w:t>
      </w:r>
    </w:p>
    <w:p w14:paraId="5336091E" w14:textId="6BB57999" w:rsidR="00185911" w:rsidRPr="005311DB" w:rsidRDefault="001F5306" w:rsidP="00121CD6">
      <w:pPr>
        <w:spacing w:after="0" w:line="360" w:lineRule="auto"/>
        <w:ind w:firstLine="720"/>
        <w:contextualSpacing/>
        <w:jc w:val="both"/>
        <w:rPr>
          <w:rFonts w:cs="Arial"/>
          <w:color w:val="000000" w:themeColor="text1"/>
          <w:szCs w:val="22"/>
          <w:lang w:val="en-GB"/>
        </w:rPr>
      </w:pPr>
      <w:r w:rsidRPr="001F5306">
        <w:rPr>
          <w:rFonts w:cs="Arial"/>
          <w:color w:val="000000" w:themeColor="text1"/>
          <w:szCs w:val="22"/>
          <w:lang w:val="en-GB"/>
        </w:rPr>
        <w:t xml:space="preserve">Another major point of </w:t>
      </w:r>
      <w:r>
        <w:rPr>
          <w:rFonts w:cs="Arial"/>
          <w:color w:val="000000" w:themeColor="text1"/>
          <w:szCs w:val="22"/>
          <w:lang w:val="en-GB"/>
        </w:rPr>
        <w:t>debate</w:t>
      </w:r>
      <w:r w:rsidRPr="001F5306">
        <w:rPr>
          <w:rFonts w:cs="Arial"/>
          <w:color w:val="000000" w:themeColor="text1"/>
          <w:szCs w:val="22"/>
          <w:lang w:val="en-GB"/>
        </w:rPr>
        <w:t xml:space="preserve"> relates to </w:t>
      </w:r>
      <w:proofErr w:type="gramStart"/>
      <w:r w:rsidRPr="001F5306">
        <w:rPr>
          <w:rFonts w:cs="Arial"/>
          <w:color w:val="000000" w:themeColor="text1"/>
          <w:szCs w:val="22"/>
          <w:lang w:val="en-GB"/>
        </w:rPr>
        <w:t>whether or not</w:t>
      </w:r>
      <w:proofErr w:type="gramEnd"/>
      <w:r w:rsidRPr="001F5306">
        <w:rPr>
          <w:rFonts w:cs="Arial"/>
          <w:color w:val="000000" w:themeColor="text1"/>
          <w:szCs w:val="22"/>
          <w:lang w:val="en-GB"/>
        </w:rPr>
        <w:t xml:space="preserve"> trauma influences the development of BPD. According to Schmitz et al. (2021), childhood trauma constitutes an essential element in emotional dysregulation and emotional distress. Based on this, there is some concern regarding whether BPD should even be classified as a type of trauma-related disorder and not personality disorder. On the other hand, some maintain that the diagnosis remains important since it allows for access to clinical care and various services. </w:t>
      </w:r>
      <w:r w:rsidR="007C3DAB" w:rsidRPr="007C3DAB">
        <w:rPr>
          <w:rFonts w:cs="Arial"/>
          <w:color w:val="000000" w:themeColor="text1"/>
          <w:szCs w:val="22"/>
          <w:lang w:val="en-GB"/>
        </w:rPr>
        <w:t xml:space="preserve">However, stigma has become one of the most significant issues in this regard. </w:t>
      </w:r>
      <w:r w:rsidR="007C3DAB">
        <w:rPr>
          <w:rFonts w:cs="Arial"/>
          <w:color w:val="000000" w:themeColor="text1"/>
          <w:szCs w:val="22"/>
          <w:lang w:val="en-GB"/>
        </w:rPr>
        <w:t>In c</w:t>
      </w:r>
      <w:r w:rsidR="007C3DAB" w:rsidRPr="007C3DAB">
        <w:rPr>
          <w:rFonts w:cs="Arial"/>
          <w:color w:val="000000" w:themeColor="text1"/>
          <w:szCs w:val="22"/>
          <w:lang w:val="en-GB"/>
        </w:rPr>
        <w:t>ontras</w:t>
      </w:r>
      <w:r w:rsidR="007C3DAB">
        <w:rPr>
          <w:rFonts w:cs="Arial"/>
          <w:color w:val="000000" w:themeColor="text1"/>
          <w:szCs w:val="22"/>
          <w:lang w:val="en-GB"/>
        </w:rPr>
        <w:t>t</w:t>
      </w:r>
      <w:r w:rsidR="007C3DAB" w:rsidRPr="007C3DAB">
        <w:rPr>
          <w:rFonts w:cs="Arial"/>
          <w:color w:val="000000" w:themeColor="text1"/>
          <w:szCs w:val="22"/>
          <w:lang w:val="en-GB"/>
        </w:rPr>
        <w:t>, Watts (2024) posited that individuals suffering from BPD can experience epistemic injustice since their experiences and perspectives may be ignored owing to their diagnosis</w:t>
      </w:r>
      <w:r w:rsidR="002D26E9" w:rsidRPr="005311DB">
        <w:rPr>
          <w:rFonts w:cs="Arial"/>
          <w:color w:val="000000" w:themeColor="text1"/>
          <w:szCs w:val="22"/>
          <w:lang w:val="en-GB"/>
        </w:rPr>
        <w:t>.</w:t>
      </w:r>
    </w:p>
    <w:p w14:paraId="214119AA" w14:textId="60C102FD" w:rsidR="00245C77"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In addition, there is doubt about the validity of the BPD diagnosis. </w:t>
      </w:r>
      <w:proofErr w:type="spellStart"/>
      <w:r w:rsidRPr="005311DB">
        <w:rPr>
          <w:rFonts w:cs="Arial"/>
          <w:color w:val="000000" w:themeColor="text1"/>
          <w:szCs w:val="22"/>
          <w:lang w:val="en-GB"/>
        </w:rPr>
        <w:t>Cobbaert</w:t>
      </w:r>
      <w:proofErr w:type="spellEnd"/>
      <w:r w:rsidRPr="005311DB">
        <w:rPr>
          <w:rFonts w:cs="Arial"/>
          <w:color w:val="000000" w:themeColor="text1"/>
          <w:szCs w:val="22"/>
          <w:lang w:val="en-GB"/>
        </w:rPr>
        <w:t xml:space="preserve"> et al. (2026) suggested that the diagnostic construct can perpetuate problematic assumptions about personality pathology and individual responsibility. </w:t>
      </w:r>
      <w:r w:rsidR="007C3DAB" w:rsidRPr="007C3DAB">
        <w:rPr>
          <w:rFonts w:cs="Arial"/>
          <w:color w:val="000000" w:themeColor="text1"/>
          <w:szCs w:val="22"/>
          <w:lang w:val="en-GB"/>
        </w:rPr>
        <w:t xml:space="preserve">On the other hand, Pan </w:t>
      </w:r>
      <w:r w:rsidR="007C3DAB">
        <w:rPr>
          <w:rFonts w:cs="Arial"/>
          <w:color w:val="000000" w:themeColor="text1"/>
          <w:szCs w:val="22"/>
          <w:lang w:val="en-GB"/>
        </w:rPr>
        <w:t>and</w:t>
      </w:r>
      <w:r w:rsidR="007C3DAB" w:rsidRPr="007C3DAB">
        <w:rPr>
          <w:rFonts w:cs="Arial"/>
          <w:color w:val="000000" w:themeColor="text1"/>
          <w:szCs w:val="22"/>
          <w:lang w:val="en-GB"/>
        </w:rPr>
        <w:t xml:space="preserve"> Wang (2024) observe that ICD-11 is more flexible to enable diverse presentations but remain clinically useful. The controversies surrounding this matter are an indication of the complex nature of BPD and highlight the importance of adopting a trauma-informed, neurodiversity-affirming, and person-</w:t>
      </w:r>
      <w:proofErr w:type="spellStart"/>
      <w:r w:rsidR="007C3DAB" w:rsidRPr="007C3DAB">
        <w:rPr>
          <w:rFonts w:cs="Arial"/>
          <w:color w:val="000000" w:themeColor="text1"/>
          <w:szCs w:val="22"/>
          <w:lang w:val="en-GB"/>
        </w:rPr>
        <w:t>centered</w:t>
      </w:r>
      <w:proofErr w:type="spellEnd"/>
      <w:r w:rsidR="007C3DAB" w:rsidRPr="007C3DAB">
        <w:rPr>
          <w:rFonts w:cs="Arial"/>
          <w:color w:val="000000" w:themeColor="text1"/>
          <w:szCs w:val="22"/>
          <w:lang w:val="en-GB"/>
        </w:rPr>
        <w:t xml:space="preserve"> approach to care.</w:t>
      </w:r>
    </w:p>
    <w:p w14:paraId="598264A0" w14:textId="57C3FF9E" w:rsidR="00245C77" w:rsidRPr="005311DB" w:rsidRDefault="00245C77" w:rsidP="00121CD6">
      <w:pPr>
        <w:spacing w:after="0" w:line="360" w:lineRule="auto"/>
        <w:ind w:left="360"/>
        <w:contextualSpacing/>
        <w:jc w:val="both"/>
        <w:rPr>
          <w:rFonts w:cs="Arial"/>
          <w:color w:val="000000" w:themeColor="text1"/>
          <w:szCs w:val="22"/>
          <w:lang w:val="en-GB"/>
        </w:rPr>
      </w:pPr>
    </w:p>
    <w:p w14:paraId="7A5B2E1B" w14:textId="641CF387" w:rsidR="00245C77" w:rsidRPr="005311DB" w:rsidRDefault="00245C77" w:rsidP="00121CD6">
      <w:pPr>
        <w:pStyle w:val="Heading1"/>
      </w:pPr>
      <w:bookmarkStart w:id="4" w:name="_Toc232222073"/>
      <w:r w:rsidRPr="005311DB">
        <w:lastRenderedPageBreak/>
        <w:t>Recommendations</w:t>
      </w:r>
      <w:bookmarkEnd w:id="4"/>
    </w:p>
    <w:p w14:paraId="447D859A" w14:textId="77777777" w:rsidR="002D26E9" w:rsidRPr="005311DB" w:rsidRDefault="002D26E9" w:rsidP="00121CD6">
      <w:pPr>
        <w:spacing w:after="0" w:line="360" w:lineRule="auto"/>
        <w:ind w:firstLine="720"/>
        <w:contextualSpacing/>
        <w:jc w:val="both"/>
        <w:rPr>
          <w:rFonts w:cs="Arial"/>
          <w:color w:val="000000" w:themeColor="text1"/>
          <w:szCs w:val="22"/>
          <w:lang w:val="en-GB"/>
        </w:rPr>
      </w:pPr>
      <w:proofErr w:type="gramStart"/>
      <w:r w:rsidRPr="005311DB">
        <w:rPr>
          <w:rFonts w:cs="Arial"/>
          <w:color w:val="000000" w:themeColor="text1"/>
          <w:szCs w:val="22"/>
          <w:lang w:val="en-GB"/>
        </w:rPr>
        <w:t>A number of</w:t>
      </w:r>
      <w:proofErr w:type="gramEnd"/>
      <w:r w:rsidRPr="005311DB">
        <w:rPr>
          <w:rFonts w:cs="Arial"/>
          <w:color w:val="000000" w:themeColor="text1"/>
          <w:szCs w:val="22"/>
          <w:lang w:val="en-GB"/>
        </w:rPr>
        <w:t xml:space="preserve"> recommendations can be made for enhancing the classification, diagnosis, treatment, and rehabilitation for those suffering with BPD. Healthcare organisations need to be well-trained with ICD-11 personality disorder classification, to ensure consistent and accurate implementation. </w:t>
      </w:r>
      <w:proofErr w:type="spellStart"/>
      <w:r w:rsidRPr="005311DB">
        <w:rPr>
          <w:rFonts w:cs="Arial"/>
          <w:color w:val="000000" w:themeColor="text1"/>
          <w:szCs w:val="22"/>
          <w:lang w:val="en-GB"/>
        </w:rPr>
        <w:t>Sellbom</w:t>
      </w:r>
      <w:proofErr w:type="spellEnd"/>
      <w:r w:rsidRPr="005311DB">
        <w:rPr>
          <w:rFonts w:cs="Arial"/>
          <w:color w:val="000000" w:themeColor="text1"/>
          <w:szCs w:val="22"/>
          <w:lang w:val="en-GB"/>
        </w:rPr>
        <w:t xml:space="preserve"> et al. (2024) noted that the importance of clinician competence to assess a personality disorder's severity is key to effective diagnosis and treatment planning. Second, there should be a routine screening for neurodevelopmental conditions in mental health assessment. May et al. (2021) and </w:t>
      </w:r>
      <w:proofErr w:type="spellStart"/>
      <w:r w:rsidRPr="005311DB">
        <w:rPr>
          <w:rFonts w:cs="Arial"/>
          <w:color w:val="000000" w:themeColor="text1"/>
          <w:szCs w:val="22"/>
          <w:lang w:val="en-GB"/>
        </w:rPr>
        <w:t>Kenézlői</w:t>
      </w:r>
      <w:proofErr w:type="spellEnd"/>
      <w:r w:rsidRPr="005311DB">
        <w:rPr>
          <w:rFonts w:cs="Arial"/>
          <w:color w:val="000000" w:themeColor="text1"/>
          <w:szCs w:val="22"/>
          <w:lang w:val="en-GB"/>
        </w:rPr>
        <w:t xml:space="preserve"> et al. (2025) found significant overlap between BPD, autism and ADHD, indicating that more comprehensive assessments could help to minimise misdiagnosis and treatment failures.</w:t>
      </w:r>
    </w:p>
    <w:p w14:paraId="26BCC701" w14:textId="7C27B41D" w:rsidR="00245C77"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Third, trauma-informed care should be integrated throughout mental health care. </w:t>
      </w:r>
      <w:r w:rsidR="001F5306" w:rsidRPr="001F5306">
        <w:rPr>
          <w:rFonts w:cs="Arial"/>
          <w:color w:val="000000" w:themeColor="text1"/>
          <w:szCs w:val="22"/>
          <w:lang w:val="en-GB"/>
        </w:rPr>
        <w:t xml:space="preserve">Fourth, increased funding for proven psychological treatments and rehabilitation </w:t>
      </w:r>
      <w:r w:rsidR="001F5306">
        <w:rPr>
          <w:rFonts w:cs="Arial"/>
          <w:color w:val="000000" w:themeColor="text1"/>
          <w:szCs w:val="22"/>
          <w:lang w:val="en-GB"/>
        </w:rPr>
        <w:t>programmes</w:t>
      </w:r>
      <w:r w:rsidR="001F5306" w:rsidRPr="001F5306">
        <w:rPr>
          <w:rFonts w:cs="Arial"/>
          <w:color w:val="000000" w:themeColor="text1"/>
          <w:szCs w:val="22"/>
          <w:lang w:val="en-GB"/>
        </w:rPr>
        <w:t xml:space="preserve"> is essential. Foye et al. (2022) stated that access to these services remains a major problem, particularly for those who require specific interventions. According to Schmitz et al. (2021), there are strong connections between childhood trauma and emotional dysregulation, indicating that interventions related to childhood trauma would have positive impacts on recovery and psychological well-being</w:t>
      </w:r>
      <w:r w:rsidRPr="005311DB">
        <w:rPr>
          <w:rFonts w:cs="Arial"/>
          <w:color w:val="000000" w:themeColor="text1"/>
          <w:szCs w:val="22"/>
          <w:lang w:val="en-GB"/>
        </w:rPr>
        <w:t xml:space="preserve">. Shortening wait times and more multi-disciplinary services would have a positive impact on treatment equity and </w:t>
      </w:r>
      <w:proofErr w:type="spellStart"/>
      <w:r w:rsidRPr="005311DB">
        <w:rPr>
          <w:rFonts w:cs="Arial"/>
          <w:color w:val="000000" w:themeColor="text1"/>
          <w:szCs w:val="22"/>
          <w:lang w:val="en-GB"/>
        </w:rPr>
        <w:t>longterm</w:t>
      </w:r>
      <w:proofErr w:type="spellEnd"/>
      <w:r w:rsidRPr="005311DB">
        <w:rPr>
          <w:rFonts w:cs="Arial"/>
          <w:color w:val="000000" w:themeColor="text1"/>
          <w:szCs w:val="22"/>
          <w:lang w:val="en-GB"/>
        </w:rPr>
        <w:t xml:space="preserve"> outcome. Lastly, future studies should assess the efficacy of ICD-11 classifications and investigate implications of neurodivergence, trauma and stigma for diagnosis and intervention. Increased participation of people with lived experience would enhance the contextualisation and quality of future policy and practice developments</w:t>
      </w:r>
      <w:r w:rsidR="00245C77" w:rsidRPr="005311DB">
        <w:rPr>
          <w:rFonts w:cs="Arial"/>
          <w:color w:val="000000" w:themeColor="text1"/>
          <w:szCs w:val="22"/>
          <w:lang w:val="en-GB"/>
        </w:rPr>
        <w:t>.</w:t>
      </w:r>
    </w:p>
    <w:p w14:paraId="332B2C09" w14:textId="3BBAEE68" w:rsidR="00245C77" w:rsidRPr="005311DB" w:rsidRDefault="00245C77" w:rsidP="00121CD6">
      <w:pPr>
        <w:spacing w:after="0" w:line="360" w:lineRule="auto"/>
        <w:ind w:left="360"/>
        <w:contextualSpacing/>
        <w:jc w:val="both"/>
        <w:rPr>
          <w:rFonts w:cs="Arial"/>
          <w:color w:val="000000" w:themeColor="text1"/>
          <w:szCs w:val="22"/>
          <w:lang w:val="en-GB"/>
        </w:rPr>
      </w:pPr>
    </w:p>
    <w:p w14:paraId="1A45115D" w14:textId="1B949838" w:rsidR="00245C77" w:rsidRPr="005311DB" w:rsidRDefault="00245C77" w:rsidP="00121CD6">
      <w:pPr>
        <w:pStyle w:val="Heading1"/>
      </w:pPr>
      <w:bookmarkStart w:id="5" w:name="_Toc232222074"/>
      <w:r w:rsidRPr="005311DB">
        <w:t>Conclusion</w:t>
      </w:r>
      <w:bookmarkEnd w:id="5"/>
    </w:p>
    <w:p w14:paraId="73EE94F6" w14:textId="77777777" w:rsidR="00185911" w:rsidRPr="005311DB" w:rsidRDefault="002D26E9" w:rsidP="00121CD6">
      <w:pPr>
        <w:spacing w:after="0" w:line="360" w:lineRule="auto"/>
        <w:ind w:firstLine="720"/>
        <w:contextualSpacing/>
        <w:jc w:val="both"/>
        <w:rPr>
          <w:rFonts w:cs="Arial"/>
          <w:color w:val="000000" w:themeColor="text1"/>
          <w:szCs w:val="22"/>
          <w:lang w:val="en-GB"/>
        </w:rPr>
      </w:pPr>
      <w:r w:rsidRPr="005311DB">
        <w:rPr>
          <w:rFonts w:cs="Arial"/>
          <w:color w:val="000000" w:themeColor="text1"/>
          <w:szCs w:val="22"/>
          <w:lang w:val="en-GB"/>
        </w:rPr>
        <w:t xml:space="preserve">Borderline Personality Disorder is still a much controversial disorder in the field of mental health. The ICD-11 has changed the classification by introducing a dimensional approach that focuses on severity and personality functioning instead of categorical diagnosis. This is a way that is more clinically flexible and is in line with the newer concepts of personality pathology. However, there is also a focus on the need for proper clinician training and assessment skills to ensure successful implementation. Psychological therapies and trauma-informed interventions are evidence based, and medicine only has limited success in treating central symptoms. </w:t>
      </w:r>
    </w:p>
    <w:p w14:paraId="1DDE7EE3" w14:textId="7108BF15" w:rsidR="00886156" w:rsidRDefault="00774288" w:rsidP="00886156">
      <w:pPr>
        <w:spacing w:after="0" w:line="360" w:lineRule="auto"/>
        <w:ind w:firstLine="720"/>
        <w:contextualSpacing/>
        <w:jc w:val="both"/>
        <w:rPr>
          <w:rFonts w:cs="Arial"/>
          <w:color w:val="000000" w:themeColor="text1"/>
          <w:szCs w:val="22"/>
          <w:lang w:val="en-GB"/>
        </w:rPr>
      </w:pPr>
      <w:r>
        <w:rPr>
          <w:rFonts w:cs="Arial"/>
          <w:color w:val="000000" w:themeColor="text1"/>
          <w:szCs w:val="22"/>
          <w:lang w:val="en-GB"/>
        </w:rPr>
        <w:t>Existing</w:t>
      </w:r>
      <w:r w:rsidRPr="00774288">
        <w:rPr>
          <w:rFonts w:cs="Arial"/>
          <w:color w:val="000000" w:themeColor="text1"/>
          <w:szCs w:val="22"/>
          <w:lang w:val="en-GB"/>
        </w:rPr>
        <w:t xml:space="preserve"> literature has also highlighted the links between BPD and other mental illnesses, such as autism spectrum disorder and ADHD, raising questions regarding diagnostic criteria and the idea of neurodiversity. Moreover, there are ongoing problems related to stigma, epistemic injustice, and diagnostic validity that need to continue being addressed in the context of treatment </w:t>
      </w:r>
      <w:r w:rsidRPr="00774288">
        <w:rPr>
          <w:rFonts w:cs="Arial"/>
          <w:color w:val="000000" w:themeColor="text1"/>
          <w:szCs w:val="22"/>
          <w:lang w:val="en-GB"/>
        </w:rPr>
        <w:lastRenderedPageBreak/>
        <w:t>and services. It is crucial that further research is conducted, strategies are planned and funded for speciali</w:t>
      </w:r>
      <w:r w:rsidR="001C13C0">
        <w:rPr>
          <w:rFonts w:cs="Arial"/>
          <w:color w:val="000000" w:themeColor="text1"/>
          <w:szCs w:val="22"/>
          <w:lang w:val="en-GB"/>
        </w:rPr>
        <w:t>s</w:t>
      </w:r>
      <w:r w:rsidRPr="00774288">
        <w:rPr>
          <w:rFonts w:cs="Arial"/>
          <w:color w:val="000000" w:themeColor="text1"/>
          <w:szCs w:val="22"/>
          <w:lang w:val="en-GB"/>
        </w:rPr>
        <w:t>ed services, so that those diagnosed with BPD can get quality, evidence-based treatment.</w:t>
      </w:r>
    </w:p>
    <w:p w14:paraId="3923EE2B" w14:textId="6B4053DF" w:rsidR="00DC052E" w:rsidRPr="005311DB" w:rsidRDefault="00DC052E" w:rsidP="00886156">
      <w:pPr>
        <w:spacing w:after="0" w:line="360" w:lineRule="auto"/>
        <w:contextualSpacing/>
        <w:jc w:val="both"/>
        <w:rPr>
          <w:rFonts w:cs="Arial"/>
          <w:color w:val="000000" w:themeColor="text1"/>
          <w:szCs w:val="22"/>
          <w:lang w:val="en-GB"/>
        </w:rPr>
      </w:pPr>
      <w:r w:rsidRPr="005311DB">
        <w:rPr>
          <w:rFonts w:cs="Arial"/>
          <w:color w:val="000000" w:themeColor="text1"/>
          <w:szCs w:val="22"/>
          <w:lang w:val="en-GB"/>
        </w:rPr>
        <w:br w:type="page"/>
      </w:r>
    </w:p>
    <w:p w14:paraId="26DF517F" w14:textId="3C23814B" w:rsidR="002D26E9" w:rsidRPr="005311DB" w:rsidRDefault="002D26E9" w:rsidP="00121CD6">
      <w:pPr>
        <w:pStyle w:val="Heading1"/>
        <w:numPr>
          <w:ilvl w:val="0"/>
          <w:numId w:val="0"/>
        </w:numPr>
      </w:pPr>
      <w:bookmarkStart w:id="6" w:name="_Toc232222075"/>
      <w:r w:rsidRPr="005311DB">
        <w:lastRenderedPageBreak/>
        <w:t>References</w:t>
      </w:r>
      <w:bookmarkEnd w:id="6"/>
    </w:p>
    <w:p w14:paraId="558A68D0"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proofErr w:type="spellStart"/>
      <w:r w:rsidRPr="005311DB">
        <w:rPr>
          <w:rFonts w:cs="Arial"/>
          <w:color w:val="000000" w:themeColor="text1"/>
          <w:szCs w:val="22"/>
          <w:lang w:val="en-GB"/>
        </w:rPr>
        <w:t>Bemmouna</w:t>
      </w:r>
      <w:proofErr w:type="spellEnd"/>
      <w:r w:rsidRPr="005311DB">
        <w:rPr>
          <w:rFonts w:cs="Arial"/>
          <w:color w:val="000000" w:themeColor="text1"/>
          <w:szCs w:val="22"/>
          <w:lang w:val="en-GB"/>
        </w:rPr>
        <w:t xml:space="preserve">, D., </w:t>
      </w:r>
      <w:proofErr w:type="spellStart"/>
      <w:r w:rsidRPr="005311DB">
        <w:rPr>
          <w:rFonts w:cs="Arial"/>
          <w:color w:val="000000" w:themeColor="text1"/>
          <w:szCs w:val="22"/>
          <w:lang w:val="en-GB"/>
        </w:rPr>
        <w:t>Lagzouli</w:t>
      </w:r>
      <w:proofErr w:type="spellEnd"/>
      <w:r w:rsidRPr="005311DB">
        <w:rPr>
          <w:rFonts w:cs="Arial"/>
          <w:color w:val="000000" w:themeColor="text1"/>
          <w:szCs w:val="22"/>
          <w:lang w:val="en-GB"/>
        </w:rPr>
        <w:t xml:space="preserve">, A. and Weiner, L. (2023). The biosocial correlates and predictors of emotion dysregulation in autistic adults compared to borderline personality disorder and nonclinical controls. </w:t>
      </w:r>
      <w:r w:rsidRPr="005311DB">
        <w:rPr>
          <w:rFonts w:cs="Arial"/>
          <w:i/>
          <w:iCs/>
          <w:color w:val="000000" w:themeColor="text1"/>
          <w:szCs w:val="22"/>
          <w:lang w:val="en-GB"/>
        </w:rPr>
        <w:t>Molecular Autism</w:t>
      </w:r>
      <w:r w:rsidRPr="005311DB">
        <w:rPr>
          <w:rFonts w:cs="Arial"/>
          <w:color w:val="000000" w:themeColor="text1"/>
          <w:szCs w:val="22"/>
          <w:lang w:val="en-GB"/>
        </w:rPr>
        <w:t xml:space="preserve">, 14, 47. </w:t>
      </w:r>
      <w:hyperlink r:id="rId8" w:tgtFrame="_new" w:history="1">
        <w:r w:rsidRPr="005311DB">
          <w:rPr>
            <w:rStyle w:val="Hyperlink"/>
            <w:rFonts w:cs="Arial"/>
            <w:color w:val="000000" w:themeColor="text1"/>
            <w:szCs w:val="22"/>
            <w:lang w:val="en-GB"/>
          </w:rPr>
          <w:t>https://doi.org/10.1186/s13229-023-00580-3</w:t>
        </w:r>
      </w:hyperlink>
      <w:r w:rsidRPr="005311DB">
        <w:rPr>
          <w:rFonts w:cs="Arial"/>
          <w:color w:val="000000" w:themeColor="text1"/>
          <w:szCs w:val="22"/>
          <w:lang w:val="en-GB"/>
        </w:rPr>
        <w:t xml:space="preserve"> </w:t>
      </w:r>
    </w:p>
    <w:p w14:paraId="39E3DB0A"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Cobbaert, L., Maloney, E., Harding, K. and James, S. (2026). Dismantling the Diagnostic Construct of Borderline Personality Disorder: A Critical Discourse Analysis. </w:t>
      </w:r>
      <w:r w:rsidRPr="005311DB">
        <w:rPr>
          <w:rFonts w:cs="Arial"/>
          <w:i/>
          <w:iCs/>
          <w:color w:val="000000" w:themeColor="text1"/>
          <w:szCs w:val="22"/>
          <w:lang w:val="en-GB"/>
        </w:rPr>
        <w:t>International Journal of Mental Health Nursing</w:t>
      </w:r>
      <w:r w:rsidRPr="005311DB">
        <w:rPr>
          <w:rFonts w:cs="Arial"/>
          <w:color w:val="000000" w:themeColor="text1"/>
          <w:szCs w:val="22"/>
          <w:lang w:val="en-GB"/>
        </w:rPr>
        <w:t xml:space="preserve">. </w:t>
      </w:r>
      <w:hyperlink r:id="rId9" w:tgtFrame="_new" w:history="1">
        <w:r w:rsidRPr="005311DB">
          <w:rPr>
            <w:rStyle w:val="Hyperlink"/>
            <w:rFonts w:cs="Arial"/>
            <w:color w:val="000000" w:themeColor="text1"/>
            <w:szCs w:val="22"/>
            <w:lang w:val="en-GB"/>
          </w:rPr>
          <w:t>https://doi.org/10.1111/inm.70241</w:t>
        </w:r>
      </w:hyperlink>
      <w:r w:rsidRPr="005311DB">
        <w:rPr>
          <w:rFonts w:cs="Arial"/>
          <w:color w:val="000000" w:themeColor="text1"/>
          <w:szCs w:val="22"/>
          <w:lang w:val="en-GB"/>
        </w:rPr>
        <w:t xml:space="preserve"> </w:t>
      </w:r>
    </w:p>
    <w:p w14:paraId="7556E28D"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Foye, U., Stuart, R., Trevillion, K., Oram, S., Allen, D., </w:t>
      </w:r>
      <w:proofErr w:type="spellStart"/>
      <w:r w:rsidRPr="005311DB">
        <w:rPr>
          <w:rFonts w:cs="Arial"/>
          <w:color w:val="000000" w:themeColor="text1"/>
          <w:szCs w:val="22"/>
          <w:lang w:val="en-GB"/>
        </w:rPr>
        <w:t>Broeckelmann</w:t>
      </w:r>
      <w:proofErr w:type="spellEnd"/>
      <w:r w:rsidRPr="005311DB">
        <w:rPr>
          <w:rFonts w:cs="Arial"/>
          <w:color w:val="000000" w:themeColor="text1"/>
          <w:szCs w:val="22"/>
          <w:lang w:val="en-GB"/>
        </w:rPr>
        <w:t xml:space="preserve">, E., Jeffreys, S., </w:t>
      </w:r>
      <w:proofErr w:type="spellStart"/>
      <w:r w:rsidRPr="005311DB">
        <w:rPr>
          <w:rFonts w:cs="Arial"/>
          <w:color w:val="000000" w:themeColor="text1"/>
          <w:szCs w:val="22"/>
          <w:lang w:val="en-GB"/>
        </w:rPr>
        <w:t>Jeynes</w:t>
      </w:r>
      <w:proofErr w:type="spellEnd"/>
      <w:r w:rsidRPr="005311DB">
        <w:rPr>
          <w:rFonts w:cs="Arial"/>
          <w:color w:val="000000" w:themeColor="text1"/>
          <w:szCs w:val="22"/>
          <w:lang w:val="en-GB"/>
        </w:rPr>
        <w:t>, T., Crawford, M.J., Moran, P. and McNicholas, S. (2022). Clinician views on best practice community care for people with complex emotional needs and how it can be achieved: a qualitative study. </w:t>
      </w:r>
      <w:r w:rsidRPr="005311DB">
        <w:rPr>
          <w:rFonts w:cs="Arial"/>
          <w:i/>
          <w:iCs/>
          <w:color w:val="000000" w:themeColor="text1"/>
          <w:szCs w:val="22"/>
          <w:lang w:val="en-GB"/>
        </w:rPr>
        <w:t>BMC psychiatry</w:t>
      </w:r>
      <w:r w:rsidRPr="005311DB">
        <w:rPr>
          <w:rFonts w:cs="Arial"/>
          <w:color w:val="000000" w:themeColor="text1"/>
          <w:szCs w:val="22"/>
          <w:lang w:val="en-GB"/>
        </w:rPr>
        <w:t>, </w:t>
      </w:r>
      <w:r w:rsidRPr="005311DB">
        <w:rPr>
          <w:rFonts w:cs="Arial"/>
          <w:i/>
          <w:iCs/>
          <w:color w:val="000000" w:themeColor="text1"/>
          <w:szCs w:val="22"/>
          <w:lang w:val="en-GB"/>
        </w:rPr>
        <w:t>22</w:t>
      </w:r>
      <w:r w:rsidRPr="005311DB">
        <w:rPr>
          <w:rFonts w:cs="Arial"/>
          <w:color w:val="000000" w:themeColor="text1"/>
          <w:szCs w:val="22"/>
          <w:lang w:val="en-GB"/>
        </w:rPr>
        <w:t xml:space="preserve">(1), p.72. https://doi.org/10.1186/s12888-022-03711-x </w:t>
      </w:r>
    </w:p>
    <w:p w14:paraId="213E25D9"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Keluskar, J., Reicher, D., Gorecki, A., Mazefsky, C. and Crowell, J.A. (2021). Understanding, Assessing, and Intervening with Emotion Dysregulation in Autism Spectrum Disorder: A Developmental Perspective. </w:t>
      </w:r>
      <w:r w:rsidRPr="005311DB">
        <w:rPr>
          <w:rFonts w:cs="Arial"/>
          <w:i/>
          <w:iCs/>
          <w:color w:val="000000" w:themeColor="text1"/>
          <w:szCs w:val="22"/>
          <w:lang w:val="en-GB"/>
        </w:rPr>
        <w:t>Child and Adolescent Psychiatric Clinics of North America</w:t>
      </w:r>
      <w:r w:rsidRPr="005311DB">
        <w:rPr>
          <w:rFonts w:cs="Arial"/>
          <w:color w:val="000000" w:themeColor="text1"/>
          <w:szCs w:val="22"/>
          <w:lang w:val="en-GB"/>
        </w:rPr>
        <w:t xml:space="preserve">, 30(2), pp. 335–348. https://doi.org/10.1016/j.chc.2020.10.013 </w:t>
      </w:r>
    </w:p>
    <w:p w14:paraId="683EBB97"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proofErr w:type="spellStart"/>
      <w:r w:rsidRPr="005311DB">
        <w:rPr>
          <w:rFonts w:cs="Arial"/>
          <w:color w:val="000000" w:themeColor="text1"/>
          <w:szCs w:val="22"/>
          <w:lang w:val="en-GB"/>
        </w:rPr>
        <w:t>Kenézlői</w:t>
      </w:r>
      <w:proofErr w:type="spellEnd"/>
      <w:r w:rsidRPr="005311DB">
        <w:rPr>
          <w:rFonts w:cs="Arial"/>
          <w:color w:val="000000" w:themeColor="text1"/>
          <w:szCs w:val="22"/>
          <w:lang w:val="en-GB"/>
        </w:rPr>
        <w:t xml:space="preserve">, E., Balogh, L., Somogyi, S., Lévay, E.E., Halmai, Z., Nemoda, Z., Unoka, Z.S. and </w:t>
      </w:r>
      <w:proofErr w:type="spellStart"/>
      <w:r w:rsidRPr="005311DB">
        <w:rPr>
          <w:rFonts w:cs="Arial"/>
          <w:color w:val="000000" w:themeColor="text1"/>
          <w:szCs w:val="22"/>
          <w:lang w:val="en-GB"/>
        </w:rPr>
        <w:t>Réthelyi</w:t>
      </w:r>
      <w:proofErr w:type="spellEnd"/>
      <w:r w:rsidRPr="005311DB">
        <w:rPr>
          <w:rFonts w:cs="Arial"/>
          <w:color w:val="000000" w:themeColor="text1"/>
          <w:szCs w:val="22"/>
          <w:lang w:val="en-GB"/>
        </w:rPr>
        <w:t>, J.M. (2025). Emotion dysregulation and impulsivity as overlapping symptoms in adult Attention-Deficit/Hyperactivity Disorder and Borderline Personality Disorder: severity profiles and associations with childhood traumatization and personality functioning. </w:t>
      </w:r>
      <w:r w:rsidRPr="005311DB">
        <w:rPr>
          <w:rFonts w:cs="Arial"/>
          <w:i/>
          <w:iCs/>
          <w:color w:val="000000" w:themeColor="text1"/>
          <w:szCs w:val="22"/>
          <w:lang w:val="en-GB"/>
        </w:rPr>
        <w:t>Annals of general psychiatry</w:t>
      </w:r>
      <w:r w:rsidRPr="005311DB">
        <w:rPr>
          <w:rFonts w:cs="Arial"/>
          <w:color w:val="000000" w:themeColor="text1"/>
          <w:szCs w:val="22"/>
          <w:lang w:val="en-GB"/>
        </w:rPr>
        <w:t>, </w:t>
      </w:r>
      <w:r w:rsidRPr="005311DB">
        <w:rPr>
          <w:rFonts w:cs="Arial"/>
          <w:i/>
          <w:iCs/>
          <w:color w:val="000000" w:themeColor="text1"/>
          <w:szCs w:val="22"/>
          <w:lang w:val="en-GB"/>
        </w:rPr>
        <w:t>24</w:t>
      </w:r>
      <w:r w:rsidRPr="005311DB">
        <w:rPr>
          <w:rFonts w:cs="Arial"/>
          <w:color w:val="000000" w:themeColor="text1"/>
          <w:szCs w:val="22"/>
          <w:lang w:val="en-GB"/>
        </w:rPr>
        <w:t xml:space="preserve">(1), p.3. </w:t>
      </w:r>
      <w:hyperlink r:id="rId10" w:history="1">
        <w:r w:rsidRPr="005311DB">
          <w:rPr>
            <w:rStyle w:val="Hyperlink"/>
            <w:rFonts w:cs="Arial"/>
            <w:color w:val="000000" w:themeColor="text1"/>
            <w:szCs w:val="22"/>
            <w:lang w:val="en-GB"/>
          </w:rPr>
          <w:t>https://doi.org/10.1186/s12991-024-00540-y</w:t>
        </w:r>
      </w:hyperlink>
    </w:p>
    <w:p w14:paraId="49AF6DD1" w14:textId="77777777" w:rsidR="00121CD6" w:rsidRPr="005311DB" w:rsidRDefault="00121CD6" w:rsidP="00121CD6">
      <w:pPr>
        <w:spacing w:line="360" w:lineRule="auto"/>
        <w:ind w:left="720" w:hanging="720"/>
        <w:rPr>
          <w:rFonts w:cs="Arial"/>
          <w:color w:val="000000" w:themeColor="text1"/>
          <w:szCs w:val="22"/>
          <w:lang w:val="en-GB"/>
        </w:rPr>
      </w:pPr>
      <w:r w:rsidRPr="005311DB">
        <w:rPr>
          <w:rFonts w:cs="Arial"/>
          <w:color w:val="000000" w:themeColor="text1"/>
          <w:szCs w:val="22"/>
          <w:lang w:val="en-GB"/>
        </w:rPr>
        <w:t xml:space="preserve">Leichsenring, F., Fonagy, P., Heim, N., Kernberg, O.F., Leweke, F., Luyten, P., Salzer, S., Spitzer, C. and Steinert, C. (2024). Borderline personality disorder: a comprehensive review of diagnosis and clinical presentation, </w:t>
      </w:r>
      <w:proofErr w:type="spellStart"/>
      <w:r w:rsidRPr="005311DB">
        <w:rPr>
          <w:rFonts w:cs="Arial"/>
          <w:color w:val="000000" w:themeColor="text1"/>
          <w:szCs w:val="22"/>
          <w:lang w:val="en-GB"/>
        </w:rPr>
        <w:t>etiology</w:t>
      </w:r>
      <w:proofErr w:type="spellEnd"/>
      <w:r w:rsidRPr="005311DB">
        <w:rPr>
          <w:rFonts w:cs="Arial"/>
          <w:color w:val="000000" w:themeColor="text1"/>
          <w:szCs w:val="22"/>
          <w:lang w:val="en-GB"/>
        </w:rPr>
        <w:t>, treatment, and current controversies. </w:t>
      </w:r>
      <w:r w:rsidRPr="005311DB">
        <w:rPr>
          <w:rFonts w:cs="Arial"/>
          <w:i/>
          <w:iCs/>
          <w:color w:val="000000" w:themeColor="text1"/>
          <w:szCs w:val="22"/>
          <w:lang w:val="en-GB"/>
        </w:rPr>
        <w:t>World psychiatry</w:t>
      </w:r>
      <w:r w:rsidRPr="005311DB">
        <w:rPr>
          <w:rFonts w:cs="Arial"/>
          <w:color w:val="000000" w:themeColor="text1"/>
          <w:szCs w:val="22"/>
          <w:lang w:val="en-GB"/>
        </w:rPr>
        <w:t>, </w:t>
      </w:r>
      <w:r w:rsidRPr="005311DB">
        <w:rPr>
          <w:rFonts w:cs="Arial"/>
          <w:i/>
          <w:iCs/>
          <w:color w:val="000000" w:themeColor="text1"/>
          <w:szCs w:val="22"/>
          <w:lang w:val="en-GB"/>
        </w:rPr>
        <w:t>23</w:t>
      </w:r>
      <w:r w:rsidRPr="005311DB">
        <w:rPr>
          <w:rFonts w:cs="Arial"/>
          <w:color w:val="000000" w:themeColor="text1"/>
          <w:szCs w:val="22"/>
          <w:lang w:val="en-GB"/>
        </w:rPr>
        <w:t xml:space="preserve">(1), pp.4-25. </w:t>
      </w:r>
      <w:hyperlink r:id="rId11" w:history="1">
        <w:r w:rsidRPr="005311DB">
          <w:rPr>
            <w:rStyle w:val="Hyperlink"/>
            <w:rFonts w:cs="Arial"/>
            <w:color w:val="000000" w:themeColor="text1"/>
            <w:szCs w:val="22"/>
            <w:lang w:val="en-GB"/>
          </w:rPr>
          <w:t>https://onlinelibrary.wiley.com/doi/10.1002/wps.21156</w:t>
        </w:r>
      </w:hyperlink>
    </w:p>
    <w:p w14:paraId="6A14BC39"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May, T., Pilkington, P.D., Younan, R. and Williams, K. (2021). Overlap of autism spectrum disorder and borderline personality disorder: A systematic review and meta-analysis’, </w:t>
      </w:r>
      <w:r w:rsidRPr="005311DB">
        <w:rPr>
          <w:rFonts w:cs="Arial"/>
          <w:i/>
          <w:iCs/>
          <w:color w:val="000000" w:themeColor="text1"/>
          <w:szCs w:val="22"/>
          <w:lang w:val="en-GB"/>
        </w:rPr>
        <w:t>Autism Research</w:t>
      </w:r>
      <w:r w:rsidRPr="005311DB">
        <w:rPr>
          <w:rFonts w:cs="Arial"/>
          <w:color w:val="000000" w:themeColor="text1"/>
          <w:szCs w:val="22"/>
          <w:lang w:val="en-GB"/>
        </w:rPr>
        <w:t xml:space="preserve">, 14(12), pp. 2688–2710. https://doi.org/10.1002/aur.2619 </w:t>
      </w:r>
    </w:p>
    <w:p w14:paraId="3885B39E"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lastRenderedPageBreak/>
        <w:t xml:space="preserve">National Institute for Health and Care Excellence (2024). </w:t>
      </w:r>
      <w:r w:rsidRPr="005311DB">
        <w:rPr>
          <w:rFonts w:cs="Arial"/>
          <w:i/>
          <w:iCs/>
          <w:color w:val="000000" w:themeColor="text1"/>
          <w:szCs w:val="22"/>
          <w:lang w:val="en-GB"/>
        </w:rPr>
        <w:t>Borderline Personality Disorder: Recognition and Management (CG78)</w:t>
      </w:r>
      <w:r w:rsidRPr="005311DB">
        <w:rPr>
          <w:rFonts w:cs="Arial"/>
          <w:color w:val="000000" w:themeColor="text1"/>
          <w:szCs w:val="22"/>
          <w:lang w:val="en-GB"/>
        </w:rPr>
        <w:t xml:space="preserve">. Available at: </w:t>
      </w:r>
      <w:hyperlink r:id="rId12" w:tgtFrame="_new" w:history="1">
        <w:r w:rsidRPr="005311DB">
          <w:rPr>
            <w:rStyle w:val="Hyperlink"/>
            <w:rFonts w:cs="Arial"/>
            <w:color w:val="000000" w:themeColor="text1"/>
            <w:szCs w:val="22"/>
            <w:lang w:val="en-GB"/>
          </w:rPr>
          <w:t>https://www.nice.org.uk/guidance/cg78</w:t>
        </w:r>
      </w:hyperlink>
      <w:r w:rsidRPr="005311DB">
        <w:rPr>
          <w:rFonts w:cs="Arial"/>
          <w:color w:val="000000" w:themeColor="text1"/>
          <w:szCs w:val="22"/>
          <w:lang w:val="en-GB"/>
        </w:rPr>
        <w:t xml:space="preserve"> </w:t>
      </w:r>
    </w:p>
    <w:p w14:paraId="7C48973A"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Pan, B. and Wang, W. (2024). Practical implications of ICD-11 personality disorder classifications. </w:t>
      </w:r>
      <w:r w:rsidRPr="005311DB">
        <w:rPr>
          <w:rFonts w:cs="Arial"/>
          <w:i/>
          <w:iCs/>
          <w:color w:val="000000" w:themeColor="text1"/>
          <w:szCs w:val="22"/>
          <w:lang w:val="en-GB"/>
        </w:rPr>
        <w:t>BMC Psychiatry</w:t>
      </w:r>
      <w:r w:rsidRPr="005311DB">
        <w:rPr>
          <w:rFonts w:cs="Arial"/>
          <w:color w:val="000000" w:themeColor="text1"/>
          <w:szCs w:val="22"/>
          <w:lang w:val="en-GB"/>
        </w:rPr>
        <w:t xml:space="preserve">, 24, 191. </w:t>
      </w:r>
      <w:hyperlink r:id="rId13" w:tgtFrame="_new" w:history="1">
        <w:r w:rsidRPr="005311DB">
          <w:rPr>
            <w:rStyle w:val="Hyperlink"/>
            <w:rFonts w:cs="Arial"/>
            <w:color w:val="000000" w:themeColor="text1"/>
            <w:szCs w:val="22"/>
            <w:lang w:val="en-GB"/>
          </w:rPr>
          <w:t>https://doi.org/10.1186/s12888-024-05640-3</w:t>
        </w:r>
      </w:hyperlink>
      <w:r w:rsidRPr="005311DB">
        <w:rPr>
          <w:rFonts w:cs="Arial"/>
          <w:color w:val="000000" w:themeColor="text1"/>
          <w:szCs w:val="22"/>
          <w:lang w:val="en-GB"/>
        </w:rPr>
        <w:t xml:space="preserve"> </w:t>
      </w:r>
    </w:p>
    <w:p w14:paraId="07DE7C51"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Schmitz, M., Bertsch, K., Löffler, A., Steinmann, S., </w:t>
      </w:r>
      <w:proofErr w:type="spellStart"/>
      <w:r w:rsidRPr="005311DB">
        <w:rPr>
          <w:rFonts w:cs="Arial"/>
          <w:color w:val="000000" w:themeColor="text1"/>
          <w:szCs w:val="22"/>
          <w:lang w:val="en-GB"/>
        </w:rPr>
        <w:t>Herpertz</w:t>
      </w:r>
      <w:proofErr w:type="spellEnd"/>
      <w:r w:rsidRPr="005311DB">
        <w:rPr>
          <w:rFonts w:cs="Arial"/>
          <w:color w:val="000000" w:themeColor="text1"/>
          <w:szCs w:val="22"/>
          <w:lang w:val="en-GB"/>
        </w:rPr>
        <w:t xml:space="preserve">, S.C. and </w:t>
      </w:r>
      <w:proofErr w:type="spellStart"/>
      <w:r w:rsidRPr="005311DB">
        <w:rPr>
          <w:rFonts w:cs="Arial"/>
          <w:color w:val="000000" w:themeColor="text1"/>
          <w:szCs w:val="22"/>
          <w:lang w:val="en-GB"/>
        </w:rPr>
        <w:t>Bekrater</w:t>
      </w:r>
      <w:proofErr w:type="spellEnd"/>
      <w:r w:rsidRPr="005311DB">
        <w:rPr>
          <w:rFonts w:cs="Arial"/>
          <w:color w:val="000000" w:themeColor="text1"/>
          <w:szCs w:val="22"/>
          <w:lang w:val="en-GB"/>
        </w:rPr>
        <w:t>-Bodmann, R., 2021. Body connection mediates the relationship between traumatic childhood experiences and impaired emotion regulation in borderline personality disorder. </w:t>
      </w:r>
      <w:r w:rsidRPr="005311DB">
        <w:rPr>
          <w:rFonts w:cs="Arial"/>
          <w:i/>
          <w:iCs/>
          <w:color w:val="000000" w:themeColor="text1"/>
          <w:szCs w:val="22"/>
          <w:lang w:val="en-GB"/>
        </w:rPr>
        <w:t>Borderline Personality Disorder and Emotion Dysregulation</w:t>
      </w:r>
      <w:r w:rsidRPr="005311DB">
        <w:rPr>
          <w:rFonts w:cs="Arial"/>
          <w:color w:val="000000" w:themeColor="text1"/>
          <w:szCs w:val="22"/>
          <w:lang w:val="en-GB"/>
        </w:rPr>
        <w:t>, </w:t>
      </w:r>
      <w:r w:rsidRPr="005311DB">
        <w:rPr>
          <w:rFonts w:cs="Arial"/>
          <w:i/>
          <w:iCs/>
          <w:color w:val="000000" w:themeColor="text1"/>
          <w:szCs w:val="22"/>
          <w:lang w:val="en-GB"/>
        </w:rPr>
        <w:t>8</w:t>
      </w:r>
      <w:r w:rsidRPr="005311DB">
        <w:rPr>
          <w:rFonts w:cs="Arial"/>
          <w:color w:val="000000" w:themeColor="text1"/>
          <w:szCs w:val="22"/>
          <w:lang w:val="en-GB"/>
        </w:rPr>
        <w:t xml:space="preserve">(1), p.17. https://doi.org/10.1186/s40479-021-00157-7 </w:t>
      </w:r>
    </w:p>
    <w:p w14:paraId="7D53E6CB"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proofErr w:type="spellStart"/>
      <w:r w:rsidRPr="005311DB">
        <w:rPr>
          <w:rFonts w:cs="Arial"/>
          <w:color w:val="000000" w:themeColor="text1"/>
          <w:szCs w:val="22"/>
          <w:lang w:val="en-GB"/>
        </w:rPr>
        <w:t>Sellbom</w:t>
      </w:r>
      <w:proofErr w:type="spellEnd"/>
      <w:r w:rsidRPr="005311DB">
        <w:rPr>
          <w:rFonts w:cs="Arial"/>
          <w:color w:val="000000" w:themeColor="text1"/>
          <w:szCs w:val="22"/>
          <w:lang w:val="en-GB"/>
        </w:rPr>
        <w:t xml:space="preserve">, M., Brown, T.A. and Bach, B. (2024). Development and psychometric evaluation of the Personality Disorder Severity ICD-11 (PDS-ICD-11) Clinician-Rating Form. </w:t>
      </w:r>
      <w:r w:rsidRPr="005311DB">
        <w:rPr>
          <w:rFonts w:cs="Arial"/>
          <w:i/>
          <w:iCs/>
          <w:color w:val="000000" w:themeColor="text1"/>
          <w:szCs w:val="22"/>
          <w:lang w:val="en-GB"/>
        </w:rPr>
        <w:t>Personal Mental Health</w:t>
      </w:r>
      <w:r w:rsidRPr="005311DB">
        <w:rPr>
          <w:rFonts w:cs="Arial"/>
          <w:color w:val="000000" w:themeColor="text1"/>
          <w:szCs w:val="22"/>
          <w:lang w:val="en-GB"/>
        </w:rPr>
        <w:t xml:space="preserve">, 18(1), pp. 60–68. </w:t>
      </w:r>
      <w:hyperlink r:id="rId14" w:tgtFrame="_new" w:history="1">
        <w:r w:rsidRPr="005311DB">
          <w:rPr>
            <w:rStyle w:val="Hyperlink"/>
            <w:rFonts w:cs="Arial"/>
            <w:color w:val="000000" w:themeColor="text1"/>
            <w:szCs w:val="22"/>
            <w:lang w:val="en-GB"/>
          </w:rPr>
          <w:t>https://doi.org/10.1002/pmh.1596</w:t>
        </w:r>
      </w:hyperlink>
      <w:r w:rsidRPr="005311DB">
        <w:rPr>
          <w:rFonts w:cs="Arial"/>
          <w:color w:val="000000" w:themeColor="text1"/>
          <w:szCs w:val="22"/>
          <w:lang w:val="en-GB"/>
        </w:rPr>
        <w:t xml:space="preserve"> </w:t>
      </w:r>
    </w:p>
    <w:p w14:paraId="16CA02DE"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Snow, M.B., Balling, C. and Zimmerman, M. (2020). Re-Examining Borderline Personality Disorder and Substance Use Disorder: The Role of Emotion Dysregulation. </w:t>
      </w:r>
      <w:r w:rsidRPr="005311DB">
        <w:rPr>
          <w:rFonts w:cs="Arial"/>
          <w:i/>
          <w:iCs/>
          <w:color w:val="000000" w:themeColor="text1"/>
          <w:szCs w:val="22"/>
          <w:lang w:val="en-GB"/>
        </w:rPr>
        <w:t xml:space="preserve">The </w:t>
      </w:r>
      <w:proofErr w:type="spellStart"/>
      <w:r w:rsidRPr="005311DB">
        <w:rPr>
          <w:rFonts w:cs="Arial"/>
          <w:i/>
          <w:iCs/>
          <w:color w:val="000000" w:themeColor="text1"/>
          <w:szCs w:val="22"/>
          <w:lang w:val="en-GB"/>
        </w:rPr>
        <w:t>Behavior</w:t>
      </w:r>
      <w:proofErr w:type="spellEnd"/>
      <w:r w:rsidRPr="005311DB">
        <w:rPr>
          <w:rFonts w:cs="Arial"/>
          <w:i/>
          <w:iCs/>
          <w:color w:val="000000" w:themeColor="text1"/>
          <w:szCs w:val="22"/>
          <w:lang w:val="en-GB"/>
        </w:rPr>
        <w:t xml:space="preserve"> Therapist</w:t>
      </w:r>
      <w:r w:rsidRPr="005311DB">
        <w:rPr>
          <w:rFonts w:cs="Arial"/>
          <w:color w:val="000000" w:themeColor="text1"/>
          <w:szCs w:val="22"/>
          <w:lang w:val="en-GB"/>
        </w:rPr>
        <w:t xml:space="preserve">, 32(2). https://doi.org/10.1177/104012372003200213 </w:t>
      </w:r>
    </w:p>
    <w:p w14:paraId="5EDCC1B5"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Stoffers-Winterling, J., Storebø, O.J. and Lieb, K. (2020). Pharmacotherapy for borderline personality disorder: an update of published, unpublished and ongoing studies. </w:t>
      </w:r>
      <w:r w:rsidRPr="005311DB">
        <w:rPr>
          <w:rFonts w:cs="Arial"/>
          <w:i/>
          <w:iCs/>
          <w:color w:val="000000" w:themeColor="text1"/>
          <w:szCs w:val="22"/>
          <w:lang w:val="en-GB"/>
        </w:rPr>
        <w:t>Current Psychiatry Reports</w:t>
      </w:r>
      <w:r w:rsidRPr="005311DB">
        <w:rPr>
          <w:rFonts w:cs="Arial"/>
          <w:color w:val="000000" w:themeColor="text1"/>
          <w:szCs w:val="22"/>
          <w:lang w:val="en-GB"/>
        </w:rPr>
        <w:t>, </w:t>
      </w:r>
      <w:r w:rsidRPr="005311DB">
        <w:rPr>
          <w:rFonts w:cs="Arial"/>
          <w:i/>
          <w:iCs/>
          <w:color w:val="000000" w:themeColor="text1"/>
          <w:szCs w:val="22"/>
          <w:lang w:val="en-GB"/>
        </w:rPr>
        <w:t>22</w:t>
      </w:r>
      <w:r w:rsidRPr="005311DB">
        <w:rPr>
          <w:rFonts w:cs="Arial"/>
          <w:color w:val="000000" w:themeColor="text1"/>
          <w:szCs w:val="22"/>
          <w:lang w:val="en-GB"/>
        </w:rPr>
        <w:t>(8), p.37.</w:t>
      </w:r>
      <w:r w:rsidRPr="005311DB">
        <w:rPr>
          <w:rFonts w:cs="Arial"/>
          <w:color w:val="000000" w:themeColor="text1"/>
          <w:szCs w:val="22"/>
          <w:lang w:val="en-GB"/>
        </w:rPr>
        <w:br/>
        <w:t>https://doi.org/10.1007/s11920-020-01164-1</w:t>
      </w:r>
    </w:p>
    <w:p w14:paraId="56002C65" w14:textId="77777777" w:rsidR="00121CD6" w:rsidRPr="005311DB" w:rsidRDefault="00121CD6" w:rsidP="00121CD6">
      <w:pPr>
        <w:spacing w:line="360" w:lineRule="auto"/>
        <w:ind w:left="720" w:hanging="720"/>
        <w:rPr>
          <w:rFonts w:cs="Arial"/>
          <w:color w:val="000000" w:themeColor="text1"/>
          <w:szCs w:val="22"/>
          <w:lang w:val="en-GB"/>
        </w:rPr>
      </w:pPr>
      <w:r w:rsidRPr="005311DB">
        <w:rPr>
          <w:rFonts w:cs="Arial"/>
          <w:color w:val="000000" w:themeColor="text1"/>
          <w:szCs w:val="22"/>
          <w:lang w:val="en-GB"/>
        </w:rPr>
        <w:t>Swales, M.A. (2022). Personality disorder diagnoses in ICD-11: Transforming conceptualisations and practice. </w:t>
      </w:r>
      <w:r w:rsidRPr="005311DB">
        <w:rPr>
          <w:rFonts w:cs="Arial"/>
          <w:i/>
          <w:iCs/>
          <w:color w:val="000000" w:themeColor="text1"/>
          <w:szCs w:val="22"/>
          <w:lang w:val="en-GB"/>
        </w:rPr>
        <w:t>Clinical Psychology in Europe</w:t>
      </w:r>
      <w:r w:rsidRPr="005311DB">
        <w:rPr>
          <w:rFonts w:cs="Arial"/>
          <w:color w:val="000000" w:themeColor="text1"/>
          <w:szCs w:val="22"/>
          <w:lang w:val="en-GB"/>
        </w:rPr>
        <w:t>, </w:t>
      </w:r>
      <w:r w:rsidRPr="005311DB">
        <w:rPr>
          <w:rFonts w:cs="Arial"/>
          <w:i/>
          <w:iCs/>
          <w:color w:val="000000" w:themeColor="text1"/>
          <w:szCs w:val="22"/>
          <w:lang w:val="en-GB"/>
        </w:rPr>
        <w:t>4</w:t>
      </w:r>
      <w:r w:rsidRPr="005311DB">
        <w:rPr>
          <w:rFonts w:cs="Arial"/>
          <w:color w:val="000000" w:themeColor="text1"/>
          <w:szCs w:val="22"/>
          <w:lang w:val="en-GB"/>
        </w:rPr>
        <w:t xml:space="preserve">(Spec Issue), p.e9635. </w:t>
      </w:r>
      <w:hyperlink r:id="rId15" w:history="1">
        <w:r w:rsidRPr="005311DB">
          <w:rPr>
            <w:rStyle w:val="Hyperlink"/>
            <w:rFonts w:cs="Arial"/>
            <w:color w:val="000000" w:themeColor="text1"/>
            <w:szCs w:val="22"/>
            <w:lang w:val="en-GB"/>
          </w:rPr>
          <w:t>https://doi.org/10.32872/10.32872/cpe.v4.si</w:t>
        </w:r>
      </w:hyperlink>
    </w:p>
    <w:p w14:paraId="5FB41141"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proofErr w:type="spellStart"/>
      <w:r w:rsidRPr="005311DB">
        <w:rPr>
          <w:rFonts w:cs="Arial"/>
          <w:color w:val="000000" w:themeColor="text1"/>
          <w:szCs w:val="22"/>
          <w:lang w:val="en-GB"/>
        </w:rPr>
        <w:t>Vegni</w:t>
      </w:r>
      <w:proofErr w:type="spellEnd"/>
      <w:r w:rsidRPr="005311DB">
        <w:rPr>
          <w:rFonts w:cs="Arial"/>
          <w:color w:val="000000" w:themeColor="text1"/>
          <w:szCs w:val="22"/>
          <w:lang w:val="en-GB"/>
        </w:rPr>
        <w:t xml:space="preserve">, N., </w:t>
      </w:r>
      <w:proofErr w:type="spellStart"/>
      <w:r w:rsidRPr="005311DB">
        <w:rPr>
          <w:rFonts w:cs="Arial"/>
          <w:color w:val="000000" w:themeColor="text1"/>
          <w:szCs w:val="22"/>
          <w:lang w:val="en-GB"/>
        </w:rPr>
        <w:t>D'Ardia</w:t>
      </w:r>
      <w:proofErr w:type="spellEnd"/>
      <w:r w:rsidRPr="005311DB">
        <w:rPr>
          <w:rFonts w:cs="Arial"/>
          <w:color w:val="000000" w:themeColor="text1"/>
          <w:szCs w:val="22"/>
          <w:lang w:val="en-GB"/>
        </w:rPr>
        <w:t xml:space="preserve">, C. and Torregiani, G. (2021). Empathy, Mentalization, and Theory of Mind in Borderline Personality Disorder: Possible Overlap </w:t>
      </w:r>
      <w:proofErr w:type="gramStart"/>
      <w:r w:rsidRPr="005311DB">
        <w:rPr>
          <w:rFonts w:cs="Arial"/>
          <w:color w:val="000000" w:themeColor="text1"/>
          <w:szCs w:val="22"/>
          <w:lang w:val="en-GB"/>
        </w:rPr>
        <w:t>With</w:t>
      </w:r>
      <w:proofErr w:type="gramEnd"/>
      <w:r w:rsidRPr="005311DB">
        <w:rPr>
          <w:rFonts w:cs="Arial"/>
          <w:color w:val="000000" w:themeColor="text1"/>
          <w:szCs w:val="22"/>
          <w:lang w:val="en-GB"/>
        </w:rPr>
        <w:t xml:space="preserve"> Autism Spectrum Disorders. </w:t>
      </w:r>
      <w:r w:rsidRPr="005311DB">
        <w:rPr>
          <w:rFonts w:cs="Arial"/>
          <w:i/>
          <w:iCs/>
          <w:color w:val="000000" w:themeColor="text1"/>
          <w:szCs w:val="22"/>
          <w:lang w:val="en-GB"/>
        </w:rPr>
        <w:t>Frontiers in Psychology</w:t>
      </w:r>
      <w:r w:rsidRPr="005311DB">
        <w:rPr>
          <w:rFonts w:cs="Arial"/>
          <w:color w:val="000000" w:themeColor="text1"/>
          <w:szCs w:val="22"/>
          <w:lang w:val="en-GB"/>
        </w:rPr>
        <w:t xml:space="preserve">, 12, 626353. https://doi.org/10.3389/fpsyg.2021.626353 </w:t>
      </w:r>
    </w:p>
    <w:p w14:paraId="1A06E067"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Watts, J. (2024). The epistemic injustice of borderline personality disorder. </w:t>
      </w:r>
      <w:proofErr w:type="spellStart"/>
      <w:r w:rsidRPr="005311DB">
        <w:rPr>
          <w:rFonts w:cs="Arial"/>
          <w:i/>
          <w:iCs/>
          <w:color w:val="000000" w:themeColor="text1"/>
          <w:szCs w:val="22"/>
          <w:lang w:val="en-GB"/>
        </w:rPr>
        <w:t>BJPsych</w:t>
      </w:r>
      <w:proofErr w:type="spellEnd"/>
      <w:r w:rsidRPr="005311DB">
        <w:rPr>
          <w:rFonts w:cs="Arial"/>
          <w:i/>
          <w:iCs/>
          <w:color w:val="000000" w:themeColor="text1"/>
          <w:szCs w:val="22"/>
          <w:lang w:val="en-GB"/>
        </w:rPr>
        <w:t xml:space="preserve"> International</w:t>
      </w:r>
      <w:r w:rsidRPr="005311DB">
        <w:rPr>
          <w:rFonts w:cs="Arial"/>
          <w:color w:val="000000" w:themeColor="text1"/>
          <w:szCs w:val="22"/>
          <w:lang w:val="en-GB"/>
        </w:rPr>
        <w:t>, </w:t>
      </w:r>
      <w:r w:rsidRPr="005311DB">
        <w:rPr>
          <w:rFonts w:cs="Arial"/>
          <w:i/>
          <w:iCs/>
          <w:color w:val="000000" w:themeColor="text1"/>
          <w:szCs w:val="22"/>
          <w:lang w:val="en-GB"/>
        </w:rPr>
        <w:t>21</w:t>
      </w:r>
      <w:r w:rsidRPr="005311DB">
        <w:rPr>
          <w:rFonts w:cs="Arial"/>
          <w:color w:val="000000" w:themeColor="text1"/>
          <w:szCs w:val="22"/>
          <w:lang w:val="en-GB"/>
        </w:rPr>
        <w:t>(4), pp.78-82.</w:t>
      </w:r>
      <w:r w:rsidRPr="005311DB">
        <w:rPr>
          <w:rFonts w:cs="Arial"/>
          <w:color w:val="000000" w:themeColor="text1"/>
          <w:szCs w:val="22"/>
          <w:lang w:val="en-GB"/>
        </w:rPr>
        <w:br/>
      </w:r>
      <w:hyperlink r:id="rId16" w:tgtFrame="_new" w:history="1">
        <w:r w:rsidRPr="005311DB">
          <w:rPr>
            <w:rStyle w:val="Hyperlink"/>
            <w:rFonts w:cs="Arial"/>
            <w:color w:val="000000" w:themeColor="text1"/>
            <w:szCs w:val="22"/>
            <w:lang w:val="en-GB"/>
          </w:rPr>
          <w:t>https://doi.org/10.1192/bji.2024.16</w:t>
        </w:r>
      </w:hyperlink>
      <w:r w:rsidRPr="005311DB">
        <w:rPr>
          <w:rFonts w:cs="Arial"/>
          <w:color w:val="000000" w:themeColor="text1"/>
          <w:szCs w:val="22"/>
          <w:lang w:val="en-GB"/>
        </w:rPr>
        <w:t xml:space="preserve"> </w:t>
      </w:r>
    </w:p>
    <w:p w14:paraId="14DB9794" w14:textId="77777777" w:rsidR="00121CD6"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World Health Organisation (2022). </w:t>
      </w:r>
      <w:r w:rsidRPr="005311DB">
        <w:rPr>
          <w:rFonts w:cs="Arial"/>
          <w:i/>
          <w:iCs/>
          <w:color w:val="000000" w:themeColor="text1"/>
          <w:szCs w:val="22"/>
          <w:lang w:val="en-GB"/>
        </w:rPr>
        <w:t>ICD-11 for Mortality and Morbidity Statistics</w:t>
      </w:r>
      <w:r w:rsidRPr="005311DB">
        <w:rPr>
          <w:rFonts w:cs="Arial"/>
          <w:color w:val="000000" w:themeColor="text1"/>
          <w:szCs w:val="22"/>
          <w:lang w:val="en-GB"/>
        </w:rPr>
        <w:t>.</w:t>
      </w:r>
      <w:r w:rsidRPr="005311DB">
        <w:rPr>
          <w:rFonts w:cs="Arial"/>
          <w:color w:val="000000" w:themeColor="text1"/>
          <w:szCs w:val="22"/>
          <w:lang w:val="en-GB"/>
        </w:rPr>
        <w:br/>
      </w:r>
      <w:hyperlink r:id="rId17" w:tgtFrame="_new" w:history="1">
        <w:r w:rsidRPr="005311DB">
          <w:rPr>
            <w:rStyle w:val="Hyperlink"/>
            <w:rFonts w:cs="Arial"/>
            <w:color w:val="000000" w:themeColor="text1"/>
            <w:szCs w:val="22"/>
            <w:lang w:val="en-GB"/>
          </w:rPr>
          <w:t>https://icd.who.int/browse11/l-m/en</w:t>
        </w:r>
      </w:hyperlink>
      <w:r w:rsidRPr="005311DB">
        <w:rPr>
          <w:rFonts w:cs="Arial"/>
          <w:color w:val="000000" w:themeColor="text1"/>
          <w:szCs w:val="22"/>
          <w:lang w:val="en-GB"/>
        </w:rPr>
        <w:t xml:space="preserve"> </w:t>
      </w:r>
    </w:p>
    <w:p w14:paraId="694CF114" w14:textId="24618BB0" w:rsidR="00F10D73" w:rsidRPr="005311DB" w:rsidRDefault="00121CD6" w:rsidP="00121CD6">
      <w:pPr>
        <w:spacing w:after="0" w:line="360" w:lineRule="auto"/>
        <w:ind w:left="720" w:hanging="720"/>
        <w:contextualSpacing/>
        <w:jc w:val="both"/>
        <w:rPr>
          <w:rFonts w:cs="Arial"/>
          <w:color w:val="000000" w:themeColor="text1"/>
          <w:szCs w:val="22"/>
          <w:lang w:val="en-GB"/>
        </w:rPr>
      </w:pPr>
      <w:r w:rsidRPr="005311DB">
        <w:rPr>
          <w:rFonts w:cs="Arial"/>
          <w:color w:val="000000" w:themeColor="text1"/>
          <w:szCs w:val="22"/>
          <w:lang w:val="en-GB"/>
        </w:rPr>
        <w:t xml:space="preserve">World Health Organisation (2024). </w:t>
      </w:r>
      <w:r w:rsidRPr="005311DB">
        <w:rPr>
          <w:rFonts w:cs="Arial"/>
          <w:i/>
          <w:iCs/>
          <w:color w:val="000000" w:themeColor="text1"/>
          <w:szCs w:val="22"/>
          <w:lang w:val="en-GB"/>
        </w:rPr>
        <w:t>Clinical Descriptions and Diagnostic Requirements for ICD-11 Mental, Behavioural and Neurodevelopmental Disorders</w:t>
      </w:r>
      <w:r w:rsidRPr="005311DB">
        <w:rPr>
          <w:rFonts w:cs="Arial"/>
          <w:color w:val="000000" w:themeColor="text1"/>
          <w:szCs w:val="22"/>
          <w:lang w:val="en-GB"/>
        </w:rPr>
        <w:t>.</w:t>
      </w:r>
      <w:r w:rsidRPr="005311DB">
        <w:rPr>
          <w:rFonts w:cs="Arial"/>
          <w:color w:val="000000" w:themeColor="text1"/>
          <w:szCs w:val="22"/>
          <w:lang w:val="en-GB"/>
        </w:rPr>
        <w:br/>
      </w:r>
      <w:hyperlink r:id="rId18" w:tgtFrame="_new" w:history="1">
        <w:r w:rsidRPr="005311DB">
          <w:rPr>
            <w:rStyle w:val="Hyperlink"/>
            <w:rFonts w:cs="Arial"/>
            <w:color w:val="000000" w:themeColor="text1"/>
            <w:szCs w:val="22"/>
            <w:lang w:val="en-GB"/>
          </w:rPr>
          <w:t>https://www.who.int/publications/i/item/9789240077263</w:t>
        </w:r>
      </w:hyperlink>
      <w:r w:rsidRPr="005311DB">
        <w:rPr>
          <w:rFonts w:cs="Arial"/>
          <w:color w:val="000000" w:themeColor="text1"/>
          <w:szCs w:val="22"/>
          <w:lang w:val="en-GB"/>
        </w:rPr>
        <w:t xml:space="preserve"> </w:t>
      </w:r>
    </w:p>
    <w:sectPr w:rsidR="00F10D73" w:rsidRPr="005311DB" w:rsidSect="002648ED">
      <w:head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7863A" w14:textId="77777777" w:rsidR="00DA1162" w:rsidRDefault="00DA1162" w:rsidP="002D26E9">
      <w:pPr>
        <w:spacing w:after="0" w:line="240" w:lineRule="auto"/>
      </w:pPr>
      <w:r>
        <w:separator/>
      </w:r>
    </w:p>
  </w:endnote>
  <w:endnote w:type="continuationSeparator" w:id="0">
    <w:p w14:paraId="0B3C6EA2" w14:textId="77777777" w:rsidR="00DA1162" w:rsidRDefault="00DA1162" w:rsidP="002D2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5EEFC" w14:textId="77777777" w:rsidR="00DA1162" w:rsidRDefault="00DA1162" w:rsidP="002D26E9">
      <w:pPr>
        <w:spacing w:after="0" w:line="240" w:lineRule="auto"/>
      </w:pPr>
      <w:r>
        <w:separator/>
      </w:r>
    </w:p>
  </w:footnote>
  <w:footnote w:type="continuationSeparator" w:id="0">
    <w:p w14:paraId="528ED4FD" w14:textId="77777777" w:rsidR="00DA1162" w:rsidRDefault="00DA1162" w:rsidP="002D26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9193199"/>
      <w:docPartObj>
        <w:docPartGallery w:val="Page Numbers (Top of Page)"/>
        <w:docPartUnique/>
      </w:docPartObj>
    </w:sdtPr>
    <w:sdtEndPr>
      <w:rPr>
        <w:noProof/>
      </w:rPr>
    </w:sdtEndPr>
    <w:sdtContent>
      <w:p w14:paraId="572EB9FA" w14:textId="7FB5BA86" w:rsidR="002648ED" w:rsidRDefault="002648ED">
        <w:pPr>
          <w:pStyle w:val="Header"/>
          <w:jc w:val="right"/>
        </w:pPr>
        <w:r w:rsidRPr="00803D27">
          <w:rPr>
            <w:rFonts w:asciiTheme="minorBidi" w:hAnsiTheme="minorBidi"/>
            <w:szCs w:val="22"/>
          </w:rPr>
          <w:fldChar w:fldCharType="begin"/>
        </w:r>
        <w:r w:rsidRPr="00803D27">
          <w:rPr>
            <w:rFonts w:asciiTheme="minorBidi" w:hAnsiTheme="minorBidi"/>
            <w:szCs w:val="22"/>
          </w:rPr>
          <w:instrText xml:space="preserve"> PAGE   \* MERGEFORMAT </w:instrText>
        </w:r>
        <w:r w:rsidRPr="00803D27">
          <w:rPr>
            <w:rFonts w:asciiTheme="minorBidi" w:hAnsiTheme="minorBidi"/>
            <w:szCs w:val="22"/>
          </w:rPr>
          <w:fldChar w:fldCharType="separate"/>
        </w:r>
        <w:r w:rsidRPr="00803D27">
          <w:rPr>
            <w:rFonts w:asciiTheme="minorBidi" w:hAnsiTheme="minorBidi"/>
            <w:noProof/>
            <w:szCs w:val="22"/>
          </w:rPr>
          <w:t>2</w:t>
        </w:r>
        <w:r w:rsidRPr="00803D27">
          <w:rPr>
            <w:rFonts w:asciiTheme="minorBidi" w:hAnsiTheme="minorBidi"/>
            <w:noProof/>
            <w:szCs w:val="22"/>
          </w:rPr>
          <w:fldChar w:fldCharType="end"/>
        </w:r>
      </w:p>
    </w:sdtContent>
  </w:sdt>
  <w:p w14:paraId="45099AB8" w14:textId="77777777" w:rsidR="002648ED" w:rsidRDefault="002648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040EE"/>
    <w:multiLevelType w:val="multilevel"/>
    <w:tmpl w:val="4D542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6933B8"/>
    <w:multiLevelType w:val="multilevel"/>
    <w:tmpl w:val="B420CB9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11509EB"/>
    <w:multiLevelType w:val="multilevel"/>
    <w:tmpl w:val="4EB86B9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812657"/>
    <w:multiLevelType w:val="multilevel"/>
    <w:tmpl w:val="15D868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357C96"/>
    <w:multiLevelType w:val="hybridMultilevel"/>
    <w:tmpl w:val="C6A648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0E033FD"/>
    <w:multiLevelType w:val="multilevel"/>
    <w:tmpl w:val="3E5E2C4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3A0504"/>
    <w:multiLevelType w:val="multilevel"/>
    <w:tmpl w:val="33A25A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1366AF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77878554">
    <w:abstractNumId w:val="0"/>
  </w:num>
  <w:num w:numId="2" w16cid:durableId="1755202551">
    <w:abstractNumId w:val="6"/>
  </w:num>
  <w:num w:numId="3" w16cid:durableId="312412249">
    <w:abstractNumId w:val="3"/>
  </w:num>
  <w:num w:numId="4" w16cid:durableId="1107386941">
    <w:abstractNumId w:val="1"/>
  </w:num>
  <w:num w:numId="5" w16cid:durableId="1240290576">
    <w:abstractNumId w:val="2"/>
  </w:num>
  <w:num w:numId="6" w16cid:durableId="2080394993">
    <w:abstractNumId w:val="5"/>
  </w:num>
  <w:num w:numId="7" w16cid:durableId="926108544">
    <w:abstractNumId w:val="4"/>
  </w:num>
  <w:num w:numId="8" w16cid:durableId="730866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D73"/>
    <w:rsid w:val="00094185"/>
    <w:rsid w:val="000A1172"/>
    <w:rsid w:val="000A3D4F"/>
    <w:rsid w:val="000A5B8D"/>
    <w:rsid w:val="00121CD6"/>
    <w:rsid w:val="00185911"/>
    <w:rsid w:val="001C13C0"/>
    <w:rsid w:val="001F5306"/>
    <w:rsid w:val="00245C77"/>
    <w:rsid w:val="002648ED"/>
    <w:rsid w:val="00292E0B"/>
    <w:rsid w:val="002D26E9"/>
    <w:rsid w:val="002F4904"/>
    <w:rsid w:val="00303724"/>
    <w:rsid w:val="004A003D"/>
    <w:rsid w:val="005311DB"/>
    <w:rsid w:val="00667FF8"/>
    <w:rsid w:val="00714D74"/>
    <w:rsid w:val="00745E42"/>
    <w:rsid w:val="0076712B"/>
    <w:rsid w:val="00774288"/>
    <w:rsid w:val="007C3DAB"/>
    <w:rsid w:val="00803D27"/>
    <w:rsid w:val="0088405A"/>
    <w:rsid w:val="00886156"/>
    <w:rsid w:val="008A1E7D"/>
    <w:rsid w:val="00923702"/>
    <w:rsid w:val="009676D1"/>
    <w:rsid w:val="00A0391F"/>
    <w:rsid w:val="00A104FD"/>
    <w:rsid w:val="00A211EA"/>
    <w:rsid w:val="00A37213"/>
    <w:rsid w:val="00B63085"/>
    <w:rsid w:val="00B81BFC"/>
    <w:rsid w:val="00BC5B2E"/>
    <w:rsid w:val="00CE0D6B"/>
    <w:rsid w:val="00D55EFB"/>
    <w:rsid w:val="00DA1162"/>
    <w:rsid w:val="00DC052E"/>
    <w:rsid w:val="00EC520A"/>
    <w:rsid w:val="00F10D7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44297"/>
  <w15:chartTrackingRefBased/>
  <w15:docId w15:val="{58E1F994-A68B-4AA7-BDA5-58A30D3D2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1DB"/>
    <w:rPr>
      <w:rFonts w:ascii="Arial" w:hAnsi="Arial"/>
      <w:sz w:val="22"/>
    </w:rPr>
  </w:style>
  <w:style w:type="paragraph" w:styleId="Heading1">
    <w:name w:val="heading 1"/>
    <w:basedOn w:val="Normal"/>
    <w:next w:val="Normal"/>
    <w:link w:val="Heading1Char"/>
    <w:uiPriority w:val="9"/>
    <w:qFormat/>
    <w:rsid w:val="00CE0D6B"/>
    <w:pPr>
      <w:keepNext/>
      <w:keepLines/>
      <w:numPr>
        <w:numId w:val="8"/>
      </w:numPr>
      <w:spacing w:after="0" w:line="360" w:lineRule="auto"/>
      <w:contextualSpacing/>
      <w:outlineLvl w:val="0"/>
    </w:pPr>
    <w:rPr>
      <w:rFonts w:eastAsiaTheme="majorEastAsia" w:cs="Arial"/>
      <w:b/>
      <w:bCs/>
      <w:color w:val="000000" w:themeColor="text1"/>
      <w:sz w:val="24"/>
      <w:szCs w:val="22"/>
      <w:lang w:val="en-GB"/>
    </w:rPr>
  </w:style>
  <w:style w:type="paragraph" w:styleId="Heading2">
    <w:name w:val="heading 2"/>
    <w:basedOn w:val="Normal"/>
    <w:next w:val="Normal"/>
    <w:link w:val="Heading2Char"/>
    <w:uiPriority w:val="9"/>
    <w:semiHidden/>
    <w:unhideWhenUsed/>
    <w:qFormat/>
    <w:rsid w:val="00F10D73"/>
    <w:pPr>
      <w:keepNext/>
      <w:keepLines/>
      <w:numPr>
        <w:ilvl w:val="1"/>
        <w:numId w:val="8"/>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0D73"/>
    <w:pPr>
      <w:keepNext/>
      <w:keepLines/>
      <w:numPr>
        <w:ilvl w:val="2"/>
        <w:numId w:val="8"/>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0D73"/>
    <w:pPr>
      <w:keepNext/>
      <w:keepLines/>
      <w:numPr>
        <w:ilvl w:val="3"/>
        <w:numId w:val="8"/>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0D73"/>
    <w:pPr>
      <w:keepNext/>
      <w:keepLines/>
      <w:numPr>
        <w:ilvl w:val="4"/>
        <w:numId w:val="8"/>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0D73"/>
    <w:pPr>
      <w:keepNext/>
      <w:keepLines/>
      <w:numPr>
        <w:ilvl w:val="5"/>
        <w:numId w:val="8"/>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D73"/>
    <w:pPr>
      <w:keepNext/>
      <w:keepLines/>
      <w:numPr>
        <w:ilvl w:val="6"/>
        <w:numId w:val="8"/>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D73"/>
    <w:pPr>
      <w:keepNext/>
      <w:keepLines/>
      <w:numPr>
        <w:ilvl w:val="7"/>
        <w:numId w:val="8"/>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D73"/>
    <w:pPr>
      <w:keepNext/>
      <w:keepLines/>
      <w:numPr>
        <w:ilvl w:val="8"/>
        <w:numId w:val="8"/>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D6B"/>
    <w:rPr>
      <w:rFonts w:ascii="Arial" w:eastAsiaTheme="majorEastAsia" w:hAnsi="Arial" w:cs="Arial"/>
      <w:b/>
      <w:bCs/>
      <w:color w:val="000000" w:themeColor="text1"/>
      <w:szCs w:val="22"/>
      <w:lang w:val="en-GB"/>
    </w:rPr>
  </w:style>
  <w:style w:type="character" w:customStyle="1" w:styleId="Heading2Char">
    <w:name w:val="Heading 2 Char"/>
    <w:basedOn w:val="DefaultParagraphFont"/>
    <w:link w:val="Heading2"/>
    <w:uiPriority w:val="9"/>
    <w:semiHidden/>
    <w:rsid w:val="00F10D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0D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0D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0D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0D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D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D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D73"/>
    <w:rPr>
      <w:rFonts w:eastAsiaTheme="majorEastAsia" w:cstheme="majorBidi"/>
      <w:color w:val="272727" w:themeColor="text1" w:themeTint="D8"/>
    </w:rPr>
  </w:style>
  <w:style w:type="paragraph" w:styleId="Title">
    <w:name w:val="Title"/>
    <w:basedOn w:val="Normal"/>
    <w:next w:val="Normal"/>
    <w:link w:val="TitleChar"/>
    <w:uiPriority w:val="10"/>
    <w:qFormat/>
    <w:rsid w:val="00F10D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D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D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D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D73"/>
    <w:pPr>
      <w:spacing w:before="160"/>
      <w:jc w:val="center"/>
    </w:pPr>
    <w:rPr>
      <w:i/>
      <w:iCs/>
      <w:color w:val="404040" w:themeColor="text1" w:themeTint="BF"/>
    </w:rPr>
  </w:style>
  <w:style w:type="character" w:customStyle="1" w:styleId="QuoteChar">
    <w:name w:val="Quote Char"/>
    <w:basedOn w:val="DefaultParagraphFont"/>
    <w:link w:val="Quote"/>
    <w:uiPriority w:val="29"/>
    <w:rsid w:val="00F10D73"/>
    <w:rPr>
      <w:i/>
      <w:iCs/>
      <w:color w:val="404040" w:themeColor="text1" w:themeTint="BF"/>
    </w:rPr>
  </w:style>
  <w:style w:type="paragraph" w:styleId="ListParagraph">
    <w:name w:val="List Paragraph"/>
    <w:basedOn w:val="Normal"/>
    <w:uiPriority w:val="34"/>
    <w:qFormat/>
    <w:rsid w:val="00F10D73"/>
    <w:pPr>
      <w:ind w:left="720"/>
      <w:contextualSpacing/>
    </w:pPr>
  </w:style>
  <w:style w:type="character" w:styleId="IntenseEmphasis">
    <w:name w:val="Intense Emphasis"/>
    <w:basedOn w:val="DefaultParagraphFont"/>
    <w:uiPriority w:val="21"/>
    <w:qFormat/>
    <w:rsid w:val="00F10D73"/>
    <w:rPr>
      <w:i/>
      <w:iCs/>
      <w:color w:val="2F5496" w:themeColor="accent1" w:themeShade="BF"/>
    </w:rPr>
  </w:style>
  <w:style w:type="paragraph" w:styleId="IntenseQuote">
    <w:name w:val="Intense Quote"/>
    <w:basedOn w:val="Normal"/>
    <w:next w:val="Normal"/>
    <w:link w:val="IntenseQuoteChar"/>
    <w:uiPriority w:val="30"/>
    <w:qFormat/>
    <w:rsid w:val="00F10D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0D73"/>
    <w:rPr>
      <w:i/>
      <w:iCs/>
      <w:color w:val="2F5496" w:themeColor="accent1" w:themeShade="BF"/>
    </w:rPr>
  </w:style>
  <w:style w:type="character" w:styleId="IntenseReference">
    <w:name w:val="Intense Reference"/>
    <w:basedOn w:val="DefaultParagraphFont"/>
    <w:uiPriority w:val="32"/>
    <w:qFormat/>
    <w:rsid w:val="00F10D73"/>
    <w:rPr>
      <w:b/>
      <w:bCs/>
      <w:smallCaps/>
      <w:color w:val="2F5496" w:themeColor="accent1" w:themeShade="BF"/>
      <w:spacing w:val="5"/>
    </w:rPr>
  </w:style>
  <w:style w:type="character" w:styleId="Hyperlink">
    <w:name w:val="Hyperlink"/>
    <w:basedOn w:val="DefaultParagraphFont"/>
    <w:uiPriority w:val="99"/>
    <w:unhideWhenUsed/>
    <w:rsid w:val="00B81BFC"/>
    <w:rPr>
      <w:color w:val="0563C1" w:themeColor="hyperlink"/>
      <w:u w:val="single"/>
    </w:rPr>
  </w:style>
  <w:style w:type="character" w:styleId="UnresolvedMention">
    <w:name w:val="Unresolved Mention"/>
    <w:basedOn w:val="DefaultParagraphFont"/>
    <w:uiPriority w:val="99"/>
    <w:semiHidden/>
    <w:unhideWhenUsed/>
    <w:rsid w:val="00B81BFC"/>
    <w:rPr>
      <w:color w:val="605E5C"/>
      <w:shd w:val="clear" w:color="auto" w:fill="E1DFDD"/>
    </w:rPr>
  </w:style>
  <w:style w:type="paragraph" w:styleId="Header">
    <w:name w:val="header"/>
    <w:basedOn w:val="Normal"/>
    <w:link w:val="HeaderChar"/>
    <w:uiPriority w:val="99"/>
    <w:unhideWhenUsed/>
    <w:rsid w:val="002D2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6E9"/>
  </w:style>
  <w:style w:type="paragraph" w:styleId="Footer">
    <w:name w:val="footer"/>
    <w:basedOn w:val="Normal"/>
    <w:link w:val="FooterChar"/>
    <w:uiPriority w:val="99"/>
    <w:unhideWhenUsed/>
    <w:rsid w:val="002D2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6E9"/>
  </w:style>
  <w:style w:type="paragraph" w:styleId="TOCHeading">
    <w:name w:val="TOC Heading"/>
    <w:basedOn w:val="Heading1"/>
    <w:next w:val="Normal"/>
    <w:uiPriority w:val="39"/>
    <w:unhideWhenUsed/>
    <w:qFormat/>
    <w:rsid w:val="00DC052E"/>
    <w:pPr>
      <w:numPr>
        <w:numId w:val="0"/>
      </w:numPr>
      <w:spacing w:before="240" w:line="259" w:lineRule="auto"/>
      <w:outlineLvl w:val="9"/>
    </w:pPr>
    <w:rPr>
      <w:kern w:val="0"/>
      <w:sz w:val="32"/>
      <w:szCs w:val="32"/>
      <w14:ligatures w14:val="none"/>
    </w:rPr>
  </w:style>
  <w:style w:type="paragraph" w:styleId="TOC1">
    <w:name w:val="toc 1"/>
    <w:basedOn w:val="Normal"/>
    <w:next w:val="Normal"/>
    <w:autoRedefine/>
    <w:uiPriority w:val="39"/>
    <w:unhideWhenUsed/>
    <w:rsid w:val="00DC05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229-023-00580-3" TargetMode="External"/><Relationship Id="rId13" Type="http://schemas.openxmlformats.org/officeDocument/2006/relationships/hyperlink" Target="https://doi.org/10.1186/s12888-024-05640-3" TargetMode="External"/><Relationship Id="rId18" Type="http://schemas.openxmlformats.org/officeDocument/2006/relationships/hyperlink" Target="https://www.who.int/publications/i/item/978924007726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ice.org.uk/guidance/cg78" TargetMode="External"/><Relationship Id="rId17" Type="http://schemas.openxmlformats.org/officeDocument/2006/relationships/hyperlink" Target="https://icd.who.int/browse11/l-m/en" TargetMode="External"/><Relationship Id="rId2" Type="http://schemas.openxmlformats.org/officeDocument/2006/relationships/numbering" Target="numbering.xml"/><Relationship Id="rId16" Type="http://schemas.openxmlformats.org/officeDocument/2006/relationships/hyperlink" Target="https://doi.org/10.1192/bji.2024.1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wps.21156" TargetMode="External"/><Relationship Id="rId5" Type="http://schemas.openxmlformats.org/officeDocument/2006/relationships/webSettings" Target="webSettings.xml"/><Relationship Id="rId15" Type="http://schemas.openxmlformats.org/officeDocument/2006/relationships/hyperlink" Target="https://doi.org/10.32872/10.32872/cpe.v4.si" TargetMode="External"/><Relationship Id="rId10" Type="http://schemas.openxmlformats.org/officeDocument/2006/relationships/hyperlink" Target="https://doi.org/10.1186/s12991-024-00540-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11/inm.70241" TargetMode="External"/><Relationship Id="rId14" Type="http://schemas.openxmlformats.org/officeDocument/2006/relationships/hyperlink" Target="https://doi.org/10.1002/pmh.1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2AC76-372F-4CC1-8FE1-D9005F41A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3074</Words>
  <Characters>17526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Rogers Nyanga (2309150)</cp:lastModifiedBy>
  <cp:revision>2</cp:revision>
  <dcterms:created xsi:type="dcterms:W3CDTF">2026-06-24T09:27:00Z</dcterms:created>
  <dcterms:modified xsi:type="dcterms:W3CDTF">2026-06-24T09:27:00Z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73586cb8-a4f0-4755-b290-79eea1c3d3b1</vt:lpwstr>
  </property>
</Properties>
</file>