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172FF" w14:textId="77777777" w:rsidR="008C12D4" w:rsidRDefault="008C12D4" w:rsidP="008C12D4">
      <w:pPr>
        <w:pStyle w:val="Title"/>
        <w:jc w:val="center"/>
        <w:rPr>
          <w:rStyle w:val="IntenseEmphasis"/>
          <w:rFonts w:ascii="Arial" w:hAnsi="Arial" w:cs="Arial"/>
          <w:i w:val="0"/>
          <w:iCs w:val="0"/>
          <w:color w:val="auto"/>
        </w:rPr>
      </w:pPr>
    </w:p>
    <w:p w14:paraId="2352AC41" w14:textId="77777777" w:rsidR="008C12D4" w:rsidRDefault="008C12D4" w:rsidP="008C12D4">
      <w:pPr>
        <w:pStyle w:val="Title"/>
        <w:jc w:val="center"/>
        <w:rPr>
          <w:rStyle w:val="IntenseEmphasis"/>
          <w:rFonts w:ascii="Arial" w:hAnsi="Arial" w:cs="Arial"/>
          <w:i w:val="0"/>
          <w:iCs w:val="0"/>
          <w:color w:val="auto"/>
        </w:rPr>
      </w:pPr>
    </w:p>
    <w:p w14:paraId="4A30D4B7" w14:textId="6CA57A53" w:rsidR="00785855" w:rsidRPr="00521BC3" w:rsidRDefault="008C12D4" w:rsidP="008C12D4">
      <w:pPr>
        <w:pStyle w:val="Title"/>
        <w:jc w:val="center"/>
        <w:rPr>
          <w:rStyle w:val="IntenseEmphasis"/>
          <w:rFonts w:ascii="Arial" w:hAnsi="Arial" w:cs="Arial"/>
          <w:b w:val="0"/>
          <w:bCs w:val="0"/>
          <w:i w:val="0"/>
          <w:iCs w:val="0"/>
          <w:color w:val="auto"/>
        </w:rPr>
      </w:pPr>
      <w:r w:rsidRPr="00521BC3">
        <w:rPr>
          <w:rStyle w:val="IntenseEmphasis"/>
          <w:rFonts w:ascii="Arial" w:hAnsi="Arial" w:cs="Arial"/>
          <w:b w:val="0"/>
          <w:bCs w:val="0"/>
          <w:i w:val="0"/>
          <w:iCs w:val="0"/>
          <w:color w:val="auto"/>
        </w:rPr>
        <w:t>Negligence in Construction</w:t>
      </w:r>
    </w:p>
    <w:p w14:paraId="139872EA" w14:textId="5A7D2AE3" w:rsidR="008C12D4" w:rsidRDefault="008C12D4" w:rsidP="008C12D4"/>
    <w:p w14:paraId="0EE322EE" w14:textId="3ABFBD7B" w:rsidR="008C12D4" w:rsidRDefault="008C12D4" w:rsidP="008C12D4"/>
    <w:p w14:paraId="68D4FA49" w14:textId="311D3F46" w:rsidR="008C12D4" w:rsidRDefault="008C12D4" w:rsidP="008C12D4">
      <w:pPr>
        <w:rPr>
          <w:rFonts w:ascii="Arial" w:hAnsi="Arial" w:cs="Arial"/>
        </w:rPr>
      </w:pPr>
    </w:p>
    <w:p w14:paraId="4A112A15" w14:textId="1115A4F7" w:rsidR="008C12D4" w:rsidRPr="00521BC3" w:rsidRDefault="008C12D4" w:rsidP="008C12D4">
      <w:pPr>
        <w:jc w:val="center"/>
        <w:rPr>
          <w:rFonts w:ascii="Arial" w:hAnsi="Arial" w:cs="Arial"/>
          <w:sz w:val="28"/>
          <w:szCs w:val="28"/>
        </w:rPr>
      </w:pPr>
      <w:r w:rsidRPr="00521BC3">
        <w:rPr>
          <w:rFonts w:ascii="Arial" w:hAnsi="Arial" w:cs="Arial"/>
          <w:sz w:val="28"/>
          <w:szCs w:val="28"/>
        </w:rPr>
        <w:t>Prepared for:</w:t>
      </w:r>
    </w:p>
    <w:p w14:paraId="06665314" w14:textId="1E8DD459" w:rsidR="008C12D4" w:rsidRDefault="008C12D4" w:rsidP="008C12D4">
      <w:pPr>
        <w:jc w:val="center"/>
        <w:rPr>
          <w:rFonts w:ascii="Arial" w:hAnsi="Arial" w:cs="Arial"/>
        </w:rPr>
      </w:pPr>
    </w:p>
    <w:p w14:paraId="42182902" w14:textId="14C33791" w:rsidR="008C12D4" w:rsidRPr="00521BC3" w:rsidRDefault="008C12D4" w:rsidP="008C12D4">
      <w:pPr>
        <w:jc w:val="center"/>
        <w:rPr>
          <w:rFonts w:ascii="Arial" w:hAnsi="Arial" w:cs="Arial"/>
          <w:sz w:val="40"/>
          <w:szCs w:val="40"/>
        </w:rPr>
      </w:pPr>
      <w:r w:rsidRPr="00521BC3">
        <w:rPr>
          <w:rFonts w:ascii="Arial" w:hAnsi="Arial" w:cs="Arial"/>
          <w:sz w:val="40"/>
          <w:szCs w:val="40"/>
        </w:rPr>
        <w:t>L. Hopkinson</w:t>
      </w:r>
    </w:p>
    <w:p w14:paraId="203760E9" w14:textId="078D9D12" w:rsidR="008C12D4" w:rsidRDefault="008C12D4" w:rsidP="008C12D4">
      <w:pPr>
        <w:jc w:val="center"/>
        <w:rPr>
          <w:rFonts w:ascii="Arial" w:hAnsi="Arial" w:cs="Arial"/>
          <w:sz w:val="36"/>
          <w:szCs w:val="36"/>
        </w:rPr>
      </w:pPr>
    </w:p>
    <w:p w14:paraId="5ECF6785" w14:textId="55C34B0E" w:rsidR="008C12D4" w:rsidRDefault="008C12D4" w:rsidP="008C12D4">
      <w:pPr>
        <w:jc w:val="center"/>
        <w:rPr>
          <w:rFonts w:ascii="Arial" w:hAnsi="Arial" w:cs="Arial"/>
          <w:sz w:val="36"/>
          <w:szCs w:val="36"/>
        </w:rPr>
      </w:pPr>
    </w:p>
    <w:p w14:paraId="2B239903" w14:textId="77777777" w:rsidR="00521BC3" w:rsidRDefault="00521BC3" w:rsidP="008C12D4">
      <w:pPr>
        <w:jc w:val="center"/>
        <w:rPr>
          <w:rFonts w:ascii="Arial" w:hAnsi="Arial" w:cs="Arial"/>
          <w:sz w:val="32"/>
          <w:szCs w:val="32"/>
        </w:rPr>
      </w:pPr>
    </w:p>
    <w:p w14:paraId="40234DF3" w14:textId="79E396F8" w:rsidR="008C12D4" w:rsidRPr="00521BC3" w:rsidRDefault="008C12D4" w:rsidP="008C12D4">
      <w:pPr>
        <w:jc w:val="center"/>
        <w:rPr>
          <w:rFonts w:ascii="Arial" w:hAnsi="Arial" w:cs="Arial"/>
          <w:sz w:val="28"/>
          <w:szCs w:val="28"/>
        </w:rPr>
      </w:pPr>
      <w:r w:rsidRPr="00521BC3">
        <w:rPr>
          <w:rFonts w:ascii="Arial" w:hAnsi="Arial" w:cs="Arial"/>
          <w:sz w:val="28"/>
          <w:szCs w:val="28"/>
        </w:rPr>
        <w:t>Created by:</w:t>
      </w:r>
    </w:p>
    <w:p w14:paraId="125E6376" w14:textId="4A1A5A18" w:rsidR="008C12D4" w:rsidRDefault="008C12D4" w:rsidP="008C12D4">
      <w:pPr>
        <w:jc w:val="center"/>
        <w:rPr>
          <w:rFonts w:ascii="Arial" w:hAnsi="Arial" w:cs="Arial"/>
          <w:sz w:val="36"/>
          <w:szCs w:val="36"/>
        </w:rPr>
      </w:pPr>
    </w:p>
    <w:p w14:paraId="6FFF1558" w14:textId="3BC7F9AC" w:rsidR="008C12D4" w:rsidRPr="00521BC3" w:rsidRDefault="008C12D4" w:rsidP="008C12D4">
      <w:pPr>
        <w:jc w:val="center"/>
        <w:rPr>
          <w:rFonts w:ascii="Arial" w:hAnsi="Arial" w:cs="Arial"/>
          <w:sz w:val="40"/>
          <w:szCs w:val="40"/>
        </w:rPr>
      </w:pPr>
      <w:r w:rsidRPr="00521BC3">
        <w:rPr>
          <w:rFonts w:ascii="Arial" w:hAnsi="Arial" w:cs="Arial"/>
          <w:sz w:val="40"/>
          <w:szCs w:val="40"/>
        </w:rPr>
        <w:t xml:space="preserve">Corey Strachan </w:t>
      </w:r>
      <w:r w:rsidR="00521BC3" w:rsidRPr="00521BC3">
        <w:rPr>
          <w:rFonts w:ascii="Arial" w:hAnsi="Arial" w:cs="Arial"/>
          <w:sz w:val="40"/>
          <w:szCs w:val="40"/>
        </w:rPr>
        <w:t>–</w:t>
      </w:r>
      <w:r w:rsidRPr="00521BC3">
        <w:rPr>
          <w:rFonts w:ascii="Arial" w:hAnsi="Arial" w:cs="Arial"/>
          <w:sz w:val="40"/>
          <w:szCs w:val="40"/>
        </w:rPr>
        <w:t xml:space="preserve"> 2218</w:t>
      </w:r>
      <w:r w:rsidR="00521BC3" w:rsidRPr="00521BC3">
        <w:rPr>
          <w:rFonts w:ascii="Arial" w:hAnsi="Arial" w:cs="Arial"/>
          <w:sz w:val="40"/>
          <w:szCs w:val="40"/>
        </w:rPr>
        <w:t>673</w:t>
      </w:r>
    </w:p>
    <w:p w14:paraId="34AE4AB9" w14:textId="01C219D3" w:rsidR="00521BC3" w:rsidRDefault="00521BC3" w:rsidP="008C12D4">
      <w:pPr>
        <w:jc w:val="center"/>
        <w:rPr>
          <w:rFonts w:ascii="Arial" w:hAnsi="Arial" w:cs="Arial"/>
          <w:sz w:val="36"/>
          <w:szCs w:val="36"/>
        </w:rPr>
      </w:pPr>
    </w:p>
    <w:p w14:paraId="0E655B11" w14:textId="6163637B" w:rsidR="00521BC3" w:rsidRDefault="00521BC3" w:rsidP="008C12D4">
      <w:pPr>
        <w:jc w:val="center"/>
        <w:rPr>
          <w:rFonts w:ascii="Arial" w:hAnsi="Arial" w:cs="Arial"/>
          <w:sz w:val="36"/>
          <w:szCs w:val="36"/>
        </w:rPr>
      </w:pPr>
    </w:p>
    <w:p w14:paraId="76E69A95" w14:textId="77777777" w:rsidR="00521BC3" w:rsidRDefault="00521BC3" w:rsidP="008C12D4">
      <w:pPr>
        <w:jc w:val="center"/>
        <w:rPr>
          <w:rFonts w:ascii="Arial" w:hAnsi="Arial" w:cs="Arial"/>
          <w:sz w:val="28"/>
          <w:szCs w:val="28"/>
        </w:rPr>
      </w:pPr>
    </w:p>
    <w:p w14:paraId="3CEC6164" w14:textId="75D70E9E" w:rsidR="00521BC3" w:rsidRPr="00521BC3" w:rsidRDefault="00521BC3" w:rsidP="008C12D4">
      <w:pPr>
        <w:jc w:val="center"/>
        <w:rPr>
          <w:rFonts w:ascii="Arial" w:hAnsi="Arial" w:cs="Arial"/>
          <w:sz w:val="28"/>
          <w:szCs w:val="28"/>
        </w:rPr>
      </w:pPr>
      <w:r w:rsidRPr="00521BC3">
        <w:rPr>
          <w:rFonts w:ascii="Arial" w:hAnsi="Arial" w:cs="Arial"/>
          <w:sz w:val="28"/>
          <w:szCs w:val="28"/>
        </w:rPr>
        <w:t>Date Completed: 2</w:t>
      </w:r>
      <w:r w:rsidR="00DB0207">
        <w:rPr>
          <w:rFonts w:ascii="Arial" w:hAnsi="Arial" w:cs="Arial"/>
          <w:sz w:val="28"/>
          <w:szCs w:val="28"/>
        </w:rPr>
        <w:t>8</w:t>
      </w:r>
      <w:r w:rsidRPr="00521BC3">
        <w:rPr>
          <w:rFonts w:ascii="Arial" w:hAnsi="Arial" w:cs="Arial"/>
          <w:sz w:val="28"/>
          <w:szCs w:val="28"/>
          <w:vertAlign w:val="superscript"/>
        </w:rPr>
        <w:t>th</w:t>
      </w:r>
      <w:r w:rsidRPr="00521BC3">
        <w:rPr>
          <w:rFonts w:ascii="Arial" w:hAnsi="Arial" w:cs="Arial"/>
          <w:sz w:val="28"/>
          <w:szCs w:val="28"/>
        </w:rPr>
        <w:t xml:space="preserve"> November 2022</w:t>
      </w:r>
    </w:p>
    <w:p w14:paraId="1B04DD44" w14:textId="24A93A98" w:rsidR="008C12D4" w:rsidRPr="008C12D4" w:rsidRDefault="008C12D4" w:rsidP="008C12D4">
      <w:pPr>
        <w:rPr>
          <w:rFonts w:ascii="Arial" w:hAnsi="Arial" w:cs="Arial"/>
        </w:rPr>
      </w:pPr>
    </w:p>
    <w:p w14:paraId="0B39983D" w14:textId="3CA79DF3" w:rsidR="008C12D4" w:rsidRDefault="008C12D4" w:rsidP="008C12D4">
      <w:pPr>
        <w:rPr>
          <w:rFonts w:ascii="Arial" w:hAnsi="Arial" w:cs="Arial"/>
        </w:rPr>
      </w:pPr>
    </w:p>
    <w:p w14:paraId="056345DA" w14:textId="4C7B761D" w:rsidR="00521BC3" w:rsidRDefault="00521BC3" w:rsidP="008C12D4">
      <w:pPr>
        <w:rPr>
          <w:rFonts w:ascii="Arial" w:hAnsi="Arial" w:cs="Arial"/>
        </w:rPr>
      </w:pPr>
    </w:p>
    <w:p w14:paraId="376F2009" w14:textId="3D2CC985" w:rsidR="00521BC3" w:rsidRDefault="00521BC3" w:rsidP="00656BBB"/>
    <w:p w14:paraId="7A3BBB65" w14:textId="609107DA" w:rsidR="00521BC3" w:rsidRDefault="00521BC3" w:rsidP="008C12D4">
      <w:pPr>
        <w:rPr>
          <w:rFonts w:ascii="Arial" w:hAnsi="Arial" w:cs="Arial"/>
        </w:rPr>
      </w:pPr>
    </w:p>
    <w:p w14:paraId="36E72145" w14:textId="77777777" w:rsidR="00521BC3" w:rsidRPr="008C12D4" w:rsidRDefault="00521BC3" w:rsidP="00656BBB"/>
    <w:p w14:paraId="6C0D21CB" w14:textId="246C9C9B" w:rsidR="008C12D4" w:rsidRPr="00CE61A5" w:rsidRDefault="00656BBB" w:rsidP="00656BBB">
      <w:pPr>
        <w:rPr>
          <w:rStyle w:val="IntenseEmphasis"/>
          <w:rFonts w:ascii="Arial" w:hAnsi="Arial" w:cs="Arial"/>
          <w:i w:val="0"/>
          <w:iCs w:val="0"/>
          <w:color w:val="auto"/>
          <w:u w:val="single"/>
        </w:rPr>
      </w:pPr>
      <w:r w:rsidRPr="00CE61A5">
        <w:rPr>
          <w:rStyle w:val="IntenseEmphasis"/>
          <w:rFonts w:ascii="Arial" w:hAnsi="Arial" w:cs="Arial"/>
          <w:i w:val="0"/>
          <w:iCs w:val="0"/>
          <w:color w:val="auto"/>
          <w:u w:val="single"/>
        </w:rPr>
        <w:t>Table of Contents</w:t>
      </w:r>
    </w:p>
    <w:p w14:paraId="75C0ACAA" w14:textId="7BACE519" w:rsidR="00656BBB" w:rsidRPr="00CE61A5" w:rsidRDefault="00656BBB" w:rsidP="00CE61A5">
      <w:pPr>
        <w:rPr>
          <w:rStyle w:val="IntenseEmphasis"/>
          <w:rFonts w:ascii="Arial" w:hAnsi="Arial" w:cs="Arial"/>
          <w:bCs w:val="0"/>
          <w:i w:val="0"/>
          <w:iCs w:val="0"/>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C2CB54" w14:textId="62748668" w:rsidR="00656BBB" w:rsidRPr="00CE61A5" w:rsidRDefault="00656BBB" w:rsidP="00CE61A5">
      <w:pPr>
        <w:pStyle w:val="ListParagraph"/>
        <w:numPr>
          <w:ilvl w:val="0"/>
          <w:numId w:val="7"/>
        </w:numPr>
        <w:rPr>
          <w:rFonts w:ascii="Arial" w:hAnsi="Arial" w:cs="Arial"/>
          <w:b/>
        </w:rPr>
      </w:pPr>
      <w:r w:rsidRPr="00CE61A5">
        <w:rPr>
          <w:rFonts w:ascii="Arial" w:hAnsi="Arial" w:cs="Arial"/>
          <w:b/>
        </w:rPr>
        <w:t>Executive Summary</w:t>
      </w:r>
    </w:p>
    <w:p w14:paraId="2B553646" w14:textId="77777777" w:rsidR="00CE61A5" w:rsidRPr="00CE61A5" w:rsidRDefault="00CE61A5" w:rsidP="00CE61A5">
      <w:pPr>
        <w:pStyle w:val="ListParagraph"/>
        <w:rPr>
          <w:rFonts w:ascii="Arial" w:hAnsi="Arial" w:cs="Arial"/>
          <w:b/>
        </w:rPr>
      </w:pPr>
    </w:p>
    <w:p w14:paraId="1FA647BF" w14:textId="47676F90" w:rsidR="00CE61A5" w:rsidRPr="00CE61A5" w:rsidRDefault="00656BBB" w:rsidP="00CE61A5">
      <w:pPr>
        <w:pStyle w:val="ListParagraph"/>
        <w:numPr>
          <w:ilvl w:val="0"/>
          <w:numId w:val="7"/>
        </w:numPr>
        <w:rPr>
          <w:rFonts w:ascii="Arial" w:hAnsi="Arial" w:cs="Arial"/>
          <w:b/>
        </w:rPr>
      </w:pPr>
      <w:r w:rsidRPr="00CE61A5">
        <w:rPr>
          <w:rFonts w:ascii="Arial" w:hAnsi="Arial" w:cs="Arial"/>
          <w:b/>
        </w:rPr>
        <w:t>Terms of Reference</w:t>
      </w:r>
      <w:r w:rsidR="00CE61A5" w:rsidRPr="00CE61A5">
        <w:rPr>
          <w:rFonts w:ascii="Arial" w:hAnsi="Arial" w:cs="Arial"/>
          <w:b/>
        </w:rPr>
        <w:br/>
      </w:r>
    </w:p>
    <w:p w14:paraId="1D671116" w14:textId="1FAA3D4C" w:rsidR="00656BBB" w:rsidRPr="00CE61A5" w:rsidRDefault="00A43957" w:rsidP="00CE61A5">
      <w:pPr>
        <w:pStyle w:val="ListParagraph"/>
        <w:numPr>
          <w:ilvl w:val="0"/>
          <w:numId w:val="7"/>
        </w:numPr>
        <w:rPr>
          <w:rFonts w:ascii="Arial" w:hAnsi="Arial" w:cs="Arial"/>
          <w:b/>
        </w:rPr>
      </w:pPr>
      <w:r>
        <w:rPr>
          <w:rFonts w:ascii="Arial" w:hAnsi="Arial" w:cs="Arial"/>
          <w:b/>
        </w:rPr>
        <w:t>Negligence</w:t>
      </w:r>
    </w:p>
    <w:p w14:paraId="286E06F7" w14:textId="77777777" w:rsidR="00CE61A5" w:rsidRPr="00CE61A5" w:rsidRDefault="00CE61A5" w:rsidP="00CE61A5">
      <w:pPr>
        <w:pStyle w:val="ListParagraph"/>
        <w:rPr>
          <w:rFonts w:ascii="Arial" w:hAnsi="Arial" w:cs="Arial"/>
          <w:b/>
        </w:rPr>
      </w:pPr>
    </w:p>
    <w:p w14:paraId="54C21E83" w14:textId="3EF69EBB" w:rsidR="00CE61A5" w:rsidRPr="00CE61A5" w:rsidRDefault="00A43957" w:rsidP="00CE61A5">
      <w:pPr>
        <w:pStyle w:val="ListParagraph"/>
        <w:numPr>
          <w:ilvl w:val="0"/>
          <w:numId w:val="7"/>
        </w:numPr>
        <w:rPr>
          <w:rFonts w:ascii="Arial" w:hAnsi="Arial" w:cs="Arial"/>
          <w:b/>
        </w:rPr>
      </w:pPr>
      <w:r>
        <w:rPr>
          <w:rFonts w:ascii="Arial" w:hAnsi="Arial" w:cs="Arial"/>
          <w:b/>
        </w:rPr>
        <w:t>Case Law in Construction</w:t>
      </w:r>
      <w:r w:rsidR="00CE61A5" w:rsidRPr="00CE61A5">
        <w:rPr>
          <w:rFonts w:ascii="Arial" w:hAnsi="Arial" w:cs="Arial"/>
          <w:b/>
        </w:rPr>
        <w:br/>
      </w:r>
    </w:p>
    <w:p w14:paraId="7A2CCC7D" w14:textId="70135BCB" w:rsidR="00A43957" w:rsidRDefault="00A43957" w:rsidP="00A43957">
      <w:pPr>
        <w:pStyle w:val="ListParagraph"/>
        <w:numPr>
          <w:ilvl w:val="0"/>
          <w:numId w:val="7"/>
        </w:numPr>
        <w:rPr>
          <w:rFonts w:ascii="Arial" w:hAnsi="Arial" w:cs="Arial"/>
          <w:b/>
        </w:rPr>
      </w:pPr>
      <w:r>
        <w:rPr>
          <w:rFonts w:ascii="Arial" w:hAnsi="Arial" w:cs="Arial"/>
          <w:b/>
        </w:rPr>
        <w:t>Adjudication</w:t>
      </w:r>
      <w:r>
        <w:rPr>
          <w:rFonts w:ascii="Arial" w:hAnsi="Arial" w:cs="Arial"/>
          <w:b/>
        </w:rPr>
        <w:br/>
      </w:r>
    </w:p>
    <w:p w14:paraId="31B55C01" w14:textId="3F4874AF" w:rsidR="00A43957" w:rsidRDefault="00A43957" w:rsidP="00A43957">
      <w:pPr>
        <w:pStyle w:val="ListParagraph"/>
        <w:numPr>
          <w:ilvl w:val="0"/>
          <w:numId w:val="7"/>
        </w:numPr>
        <w:rPr>
          <w:rFonts w:ascii="Arial" w:hAnsi="Arial" w:cs="Arial"/>
          <w:b/>
        </w:rPr>
      </w:pPr>
      <w:r>
        <w:rPr>
          <w:rFonts w:ascii="Arial" w:hAnsi="Arial" w:cs="Arial"/>
          <w:b/>
        </w:rPr>
        <w:t>Conclusion</w:t>
      </w:r>
      <w:r>
        <w:rPr>
          <w:rFonts w:ascii="Arial" w:hAnsi="Arial" w:cs="Arial"/>
          <w:b/>
        </w:rPr>
        <w:br/>
      </w:r>
    </w:p>
    <w:p w14:paraId="59B140B4" w14:textId="0BE78B3C" w:rsidR="00A43957" w:rsidRPr="00A43957" w:rsidRDefault="00A43957" w:rsidP="00A43957">
      <w:pPr>
        <w:pStyle w:val="ListParagraph"/>
        <w:numPr>
          <w:ilvl w:val="0"/>
          <w:numId w:val="7"/>
        </w:numPr>
        <w:rPr>
          <w:rFonts w:ascii="Arial" w:hAnsi="Arial" w:cs="Arial"/>
          <w:b/>
        </w:rPr>
      </w:pPr>
      <w:r>
        <w:rPr>
          <w:rFonts w:ascii="Arial" w:hAnsi="Arial" w:cs="Arial"/>
          <w:b/>
        </w:rPr>
        <w:t>References</w:t>
      </w:r>
    </w:p>
    <w:p w14:paraId="7F91F7FF" w14:textId="1DE3F60A" w:rsidR="00CE61A5" w:rsidRDefault="00CE61A5" w:rsidP="00CE61A5">
      <w:pPr>
        <w:pStyle w:val="ListParagraph"/>
        <w:rPr>
          <w:rFonts w:ascii="Arial" w:hAnsi="Arial" w:cs="Arial"/>
          <w:b/>
        </w:rPr>
      </w:pPr>
    </w:p>
    <w:p w14:paraId="4D628F9C" w14:textId="592C336E" w:rsidR="00CE61A5" w:rsidRDefault="00CE61A5" w:rsidP="00CE61A5">
      <w:pPr>
        <w:pStyle w:val="ListParagraph"/>
        <w:rPr>
          <w:rFonts w:ascii="Arial" w:hAnsi="Arial" w:cs="Arial"/>
          <w:b/>
        </w:rPr>
      </w:pPr>
    </w:p>
    <w:p w14:paraId="0FBDE20C" w14:textId="0295AD19" w:rsidR="00CE61A5" w:rsidRDefault="00CE61A5">
      <w:pPr>
        <w:rPr>
          <w:rFonts w:ascii="Arial" w:hAnsi="Arial" w:cs="Arial"/>
          <w:b/>
        </w:rPr>
      </w:pPr>
      <w:r>
        <w:rPr>
          <w:rFonts w:ascii="Arial" w:hAnsi="Arial" w:cs="Arial"/>
          <w:b/>
        </w:rPr>
        <w:br w:type="page"/>
      </w:r>
    </w:p>
    <w:p w14:paraId="431E372D" w14:textId="7937A1CC" w:rsidR="00CE61A5" w:rsidRDefault="00CE61A5" w:rsidP="00CE61A5">
      <w:pPr>
        <w:pStyle w:val="ListParagraph"/>
        <w:rPr>
          <w:rFonts w:ascii="Arial" w:hAnsi="Arial" w:cs="Arial"/>
          <w:b/>
        </w:rPr>
      </w:pPr>
    </w:p>
    <w:p w14:paraId="530D7864" w14:textId="77777777" w:rsidR="00F212A5" w:rsidRPr="00F212A5" w:rsidRDefault="00F212A5" w:rsidP="00F212A5">
      <w:pPr>
        <w:pStyle w:val="ListParagraph"/>
        <w:rPr>
          <w:rFonts w:ascii="Arial" w:hAnsi="Arial" w:cs="Arial"/>
          <w:bCs/>
        </w:rPr>
      </w:pPr>
    </w:p>
    <w:p w14:paraId="7E8F16C0" w14:textId="77777777" w:rsidR="00656BBB" w:rsidRPr="00656BBB" w:rsidRDefault="00656BBB" w:rsidP="00656BBB">
      <w:pPr>
        <w:pStyle w:val="ListParagraph"/>
        <w:rPr>
          <w:rStyle w:val="IntenseEmphasis"/>
          <w:rFonts w:ascii="Arial" w:hAnsi="Arial" w:cs="Arial"/>
          <w:i w:val="0"/>
          <w:iCs w:val="0"/>
          <w:color w:val="auto"/>
          <w:sz w:val="28"/>
          <w:szCs w:val="28"/>
          <w:u w:val="single"/>
        </w:rPr>
      </w:pPr>
    </w:p>
    <w:p w14:paraId="6D2ABB8E" w14:textId="1B6A3B49" w:rsidR="00656BBB" w:rsidRPr="00F212A5" w:rsidRDefault="00656BBB" w:rsidP="00656BBB">
      <w:pPr>
        <w:pStyle w:val="NoSpacing"/>
        <w:rPr>
          <w:rStyle w:val="IntenseEmphasis"/>
          <w:rFonts w:ascii="Arial" w:hAnsi="Arial" w:cs="Arial"/>
          <w:i w:val="0"/>
          <w:iCs w:val="0"/>
          <w:color w:val="auto"/>
          <w:u w:val="single"/>
        </w:rPr>
      </w:pPr>
    </w:p>
    <w:p w14:paraId="68171DAF" w14:textId="5AA71E3C" w:rsidR="00F212A5" w:rsidRDefault="00F212A5" w:rsidP="00F212A5">
      <w:pPr>
        <w:pStyle w:val="NoSpacing"/>
        <w:numPr>
          <w:ilvl w:val="0"/>
          <w:numId w:val="10"/>
        </w:numPr>
        <w:rPr>
          <w:rStyle w:val="IntenseEmphasis"/>
          <w:rFonts w:ascii="Arial" w:hAnsi="Arial" w:cs="Arial"/>
          <w:i w:val="0"/>
          <w:iCs w:val="0"/>
          <w:color w:val="auto"/>
          <w:u w:val="single"/>
        </w:rPr>
      </w:pPr>
      <w:r w:rsidRPr="00F212A5">
        <w:rPr>
          <w:rStyle w:val="IntenseEmphasis"/>
          <w:rFonts w:ascii="Arial" w:hAnsi="Arial" w:cs="Arial"/>
          <w:i w:val="0"/>
          <w:iCs w:val="0"/>
          <w:color w:val="auto"/>
          <w:u w:val="single"/>
        </w:rPr>
        <w:t>Executive Summary</w:t>
      </w:r>
    </w:p>
    <w:p w14:paraId="583FD576" w14:textId="23ECFEC3" w:rsidR="00F212A5" w:rsidRDefault="00F212A5" w:rsidP="00F212A5">
      <w:pPr>
        <w:pStyle w:val="NoSpacing"/>
        <w:ind w:left="720"/>
        <w:rPr>
          <w:rStyle w:val="IntenseEmphasis"/>
          <w:rFonts w:ascii="Arial" w:hAnsi="Arial" w:cs="Arial"/>
          <w:i w:val="0"/>
          <w:iCs w:val="0"/>
          <w:color w:val="auto"/>
          <w:u w:val="single"/>
        </w:rPr>
      </w:pPr>
    </w:p>
    <w:p w14:paraId="55F65216" w14:textId="65B7E843" w:rsidR="00F212A5" w:rsidRDefault="00F212A5" w:rsidP="00F212A5">
      <w:pPr>
        <w:pStyle w:val="NoSpacing"/>
        <w:ind w:left="720"/>
        <w:rPr>
          <w:rStyle w:val="IntenseEmphasis"/>
          <w:rFonts w:ascii="Arial" w:hAnsi="Arial" w:cs="Arial"/>
          <w:i w:val="0"/>
          <w:iCs w:val="0"/>
          <w:color w:val="auto"/>
          <w:u w:val="single"/>
        </w:rPr>
      </w:pPr>
    </w:p>
    <w:p w14:paraId="5B563D1C" w14:textId="16735528" w:rsidR="00F212A5" w:rsidRDefault="00F212A5" w:rsidP="00F212A5">
      <w:pPr>
        <w:pStyle w:val="NoSpacing"/>
        <w:ind w:left="720"/>
        <w:rPr>
          <w:rStyle w:val="IntenseEmphasis"/>
          <w:rFonts w:ascii="Arial" w:hAnsi="Arial" w:cs="Arial"/>
          <w:i w:val="0"/>
          <w:iCs w:val="0"/>
          <w:color w:val="auto"/>
          <w:u w:val="single"/>
        </w:rPr>
      </w:pPr>
    </w:p>
    <w:p w14:paraId="1C2C1A03" w14:textId="74B1A784" w:rsidR="00ED13C8" w:rsidRDefault="00F212A5" w:rsidP="00ED13C8">
      <w:pPr>
        <w:pStyle w:val="NoSpacing"/>
        <w:ind w:left="720"/>
        <w:rPr>
          <w:rStyle w:val="IntenseEmphasis"/>
          <w:rFonts w:ascii="Arial" w:hAnsi="Arial" w:cs="Arial"/>
          <w:b w:val="0"/>
          <w:bCs w:val="0"/>
          <w:i w:val="0"/>
          <w:iCs w:val="0"/>
          <w:color w:val="auto"/>
        </w:rPr>
      </w:pPr>
      <w:r>
        <w:rPr>
          <w:rStyle w:val="IntenseEmphasis"/>
          <w:rFonts w:ascii="Arial" w:hAnsi="Arial" w:cs="Arial"/>
          <w:b w:val="0"/>
          <w:bCs w:val="0"/>
          <w:i w:val="0"/>
          <w:iCs w:val="0"/>
          <w:color w:val="auto"/>
        </w:rPr>
        <w:t xml:space="preserve">This report contains </w:t>
      </w:r>
      <w:r w:rsidR="00E12B1D">
        <w:rPr>
          <w:rStyle w:val="IntenseEmphasis"/>
          <w:rFonts w:ascii="Arial" w:hAnsi="Arial" w:cs="Arial"/>
          <w:b w:val="0"/>
          <w:bCs w:val="0"/>
          <w:i w:val="0"/>
          <w:iCs w:val="0"/>
          <w:color w:val="auto"/>
        </w:rPr>
        <w:t xml:space="preserve">a summary of tort law, specifically </w:t>
      </w:r>
      <w:r w:rsidR="00ED13C8">
        <w:rPr>
          <w:rStyle w:val="IntenseEmphasis"/>
          <w:rFonts w:ascii="Arial" w:hAnsi="Arial" w:cs="Arial"/>
          <w:b w:val="0"/>
          <w:bCs w:val="0"/>
          <w:i w:val="0"/>
          <w:iCs w:val="0"/>
          <w:color w:val="auto"/>
        </w:rPr>
        <w:t xml:space="preserve">the tort of negligence, focusing on what it is and </w:t>
      </w:r>
      <w:r w:rsidR="009D6A07">
        <w:rPr>
          <w:rStyle w:val="IntenseEmphasis"/>
          <w:rFonts w:ascii="Arial" w:hAnsi="Arial" w:cs="Arial"/>
          <w:b w:val="0"/>
          <w:bCs w:val="0"/>
          <w:i w:val="0"/>
          <w:iCs w:val="0"/>
          <w:color w:val="auto"/>
        </w:rPr>
        <w:t xml:space="preserve">examples of </w:t>
      </w:r>
      <w:r w:rsidR="00F87683">
        <w:rPr>
          <w:rStyle w:val="IntenseEmphasis"/>
          <w:rFonts w:ascii="Arial" w:hAnsi="Arial" w:cs="Arial"/>
          <w:b w:val="0"/>
          <w:bCs w:val="0"/>
          <w:i w:val="0"/>
          <w:iCs w:val="0"/>
          <w:color w:val="auto"/>
        </w:rPr>
        <w:t xml:space="preserve">different ways that negligence can occur. </w:t>
      </w:r>
      <w:r w:rsidR="00F87683">
        <w:rPr>
          <w:rStyle w:val="IntenseEmphasis"/>
          <w:rFonts w:ascii="Arial" w:hAnsi="Arial" w:cs="Arial"/>
          <w:b w:val="0"/>
          <w:bCs w:val="0"/>
          <w:i w:val="0"/>
          <w:iCs w:val="0"/>
          <w:color w:val="auto"/>
        </w:rPr>
        <w:br/>
        <w:t xml:space="preserve">I have described the three essential elements of negligence using examples of cases to show how they are used in the legal system, the historical cases used in this report played an important role in evolving how the tort of negligence is </w:t>
      </w:r>
      <w:r w:rsidR="005F1AB0">
        <w:rPr>
          <w:rStyle w:val="IntenseEmphasis"/>
          <w:rFonts w:ascii="Arial" w:hAnsi="Arial" w:cs="Arial"/>
          <w:b w:val="0"/>
          <w:bCs w:val="0"/>
          <w:i w:val="0"/>
          <w:iCs w:val="0"/>
          <w:color w:val="auto"/>
        </w:rPr>
        <w:t>judged today.</w:t>
      </w:r>
    </w:p>
    <w:p w14:paraId="0E5FDAEF" w14:textId="0E5EC7E9" w:rsidR="00ED13C8" w:rsidRDefault="00ED13C8" w:rsidP="00ED13C8">
      <w:pPr>
        <w:pStyle w:val="NoSpacing"/>
        <w:ind w:left="720"/>
        <w:rPr>
          <w:rStyle w:val="IntenseEmphasis"/>
          <w:rFonts w:ascii="Arial" w:hAnsi="Arial" w:cs="Arial"/>
          <w:b w:val="0"/>
          <w:bCs w:val="0"/>
          <w:i w:val="0"/>
          <w:iCs w:val="0"/>
          <w:color w:val="auto"/>
        </w:rPr>
      </w:pPr>
    </w:p>
    <w:p w14:paraId="00BC7E69" w14:textId="026B7AE1" w:rsidR="00683CF1" w:rsidRDefault="00ED13C8" w:rsidP="00683CF1">
      <w:pPr>
        <w:pStyle w:val="NoSpacing"/>
        <w:ind w:left="720"/>
        <w:rPr>
          <w:rStyle w:val="IntenseEmphasis"/>
          <w:rFonts w:ascii="Arial" w:hAnsi="Arial" w:cs="Arial"/>
          <w:b w:val="0"/>
          <w:bCs w:val="0"/>
          <w:i w:val="0"/>
          <w:iCs w:val="0"/>
          <w:color w:val="auto"/>
        </w:rPr>
      </w:pPr>
      <w:r>
        <w:rPr>
          <w:rStyle w:val="IntenseEmphasis"/>
          <w:rFonts w:ascii="Arial" w:hAnsi="Arial" w:cs="Arial"/>
          <w:b w:val="0"/>
          <w:bCs w:val="0"/>
          <w:i w:val="0"/>
          <w:iCs w:val="0"/>
          <w:color w:val="auto"/>
        </w:rPr>
        <w:t xml:space="preserve">I have used </w:t>
      </w:r>
      <w:r w:rsidR="00BF7BEF">
        <w:rPr>
          <w:rStyle w:val="IntenseEmphasis"/>
          <w:rFonts w:ascii="Arial" w:hAnsi="Arial" w:cs="Arial"/>
          <w:b w:val="0"/>
          <w:bCs w:val="0"/>
          <w:i w:val="0"/>
          <w:iCs w:val="0"/>
          <w:color w:val="auto"/>
        </w:rPr>
        <w:t>the case of Anns v Merton London Borough Council (1978) to outline negligence in construction</w:t>
      </w:r>
      <w:r>
        <w:rPr>
          <w:rStyle w:val="IntenseEmphasis"/>
          <w:rFonts w:ascii="Arial" w:hAnsi="Arial" w:cs="Arial"/>
          <w:b w:val="0"/>
          <w:bCs w:val="0"/>
          <w:i w:val="0"/>
          <w:iCs w:val="0"/>
          <w:color w:val="auto"/>
        </w:rPr>
        <w:t xml:space="preserve"> and </w:t>
      </w:r>
      <w:r w:rsidR="00FF60A6">
        <w:rPr>
          <w:rStyle w:val="IntenseEmphasis"/>
          <w:rFonts w:ascii="Arial" w:hAnsi="Arial" w:cs="Arial"/>
          <w:b w:val="0"/>
          <w:bCs w:val="0"/>
          <w:i w:val="0"/>
          <w:iCs w:val="0"/>
          <w:color w:val="auto"/>
        </w:rPr>
        <w:t xml:space="preserve">how important its role is in </w:t>
      </w:r>
      <w:r w:rsidR="00BF7BEF">
        <w:rPr>
          <w:rStyle w:val="IntenseEmphasis"/>
          <w:rFonts w:ascii="Arial" w:hAnsi="Arial" w:cs="Arial"/>
          <w:b w:val="0"/>
          <w:bCs w:val="0"/>
          <w:i w:val="0"/>
          <w:iCs w:val="0"/>
          <w:color w:val="auto"/>
        </w:rPr>
        <w:t>the industry</w:t>
      </w:r>
      <w:r w:rsidR="00F60A61">
        <w:rPr>
          <w:rStyle w:val="IntenseEmphasis"/>
          <w:rFonts w:ascii="Arial" w:hAnsi="Arial" w:cs="Arial"/>
          <w:b w:val="0"/>
          <w:bCs w:val="0"/>
          <w:i w:val="0"/>
          <w:iCs w:val="0"/>
          <w:color w:val="auto"/>
        </w:rPr>
        <w:t>.</w:t>
      </w:r>
      <w:r w:rsidR="00F60A61">
        <w:rPr>
          <w:rStyle w:val="IntenseEmphasis"/>
          <w:rFonts w:ascii="Arial" w:hAnsi="Arial" w:cs="Arial"/>
          <w:b w:val="0"/>
          <w:bCs w:val="0"/>
          <w:i w:val="0"/>
          <w:iCs w:val="0"/>
          <w:color w:val="auto"/>
        </w:rPr>
        <w:br/>
        <w:t>Using The Building Safety Act 2022 with the Grenfell Tower fire of 2017 I have highlighted how negligence in construction is important for changes to be made in legislation.</w:t>
      </w:r>
    </w:p>
    <w:p w14:paraId="69959426" w14:textId="2A616AEB" w:rsidR="00FF60A6" w:rsidRDefault="00FF60A6" w:rsidP="00ED13C8">
      <w:pPr>
        <w:pStyle w:val="NoSpacing"/>
        <w:ind w:left="720"/>
        <w:rPr>
          <w:rStyle w:val="IntenseEmphasis"/>
          <w:rFonts w:ascii="Arial" w:hAnsi="Arial" w:cs="Arial"/>
          <w:b w:val="0"/>
          <w:bCs w:val="0"/>
          <w:i w:val="0"/>
          <w:iCs w:val="0"/>
          <w:color w:val="auto"/>
        </w:rPr>
      </w:pPr>
    </w:p>
    <w:p w14:paraId="26186988" w14:textId="2DEEA99C" w:rsidR="00683CF1" w:rsidRDefault="00FF60A6" w:rsidP="00BF7BEF">
      <w:pPr>
        <w:pStyle w:val="NoSpacing"/>
        <w:ind w:left="720"/>
        <w:rPr>
          <w:rStyle w:val="IntenseEmphasis"/>
          <w:rFonts w:ascii="Arial" w:hAnsi="Arial" w:cs="Arial"/>
          <w:b w:val="0"/>
          <w:bCs w:val="0"/>
          <w:i w:val="0"/>
          <w:iCs w:val="0"/>
          <w:color w:val="auto"/>
        </w:rPr>
      </w:pPr>
      <w:r>
        <w:rPr>
          <w:rStyle w:val="IntenseEmphasis"/>
          <w:rFonts w:ascii="Arial" w:hAnsi="Arial" w:cs="Arial"/>
          <w:b w:val="0"/>
          <w:bCs w:val="0"/>
          <w:i w:val="0"/>
          <w:iCs w:val="0"/>
          <w:color w:val="auto"/>
        </w:rPr>
        <w:t>This report includes information on dispute resolution methods and the benefit of using them in place of court procedures.</w:t>
      </w:r>
    </w:p>
    <w:p w14:paraId="28107FCA" w14:textId="24C351D4" w:rsidR="00683CF1" w:rsidRPr="00F212A5" w:rsidRDefault="00683CF1" w:rsidP="00ED13C8">
      <w:pPr>
        <w:pStyle w:val="NoSpacing"/>
        <w:ind w:left="720"/>
        <w:rPr>
          <w:rStyle w:val="IntenseEmphasis"/>
          <w:rFonts w:ascii="Arial" w:hAnsi="Arial" w:cs="Arial"/>
          <w:b w:val="0"/>
          <w:bCs w:val="0"/>
          <w:i w:val="0"/>
          <w:iCs w:val="0"/>
          <w:color w:val="auto"/>
        </w:rPr>
      </w:pPr>
      <w:r>
        <w:rPr>
          <w:rStyle w:val="IntenseEmphasis"/>
          <w:rFonts w:ascii="Arial" w:hAnsi="Arial" w:cs="Arial"/>
          <w:b w:val="0"/>
          <w:bCs w:val="0"/>
          <w:i w:val="0"/>
          <w:iCs w:val="0"/>
          <w:color w:val="auto"/>
        </w:rPr>
        <w:t>I have focused on Adjudication using the case of Vinci Construction UK Ltd v Beumer Group UK Ltd (2018) to evaluate the use of dispute resolution for such a case.</w:t>
      </w:r>
    </w:p>
    <w:p w14:paraId="278423F0" w14:textId="50770A14" w:rsidR="00353217" w:rsidRDefault="00353217">
      <w:pPr>
        <w:rPr>
          <w:rStyle w:val="IntenseEmphasis"/>
          <w:rFonts w:ascii="Arial" w:hAnsi="Arial" w:cs="Arial"/>
          <w:i w:val="0"/>
          <w:iCs w:val="0"/>
          <w:color w:val="auto"/>
          <w:u w:val="single"/>
        </w:rPr>
      </w:pPr>
    </w:p>
    <w:p w14:paraId="01CA8DEA" w14:textId="52B30C05" w:rsidR="00353217" w:rsidRDefault="00353217">
      <w:pPr>
        <w:rPr>
          <w:rStyle w:val="IntenseEmphasis"/>
          <w:rFonts w:ascii="Arial" w:hAnsi="Arial" w:cs="Arial"/>
          <w:i w:val="0"/>
          <w:iCs w:val="0"/>
          <w:color w:val="auto"/>
          <w:u w:val="single"/>
        </w:rPr>
      </w:pPr>
    </w:p>
    <w:p w14:paraId="39E0F6A2" w14:textId="06627507" w:rsidR="00353217" w:rsidRDefault="00353217">
      <w:pPr>
        <w:rPr>
          <w:rStyle w:val="IntenseEmphasis"/>
          <w:rFonts w:ascii="Arial" w:hAnsi="Arial" w:cs="Arial"/>
          <w:i w:val="0"/>
          <w:iCs w:val="0"/>
          <w:color w:val="auto"/>
          <w:u w:val="single"/>
        </w:rPr>
      </w:pPr>
      <w:r>
        <w:rPr>
          <w:rStyle w:val="IntenseEmphasis"/>
          <w:rFonts w:ascii="Arial" w:hAnsi="Arial" w:cs="Arial"/>
          <w:i w:val="0"/>
          <w:iCs w:val="0"/>
          <w:color w:val="auto"/>
          <w:u w:val="single"/>
        </w:rPr>
        <w:br w:type="page"/>
      </w:r>
    </w:p>
    <w:p w14:paraId="0A304EA9" w14:textId="7A4656F3" w:rsidR="00353217" w:rsidRDefault="00353217">
      <w:pPr>
        <w:rPr>
          <w:rStyle w:val="IntenseEmphasis"/>
          <w:rFonts w:ascii="Arial" w:hAnsi="Arial" w:cs="Arial"/>
          <w:i w:val="0"/>
          <w:iCs w:val="0"/>
          <w:color w:val="auto"/>
          <w:u w:val="single"/>
        </w:rPr>
      </w:pPr>
    </w:p>
    <w:p w14:paraId="3C709D4A" w14:textId="474EF17B" w:rsidR="00F5624E" w:rsidRDefault="00F5624E" w:rsidP="00F5624E">
      <w:pPr>
        <w:rPr>
          <w:rStyle w:val="IntenseEmphasis"/>
          <w:rFonts w:ascii="Arial" w:hAnsi="Arial" w:cs="Arial"/>
          <w:i w:val="0"/>
          <w:iCs w:val="0"/>
          <w:color w:val="auto"/>
          <w:u w:val="single"/>
        </w:rPr>
      </w:pPr>
    </w:p>
    <w:p w14:paraId="613C9461" w14:textId="0BE1BC17" w:rsidR="008377A2" w:rsidRPr="008377A2" w:rsidRDefault="00F5624E" w:rsidP="008377A2">
      <w:pPr>
        <w:pStyle w:val="ListParagraph"/>
        <w:numPr>
          <w:ilvl w:val="0"/>
          <w:numId w:val="23"/>
        </w:numPr>
        <w:rPr>
          <w:rStyle w:val="IntenseEmphasis"/>
          <w:rFonts w:ascii="Arial" w:hAnsi="Arial" w:cs="Arial"/>
          <w:i w:val="0"/>
          <w:iCs w:val="0"/>
          <w:color w:val="auto"/>
          <w:u w:val="single"/>
        </w:rPr>
      </w:pPr>
      <w:r>
        <w:rPr>
          <w:rStyle w:val="IntenseEmphasis"/>
          <w:rFonts w:ascii="Arial" w:hAnsi="Arial" w:cs="Arial"/>
          <w:i w:val="0"/>
          <w:iCs w:val="0"/>
          <w:color w:val="auto"/>
          <w:u w:val="single"/>
        </w:rPr>
        <w:t>Terms of Referenc</w:t>
      </w:r>
      <w:r w:rsidR="00F33089">
        <w:rPr>
          <w:rStyle w:val="IntenseEmphasis"/>
          <w:rFonts w:ascii="Arial" w:hAnsi="Arial" w:cs="Arial"/>
          <w:i w:val="0"/>
          <w:iCs w:val="0"/>
          <w:color w:val="auto"/>
          <w:u w:val="single"/>
        </w:rPr>
        <w:t>e</w:t>
      </w:r>
      <w:r w:rsidR="008377A2">
        <w:rPr>
          <w:rStyle w:val="IntenseEmphasis"/>
          <w:rFonts w:ascii="Arial" w:hAnsi="Arial" w:cs="Arial"/>
          <w:i w:val="0"/>
          <w:iCs w:val="0"/>
          <w:color w:val="auto"/>
          <w:u w:val="single"/>
        </w:rPr>
        <w:br/>
      </w:r>
      <w:r w:rsidR="008377A2">
        <w:rPr>
          <w:rStyle w:val="IntenseEmphasis"/>
          <w:rFonts w:ascii="Arial" w:hAnsi="Arial" w:cs="Arial"/>
          <w:i w:val="0"/>
          <w:iCs w:val="0"/>
          <w:color w:val="auto"/>
          <w:u w:val="single"/>
        </w:rPr>
        <w:br/>
      </w:r>
      <w:r w:rsidR="008377A2">
        <w:rPr>
          <w:rStyle w:val="IntenseEmphasis"/>
          <w:rFonts w:ascii="Arial" w:hAnsi="Arial" w:cs="Arial"/>
          <w:b w:val="0"/>
          <w:bCs w:val="0"/>
          <w:i w:val="0"/>
          <w:iCs w:val="0"/>
          <w:color w:val="auto"/>
        </w:rPr>
        <w:t>The focus of this report is:</w:t>
      </w:r>
    </w:p>
    <w:p w14:paraId="6BB93CA6" w14:textId="77777777" w:rsidR="00F33089" w:rsidRDefault="00F33089" w:rsidP="00F33089">
      <w:pPr>
        <w:pStyle w:val="ListParagraph"/>
        <w:rPr>
          <w:rStyle w:val="IntenseEmphasis"/>
          <w:rFonts w:ascii="Arial" w:hAnsi="Arial" w:cs="Arial"/>
          <w:i w:val="0"/>
          <w:iCs w:val="0"/>
          <w:color w:val="auto"/>
          <w:u w:val="single"/>
        </w:rPr>
      </w:pPr>
    </w:p>
    <w:p w14:paraId="2D991911" w14:textId="77777777" w:rsidR="008377A2" w:rsidRPr="008377A2" w:rsidRDefault="008377A2" w:rsidP="008377A2">
      <w:pPr>
        <w:pStyle w:val="ListParagraph"/>
        <w:numPr>
          <w:ilvl w:val="1"/>
          <w:numId w:val="44"/>
        </w:numPr>
        <w:rPr>
          <w:rStyle w:val="IntenseEmphasis"/>
          <w:rFonts w:ascii="Arial" w:hAnsi="Arial" w:cs="Arial"/>
          <w:i w:val="0"/>
          <w:iCs w:val="0"/>
          <w:color w:val="auto"/>
          <w:u w:val="single"/>
        </w:rPr>
      </w:pPr>
      <w:r>
        <w:rPr>
          <w:rStyle w:val="IntenseEmphasis"/>
          <w:rFonts w:ascii="Arial" w:hAnsi="Arial" w:cs="Arial"/>
          <w:b w:val="0"/>
          <w:bCs w:val="0"/>
          <w:i w:val="0"/>
          <w:iCs w:val="0"/>
          <w:color w:val="auto"/>
        </w:rPr>
        <w:t>To describe negligence in tort law and to break down the elements.</w:t>
      </w:r>
      <w:r>
        <w:rPr>
          <w:rStyle w:val="IntenseEmphasis"/>
          <w:rFonts w:ascii="Arial" w:hAnsi="Arial" w:cs="Arial"/>
          <w:b w:val="0"/>
          <w:bCs w:val="0"/>
          <w:i w:val="0"/>
          <w:iCs w:val="0"/>
          <w:color w:val="auto"/>
        </w:rPr>
        <w:br/>
      </w:r>
    </w:p>
    <w:p w14:paraId="351FB6F4" w14:textId="2E71D389" w:rsidR="008377A2" w:rsidRPr="008377A2" w:rsidRDefault="008377A2" w:rsidP="008377A2">
      <w:pPr>
        <w:pStyle w:val="ListParagraph"/>
        <w:numPr>
          <w:ilvl w:val="1"/>
          <w:numId w:val="45"/>
        </w:numPr>
        <w:rPr>
          <w:rStyle w:val="IntenseEmphasis"/>
          <w:rFonts w:ascii="Arial" w:hAnsi="Arial" w:cs="Arial"/>
          <w:i w:val="0"/>
          <w:iCs w:val="0"/>
          <w:color w:val="auto"/>
          <w:u w:val="single"/>
        </w:rPr>
      </w:pPr>
      <w:r>
        <w:rPr>
          <w:rStyle w:val="IntenseEmphasis"/>
          <w:rFonts w:ascii="Arial" w:hAnsi="Arial" w:cs="Arial"/>
          <w:b w:val="0"/>
          <w:bCs w:val="0"/>
          <w:i w:val="0"/>
          <w:iCs w:val="0"/>
          <w:color w:val="auto"/>
        </w:rPr>
        <w:t>To highlight negligence as a tort in construction, its impact on the industry and its effect on a construction project.</w:t>
      </w:r>
      <w:r>
        <w:rPr>
          <w:rStyle w:val="IntenseEmphasis"/>
          <w:rFonts w:ascii="Arial" w:hAnsi="Arial" w:cs="Arial"/>
          <w:b w:val="0"/>
          <w:bCs w:val="0"/>
          <w:i w:val="0"/>
          <w:iCs w:val="0"/>
          <w:color w:val="auto"/>
        </w:rPr>
        <w:br/>
      </w:r>
    </w:p>
    <w:p w14:paraId="4B30FDD7" w14:textId="3051B891" w:rsidR="00F33089" w:rsidRPr="008377A2" w:rsidRDefault="008377A2" w:rsidP="008377A2">
      <w:pPr>
        <w:pStyle w:val="ListParagraph"/>
        <w:numPr>
          <w:ilvl w:val="1"/>
          <w:numId w:val="46"/>
        </w:numPr>
        <w:rPr>
          <w:rStyle w:val="IntenseEmphasis"/>
          <w:rFonts w:ascii="Arial" w:hAnsi="Arial" w:cs="Arial"/>
          <w:i w:val="0"/>
          <w:iCs w:val="0"/>
          <w:color w:val="auto"/>
          <w:u w:val="single"/>
        </w:rPr>
      </w:pPr>
      <w:r>
        <w:rPr>
          <w:rStyle w:val="IntenseEmphasis"/>
          <w:rFonts w:ascii="Arial" w:hAnsi="Arial" w:cs="Arial"/>
          <w:b w:val="0"/>
          <w:bCs w:val="0"/>
          <w:i w:val="0"/>
          <w:iCs w:val="0"/>
          <w:color w:val="auto"/>
        </w:rPr>
        <w:t>To evaluate adjudication as a method of dispute resolution and its use in the case of Vinci Construction UK Ltd v Beumer Group UK Ltd [2018].</w:t>
      </w:r>
      <w:r w:rsidR="00F33089" w:rsidRPr="008377A2">
        <w:rPr>
          <w:rStyle w:val="IntenseEmphasis"/>
          <w:rFonts w:ascii="Arial" w:hAnsi="Arial" w:cs="Arial"/>
          <w:i w:val="0"/>
          <w:iCs w:val="0"/>
          <w:color w:val="auto"/>
          <w:u w:val="single"/>
        </w:rPr>
        <w:br/>
      </w:r>
    </w:p>
    <w:p w14:paraId="5A41805E" w14:textId="58CEBB04" w:rsidR="009D6A07" w:rsidRDefault="00F33089" w:rsidP="00F33089">
      <w:pPr>
        <w:pStyle w:val="ListParagraph"/>
        <w:rPr>
          <w:rStyle w:val="IntenseEmphasis"/>
          <w:rFonts w:ascii="Arial" w:hAnsi="Arial" w:cs="Arial"/>
          <w:i w:val="0"/>
          <w:iCs w:val="0"/>
          <w:color w:val="auto"/>
          <w:u w:val="single"/>
        </w:rPr>
      </w:pPr>
      <w:r>
        <w:rPr>
          <w:rStyle w:val="IntenseEmphasis"/>
          <w:rFonts w:ascii="Arial" w:hAnsi="Arial" w:cs="Arial"/>
          <w:i w:val="0"/>
          <w:iCs w:val="0"/>
          <w:color w:val="auto"/>
          <w:u w:val="single"/>
        </w:rPr>
        <w:br/>
      </w:r>
      <w:r>
        <w:rPr>
          <w:rStyle w:val="IntenseEmphasis"/>
          <w:rFonts w:ascii="Arial" w:hAnsi="Arial" w:cs="Arial"/>
          <w:i w:val="0"/>
          <w:iCs w:val="0"/>
          <w:color w:val="auto"/>
          <w:u w:val="single"/>
        </w:rPr>
        <w:br/>
      </w:r>
    </w:p>
    <w:p w14:paraId="112E04B2" w14:textId="77777777" w:rsidR="00F33089" w:rsidRPr="00F33089" w:rsidRDefault="00F33089" w:rsidP="00F33089">
      <w:pPr>
        <w:rPr>
          <w:rStyle w:val="IntenseEmphasis"/>
          <w:rFonts w:ascii="Arial" w:hAnsi="Arial" w:cs="Arial"/>
          <w:i w:val="0"/>
          <w:iCs w:val="0"/>
          <w:color w:val="auto"/>
          <w:u w:val="single"/>
        </w:rPr>
      </w:pPr>
    </w:p>
    <w:p w14:paraId="0466EA04" w14:textId="697C226C" w:rsidR="00F5624E" w:rsidRPr="009D6A07" w:rsidRDefault="00047FD8" w:rsidP="009D6A07">
      <w:pPr>
        <w:rPr>
          <w:rStyle w:val="IntenseEmphasis"/>
          <w:rFonts w:ascii="Arial" w:hAnsi="Arial" w:cs="Arial"/>
          <w:i w:val="0"/>
          <w:iCs w:val="0"/>
          <w:color w:val="auto"/>
          <w:u w:val="single"/>
        </w:rPr>
      </w:pPr>
      <w:r w:rsidRPr="009D6A07">
        <w:rPr>
          <w:rStyle w:val="IntenseEmphasis"/>
          <w:rFonts w:ascii="Arial" w:hAnsi="Arial" w:cs="Arial"/>
          <w:i w:val="0"/>
          <w:iCs w:val="0"/>
          <w:color w:val="auto"/>
          <w:u w:val="single"/>
        </w:rPr>
        <w:br/>
      </w:r>
      <w:r w:rsidRPr="009D6A07">
        <w:rPr>
          <w:rStyle w:val="IntenseEmphasis"/>
          <w:rFonts w:ascii="Arial" w:hAnsi="Arial" w:cs="Arial"/>
          <w:i w:val="0"/>
          <w:iCs w:val="0"/>
          <w:color w:val="auto"/>
          <w:u w:val="single"/>
        </w:rPr>
        <w:br/>
      </w:r>
      <w:r w:rsidRPr="009D6A07">
        <w:rPr>
          <w:rStyle w:val="IntenseEmphasis"/>
          <w:rFonts w:ascii="Arial" w:hAnsi="Arial" w:cs="Arial"/>
          <w:i w:val="0"/>
          <w:iCs w:val="0"/>
          <w:color w:val="auto"/>
          <w:u w:val="single"/>
        </w:rPr>
        <w:br/>
      </w:r>
      <w:r w:rsidRPr="009D6A07">
        <w:rPr>
          <w:rStyle w:val="IntenseEmphasis"/>
          <w:rFonts w:ascii="Arial" w:hAnsi="Arial" w:cs="Arial"/>
          <w:i w:val="0"/>
          <w:iCs w:val="0"/>
          <w:color w:val="auto"/>
          <w:u w:val="single"/>
        </w:rPr>
        <w:br/>
      </w:r>
      <w:r w:rsidRPr="009D6A07">
        <w:rPr>
          <w:rStyle w:val="IntenseEmphasis"/>
          <w:rFonts w:ascii="Arial" w:hAnsi="Arial" w:cs="Arial"/>
          <w:i w:val="0"/>
          <w:iCs w:val="0"/>
          <w:color w:val="auto"/>
          <w:u w:val="single"/>
        </w:rPr>
        <w:br/>
      </w:r>
      <w:r w:rsidRPr="009D6A07">
        <w:rPr>
          <w:rStyle w:val="IntenseEmphasis"/>
          <w:rFonts w:ascii="Arial" w:hAnsi="Arial" w:cs="Arial"/>
          <w:i w:val="0"/>
          <w:iCs w:val="0"/>
          <w:color w:val="auto"/>
          <w:u w:val="single"/>
        </w:rPr>
        <w:br/>
      </w:r>
    </w:p>
    <w:p w14:paraId="39764B43" w14:textId="77777777" w:rsidR="00047FD8" w:rsidRDefault="00047FD8" w:rsidP="00047FD8">
      <w:pPr>
        <w:pStyle w:val="ListParagraph"/>
        <w:rPr>
          <w:rStyle w:val="IntenseEmphasis"/>
          <w:rFonts w:ascii="Arial" w:hAnsi="Arial" w:cs="Arial"/>
          <w:i w:val="0"/>
          <w:iCs w:val="0"/>
          <w:color w:val="auto"/>
          <w:u w:val="single"/>
        </w:rPr>
      </w:pPr>
    </w:p>
    <w:p w14:paraId="5C8075BE" w14:textId="58805621" w:rsidR="00F5624E" w:rsidRDefault="00F5624E">
      <w:pPr>
        <w:rPr>
          <w:rStyle w:val="IntenseEmphasis"/>
          <w:rFonts w:ascii="Arial" w:hAnsi="Arial" w:cs="Arial"/>
          <w:i w:val="0"/>
          <w:iCs w:val="0"/>
          <w:color w:val="auto"/>
          <w:u w:val="single"/>
        </w:rPr>
      </w:pPr>
      <w:r>
        <w:rPr>
          <w:rStyle w:val="IntenseEmphasis"/>
          <w:rFonts w:ascii="Arial" w:hAnsi="Arial" w:cs="Arial"/>
          <w:i w:val="0"/>
          <w:iCs w:val="0"/>
          <w:color w:val="auto"/>
          <w:u w:val="single"/>
        </w:rPr>
        <w:br w:type="page"/>
      </w:r>
    </w:p>
    <w:p w14:paraId="4E7504A8" w14:textId="7A40849C" w:rsidR="00F5624E" w:rsidRDefault="00F5624E" w:rsidP="00F5624E">
      <w:pPr>
        <w:rPr>
          <w:rStyle w:val="IntenseEmphasis"/>
          <w:rFonts w:ascii="Arial" w:hAnsi="Arial" w:cs="Arial"/>
          <w:i w:val="0"/>
          <w:iCs w:val="0"/>
          <w:color w:val="auto"/>
          <w:u w:val="single"/>
        </w:rPr>
      </w:pPr>
    </w:p>
    <w:p w14:paraId="182C3DE0" w14:textId="744E6EBF" w:rsidR="00F5624E" w:rsidRDefault="00F5624E" w:rsidP="00F5624E">
      <w:pPr>
        <w:rPr>
          <w:rStyle w:val="IntenseEmphasis"/>
          <w:rFonts w:ascii="Arial" w:hAnsi="Arial" w:cs="Arial"/>
          <w:i w:val="0"/>
          <w:iCs w:val="0"/>
          <w:color w:val="auto"/>
          <w:u w:val="single"/>
        </w:rPr>
      </w:pPr>
    </w:p>
    <w:p w14:paraId="5A0F2DBF" w14:textId="05824CE0" w:rsidR="00D424FA" w:rsidRPr="00E12B1D" w:rsidRDefault="00E12B1D" w:rsidP="00E12B1D">
      <w:pPr>
        <w:pStyle w:val="ListParagraph"/>
        <w:numPr>
          <w:ilvl w:val="0"/>
          <w:numId w:val="23"/>
        </w:numPr>
        <w:rPr>
          <w:rStyle w:val="IntenseEmphasis"/>
          <w:rFonts w:ascii="Arial" w:hAnsi="Arial" w:cs="Arial"/>
          <w:i w:val="0"/>
          <w:iCs w:val="0"/>
          <w:color w:val="auto"/>
          <w:u w:val="single"/>
        </w:rPr>
      </w:pPr>
      <w:r>
        <w:rPr>
          <w:rStyle w:val="IntenseEmphasis"/>
          <w:rFonts w:ascii="Arial" w:hAnsi="Arial" w:cs="Arial"/>
          <w:i w:val="0"/>
          <w:iCs w:val="0"/>
          <w:color w:val="auto"/>
          <w:u w:val="single"/>
        </w:rPr>
        <w:t>Negligence</w:t>
      </w:r>
      <w:r>
        <w:rPr>
          <w:rStyle w:val="IntenseEmphasis"/>
          <w:rFonts w:ascii="Arial" w:hAnsi="Arial" w:cs="Arial"/>
          <w:i w:val="0"/>
          <w:iCs w:val="0"/>
          <w:color w:val="auto"/>
          <w:u w:val="single"/>
        </w:rPr>
        <w:br/>
      </w:r>
      <w:r w:rsidR="009D6A07" w:rsidRPr="00E12B1D">
        <w:rPr>
          <w:rStyle w:val="IntenseEmphasis"/>
          <w:rFonts w:ascii="Arial" w:hAnsi="Arial" w:cs="Arial"/>
          <w:i w:val="0"/>
          <w:iCs w:val="0"/>
          <w:color w:val="auto"/>
          <w:u w:val="single"/>
        </w:rPr>
        <w:br/>
      </w:r>
      <w:r w:rsidR="009D6A07" w:rsidRPr="00E12B1D">
        <w:rPr>
          <w:rStyle w:val="IntenseEmphasis"/>
          <w:rFonts w:ascii="Arial" w:hAnsi="Arial" w:cs="Arial"/>
          <w:i w:val="0"/>
          <w:iCs w:val="0"/>
          <w:color w:val="auto"/>
          <w:u w:val="single"/>
        </w:rPr>
        <w:br/>
      </w:r>
      <w:r w:rsidR="009D6A07" w:rsidRPr="00E12B1D">
        <w:rPr>
          <w:rStyle w:val="IntenseEmphasis"/>
          <w:rFonts w:ascii="Arial" w:hAnsi="Arial" w:cs="Arial"/>
          <w:b w:val="0"/>
          <w:bCs w:val="0"/>
          <w:i w:val="0"/>
          <w:iCs w:val="0"/>
          <w:color w:val="auto"/>
        </w:rPr>
        <w:t>Neglige</w:t>
      </w:r>
      <w:r w:rsidR="00B63BD6" w:rsidRPr="00E12B1D">
        <w:rPr>
          <w:rStyle w:val="IntenseEmphasis"/>
          <w:rFonts w:ascii="Arial" w:hAnsi="Arial" w:cs="Arial"/>
          <w:b w:val="0"/>
          <w:bCs w:val="0"/>
          <w:i w:val="0"/>
          <w:iCs w:val="0"/>
          <w:color w:val="auto"/>
        </w:rPr>
        <w:t>nce is one of several civil wrongs referred to as Torts.</w:t>
      </w:r>
      <w:r w:rsidR="00B63BD6" w:rsidRPr="00E12B1D">
        <w:rPr>
          <w:rStyle w:val="IntenseEmphasis"/>
          <w:rFonts w:ascii="Arial" w:hAnsi="Arial" w:cs="Arial"/>
          <w:b w:val="0"/>
          <w:bCs w:val="0"/>
          <w:i w:val="0"/>
          <w:iCs w:val="0"/>
          <w:color w:val="auto"/>
        </w:rPr>
        <w:br/>
        <w:t xml:space="preserve">A tort is an act legally considered as wrong, </w:t>
      </w:r>
      <w:r w:rsidR="001B79D8" w:rsidRPr="00E12B1D">
        <w:rPr>
          <w:rStyle w:val="IntenseEmphasis"/>
          <w:rFonts w:ascii="Arial" w:hAnsi="Arial" w:cs="Arial"/>
          <w:b w:val="0"/>
          <w:bCs w:val="0"/>
          <w:i w:val="0"/>
          <w:iCs w:val="0"/>
          <w:color w:val="auto"/>
        </w:rPr>
        <w:t xml:space="preserve">typically in a way that causes harm to </w:t>
      </w:r>
      <w:r w:rsidR="003348E9" w:rsidRPr="00E12B1D">
        <w:rPr>
          <w:rStyle w:val="IntenseEmphasis"/>
          <w:rFonts w:ascii="Arial" w:hAnsi="Arial" w:cs="Arial"/>
          <w:b w:val="0"/>
          <w:bCs w:val="0"/>
          <w:i w:val="0"/>
          <w:iCs w:val="0"/>
          <w:color w:val="auto"/>
        </w:rPr>
        <w:t>people’s</w:t>
      </w:r>
      <w:r w:rsidR="001B79D8" w:rsidRPr="00E12B1D">
        <w:rPr>
          <w:rStyle w:val="IntenseEmphasis"/>
          <w:rFonts w:ascii="Arial" w:hAnsi="Arial" w:cs="Arial"/>
          <w:b w:val="0"/>
          <w:bCs w:val="0"/>
          <w:i w:val="0"/>
          <w:iCs w:val="0"/>
          <w:color w:val="auto"/>
        </w:rPr>
        <w:t xml:space="preserve"> rights, health, property or finances etc. For </w:t>
      </w:r>
      <w:r w:rsidR="003348E9" w:rsidRPr="00E12B1D">
        <w:rPr>
          <w:rStyle w:val="IntenseEmphasis"/>
          <w:rFonts w:ascii="Arial" w:hAnsi="Arial" w:cs="Arial"/>
          <w:b w:val="0"/>
          <w:bCs w:val="0"/>
          <w:i w:val="0"/>
          <w:iCs w:val="0"/>
          <w:color w:val="auto"/>
        </w:rPr>
        <w:t>example,</w:t>
      </w:r>
      <w:r w:rsidR="001B79D8" w:rsidRPr="00E12B1D">
        <w:rPr>
          <w:rStyle w:val="IntenseEmphasis"/>
          <w:rFonts w:ascii="Arial" w:hAnsi="Arial" w:cs="Arial"/>
          <w:b w:val="0"/>
          <w:bCs w:val="0"/>
          <w:i w:val="0"/>
          <w:iCs w:val="0"/>
          <w:color w:val="auto"/>
        </w:rPr>
        <w:t xml:space="preserve"> the tort of assault could result in harm to a person’s health, whereas slander could result in damage to a person or busines</w:t>
      </w:r>
      <w:r w:rsidR="00D424FA" w:rsidRPr="00E12B1D">
        <w:rPr>
          <w:rStyle w:val="IntenseEmphasis"/>
          <w:rFonts w:ascii="Arial" w:hAnsi="Arial" w:cs="Arial"/>
          <w:b w:val="0"/>
          <w:bCs w:val="0"/>
          <w:i w:val="0"/>
          <w:iCs w:val="0"/>
          <w:color w:val="auto"/>
        </w:rPr>
        <w:t>s</w:t>
      </w:r>
      <w:r w:rsidR="001B79D8" w:rsidRPr="00E12B1D">
        <w:rPr>
          <w:rStyle w:val="IntenseEmphasis"/>
          <w:rFonts w:ascii="Arial" w:hAnsi="Arial" w:cs="Arial"/>
          <w:b w:val="0"/>
          <w:bCs w:val="0"/>
          <w:i w:val="0"/>
          <w:iCs w:val="0"/>
          <w:color w:val="auto"/>
        </w:rPr>
        <w:t>’ reputation.</w:t>
      </w:r>
      <w:r w:rsidR="00D424FA" w:rsidRPr="00E12B1D">
        <w:rPr>
          <w:rStyle w:val="IntenseEmphasis"/>
          <w:rFonts w:ascii="Arial" w:hAnsi="Arial" w:cs="Arial"/>
          <w:b w:val="0"/>
          <w:bCs w:val="0"/>
          <w:i w:val="0"/>
          <w:iCs w:val="0"/>
          <w:color w:val="auto"/>
        </w:rPr>
        <w:br/>
        <w:t xml:space="preserve">Unlike with criminal law, a claim made under tort law </w:t>
      </w:r>
      <w:r w:rsidR="009F1555" w:rsidRPr="00E12B1D">
        <w:rPr>
          <w:rStyle w:val="IntenseEmphasis"/>
          <w:rFonts w:ascii="Arial" w:hAnsi="Arial" w:cs="Arial"/>
          <w:b w:val="0"/>
          <w:bCs w:val="0"/>
          <w:i w:val="0"/>
          <w:iCs w:val="0"/>
          <w:color w:val="auto"/>
        </w:rPr>
        <w:t>will</w:t>
      </w:r>
      <w:r w:rsidR="00AB3F24" w:rsidRPr="00E12B1D">
        <w:rPr>
          <w:rStyle w:val="IntenseEmphasis"/>
          <w:rFonts w:ascii="Arial" w:hAnsi="Arial" w:cs="Arial"/>
          <w:b w:val="0"/>
          <w:bCs w:val="0"/>
          <w:i w:val="0"/>
          <w:iCs w:val="0"/>
          <w:color w:val="auto"/>
        </w:rPr>
        <w:t>,</w:t>
      </w:r>
      <w:r w:rsidR="009F1555" w:rsidRPr="00E12B1D">
        <w:rPr>
          <w:rStyle w:val="IntenseEmphasis"/>
          <w:rFonts w:ascii="Arial" w:hAnsi="Arial" w:cs="Arial"/>
          <w:b w:val="0"/>
          <w:bCs w:val="0"/>
          <w:i w:val="0"/>
          <w:iCs w:val="0"/>
          <w:color w:val="auto"/>
        </w:rPr>
        <w:t xml:space="preserve"> if successful</w:t>
      </w:r>
      <w:r w:rsidR="00AB3F24" w:rsidRPr="00E12B1D">
        <w:rPr>
          <w:rStyle w:val="IntenseEmphasis"/>
          <w:rFonts w:ascii="Arial" w:hAnsi="Arial" w:cs="Arial"/>
          <w:b w:val="0"/>
          <w:bCs w:val="0"/>
          <w:i w:val="0"/>
          <w:iCs w:val="0"/>
          <w:color w:val="auto"/>
        </w:rPr>
        <w:t>,</w:t>
      </w:r>
      <w:r w:rsidR="009F1555" w:rsidRPr="00E12B1D">
        <w:rPr>
          <w:rStyle w:val="IntenseEmphasis"/>
          <w:rFonts w:ascii="Arial" w:hAnsi="Arial" w:cs="Arial"/>
          <w:b w:val="0"/>
          <w:bCs w:val="0"/>
          <w:i w:val="0"/>
          <w:iCs w:val="0"/>
          <w:color w:val="auto"/>
        </w:rPr>
        <w:t xml:space="preserve"> result in the tortfeasor being legally obligated to pay for any damages caused.</w:t>
      </w:r>
      <w:r w:rsidR="00EB5978" w:rsidRPr="00E12B1D">
        <w:rPr>
          <w:rStyle w:val="IntenseEmphasis"/>
          <w:rFonts w:ascii="Arial" w:hAnsi="Arial" w:cs="Arial"/>
          <w:b w:val="0"/>
          <w:bCs w:val="0"/>
          <w:i w:val="0"/>
          <w:iCs w:val="0"/>
          <w:color w:val="auto"/>
        </w:rPr>
        <w:br/>
      </w:r>
    </w:p>
    <w:p w14:paraId="789C7911" w14:textId="27261EC5" w:rsidR="00AB3F24" w:rsidRDefault="00D424FA" w:rsidP="00AB3F24">
      <w:pPr>
        <w:pStyle w:val="ListParagraph"/>
        <w:rPr>
          <w:rStyle w:val="IntenseEmphasis"/>
          <w:rFonts w:ascii="Arial" w:hAnsi="Arial" w:cs="Arial"/>
          <w:b w:val="0"/>
          <w:bCs w:val="0"/>
          <w:i w:val="0"/>
          <w:iCs w:val="0"/>
          <w:color w:val="auto"/>
        </w:rPr>
      </w:pPr>
      <w:r>
        <w:rPr>
          <w:rStyle w:val="IntenseEmphasis"/>
          <w:rFonts w:ascii="Arial" w:hAnsi="Arial" w:cs="Arial"/>
          <w:b w:val="0"/>
          <w:bCs w:val="0"/>
          <w:i w:val="0"/>
          <w:iCs w:val="0"/>
          <w:color w:val="auto"/>
        </w:rPr>
        <w:t>The tort of negligence</w:t>
      </w:r>
      <w:r w:rsidR="009F1555">
        <w:rPr>
          <w:rStyle w:val="IntenseEmphasis"/>
          <w:rFonts w:ascii="Arial" w:hAnsi="Arial" w:cs="Arial"/>
          <w:b w:val="0"/>
          <w:bCs w:val="0"/>
          <w:i w:val="0"/>
          <w:iCs w:val="0"/>
          <w:color w:val="auto"/>
        </w:rPr>
        <w:t xml:space="preserve"> </w:t>
      </w:r>
      <w:r w:rsidR="00AB3F24">
        <w:rPr>
          <w:rStyle w:val="IntenseEmphasis"/>
          <w:rFonts w:ascii="Arial" w:hAnsi="Arial" w:cs="Arial"/>
          <w:b w:val="0"/>
          <w:bCs w:val="0"/>
          <w:i w:val="0"/>
          <w:iCs w:val="0"/>
          <w:color w:val="auto"/>
        </w:rPr>
        <w:t>is the most common of the few.</w:t>
      </w:r>
    </w:p>
    <w:p w14:paraId="7C77319F" w14:textId="423AA543" w:rsidR="00EB5978" w:rsidRDefault="00EB5978" w:rsidP="00AB3F24">
      <w:pPr>
        <w:pStyle w:val="ListParagraph"/>
        <w:rPr>
          <w:rStyle w:val="IntenseEmphasis"/>
          <w:rFonts w:ascii="Arial" w:hAnsi="Arial" w:cs="Arial"/>
          <w:b w:val="0"/>
          <w:bCs w:val="0"/>
          <w:i w:val="0"/>
          <w:iCs w:val="0"/>
          <w:color w:val="auto"/>
        </w:rPr>
      </w:pPr>
      <w:r>
        <w:rPr>
          <w:rStyle w:val="IntenseEmphasis"/>
          <w:rFonts w:ascii="Arial" w:hAnsi="Arial" w:cs="Arial"/>
          <w:b w:val="0"/>
          <w:bCs w:val="0"/>
          <w:i w:val="0"/>
          <w:iCs w:val="0"/>
          <w:color w:val="auto"/>
        </w:rPr>
        <w:t xml:space="preserve">To summarise, the tort of negligence is a civil wrong where damages are caused to a person due to another who had failed to avoid a risk that a reasonable person would have </w:t>
      </w:r>
      <w:r w:rsidR="003348E9">
        <w:rPr>
          <w:rStyle w:val="IntenseEmphasis"/>
          <w:rFonts w:ascii="Arial" w:hAnsi="Arial" w:cs="Arial"/>
          <w:b w:val="0"/>
          <w:bCs w:val="0"/>
          <w:i w:val="0"/>
          <w:iCs w:val="0"/>
          <w:color w:val="auto"/>
        </w:rPr>
        <w:t>foreseen.</w:t>
      </w:r>
      <w:r w:rsidR="003348E9">
        <w:rPr>
          <w:rStyle w:val="IntenseEmphasis"/>
          <w:rFonts w:ascii="Arial" w:hAnsi="Arial" w:cs="Arial"/>
          <w:b w:val="0"/>
          <w:bCs w:val="0"/>
          <w:i w:val="0"/>
          <w:iCs w:val="0"/>
          <w:color w:val="auto"/>
        </w:rPr>
        <w:br/>
        <w:t>The tort of negligence has three essential elements:</w:t>
      </w:r>
    </w:p>
    <w:p w14:paraId="5EE2E5F6" w14:textId="77777777" w:rsidR="003348E9" w:rsidRDefault="003348E9" w:rsidP="00AB3F24">
      <w:pPr>
        <w:pStyle w:val="ListParagraph"/>
        <w:rPr>
          <w:rStyle w:val="IntenseEmphasis"/>
          <w:rFonts w:ascii="Arial" w:hAnsi="Arial" w:cs="Arial"/>
          <w:b w:val="0"/>
          <w:bCs w:val="0"/>
          <w:i w:val="0"/>
          <w:iCs w:val="0"/>
          <w:color w:val="auto"/>
        </w:rPr>
      </w:pPr>
    </w:p>
    <w:p w14:paraId="501AA3FA" w14:textId="0DD346F0" w:rsidR="003348E9" w:rsidRDefault="003348E9" w:rsidP="003348E9">
      <w:pPr>
        <w:pStyle w:val="ListParagraph"/>
        <w:numPr>
          <w:ilvl w:val="2"/>
          <w:numId w:val="26"/>
        </w:numPr>
        <w:rPr>
          <w:rStyle w:val="IntenseEmphasis"/>
          <w:rFonts w:ascii="Arial" w:hAnsi="Arial" w:cs="Arial"/>
          <w:b w:val="0"/>
          <w:bCs w:val="0"/>
          <w:i w:val="0"/>
          <w:iCs w:val="0"/>
          <w:color w:val="auto"/>
        </w:rPr>
      </w:pPr>
      <w:r>
        <w:rPr>
          <w:rStyle w:val="IntenseEmphasis"/>
          <w:rFonts w:ascii="Arial" w:hAnsi="Arial" w:cs="Arial"/>
          <w:b w:val="0"/>
          <w:bCs w:val="0"/>
          <w:i w:val="0"/>
          <w:iCs w:val="0"/>
          <w:color w:val="auto"/>
        </w:rPr>
        <w:t>The Duty of Care</w:t>
      </w:r>
    </w:p>
    <w:p w14:paraId="7D5512D1" w14:textId="467A9785" w:rsidR="003348E9" w:rsidRDefault="003348E9" w:rsidP="003348E9">
      <w:pPr>
        <w:pStyle w:val="ListParagraph"/>
        <w:numPr>
          <w:ilvl w:val="2"/>
          <w:numId w:val="26"/>
        </w:numPr>
        <w:rPr>
          <w:rStyle w:val="IntenseEmphasis"/>
          <w:rFonts w:ascii="Arial" w:hAnsi="Arial" w:cs="Arial"/>
          <w:b w:val="0"/>
          <w:bCs w:val="0"/>
          <w:i w:val="0"/>
          <w:iCs w:val="0"/>
          <w:color w:val="auto"/>
        </w:rPr>
      </w:pPr>
      <w:r>
        <w:rPr>
          <w:rStyle w:val="IntenseEmphasis"/>
          <w:rFonts w:ascii="Arial" w:hAnsi="Arial" w:cs="Arial"/>
          <w:b w:val="0"/>
          <w:bCs w:val="0"/>
          <w:i w:val="0"/>
          <w:iCs w:val="0"/>
          <w:color w:val="auto"/>
        </w:rPr>
        <w:t>Breach of Duty of Care</w:t>
      </w:r>
    </w:p>
    <w:p w14:paraId="68139D3C" w14:textId="191B2842" w:rsidR="003348E9" w:rsidRDefault="003348E9" w:rsidP="003348E9">
      <w:pPr>
        <w:pStyle w:val="ListParagraph"/>
        <w:numPr>
          <w:ilvl w:val="2"/>
          <w:numId w:val="26"/>
        </w:numPr>
        <w:rPr>
          <w:rStyle w:val="IntenseEmphasis"/>
          <w:rFonts w:ascii="Arial" w:hAnsi="Arial" w:cs="Arial"/>
          <w:b w:val="0"/>
          <w:bCs w:val="0"/>
          <w:i w:val="0"/>
          <w:iCs w:val="0"/>
          <w:color w:val="auto"/>
        </w:rPr>
      </w:pPr>
      <w:r>
        <w:rPr>
          <w:rStyle w:val="IntenseEmphasis"/>
          <w:rFonts w:ascii="Arial" w:hAnsi="Arial" w:cs="Arial"/>
          <w:b w:val="0"/>
          <w:bCs w:val="0"/>
          <w:i w:val="0"/>
          <w:iCs w:val="0"/>
          <w:color w:val="auto"/>
        </w:rPr>
        <w:t>Damage caused from the Breach</w:t>
      </w:r>
    </w:p>
    <w:p w14:paraId="41E43837" w14:textId="77777777" w:rsidR="003348E9" w:rsidRPr="003348E9" w:rsidRDefault="003348E9" w:rsidP="003348E9">
      <w:pPr>
        <w:rPr>
          <w:rStyle w:val="IntenseEmphasis"/>
          <w:rFonts w:ascii="Arial" w:hAnsi="Arial" w:cs="Arial"/>
          <w:b w:val="0"/>
          <w:bCs w:val="0"/>
          <w:i w:val="0"/>
          <w:iCs w:val="0"/>
          <w:color w:val="auto"/>
        </w:rPr>
      </w:pPr>
    </w:p>
    <w:p w14:paraId="6CDC59AE" w14:textId="77777777" w:rsidR="003348E9" w:rsidRPr="003348E9" w:rsidRDefault="003348E9" w:rsidP="003348E9">
      <w:pPr>
        <w:pStyle w:val="ListParagraph"/>
        <w:numPr>
          <w:ilvl w:val="0"/>
          <w:numId w:val="27"/>
        </w:numPr>
        <w:rPr>
          <w:rStyle w:val="IntenseEmphasis"/>
          <w:rFonts w:ascii="Arial" w:hAnsi="Arial" w:cs="Arial"/>
          <w:b w:val="0"/>
          <w:bCs w:val="0"/>
          <w:i w:val="0"/>
          <w:iCs w:val="0"/>
          <w:vanish/>
          <w:color w:val="auto"/>
        </w:rPr>
      </w:pPr>
    </w:p>
    <w:p w14:paraId="51001177" w14:textId="77777777" w:rsidR="003348E9" w:rsidRPr="003348E9" w:rsidRDefault="003348E9" w:rsidP="003348E9">
      <w:pPr>
        <w:pStyle w:val="ListParagraph"/>
        <w:numPr>
          <w:ilvl w:val="0"/>
          <w:numId w:val="27"/>
        </w:numPr>
        <w:rPr>
          <w:rStyle w:val="IntenseEmphasis"/>
          <w:rFonts w:ascii="Arial" w:hAnsi="Arial" w:cs="Arial"/>
          <w:b w:val="0"/>
          <w:bCs w:val="0"/>
          <w:i w:val="0"/>
          <w:iCs w:val="0"/>
          <w:vanish/>
          <w:color w:val="auto"/>
        </w:rPr>
      </w:pPr>
    </w:p>
    <w:p w14:paraId="56901E4E" w14:textId="77777777" w:rsidR="003348E9" w:rsidRPr="003348E9" w:rsidRDefault="003348E9" w:rsidP="003348E9">
      <w:pPr>
        <w:pStyle w:val="ListParagraph"/>
        <w:numPr>
          <w:ilvl w:val="0"/>
          <w:numId w:val="27"/>
        </w:numPr>
        <w:rPr>
          <w:rStyle w:val="IntenseEmphasis"/>
          <w:rFonts w:ascii="Arial" w:hAnsi="Arial" w:cs="Arial"/>
          <w:b w:val="0"/>
          <w:bCs w:val="0"/>
          <w:i w:val="0"/>
          <w:iCs w:val="0"/>
          <w:vanish/>
          <w:color w:val="auto"/>
        </w:rPr>
      </w:pPr>
    </w:p>
    <w:p w14:paraId="22F48B7A" w14:textId="675F40F2" w:rsidR="003348E9" w:rsidRPr="00FF00C7" w:rsidRDefault="003348E9" w:rsidP="003348E9">
      <w:pPr>
        <w:pStyle w:val="ListParagraph"/>
        <w:numPr>
          <w:ilvl w:val="1"/>
          <w:numId w:val="27"/>
        </w:numPr>
        <w:rPr>
          <w:rStyle w:val="IntenseEmphasis"/>
          <w:rFonts w:ascii="Arial" w:hAnsi="Arial" w:cs="Arial"/>
          <w:i w:val="0"/>
          <w:iCs w:val="0"/>
          <w:color w:val="auto"/>
        </w:rPr>
      </w:pPr>
      <w:r w:rsidRPr="00FF00C7">
        <w:rPr>
          <w:rStyle w:val="IntenseEmphasis"/>
          <w:rFonts w:ascii="Arial" w:hAnsi="Arial" w:cs="Arial"/>
          <w:i w:val="0"/>
          <w:iCs w:val="0"/>
          <w:color w:val="auto"/>
        </w:rPr>
        <w:t>The Duty of Care</w:t>
      </w:r>
    </w:p>
    <w:p w14:paraId="4C4B66E5" w14:textId="03B73703" w:rsidR="003348E9" w:rsidRDefault="003348E9" w:rsidP="003348E9">
      <w:pPr>
        <w:pStyle w:val="ListParagraph"/>
        <w:ind w:left="1440"/>
        <w:rPr>
          <w:rStyle w:val="IntenseEmphasis"/>
          <w:rFonts w:ascii="Arial" w:hAnsi="Arial" w:cs="Arial"/>
          <w:b w:val="0"/>
          <w:bCs w:val="0"/>
          <w:i w:val="0"/>
          <w:iCs w:val="0"/>
          <w:color w:val="auto"/>
        </w:rPr>
      </w:pPr>
    </w:p>
    <w:p w14:paraId="19F81AA8" w14:textId="4A378577" w:rsidR="00833EF3" w:rsidRDefault="00766662" w:rsidP="003348E9">
      <w:pPr>
        <w:pStyle w:val="ListParagraph"/>
        <w:ind w:left="1440"/>
        <w:rPr>
          <w:rStyle w:val="IntenseEmphasis"/>
          <w:rFonts w:ascii="Arial" w:hAnsi="Arial" w:cs="Arial"/>
          <w:b w:val="0"/>
          <w:bCs w:val="0"/>
          <w:i w:val="0"/>
          <w:iCs w:val="0"/>
          <w:color w:val="auto"/>
        </w:rPr>
      </w:pPr>
      <w:r>
        <w:rPr>
          <w:rStyle w:val="IntenseEmphasis"/>
          <w:rFonts w:ascii="Arial" w:hAnsi="Arial" w:cs="Arial"/>
          <w:b w:val="0"/>
          <w:bCs w:val="0"/>
          <w:i w:val="0"/>
          <w:iCs w:val="0"/>
          <w:color w:val="auto"/>
        </w:rPr>
        <w:t xml:space="preserve">In any negligence claim, the claimant would have expected a duty of care from the defendant which they would argue was not shown. </w:t>
      </w:r>
      <w:r w:rsidR="00FC657A">
        <w:rPr>
          <w:rStyle w:val="IntenseEmphasis"/>
          <w:rFonts w:ascii="Arial" w:hAnsi="Arial" w:cs="Arial"/>
          <w:b w:val="0"/>
          <w:bCs w:val="0"/>
          <w:i w:val="0"/>
          <w:iCs w:val="0"/>
          <w:color w:val="auto"/>
        </w:rPr>
        <w:t>Usually,</w:t>
      </w:r>
      <w:r>
        <w:rPr>
          <w:rStyle w:val="IntenseEmphasis"/>
          <w:rFonts w:ascii="Arial" w:hAnsi="Arial" w:cs="Arial"/>
          <w:b w:val="0"/>
          <w:bCs w:val="0"/>
          <w:i w:val="0"/>
          <w:iCs w:val="0"/>
          <w:color w:val="auto"/>
        </w:rPr>
        <w:t xml:space="preserve"> the duty of care is readily apparent, such as in the case of an employer and employee, where the employer should hold a duty of care for employee. However </w:t>
      </w:r>
      <w:r w:rsidR="00833EF3">
        <w:rPr>
          <w:rStyle w:val="IntenseEmphasis"/>
          <w:rFonts w:ascii="Arial" w:hAnsi="Arial" w:cs="Arial"/>
          <w:b w:val="0"/>
          <w:bCs w:val="0"/>
          <w:i w:val="0"/>
          <w:iCs w:val="0"/>
          <w:color w:val="auto"/>
        </w:rPr>
        <w:t>recently civil law has changed to be able to settle situations between parties where no formal contract or agreement is in place.</w:t>
      </w:r>
    </w:p>
    <w:p w14:paraId="147EDB34" w14:textId="61AC0D84" w:rsidR="00833EF3" w:rsidRDefault="00833EF3" w:rsidP="003348E9">
      <w:pPr>
        <w:pStyle w:val="ListParagraph"/>
        <w:ind w:left="1440"/>
        <w:rPr>
          <w:rStyle w:val="IntenseEmphasis"/>
          <w:rFonts w:ascii="Arial" w:hAnsi="Arial" w:cs="Arial"/>
          <w:b w:val="0"/>
          <w:bCs w:val="0"/>
          <w:i w:val="0"/>
          <w:iCs w:val="0"/>
          <w:color w:val="auto"/>
        </w:rPr>
      </w:pPr>
    </w:p>
    <w:p w14:paraId="208F6090" w14:textId="4F07F7D4" w:rsidR="00833EF3" w:rsidRPr="00C355B9" w:rsidRDefault="00833EF3" w:rsidP="003348E9">
      <w:pPr>
        <w:pStyle w:val="ListParagraph"/>
        <w:ind w:left="1440"/>
        <w:rPr>
          <w:rFonts w:ascii="Arial" w:hAnsi="Arial" w:cs="Arial"/>
          <w:color w:val="212529"/>
          <w:shd w:val="clear" w:color="auto" w:fill="FFFFFF"/>
        </w:rPr>
      </w:pPr>
      <w:r w:rsidRPr="00C355B9">
        <w:rPr>
          <w:rFonts w:ascii="Arial" w:hAnsi="Arial" w:cs="Arial"/>
          <w:color w:val="212529"/>
          <w:shd w:val="clear" w:color="auto" w:fill="FFFFFF"/>
        </w:rPr>
        <w:t xml:space="preserve">“But the civil law relating to negligence has evolved and grown to deal with situations that arise between two or more parties even where no contract, written or implied, exists between them.” – </w:t>
      </w:r>
      <w:proofErr w:type="spellStart"/>
      <w:r w:rsidRPr="00C355B9">
        <w:rPr>
          <w:rFonts w:ascii="Arial" w:hAnsi="Arial" w:cs="Arial"/>
          <w:color w:val="212529"/>
          <w:shd w:val="clear" w:color="auto" w:fill="FFFFFF"/>
        </w:rPr>
        <w:t>LawTeacher</w:t>
      </w:r>
      <w:proofErr w:type="spellEnd"/>
      <w:r w:rsidRPr="00C355B9">
        <w:rPr>
          <w:rFonts w:ascii="Arial" w:hAnsi="Arial" w:cs="Arial"/>
          <w:color w:val="212529"/>
          <w:shd w:val="clear" w:color="auto" w:fill="FFFFFF"/>
        </w:rPr>
        <w:t xml:space="preserve"> (2013)</w:t>
      </w:r>
    </w:p>
    <w:p w14:paraId="7FBB526F" w14:textId="50566508" w:rsidR="00FC657A" w:rsidRDefault="00FC657A" w:rsidP="003348E9">
      <w:pPr>
        <w:pStyle w:val="ListParagraph"/>
        <w:ind w:left="1440"/>
        <w:rPr>
          <w:rFonts w:ascii="Segoe UI" w:hAnsi="Segoe UI" w:cs="Segoe UI"/>
          <w:color w:val="212529"/>
          <w:shd w:val="clear" w:color="auto" w:fill="FFFFFF"/>
        </w:rPr>
      </w:pPr>
    </w:p>
    <w:p w14:paraId="393996D3" w14:textId="077476DD" w:rsidR="00C355B9" w:rsidRDefault="00FC657A" w:rsidP="00C355B9">
      <w:pPr>
        <w:pStyle w:val="ListParagraph"/>
        <w:ind w:left="1440"/>
        <w:rPr>
          <w:rFonts w:ascii="Arial" w:hAnsi="Arial" w:cs="Arial"/>
          <w:color w:val="212529"/>
          <w:shd w:val="clear" w:color="auto" w:fill="FFFFFF"/>
        </w:rPr>
      </w:pPr>
      <w:r>
        <w:rPr>
          <w:rFonts w:ascii="Arial" w:hAnsi="Arial" w:cs="Arial"/>
          <w:color w:val="212529"/>
          <w:shd w:val="clear" w:color="auto" w:fill="FFFFFF"/>
        </w:rPr>
        <w:t xml:space="preserve">Although it is accepted that it is not necessary for an official agreement to exist, there must still be </w:t>
      </w:r>
      <w:r w:rsidR="006B28AF">
        <w:rPr>
          <w:rFonts w:ascii="Arial" w:hAnsi="Arial" w:cs="Arial"/>
          <w:color w:val="212529"/>
          <w:shd w:val="clear" w:color="auto" w:fill="FFFFFF"/>
        </w:rPr>
        <w:t>proximity required between the involved parties for a duty of care to exist.</w:t>
      </w:r>
      <w:r w:rsidR="006B28AF">
        <w:rPr>
          <w:rFonts w:ascii="Arial" w:hAnsi="Arial" w:cs="Arial"/>
          <w:color w:val="212529"/>
          <w:shd w:val="clear" w:color="auto" w:fill="FFFFFF"/>
        </w:rPr>
        <w:br/>
        <w:t xml:space="preserve">A turning point in tort law started </w:t>
      </w:r>
      <w:r w:rsidR="00C27AB7">
        <w:rPr>
          <w:rFonts w:ascii="Arial" w:hAnsi="Arial" w:cs="Arial"/>
          <w:color w:val="212529"/>
          <w:shd w:val="clear" w:color="auto" w:fill="FFFFFF"/>
        </w:rPr>
        <w:t xml:space="preserve">during the Donoghue v Stevenson </w:t>
      </w:r>
      <w:r w:rsidR="008377A2">
        <w:rPr>
          <w:rFonts w:ascii="Arial" w:hAnsi="Arial" w:cs="Arial"/>
          <w:color w:val="212529"/>
          <w:shd w:val="clear" w:color="auto" w:fill="FFFFFF"/>
        </w:rPr>
        <w:t>[</w:t>
      </w:r>
      <w:r w:rsidR="00C27AB7">
        <w:rPr>
          <w:rFonts w:ascii="Arial" w:hAnsi="Arial" w:cs="Arial"/>
          <w:color w:val="212529"/>
          <w:shd w:val="clear" w:color="auto" w:fill="FFFFFF"/>
        </w:rPr>
        <w:t>1932</w:t>
      </w:r>
      <w:r w:rsidR="008377A2">
        <w:rPr>
          <w:rFonts w:ascii="Arial" w:hAnsi="Arial" w:cs="Arial"/>
          <w:color w:val="212529"/>
          <w:shd w:val="clear" w:color="auto" w:fill="FFFFFF"/>
        </w:rPr>
        <w:t>]</w:t>
      </w:r>
      <w:r w:rsidR="00C27AB7">
        <w:rPr>
          <w:rFonts w:ascii="Arial" w:hAnsi="Arial" w:cs="Arial"/>
          <w:color w:val="212529"/>
          <w:shd w:val="clear" w:color="auto" w:fill="FFFFFF"/>
        </w:rPr>
        <w:t xml:space="preserve"> case where Lord Atkin introduced the ‘neighbour principle’ outlining the expectations as to who has a duty of care. In the case of Donoghue v Stevenson, the café should have had a duty of care towards Mrs Donoghue, </w:t>
      </w:r>
      <w:r w:rsidR="00C27AB7">
        <w:rPr>
          <w:rFonts w:ascii="Arial" w:hAnsi="Arial" w:cs="Arial"/>
          <w:color w:val="212529"/>
          <w:shd w:val="clear" w:color="auto" w:fill="FFFFFF"/>
        </w:rPr>
        <w:lastRenderedPageBreak/>
        <w:t xml:space="preserve">her being their customer and “Neighbour”. </w:t>
      </w:r>
      <w:r w:rsidR="00C355B9">
        <w:rPr>
          <w:rFonts w:ascii="Arial" w:hAnsi="Arial" w:cs="Arial"/>
          <w:color w:val="212529"/>
          <w:shd w:val="clear" w:color="auto" w:fill="FFFFFF"/>
        </w:rPr>
        <w:t>Lord Atkin had then defined neighbour.</w:t>
      </w:r>
    </w:p>
    <w:p w14:paraId="62648C28" w14:textId="4661BC76" w:rsidR="00C355B9" w:rsidRDefault="00C355B9" w:rsidP="00C355B9">
      <w:pPr>
        <w:pStyle w:val="ListParagraph"/>
        <w:ind w:left="1440"/>
        <w:rPr>
          <w:rFonts w:ascii="Arial" w:hAnsi="Arial" w:cs="Arial"/>
          <w:color w:val="212529"/>
          <w:shd w:val="clear" w:color="auto" w:fill="FFFFFF"/>
        </w:rPr>
      </w:pPr>
    </w:p>
    <w:p w14:paraId="2E87E438" w14:textId="2E4AFAA8" w:rsidR="00C355B9" w:rsidRDefault="00C355B9" w:rsidP="00C355B9">
      <w:pPr>
        <w:pStyle w:val="ListParagraph"/>
        <w:ind w:left="1440"/>
        <w:rPr>
          <w:rFonts w:ascii="Arial" w:hAnsi="Arial" w:cs="Arial"/>
          <w:color w:val="212529"/>
          <w:shd w:val="clear" w:color="auto" w:fill="FFFFFF"/>
        </w:rPr>
      </w:pPr>
    </w:p>
    <w:p w14:paraId="0D7ECF5C" w14:textId="0BC294B1" w:rsidR="00C355B9" w:rsidRDefault="00C355B9" w:rsidP="00C355B9">
      <w:pPr>
        <w:pStyle w:val="ListParagraph"/>
        <w:ind w:left="1440"/>
        <w:rPr>
          <w:rFonts w:ascii="Arial" w:hAnsi="Arial" w:cs="Arial"/>
          <w:color w:val="212529"/>
          <w:shd w:val="clear" w:color="auto" w:fill="FFFFFF"/>
        </w:rPr>
      </w:pPr>
      <w:r w:rsidRPr="00C355B9">
        <w:rPr>
          <w:rFonts w:ascii="Arial" w:hAnsi="Arial" w:cs="Arial"/>
          <w:color w:val="212529"/>
          <w:shd w:val="clear" w:color="auto" w:fill="FFFFFF"/>
        </w:rPr>
        <w:t>“Who, then, in law, is my neighbour? The answer seems to be persons who are so closely and directly affected by my act that I ought reasonably to have them in contemplation as being affected when I am directing my mind to the acts or omissions which are called in question.”</w:t>
      </w:r>
      <w:r>
        <w:rPr>
          <w:rFonts w:ascii="Arial" w:hAnsi="Arial" w:cs="Arial"/>
          <w:color w:val="212529"/>
          <w:shd w:val="clear" w:color="auto" w:fill="FFFFFF"/>
        </w:rPr>
        <w:t xml:space="preserve"> – Atkin (1932)</w:t>
      </w:r>
    </w:p>
    <w:p w14:paraId="0D2F4ABF" w14:textId="77777777" w:rsidR="00833EF3" w:rsidRPr="00FF00C7" w:rsidRDefault="00833EF3" w:rsidP="00FF00C7">
      <w:pPr>
        <w:rPr>
          <w:rStyle w:val="IntenseEmphasis"/>
          <w:rFonts w:ascii="Arial" w:hAnsi="Arial" w:cs="Arial"/>
          <w:i w:val="0"/>
          <w:iCs w:val="0"/>
          <w:color w:val="auto"/>
        </w:rPr>
      </w:pPr>
    </w:p>
    <w:p w14:paraId="5D232281" w14:textId="27EFA64D" w:rsidR="00044F96" w:rsidRDefault="00FF00C7" w:rsidP="00165CB1">
      <w:pPr>
        <w:pStyle w:val="ListParagraph"/>
        <w:numPr>
          <w:ilvl w:val="1"/>
          <w:numId w:val="27"/>
        </w:numPr>
        <w:rPr>
          <w:rStyle w:val="IntenseEmphasis"/>
          <w:rFonts w:ascii="Arial" w:hAnsi="Arial" w:cs="Arial"/>
          <w:b w:val="0"/>
          <w:bCs w:val="0"/>
          <w:i w:val="0"/>
          <w:iCs w:val="0"/>
          <w:color w:val="auto"/>
        </w:rPr>
      </w:pPr>
      <w:r w:rsidRPr="00FF00C7">
        <w:rPr>
          <w:rStyle w:val="IntenseEmphasis"/>
          <w:rFonts w:ascii="Arial" w:hAnsi="Arial" w:cs="Arial"/>
          <w:i w:val="0"/>
          <w:iCs w:val="0"/>
          <w:color w:val="auto"/>
        </w:rPr>
        <w:t>Breach of Duty of Care</w:t>
      </w:r>
      <w:r>
        <w:rPr>
          <w:rStyle w:val="IntenseEmphasis"/>
          <w:rFonts w:ascii="Arial" w:hAnsi="Arial" w:cs="Arial"/>
          <w:i w:val="0"/>
          <w:iCs w:val="0"/>
          <w:color w:val="auto"/>
        </w:rPr>
        <w:br/>
      </w:r>
      <w:r>
        <w:rPr>
          <w:rStyle w:val="IntenseEmphasis"/>
          <w:rFonts w:ascii="Arial" w:hAnsi="Arial" w:cs="Arial"/>
          <w:i w:val="0"/>
          <w:iCs w:val="0"/>
          <w:color w:val="auto"/>
        </w:rPr>
        <w:br/>
      </w:r>
      <w:r w:rsidR="001E7244">
        <w:rPr>
          <w:rStyle w:val="IntenseEmphasis"/>
          <w:rFonts w:ascii="Arial" w:hAnsi="Arial" w:cs="Arial"/>
          <w:b w:val="0"/>
          <w:bCs w:val="0"/>
          <w:i w:val="0"/>
          <w:iCs w:val="0"/>
          <w:color w:val="auto"/>
        </w:rPr>
        <w:t>After establishing that a duty of care is expected from a defendant, it must be proven that there was a breach of such.</w:t>
      </w:r>
      <w:r w:rsidR="001E7244">
        <w:rPr>
          <w:rStyle w:val="IntenseEmphasis"/>
          <w:rFonts w:ascii="Arial" w:hAnsi="Arial" w:cs="Arial"/>
          <w:b w:val="0"/>
          <w:bCs w:val="0"/>
          <w:i w:val="0"/>
          <w:iCs w:val="0"/>
          <w:color w:val="auto"/>
        </w:rPr>
        <w:br/>
        <w:t>The breach of duty of care is typically assessed in two stages: the standard of care and the behaviour measured against the standard.</w:t>
      </w:r>
      <w:r w:rsidR="001E7244">
        <w:rPr>
          <w:rStyle w:val="IntenseEmphasis"/>
          <w:rFonts w:ascii="Arial" w:hAnsi="Arial" w:cs="Arial"/>
          <w:b w:val="0"/>
          <w:bCs w:val="0"/>
          <w:i w:val="0"/>
          <w:iCs w:val="0"/>
          <w:color w:val="auto"/>
        </w:rPr>
        <w:br/>
        <w:t>The standard of care will vary between cases</w:t>
      </w:r>
      <w:r w:rsidR="00DD2D53">
        <w:rPr>
          <w:rStyle w:val="IntenseEmphasis"/>
          <w:rFonts w:ascii="Arial" w:hAnsi="Arial" w:cs="Arial"/>
          <w:b w:val="0"/>
          <w:bCs w:val="0"/>
          <w:i w:val="0"/>
          <w:iCs w:val="0"/>
          <w:color w:val="auto"/>
        </w:rPr>
        <w:t>, for example the waiting staff at a restaurant would not be expected to have the same duty of care as a surgeon in a hospital.</w:t>
      </w:r>
      <w:r w:rsidR="00044F96">
        <w:rPr>
          <w:rStyle w:val="IntenseEmphasis"/>
          <w:rFonts w:ascii="Arial" w:hAnsi="Arial" w:cs="Arial"/>
          <w:b w:val="0"/>
          <w:bCs w:val="0"/>
          <w:i w:val="0"/>
          <w:iCs w:val="0"/>
          <w:color w:val="auto"/>
        </w:rPr>
        <w:t xml:space="preserve"> </w:t>
      </w:r>
      <w:r w:rsidR="00DD2D53">
        <w:rPr>
          <w:rStyle w:val="IntenseEmphasis"/>
          <w:rFonts w:ascii="Arial" w:hAnsi="Arial" w:cs="Arial"/>
          <w:b w:val="0"/>
          <w:bCs w:val="0"/>
          <w:i w:val="0"/>
          <w:iCs w:val="0"/>
          <w:color w:val="auto"/>
        </w:rPr>
        <w:br/>
        <w:t>The behaviour measured against the standard</w:t>
      </w:r>
      <w:r w:rsidR="00165CB1">
        <w:rPr>
          <w:rStyle w:val="IntenseEmphasis"/>
          <w:rFonts w:ascii="Arial" w:hAnsi="Arial" w:cs="Arial"/>
          <w:b w:val="0"/>
          <w:bCs w:val="0"/>
          <w:i w:val="0"/>
          <w:iCs w:val="0"/>
          <w:color w:val="auto"/>
        </w:rPr>
        <w:t xml:space="preserve"> goes back to the fundamentals of the tort of negligence, where a reasonable person would have been able to foresee the risk and avoid it</w:t>
      </w:r>
      <w:r w:rsidR="001D364E">
        <w:rPr>
          <w:rStyle w:val="IntenseEmphasis"/>
          <w:rFonts w:ascii="Arial" w:hAnsi="Arial" w:cs="Arial"/>
          <w:b w:val="0"/>
          <w:bCs w:val="0"/>
          <w:i w:val="0"/>
          <w:iCs w:val="0"/>
          <w:color w:val="auto"/>
        </w:rPr>
        <w:t>.</w:t>
      </w:r>
    </w:p>
    <w:p w14:paraId="2FCB9FFB" w14:textId="31C52904" w:rsidR="00044F96" w:rsidRDefault="00044F96" w:rsidP="00044F96">
      <w:pPr>
        <w:pStyle w:val="ListParagraph"/>
        <w:ind w:left="1440"/>
        <w:rPr>
          <w:rStyle w:val="IntenseEmphasis"/>
          <w:rFonts w:ascii="Arial" w:hAnsi="Arial" w:cs="Arial"/>
          <w:b w:val="0"/>
          <w:bCs w:val="0"/>
          <w:i w:val="0"/>
          <w:iCs w:val="0"/>
          <w:color w:val="auto"/>
        </w:rPr>
      </w:pPr>
      <w:r>
        <w:rPr>
          <w:rStyle w:val="IntenseEmphasis"/>
          <w:rFonts w:ascii="Arial" w:hAnsi="Arial" w:cs="Arial"/>
          <w:i w:val="0"/>
          <w:iCs w:val="0"/>
          <w:color w:val="auto"/>
        </w:rPr>
        <w:br/>
      </w:r>
    </w:p>
    <w:p w14:paraId="2E36B71D" w14:textId="77777777" w:rsidR="00044F96" w:rsidRPr="00044F96" w:rsidRDefault="00044F96" w:rsidP="00165CB1">
      <w:pPr>
        <w:pStyle w:val="ListParagraph"/>
        <w:numPr>
          <w:ilvl w:val="1"/>
          <w:numId w:val="27"/>
        </w:numPr>
        <w:rPr>
          <w:rStyle w:val="IntenseEmphasis"/>
          <w:rFonts w:ascii="Arial" w:hAnsi="Arial" w:cs="Arial"/>
          <w:b w:val="0"/>
          <w:bCs w:val="0"/>
          <w:i w:val="0"/>
          <w:iCs w:val="0"/>
          <w:color w:val="auto"/>
        </w:rPr>
      </w:pPr>
      <w:r>
        <w:rPr>
          <w:rStyle w:val="IntenseEmphasis"/>
          <w:rFonts w:ascii="Arial" w:hAnsi="Arial" w:cs="Arial"/>
          <w:i w:val="0"/>
          <w:iCs w:val="0"/>
          <w:color w:val="auto"/>
        </w:rPr>
        <w:t>Damage must be Caused</w:t>
      </w:r>
    </w:p>
    <w:p w14:paraId="33899C8D" w14:textId="77777777" w:rsidR="00044F96" w:rsidRDefault="00044F96" w:rsidP="00044F96">
      <w:pPr>
        <w:pStyle w:val="ListParagraph"/>
        <w:ind w:left="1440"/>
        <w:rPr>
          <w:rStyle w:val="IntenseEmphasis"/>
          <w:rFonts w:ascii="Arial" w:hAnsi="Arial" w:cs="Arial"/>
          <w:i w:val="0"/>
          <w:iCs w:val="0"/>
          <w:color w:val="auto"/>
        </w:rPr>
      </w:pPr>
    </w:p>
    <w:p w14:paraId="26C61D12" w14:textId="1BEB8DC4" w:rsidR="003348E9" w:rsidRPr="00AA401C" w:rsidRDefault="00044F96" w:rsidP="00AA401C">
      <w:pPr>
        <w:pStyle w:val="ListParagraph"/>
        <w:ind w:left="1440"/>
        <w:rPr>
          <w:rStyle w:val="IntenseEmphasis"/>
          <w:rFonts w:ascii="Arial" w:hAnsi="Arial" w:cs="Arial"/>
          <w:b w:val="0"/>
          <w:bCs w:val="0"/>
          <w:i w:val="0"/>
          <w:iCs w:val="0"/>
          <w:color w:val="auto"/>
        </w:rPr>
      </w:pPr>
      <w:r>
        <w:rPr>
          <w:rStyle w:val="IntenseEmphasis"/>
          <w:rFonts w:ascii="Arial" w:hAnsi="Arial" w:cs="Arial"/>
          <w:b w:val="0"/>
          <w:bCs w:val="0"/>
          <w:i w:val="0"/>
          <w:iCs w:val="0"/>
          <w:color w:val="auto"/>
        </w:rPr>
        <w:t xml:space="preserve">If a breach of duty of care is proven, the claimant must still be able to show that </w:t>
      </w:r>
      <w:r w:rsidR="00A92D1E">
        <w:rPr>
          <w:rStyle w:val="IntenseEmphasis"/>
          <w:rFonts w:ascii="Arial" w:hAnsi="Arial" w:cs="Arial"/>
          <w:b w:val="0"/>
          <w:bCs w:val="0"/>
          <w:i w:val="0"/>
          <w:iCs w:val="0"/>
          <w:color w:val="auto"/>
        </w:rPr>
        <w:t>the breach in question had caused them damage, and that the damage is related to the breach.</w:t>
      </w:r>
      <w:r w:rsidR="00A92D1E">
        <w:rPr>
          <w:rStyle w:val="IntenseEmphasis"/>
          <w:rFonts w:ascii="Arial" w:hAnsi="Arial" w:cs="Arial"/>
          <w:b w:val="0"/>
          <w:bCs w:val="0"/>
          <w:i w:val="0"/>
          <w:iCs w:val="0"/>
          <w:color w:val="auto"/>
        </w:rPr>
        <w:br/>
      </w:r>
      <w:r w:rsidR="00AA401C">
        <w:rPr>
          <w:rStyle w:val="IntenseEmphasis"/>
          <w:rFonts w:ascii="Arial" w:hAnsi="Arial" w:cs="Arial"/>
          <w:b w:val="0"/>
          <w:bCs w:val="0"/>
          <w:i w:val="0"/>
          <w:iCs w:val="0"/>
          <w:color w:val="auto"/>
        </w:rPr>
        <w:t xml:space="preserve">The “but for” test can be used in establishing causation, such as in the Barnett v Chelsea &amp; Kensington Hospital </w:t>
      </w:r>
      <w:r w:rsidR="008377A2">
        <w:rPr>
          <w:rStyle w:val="IntenseEmphasis"/>
          <w:rFonts w:ascii="Arial" w:hAnsi="Arial" w:cs="Arial"/>
          <w:b w:val="0"/>
          <w:bCs w:val="0"/>
          <w:i w:val="0"/>
          <w:iCs w:val="0"/>
          <w:color w:val="auto"/>
        </w:rPr>
        <w:t>[</w:t>
      </w:r>
      <w:r w:rsidR="00AA401C">
        <w:rPr>
          <w:rStyle w:val="IntenseEmphasis"/>
          <w:rFonts w:ascii="Arial" w:hAnsi="Arial" w:cs="Arial"/>
          <w:b w:val="0"/>
          <w:bCs w:val="0"/>
          <w:i w:val="0"/>
          <w:iCs w:val="0"/>
          <w:color w:val="auto"/>
        </w:rPr>
        <w:t>1969</w:t>
      </w:r>
      <w:r w:rsidR="008377A2">
        <w:rPr>
          <w:rStyle w:val="IntenseEmphasis"/>
          <w:rFonts w:ascii="Arial" w:hAnsi="Arial" w:cs="Arial"/>
          <w:b w:val="0"/>
          <w:bCs w:val="0"/>
          <w:i w:val="0"/>
          <w:iCs w:val="0"/>
          <w:color w:val="auto"/>
        </w:rPr>
        <w:t>]</w:t>
      </w:r>
      <w:r w:rsidR="00AA401C">
        <w:rPr>
          <w:rStyle w:val="IntenseEmphasis"/>
          <w:rFonts w:ascii="Arial" w:hAnsi="Arial" w:cs="Arial"/>
          <w:b w:val="0"/>
          <w:bCs w:val="0"/>
          <w:i w:val="0"/>
          <w:iCs w:val="0"/>
          <w:color w:val="auto"/>
        </w:rPr>
        <w:t xml:space="preserve"> case. Mrs Barnett sued the hospital that her partner Mr Barnett had been to following his death from arsenic poisoning. The “but for” test had satisfied the questing of causation as even if Mr Barnett had been admitted, with correct procedure followed it was still very unlikely he would have survived. The result was that the hospital was not liable. </w:t>
      </w:r>
      <w:r w:rsidR="00714E91">
        <w:rPr>
          <w:rStyle w:val="IntenseEmphasis"/>
          <w:rFonts w:ascii="Arial" w:hAnsi="Arial" w:cs="Arial"/>
          <w:b w:val="0"/>
          <w:bCs w:val="0"/>
          <w:i w:val="0"/>
          <w:iCs w:val="0"/>
          <w:color w:val="auto"/>
        </w:rPr>
        <w:br/>
      </w:r>
      <w:r w:rsidR="00714E91">
        <w:rPr>
          <w:rStyle w:val="IntenseEmphasis"/>
          <w:rFonts w:ascii="Arial" w:hAnsi="Arial" w:cs="Arial"/>
          <w:b w:val="0"/>
          <w:bCs w:val="0"/>
          <w:color w:val="auto"/>
        </w:rPr>
        <w:t>“</w:t>
      </w:r>
      <w:r w:rsidR="00714E91" w:rsidRPr="00714E91">
        <w:rPr>
          <w:rStyle w:val="IntenseEmphasis"/>
          <w:rFonts w:ascii="Arial" w:hAnsi="Arial" w:cs="Arial"/>
          <w:b w:val="0"/>
          <w:bCs w:val="0"/>
          <w:color w:val="auto"/>
        </w:rPr>
        <w:t xml:space="preserve">Introduced the 'but for' test </w:t>
      </w:r>
      <w:proofErr w:type="spellStart"/>
      <w:r w:rsidR="00714E91" w:rsidRPr="00714E91">
        <w:rPr>
          <w:rStyle w:val="IntenseEmphasis"/>
          <w:rFonts w:ascii="Arial" w:hAnsi="Arial" w:cs="Arial"/>
          <w:b w:val="0"/>
          <w:bCs w:val="0"/>
          <w:color w:val="auto"/>
        </w:rPr>
        <w:t>ie</w:t>
      </w:r>
      <w:proofErr w:type="spellEnd"/>
      <w:r w:rsidR="00714E91" w:rsidRPr="00714E91">
        <w:rPr>
          <w:rStyle w:val="IntenseEmphasis"/>
          <w:rFonts w:ascii="Arial" w:hAnsi="Arial" w:cs="Arial"/>
          <w:b w:val="0"/>
          <w:bCs w:val="0"/>
          <w:color w:val="auto"/>
        </w:rPr>
        <w:t xml:space="preserve"> would the result have occurred but for the act or omission of the defendant? If yes, the defendant is not liable.</w:t>
      </w:r>
      <w:r w:rsidR="00714E91">
        <w:rPr>
          <w:rStyle w:val="IntenseEmphasis"/>
          <w:rFonts w:ascii="Arial" w:hAnsi="Arial" w:cs="Arial"/>
          <w:b w:val="0"/>
          <w:bCs w:val="0"/>
          <w:color w:val="auto"/>
        </w:rPr>
        <w:t>”</w:t>
      </w:r>
      <w:r w:rsidR="00AA401C" w:rsidRPr="00AA401C">
        <w:rPr>
          <w:rStyle w:val="IntenseEmphasis"/>
          <w:rFonts w:ascii="Arial" w:hAnsi="Arial" w:cs="Arial"/>
          <w:b w:val="0"/>
          <w:bCs w:val="0"/>
          <w:i w:val="0"/>
          <w:iCs w:val="0"/>
          <w:color w:val="auto"/>
        </w:rPr>
        <w:t xml:space="preserve"> </w:t>
      </w:r>
      <w:r w:rsidR="00714E91">
        <w:rPr>
          <w:rStyle w:val="IntenseEmphasis"/>
          <w:rFonts w:ascii="Arial" w:hAnsi="Arial" w:cs="Arial"/>
          <w:b w:val="0"/>
          <w:bCs w:val="0"/>
          <w:i w:val="0"/>
          <w:iCs w:val="0"/>
          <w:color w:val="auto"/>
        </w:rPr>
        <w:t xml:space="preserve">– </w:t>
      </w:r>
      <w:proofErr w:type="spellStart"/>
      <w:r w:rsidR="00714E91">
        <w:rPr>
          <w:rStyle w:val="IntenseEmphasis"/>
          <w:rFonts w:ascii="Arial" w:hAnsi="Arial" w:cs="Arial"/>
          <w:b w:val="0"/>
          <w:bCs w:val="0"/>
          <w:i w:val="0"/>
          <w:iCs w:val="0"/>
          <w:color w:val="auto"/>
        </w:rPr>
        <w:t>elawresources</w:t>
      </w:r>
      <w:proofErr w:type="spellEnd"/>
      <w:r w:rsidR="00AA401C" w:rsidRPr="00AA401C">
        <w:rPr>
          <w:rStyle w:val="IntenseEmphasis"/>
          <w:rFonts w:ascii="Arial" w:hAnsi="Arial" w:cs="Arial"/>
          <w:b w:val="0"/>
          <w:bCs w:val="0"/>
          <w:i w:val="0"/>
          <w:iCs w:val="0"/>
          <w:color w:val="auto"/>
        </w:rPr>
        <w:t xml:space="preserve"> </w:t>
      </w:r>
      <w:r w:rsidR="00A92D1E" w:rsidRPr="00AA401C">
        <w:rPr>
          <w:rStyle w:val="IntenseEmphasis"/>
          <w:rFonts w:ascii="Arial" w:hAnsi="Arial" w:cs="Arial"/>
          <w:b w:val="0"/>
          <w:bCs w:val="0"/>
          <w:i w:val="0"/>
          <w:iCs w:val="0"/>
          <w:color w:val="auto"/>
        </w:rPr>
        <w:br/>
      </w:r>
      <w:r w:rsidR="00165CB1" w:rsidRPr="00AA401C">
        <w:rPr>
          <w:rStyle w:val="IntenseEmphasis"/>
          <w:rFonts w:ascii="Arial" w:hAnsi="Arial" w:cs="Arial"/>
          <w:b w:val="0"/>
          <w:bCs w:val="0"/>
          <w:i w:val="0"/>
          <w:iCs w:val="0"/>
          <w:color w:val="auto"/>
        </w:rPr>
        <w:br/>
      </w:r>
      <w:r w:rsidR="00165CB1" w:rsidRPr="00AA401C">
        <w:rPr>
          <w:rStyle w:val="IntenseEmphasis"/>
          <w:rFonts w:ascii="Arial" w:hAnsi="Arial" w:cs="Arial"/>
          <w:b w:val="0"/>
          <w:bCs w:val="0"/>
          <w:i w:val="0"/>
          <w:iCs w:val="0"/>
          <w:color w:val="auto"/>
        </w:rPr>
        <w:br/>
      </w:r>
      <w:r w:rsidR="001E7244" w:rsidRPr="00AA401C">
        <w:rPr>
          <w:rStyle w:val="IntenseEmphasis"/>
          <w:rFonts w:ascii="Arial" w:hAnsi="Arial" w:cs="Arial"/>
          <w:b w:val="0"/>
          <w:bCs w:val="0"/>
          <w:i w:val="0"/>
          <w:iCs w:val="0"/>
          <w:color w:val="auto"/>
        </w:rPr>
        <w:br/>
      </w:r>
      <w:r w:rsidR="001E7244" w:rsidRPr="00AA401C">
        <w:rPr>
          <w:rStyle w:val="IntenseEmphasis"/>
          <w:rFonts w:ascii="Arial" w:hAnsi="Arial" w:cs="Arial"/>
          <w:b w:val="0"/>
          <w:bCs w:val="0"/>
          <w:i w:val="0"/>
          <w:iCs w:val="0"/>
          <w:color w:val="auto"/>
        </w:rPr>
        <w:br/>
      </w:r>
      <w:r w:rsidR="00766662" w:rsidRPr="00AA401C">
        <w:rPr>
          <w:rStyle w:val="IntenseEmphasis"/>
          <w:rFonts w:ascii="Arial" w:hAnsi="Arial" w:cs="Arial"/>
          <w:b w:val="0"/>
          <w:bCs w:val="0"/>
          <w:i w:val="0"/>
          <w:iCs w:val="0"/>
          <w:color w:val="auto"/>
        </w:rPr>
        <w:br/>
      </w:r>
    </w:p>
    <w:p w14:paraId="3E3F8B80" w14:textId="77777777" w:rsidR="003348E9" w:rsidRPr="003348E9" w:rsidRDefault="003348E9" w:rsidP="003348E9">
      <w:pPr>
        <w:rPr>
          <w:rStyle w:val="IntenseEmphasis"/>
          <w:rFonts w:ascii="Arial" w:hAnsi="Arial" w:cs="Arial"/>
          <w:b w:val="0"/>
          <w:bCs w:val="0"/>
          <w:i w:val="0"/>
          <w:iCs w:val="0"/>
          <w:color w:val="auto"/>
        </w:rPr>
      </w:pPr>
    </w:p>
    <w:p w14:paraId="01A8234F" w14:textId="77777777" w:rsidR="00AB3F24" w:rsidRPr="00731975" w:rsidRDefault="00AB3F24" w:rsidP="00731975">
      <w:pPr>
        <w:rPr>
          <w:rStyle w:val="IntenseEmphasis"/>
          <w:rFonts w:ascii="Arial" w:hAnsi="Arial" w:cs="Arial"/>
          <w:b w:val="0"/>
          <w:bCs w:val="0"/>
          <w:i w:val="0"/>
          <w:iCs w:val="0"/>
          <w:color w:val="auto"/>
        </w:rPr>
      </w:pPr>
    </w:p>
    <w:p w14:paraId="71A3D2D9" w14:textId="77777777" w:rsidR="001B79D8" w:rsidRPr="001B79D8" w:rsidRDefault="001B79D8" w:rsidP="001B79D8">
      <w:pPr>
        <w:pStyle w:val="ListParagraph"/>
        <w:rPr>
          <w:rStyle w:val="IntenseEmphasis"/>
          <w:rFonts w:ascii="Arial" w:hAnsi="Arial" w:cs="Arial"/>
          <w:i w:val="0"/>
          <w:iCs w:val="0"/>
          <w:color w:val="auto"/>
          <w:u w:val="single"/>
        </w:rPr>
      </w:pPr>
    </w:p>
    <w:p w14:paraId="76165B18" w14:textId="16685BB2" w:rsidR="00B63BD6" w:rsidRDefault="001D126A" w:rsidP="001521E7">
      <w:pPr>
        <w:pStyle w:val="ListParagraph"/>
        <w:numPr>
          <w:ilvl w:val="0"/>
          <w:numId w:val="30"/>
        </w:numPr>
        <w:rPr>
          <w:rStyle w:val="IntenseEmphasis"/>
          <w:rFonts w:ascii="Arial" w:hAnsi="Arial" w:cs="Arial"/>
          <w:i w:val="0"/>
          <w:iCs w:val="0"/>
          <w:color w:val="auto"/>
          <w:u w:val="single"/>
        </w:rPr>
      </w:pPr>
      <w:r>
        <w:rPr>
          <w:rStyle w:val="IntenseEmphasis"/>
          <w:rFonts w:ascii="Arial" w:hAnsi="Arial" w:cs="Arial"/>
          <w:i w:val="0"/>
          <w:iCs w:val="0"/>
          <w:color w:val="auto"/>
          <w:u w:val="single"/>
        </w:rPr>
        <w:t>Case Law in Construction</w:t>
      </w:r>
      <w:r w:rsidR="00AC438F">
        <w:rPr>
          <w:rStyle w:val="IntenseEmphasis"/>
          <w:rFonts w:ascii="Arial" w:hAnsi="Arial" w:cs="Arial"/>
          <w:i w:val="0"/>
          <w:iCs w:val="0"/>
          <w:color w:val="auto"/>
          <w:u w:val="single"/>
        </w:rPr>
        <w:br/>
      </w:r>
      <w:r w:rsidR="00AC438F">
        <w:rPr>
          <w:rStyle w:val="IntenseEmphasis"/>
          <w:rFonts w:ascii="Arial" w:hAnsi="Arial" w:cs="Arial"/>
          <w:i w:val="0"/>
          <w:iCs w:val="0"/>
          <w:color w:val="auto"/>
          <w:u w:val="single"/>
        </w:rPr>
        <w:br/>
      </w:r>
    </w:p>
    <w:p w14:paraId="4D84E335" w14:textId="58A6DFDC" w:rsidR="00541EBB" w:rsidRPr="00541EBB" w:rsidRDefault="00093BB2" w:rsidP="00AC438F">
      <w:pPr>
        <w:pStyle w:val="ListParagraph"/>
        <w:numPr>
          <w:ilvl w:val="1"/>
          <w:numId w:val="35"/>
        </w:numPr>
        <w:rPr>
          <w:rStyle w:val="IntenseEmphasis"/>
          <w:rFonts w:ascii="Arial" w:hAnsi="Arial" w:cs="Arial"/>
          <w:i w:val="0"/>
          <w:iCs w:val="0"/>
          <w:color w:val="auto"/>
          <w:u w:val="single"/>
        </w:rPr>
      </w:pPr>
      <w:r>
        <w:rPr>
          <w:rStyle w:val="IntenseEmphasis"/>
          <w:rFonts w:ascii="Arial" w:hAnsi="Arial" w:cs="Arial"/>
          <w:b w:val="0"/>
          <w:bCs w:val="0"/>
          <w:i w:val="0"/>
          <w:iCs w:val="0"/>
          <w:color w:val="auto"/>
        </w:rPr>
        <w:t xml:space="preserve">Case law is commonly used in construction, the fundamental being that in common law decisions will be made following judicial precedent, meaning decisions made by a court will be used in future cases, referred to as </w:t>
      </w:r>
      <w:r>
        <w:rPr>
          <w:rStyle w:val="IntenseEmphasis"/>
          <w:rFonts w:ascii="Arial" w:hAnsi="Arial" w:cs="Arial"/>
          <w:b w:val="0"/>
          <w:bCs w:val="0"/>
          <w:color w:val="auto"/>
        </w:rPr>
        <w:t xml:space="preserve">stare decisis, </w:t>
      </w:r>
      <w:r>
        <w:rPr>
          <w:rStyle w:val="IntenseEmphasis"/>
          <w:rFonts w:ascii="Arial" w:hAnsi="Arial" w:cs="Arial"/>
          <w:b w:val="0"/>
          <w:bCs w:val="0"/>
          <w:i w:val="0"/>
          <w:iCs w:val="0"/>
          <w:color w:val="auto"/>
        </w:rPr>
        <w:t>Latin for “to stand by the decided”.</w:t>
      </w:r>
      <w:r w:rsidR="00541EBB">
        <w:rPr>
          <w:rStyle w:val="IntenseEmphasis"/>
          <w:rFonts w:ascii="Arial" w:hAnsi="Arial" w:cs="Arial"/>
          <w:b w:val="0"/>
          <w:bCs w:val="0"/>
          <w:i w:val="0"/>
          <w:iCs w:val="0"/>
          <w:color w:val="auto"/>
        </w:rPr>
        <w:br/>
      </w:r>
    </w:p>
    <w:p w14:paraId="6FF15A24" w14:textId="3A299919" w:rsidR="009E6CB7" w:rsidRPr="009E6CB7" w:rsidRDefault="00B839A5" w:rsidP="00541EBB">
      <w:pPr>
        <w:pStyle w:val="ListParagraph"/>
        <w:numPr>
          <w:ilvl w:val="1"/>
          <w:numId w:val="36"/>
        </w:numPr>
        <w:rPr>
          <w:rStyle w:val="IntenseEmphasis"/>
          <w:rFonts w:ascii="Arial" w:hAnsi="Arial" w:cs="Arial"/>
          <w:i w:val="0"/>
          <w:iCs w:val="0"/>
          <w:color w:val="auto"/>
          <w:u w:val="single"/>
        </w:rPr>
      </w:pPr>
      <w:r>
        <w:rPr>
          <w:rStyle w:val="IntenseEmphasis"/>
          <w:rFonts w:ascii="Arial" w:hAnsi="Arial" w:cs="Arial"/>
          <w:b w:val="0"/>
          <w:bCs w:val="0"/>
          <w:i w:val="0"/>
          <w:iCs w:val="0"/>
          <w:color w:val="auto"/>
        </w:rPr>
        <w:t>Anns v Merton London Borough Council</w:t>
      </w:r>
      <w:r w:rsidR="001D0734">
        <w:rPr>
          <w:rStyle w:val="IntenseEmphasis"/>
          <w:rFonts w:ascii="Arial" w:hAnsi="Arial" w:cs="Arial"/>
          <w:b w:val="0"/>
          <w:bCs w:val="0"/>
          <w:i w:val="0"/>
          <w:iCs w:val="0"/>
          <w:color w:val="auto"/>
        </w:rPr>
        <w:t xml:space="preserve"> </w:t>
      </w:r>
      <w:r w:rsidR="008377A2">
        <w:rPr>
          <w:rStyle w:val="IntenseEmphasis"/>
          <w:rFonts w:ascii="Arial" w:hAnsi="Arial" w:cs="Arial"/>
          <w:b w:val="0"/>
          <w:bCs w:val="0"/>
          <w:i w:val="0"/>
          <w:iCs w:val="0"/>
          <w:color w:val="auto"/>
        </w:rPr>
        <w:t>[</w:t>
      </w:r>
      <w:r w:rsidR="001D0734">
        <w:rPr>
          <w:rStyle w:val="IntenseEmphasis"/>
          <w:rFonts w:ascii="Arial" w:hAnsi="Arial" w:cs="Arial"/>
          <w:b w:val="0"/>
          <w:bCs w:val="0"/>
          <w:i w:val="0"/>
          <w:iCs w:val="0"/>
          <w:color w:val="auto"/>
        </w:rPr>
        <w:t>1978</w:t>
      </w:r>
      <w:r w:rsidR="008377A2">
        <w:rPr>
          <w:rStyle w:val="IntenseEmphasis"/>
          <w:rFonts w:ascii="Arial" w:hAnsi="Arial" w:cs="Arial"/>
          <w:b w:val="0"/>
          <w:bCs w:val="0"/>
          <w:i w:val="0"/>
          <w:iCs w:val="0"/>
          <w:color w:val="auto"/>
        </w:rPr>
        <w:t>]</w:t>
      </w:r>
      <w:r w:rsidR="001D0734">
        <w:rPr>
          <w:rStyle w:val="IntenseEmphasis"/>
          <w:rFonts w:ascii="Arial" w:hAnsi="Arial" w:cs="Arial"/>
          <w:b w:val="0"/>
          <w:bCs w:val="0"/>
          <w:i w:val="0"/>
          <w:iCs w:val="0"/>
          <w:color w:val="auto"/>
        </w:rPr>
        <w:t xml:space="preserve"> </w:t>
      </w:r>
      <w:r>
        <w:rPr>
          <w:rStyle w:val="IntenseEmphasis"/>
          <w:rFonts w:ascii="Arial" w:hAnsi="Arial" w:cs="Arial"/>
          <w:b w:val="0"/>
          <w:bCs w:val="0"/>
          <w:i w:val="0"/>
          <w:iCs w:val="0"/>
          <w:color w:val="auto"/>
        </w:rPr>
        <w:t xml:space="preserve"> was a development (following Dutton v Bognor Regis UDC) in how the House of Lords ruled in negligence.</w:t>
      </w:r>
      <w:r>
        <w:rPr>
          <w:rStyle w:val="IntenseEmphasis"/>
          <w:rFonts w:ascii="Arial" w:hAnsi="Arial" w:cs="Arial"/>
          <w:b w:val="0"/>
          <w:bCs w:val="0"/>
          <w:i w:val="0"/>
          <w:iCs w:val="0"/>
          <w:color w:val="auto"/>
        </w:rPr>
        <w:br/>
        <w:t>The claimants resided in a block of flats constructed by contractors under their local authority</w:t>
      </w:r>
      <w:r w:rsidR="009E6CB7">
        <w:rPr>
          <w:rStyle w:val="IntenseEmphasis"/>
          <w:rFonts w:ascii="Arial" w:hAnsi="Arial" w:cs="Arial"/>
          <w:b w:val="0"/>
          <w:bCs w:val="0"/>
          <w:i w:val="0"/>
          <w:iCs w:val="0"/>
          <w:color w:val="auto"/>
        </w:rPr>
        <w:t>, Merton LBC.</w:t>
      </w:r>
      <w:r w:rsidR="009E6CB7">
        <w:rPr>
          <w:rStyle w:val="IntenseEmphasis"/>
          <w:rFonts w:ascii="Arial" w:hAnsi="Arial" w:cs="Arial"/>
          <w:b w:val="0"/>
          <w:bCs w:val="0"/>
          <w:i w:val="0"/>
          <w:iCs w:val="0"/>
          <w:color w:val="auto"/>
        </w:rPr>
        <w:br/>
        <w:t>Due to insufficient inspection of the foundations by Merton LBC, the foundations were not built to the standard set out in the authorities</w:t>
      </w:r>
      <w:r w:rsidR="00442612">
        <w:rPr>
          <w:rStyle w:val="IntenseEmphasis"/>
          <w:rFonts w:ascii="Arial" w:hAnsi="Arial" w:cs="Arial"/>
          <w:b w:val="0"/>
          <w:bCs w:val="0"/>
          <w:i w:val="0"/>
          <w:iCs w:val="0"/>
          <w:color w:val="auto"/>
        </w:rPr>
        <w:t>’</w:t>
      </w:r>
      <w:r w:rsidR="009E6CB7">
        <w:rPr>
          <w:rStyle w:val="IntenseEmphasis"/>
          <w:rFonts w:ascii="Arial" w:hAnsi="Arial" w:cs="Arial"/>
          <w:b w:val="0"/>
          <w:bCs w:val="0"/>
          <w:i w:val="0"/>
          <w:iCs w:val="0"/>
          <w:color w:val="auto"/>
        </w:rPr>
        <w:t xml:space="preserve"> by-laws.</w:t>
      </w:r>
      <w:r w:rsidR="009E6CB7">
        <w:rPr>
          <w:rStyle w:val="IntenseEmphasis"/>
          <w:rFonts w:ascii="Arial" w:hAnsi="Arial" w:cs="Arial"/>
          <w:b w:val="0"/>
          <w:bCs w:val="0"/>
          <w:i w:val="0"/>
          <w:iCs w:val="0"/>
          <w:color w:val="auto"/>
        </w:rPr>
        <w:br/>
        <w:t xml:space="preserve">The properties sustained damage including cracking of the walls rendering the properties unsafe to live in. </w:t>
      </w:r>
      <w:r w:rsidR="009E6CB7">
        <w:rPr>
          <w:rStyle w:val="IntenseEmphasis"/>
          <w:rFonts w:ascii="Arial" w:hAnsi="Arial" w:cs="Arial"/>
          <w:b w:val="0"/>
          <w:bCs w:val="0"/>
          <w:i w:val="0"/>
          <w:iCs w:val="0"/>
          <w:color w:val="auto"/>
        </w:rPr>
        <w:br/>
      </w:r>
    </w:p>
    <w:p w14:paraId="4B63DBF8" w14:textId="25190B3F" w:rsidR="00304FD9" w:rsidRPr="00304FD9" w:rsidRDefault="001D0734" w:rsidP="009E6CB7">
      <w:pPr>
        <w:pStyle w:val="ListParagraph"/>
        <w:numPr>
          <w:ilvl w:val="1"/>
          <w:numId w:val="37"/>
        </w:numPr>
        <w:rPr>
          <w:rStyle w:val="IntenseEmphasis"/>
          <w:rFonts w:ascii="Arial" w:hAnsi="Arial" w:cs="Arial"/>
          <w:i w:val="0"/>
          <w:iCs w:val="0"/>
          <w:color w:val="auto"/>
          <w:u w:val="single"/>
        </w:rPr>
      </w:pPr>
      <w:r>
        <w:rPr>
          <w:rStyle w:val="IntenseEmphasis"/>
          <w:rFonts w:ascii="Arial" w:hAnsi="Arial" w:cs="Arial"/>
          <w:b w:val="0"/>
          <w:bCs w:val="0"/>
          <w:i w:val="0"/>
          <w:iCs w:val="0"/>
          <w:color w:val="auto"/>
        </w:rPr>
        <w:t>The residents claimed negligence against Merton LBC, that their failure to inspect the foundations had resulted in the damages.</w:t>
      </w:r>
      <w:r w:rsidR="005470BD">
        <w:rPr>
          <w:rStyle w:val="IntenseEmphasis"/>
          <w:rFonts w:ascii="Arial" w:hAnsi="Arial" w:cs="Arial"/>
          <w:b w:val="0"/>
          <w:bCs w:val="0"/>
          <w:i w:val="0"/>
          <w:iCs w:val="0"/>
          <w:color w:val="auto"/>
        </w:rPr>
        <w:t xml:space="preserve"> It was found that the council had been liable in negligence </w:t>
      </w:r>
      <w:r w:rsidR="00150445">
        <w:rPr>
          <w:rStyle w:val="IntenseEmphasis"/>
          <w:rFonts w:ascii="Arial" w:hAnsi="Arial" w:cs="Arial"/>
          <w:b w:val="0"/>
          <w:bCs w:val="0"/>
          <w:i w:val="0"/>
          <w:iCs w:val="0"/>
          <w:color w:val="auto"/>
        </w:rPr>
        <w:t>as a duty of care was owed to the claimants where the</w:t>
      </w:r>
      <w:r w:rsidR="00A17B2C">
        <w:rPr>
          <w:rStyle w:val="IntenseEmphasis"/>
          <w:rFonts w:ascii="Arial" w:hAnsi="Arial" w:cs="Arial"/>
          <w:b w:val="0"/>
          <w:bCs w:val="0"/>
          <w:i w:val="0"/>
          <w:iCs w:val="0"/>
          <w:color w:val="auto"/>
        </w:rPr>
        <w:t xml:space="preserve"> council</w:t>
      </w:r>
      <w:r w:rsidR="00150445">
        <w:rPr>
          <w:rStyle w:val="IntenseEmphasis"/>
          <w:rFonts w:ascii="Arial" w:hAnsi="Arial" w:cs="Arial"/>
          <w:b w:val="0"/>
          <w:bCs w:val="0"/>
          <w:i w:val="0"/>
          <w:iCs w:val="0"/>
          <w:color w:val="auto"/>
        </w:rPr>
        <w:t xml:space="preserve"> should have carried out the correct inspections.</w:t>
      </w:r>
      <w:r w:rsidR="00791070">
        <w:rPr>
          <w:rStyle w:val="IntenseEmphasis"/>
          <w:rFonts w:ascii="Arial" w:hAnsi="Arial" w:cs="Arial"/>
          <w:b w:val="0"/>
          <w:bCs w:val="0"/>
          <w:i w:val="0"/>
          <w:iCs w:val="0"/>
          <w:color w:val="auto"/>
        </w:rPr>
        <w:br/>
        <w:t>Lord Wilberforce introduced a two stage test for duty of care, to summarise:</w:t>
      </w:r>
      <w:r w:rsidR="00791070">
        <w:rPr>
          <w:rStyle w:val="IntenseEmphasis"/>
          <w:rFonts w:ascii="Arial" w:hAnsi="Arial" w:cs="Arial"/>
          <w:b w:val="0"/>
          <w:bCs w:val="0"/>
          <w:i w:val="0"/>
          <w:iCs w:val="0"/>
          <w:color w:val="auto"/>
        </w:rPr>
        <w:br/>
        <w:t xml:space="preserve">Relationship of proximity based on “prima facie” </w:t>
      </w:r>
      <w:r w:rsidR="004C47E9">
        <w:rPr>
          <w:rStyle w:val="IntenseEmphasis"/>
          <w:rFonts w:ascii="Arial" w:hAnsi="Arial" w:cs="Arial"/>
          <w:b w:val="0"/>
          <w:bCs w:val="0"/>
          <w:i w:val="0"/>
          <w:iCs w:val="0"/>
          <w:color w:val="auto"/>
        </w:rPr>
        <w:t>meaning foreseeability.</w:t>
      </w:r>
      <w:r w:rsidR="004C47E9">
        <w:rPr>
          <w:rStyle w:val="IntenseEmphasis"/>
          <w:rFonts w:ascii="Arial" w:hAnsi="Arial" w:cs="Arial"/>
          <w:b w:val="0"/>
          <w:bCs w:val="0"/>
          <w:i w:val="0"/>
          <w:iCs w:val="0"/>
          <w:color w:val="auto"/>
        </w:rPr>
        <w:br/>
        <w:t>and to consider any possibility where there would be no duty of care.</w:t>
      </w:r>
      <w:r w:rsidR="00791070">
        <w:rPr>
          <w:rStyle w:val="IntenseEmphasis"/>
          <w:rFonts w:ascii="Arial" w:hAnsi="Arial" w:cs="Arial"/>
          <w:b w:val="0"/>
          <w:bCs w:val="0"/>
          <w:i w:val="0"/>
          <w:iCs w:val="0"/>
          <w:color w:val="auto"/>
        </w:rPr>
        <w:br/>
      </w:r>
    </w:p>
    <w:p w14:paraId="49ACCC76" w14:textId="6A533020" w:rsidR="00C55C60" w:rsidRPr="00C55C60" w:rsidRDefault="00791070" w:rsidP="000F163A">
      <w:pPr>
        <w:pStyle w:val="ListParagraph"/>
        <w:numPr>
          <w:ilvl w:val="1"/>
          <w:numId w:val="38"/>
        </w:numPr>
        <w:rPr>
          <w:rStyle w:val="IntenseEmphasis"/>
          <w:rFonts w:ascii="Arial" w:hAnsi="Arial" w:cs="Arial"/>
          <w:i w:val="0"/>
          <w:iCs w:val="0"/>
          <w:color w:val="auto"/>
          <w:u w:val="single"/>
        </w:rPr>
      </w:pPr>
      <w:r>
        <w:rPr>
          <w:rStyle w:val="IntenseEmphasis"/>
          <w:rFonts w:ascii="Arial" w:hAnsi="Arial" w:cs="Arial"/>
          <w:b w:val="0"/>
          <w:bCs w:val="0"/>
          <w:i w:val="0"/>
          <w:iCs w:val="0"/>
          <w:color w:val="auto"/>
        </w:rPr>
        <w:t>Although the Anns Test is no longer used</w:t>
      </w:r>
      <w:r w:rsidR="004C47E9">
        <w:rPr>
          <w:rStyle w:val="IntenseEmphasis"/>
          <w:rFonts w:ascii="Arial" w:hAnsi="Arial" w:cs="Arial"/>
          <w:b w:val="0"/>
          <w:bCs w:val="0"/>
          <w:i w:val="0"/>
          <w:iCs w:val="0"/>
          <w:color w:val="auto"/>
        </w:rPr>
        <w:t>, the Anns v Merton LBC case was significant in developing how negligence is ruled today</w:t>
      </w:r>
      <w:r w:rsidR="00E61068">
        <w:rPr>
          <w:rStyle w:val="IntenseEmphasis"/>
          <w:rFonts w:ascii="Arial" w:hAnsi="Arial" w:cs="Arial"/>
          <w:b w:val="0"/>
          <w:bCs w:val="0"/>
          <w:i w:val="0"/>
          <w:iCs w:val="0"/>
          <w:color w:val="auto"/>
        </w:rPr>
        <w:t>. The principles of the time were necessary for the House of Lords to adapt to an industry that is forever changing</w:t>
      </w:r>
      <w:r w:rsidR="000F163A">
        <w:rPr>
          <w:rStyle w:val="IntenseEmphasis"/>
          <w:rFonts w:ascii="Arial" w:hAnsi="Arial" w:cs="Arial"/>
          <w:b w:val="0"/>
          <w:bCs w:val="0"/>
          <w:i w:val="0"/>
          <w:iCs w:val="0"/>
          <w:color w:val="auto"/>
        </w:rPr>
        <w:t>.</w:t>
      </w:r>
      <w:r w:rsidR="00B26CB1">
        <w:rPr>
          <w:rStyle w:val="IntenseEmphasis"/>
          <w:rFonts w:ascii="Arial" w:hAnsi="Arial" w:cs="Arial"/>
          <w:b w:val="0"/>
          <w:bCs w:val="0"/>
          <w:i w:val="0"/>
          <w:iCs w:val="0"/>
          <w:color w:val="auto"/>
        </w:rPr>
        <w:br/>
      </w:r>
      <w:r w:rsidR="005E0839">
        <w:rPr>
          <w:rStyle w:val="IntenseEmphasis"/>
          <w:rFonts w:ascii="Arial" w:hAnsi="Arial" w:cs="Arial"/>
          <w:b w:val="0"/>
          <w:bCs w:val="0"/>
          <w:i w:val="0"/>
          <w:iCs w:val="0"/>
          <w:color w:val="auto"/>
        </w:rPr>
        <w:t>T</w:t>
      </w:r>
      <w:r w:rsidR="00B26CB1">
        <w:rPr>
          <w:rStyle w:val="IntenseEmphasis"/>
          <w:rFonts w:ascii="Arial" w:hAnsi="Arial" w:cs="Arial"/>
          <w:b w:val="0"/>
          <w:bCs w:val="0"/>
          <w:i w:val="0"/>
          <w:iCs w:val="0"/>
          <w:color w:val="auto"/>
        </w:rPr>
        <w:t xml:space="preserve">he construction of the </w:t>
      </w:r>
      <w:r w:rsidR="00C55C60">
        <w:rPr>
          <w:rStyle w:val="IntenseEmphasis"/>
          <w:rFonts w:ascii="Arial" w:hAnsi="Arial" w:cs="Arial"/>
          <w:b w:val="0"/>
          <w:bCs w:val="0"/>
          <w:i w:val="0"/>
          <w:iCs w:val="0"/>
          <w:color w:val="auto"/>
        </w:rPr>
        <w:t>claimants’</w:t>
      </w:r>
      <w:r w:rsidR="00B26CB1">
        <w:rPr>
          <w:rStyle w:val="IntenseEmphasis"/>
          <w:rFonts w:ascii="Arial" w:hAnsi="Arial" w:cs="Arial"/>
          <w:b w:val="0"/>
          <w:bCs w:val="0"/>
          <w:i w:val="0"/>
          <w:iCs w:val="0"/>
          <w:color w:val="auto"/>
        </w:rPr>
        <w:t xml:space="preserve"> flats of the Anns v Merton LBC</w:t>
      </w:r>
      <w:r w:rsidR="005E0839">
        <w:rPr>
          <w:rStyle w:val="IntenseEmphasis"/>
          <w:rFonts w:ascii="Arial" w:hAnsi="Arial" w:cs="Arial"/>
          <w:b w:val="0"/>
          <w:bCs w:val="0"/>
          <w:i w:val="0"/>
          <w:iCs w:val="0"/>
          <w:color w:val="auto"/>
        </w:rPr>
        <w:t xml:space="preserve"> case</w:t>
      </w:r>
      <w:r w:rsidR="00B26CB1">
        <w:rPr>
          <w:rStyle w:val="IntenseEmphasis"/>
          <w:rFonts w:ascii="Arial" w:hAnsi="Arial" w:cs="Arial"/>
          <w:b w:val="0"/>
          <w:bCs w:val="0"/>
          <w:i w:val="0"/>
          <w:iCs w:val="0"/>
          <w:color w:val="auto"/>
        </w:rPr>
        <w:t xml:space="preserve"> w</w:t>
      </w:r>
      <w:r w:rsidR="005E0839">
        <w:rPr>
          <w:rStyle w:val="IntenseEmphasis"/>
          <w:rFonts w:ascii="Arial" w:hAnsi="Arial" w:cs="Arial"/>
          <w:b w:val="0"/>
          <w:bCs w:val="0"/>
          <w:i w:val="0"/>
          <w:iCs w:val="0"/>
          <w:color w:val="auto"/>
        </w:rPr>
        <w:t>as</w:t>
      </w:r>
      <w:r w:rsidR="00B26CB1">
        <w:rPr>
          <w:rStyle w:val="IntenseEmphasis"/>
          <w:rFonts w:ascii="Arial" w:hAnsi="Arial" w:cs="Arial"/>
          <w:b w:val="0"/>
          <w:bCs w:val="0"/>
          <w:i w:val="0"/>
          <w:iCs w:val="0"/>
          <w:color w:val="auto"/>
        </w:rPr>
        <w:t xml:space="preserve"> in 1962, the claimants would not have had the same scrutiny over the construction of their homes as if the project</w:t>
      </w:r>
      <w:r w:rsidR="005E0839">
        <w:rPr>
          <w:rStyle w:val="IntenseEmphasis"/>
          <w:rFonts w:ascii="Arial" w:hAnsi="Arial" w:cs="Arial"/>
          <w:b w:val="0"/>
          <w:bCs w:val="0"/>
          <w:i w:val="0"/>
          <w:iCs w:val="0"/>
          <w:color w:val="auto"/>
        </w:rPr>
        <w:t xml:space="preserve"> had</w:t>
      </w:r>
      <w:r w:rsidR="00B26CB1">
        <w:rPr>
          <w:rStyle w:val="IntenseEmphasis"/>
          <w:rFonts w:ascii="Arial" w:hAnsi="Arial" w:cs="Arial"/>
          <w:b w:val="0"/>
          <w:bCs w:val="0"/>
          <w:i w:val="0"/>
          <w:iCs w:val="0"/>
          <w:color w:val="auto"/>
        </w:rPr>
        <w:t xml:space="preserve"> started at present date</w:t>
      </w:r>
      <w:r w:rsidR="00C55C60">
        <w:rPr>
          <w:rStyle w:val="IntenseEmphasis"/>
          <w:rFonts w:ascii="Arial" w:hAnsi="Arial" w:cs="Arial"/>
          <w:b w:val="0"/>
          <w:bCs w:val="0"/>
          <w:i w:val="0"/>
          <w:iCs w:val="0"/>
          <w:color w:val="auto"/>
        </w:rPr>
        <w:t xml:space="preserve"> where modern day building regulations are in place.</w:t>
      </w:r>
      <w:r w:rsidR="00C55C60">
        <w:rPr>
          <w:rStyle w:val="IntenseEmphasis"/>
          <w:rFonts w:ascii="Arial" w:hAnsi="Arial" w:cs="Arial"/>
          <w:b w:val="0"/>
          <w:bCs w:val="0"/>
          <w:i w:val="0"/>
          <w:iCs w:val="0"/>
          <w:color w:val="auto"/>
        </w:rPr>
        <w:br/>
      </w:r>
    </w:p>
    <w:p w14:paraId="5EE1054A" w14:textId="408C9296" w:rsidR="000F163A" w:rsidRPr="002B12E5" w:rsidRDefault="005E0839" w:rsidP="002B12E5">
      <w:pPr>
        <w:pStyle w:val="ListParagraph"/>
        <w:numPr>
          <w:ilvl w:val="1"/>
          <w:numId w:val="40"/>
        </w:numPr>
        <w:rPr>
          <w:rStyle w:val="IntenseEmphasis"/>
          <w:rFonts w:ascii="Arial" w:hAnsi="Arial" w:cs="Arial"/>
          <w:i w:val="0"/>
          <w:iCs w:val="0"/>
          <w:color w:val="auto"/>
          <w:u w:val="single"/>
        </w:rPr>
      </w:pPr>
      <w:r w:rsidRPr="00C55C60">
        <w:rPr>
          <w:rStyle w:val="IntenseEmphasis"/>
          <w:rFonts w:ascii="Arial" w:hAnsi="Arial" w:cs="Arial"/>
          <w:b w:val="0"/>
          <w:bCs w:val="0"/>
          <w:i w:val="0"/>
          <w:iCs w:val="0"/>
          <w:color w:val="auto"/>
        </w:rPr>
        <w:t xml:space="preserve">The Building Safety Act 2022 is new safety legislation, “granted Royal Assent on 28 April 2022” – Department for Levelling Up, Housing and Communities (2022) following the </w:t>
      </w:r>
      <w:r w:rsidR="00F21B4E" w:rsidRPr="00C55C60">
        <w:rPr>
          <w:rStyle w:val="IntenseEmphasis"/>
          <w:rFonts w:ascii="Arial" w:hAnsi="Arial" w:cs="Arial"/>
          <w:b w:val="0"/>
          <w:bCs w:val="0"/>
          <w:i w:val="0"/>
          <w:iCs w:val="0"/>
          <w:color w:val="auto"/>
        </w:rPr>
        <w:t>Grenfell Tower fire of 2017.</w:t>
      </w:r>
      <w:r w:rsidR="00C55C60">
        <w:rPr>
          <w:rStyle w:val="IntenseEmphasis"/>
          <w:rFonts w:ascii="Arial" w:hAnsi="Arial" w:cs="Arial"/>
          <w:b w:val="0"/>
          <w:bCs w:val="0"/>
          <w:i w:val="0"/>
          <w:iCs w:val="0"/>
          <w:color w:val="auto"/>
        </w:rPr>
        <w:br/>
        <w:t xml:space="preserve">72 people died as a result of the disaster, starting from a defective fridge-freezer but </w:t>
      </w:r>
      <w:r w:rsidR="002B12E5">
        <w:rPr>
          <w:rStyle w:val="IntenseEmphasis"/>
          <w:rFonts w:ascii="Arial" w:hAnsi="Arial" w:cs="Arial"/>
          <w:b w:val="0"/>
          <w:bCs w:val="0"/>
          <w:i w:val="0"/>
          <w:iCs w:val="0"/>
          <w:color w:val="auto"/>
        </w:rPr>
        <w:t>it was the aluminium composite cladding used on the exterior which had caused the rapid spread of fire and eventual destruction of the tower.</w:t>
      </w:r>
      <w:r w:rsidR="00342928">
        <w:rPr>
          <w:rStyle w:val="IntenseEmphasis"/>
          <w:rFonts w:ascii="Arial" w:hAnsi="Arial" w:cs="Arial"/>
          <w:b w:val="0"/>
          <w:bCs w:val="0"/>
          <w:i w:val="0"/>
          <w:iCs w:val="0"/>
          <w:color w:val="auto"/>
        </w:rPr>
        <w:t xml:space="preserve"> T</w:t>
      </w:r>
      <w:r w:rsidR="007316A1">
        <w:rPr>
          <w:rStyle w:val="IntenseEmphasis"/>
          <w:rFonts w:ascii="Arial" w:hAnsi="Arial" w:cs="Arial"/>
          <w:b w:val="0"/>
          <w:bCs w:val="0"/>
          <w:i w:val="0"/>
          <w:iCs w:val="0"/>
          <w:color w:val="auto"/>
        </w:rPr>
        <w:t>he cladding used was in the interest of cost and energy efficiency and did not meet the fire-retardant specification.</w:t>
      </w:r>
      <w:r w:rsidR="00C15814">
        <w:rPr>
          <w:rStyle w:val="IntenseEmphasis"/>
          <w:rFonts w:ascii="Arial" w:hAnsi="Arial" w:cs="Arial"/>
          <w:b w:val="0"/>
          <w:bCs w:val="0"/>
          <w:i w:val="0"/>
          <w:iCs w:val="0"/>
          <w:color w:val="auto"/>
        </w:rPr>
        <w:t xml:space="preserve"> Additionally a sprinkler system was overlooked in the refurbishment in the interest of saving money.</w:t>
      </w:r>
      <w:r w:rsidR="002B12E5">
        <w:rPr>
          <w:rStyle w:val="IntenseEmphasis"/>
          <w:rFonts w:ascii="Arial" w:hAnsi="Arial" w:cs="Arial"/>
          <w:b w:val="0"/>
          <w:bCs w:val="0"/>
          <w:i w:val="0"/>
          <w:iCs w:val="0"/>
          <w:color w:val="auto"/>
        </w:rPr>
        <w:br/>
        <w:t xml:space="preserve">The owner of the tower, the Royal Borough of Kensington and Chelsea, </w:t>
      </w:r>
      <w:r w:rsidR="002B12E5">
        <w:rPr>
          <w:rStyle w:val="IntenseEmphasis"/>
          <w:rFonts w:ascii="Arial" w:hAnsi="Arial" w:cs="Arial"/>
          <w:b w:val="0"/>
          <w:bCs w:val="0"/>
          <w:i w:val="0"/>
          <w:iCs w:val="0"/>
          <w:color w:val="auto"/>
        </w:rPr>
        <w:lastRenderedPageBreak/>
        <w:t>admitted to negligence and that there was a breach of duty of care.</w:t>
      </w:r>
      <w:r w:rsidR="00E7007D">
        <w:rPr>
          <w:rStyle w:val="IntenseEmphasis"/>
          <w:rFonts w:ascii="Arial" w:hAnsi="Arial" w:cs="Arial"/>
          <w:b w:val="0"/>
          <w:bCs w:val="0"/>
          <w:i w:val="0"/>
          <w:iCs w:val="0"/>
          <w:color w:val="auto"/>
        </w:rPr>
        <w:br/>
      </w:r>
      <w:r w:rsidR="00E7007D">
        <w:rPr>
          <w:rFonts w:ascii="Helvetica" w:hAnsi="Helvetica"/>
          <w:color w:val="141414"/>
          <w:shd w:val="clear" w:color="auto" w:fill="FFFFFF"/>
        </w:rPr>
        <w:t>“In a letter to BLJ solicitors, the council admitted breaching a duty of care to some residents of the tower” – Symonds (2022)</w:t>
      </w:r>
      <w:r w:rsidR="00E7007D">
        <w:rPr>
          <w:rFonts w:ascii="Helvetica" w:hAnsi="Helvetica"/>
          <w:color w:val="141414"/>
          <w:shd w:val="clear" w:color="auto" w:fill="FFFFFF"/>
        </w:rPr>
        <w:br/>
        <w:t>Due to the sensitive nature of many of the claimants cases, the court has halted legal proceedings so they may be settled through alternative dispute resolution processes.</w:t>
      </w:r>
      <w:r w:rsidR="002B12E5">
        <w:rPr>
          <w:rStyle w:val="IntenseEmphasis"/>
          <w:rFonts w:ascii="Arial" w:hAnsi="Arial" w:cs="Arial"/>
          <w:b w:val="0"/>
          <w:bCs w:val="0"/>
          <w:i w:val="0"/>
          <w:iCs w:val="0"/>
          <w:color w:val="auto"/>
        </w:rPr>
        <w:br/>
      </w:r>
    </w:p>
    <w:p w14:paraId="2239340D" w14:textId="77777777" w:rsidR="00C609DF" w:rsidRPr="00C609DF" w:rsidRDefault="00F21B4E" w:rsidP="000F163A">
      <w:pPr>
        <w:pStyle w:val="ListParagraph"/>
        <w:numPr>
          <w:ilvl w:val="1"/>
          <w:numId w:val="39"/>
        </w:numPr>
        <w:rPr>
          <w:rStyle w:val="IntenseEmphasis"/>
          <w:rFonts w:ascii="Arial" w:hAnsi="Arial" w:cs="Arial"/>
          <w:i w:val="0"/>
          <w:iCs w:val="0"/>
          <w:color w:val="auto"/>
          <w:u w:val="single"/>
        </w:rPr>
      </w:pPr>
      <w:r>
        <w:rPr>
          <w:rStyle w:val="IntenseEmphasis"/>
          <w:rFonts w:ascii="Arial" w:hAnsi="Arial" w:cs="Arial"/>
          <w:b w:val="0"/>
          <w:bCs w:val="0"/>
          <w:i w:val="0"/>
          <w:iCs w:val="0"/>
          <w:color w:val="auto"/>
        </w:rPr>
        <w:t xml:space="preserve">It appears that case law </w:t>
      </w:r>
      <w:r w:rsidR="00C55C60">
        <w:rPr>
          <w:rStyle w:val="IntenseEmphasis"/>
          <w:rFonts w:ascii="Arial" w:hAnsi="Arial" w:cs="Arial"/>
          <w:b w:val="0"/>
          <w:bCs w:val="0"/>
          <w:i w:val="0"/>
          <w:iCs w:val="0"/>
          <w:color w:val="auto"/>
        </w:rPr>
        <w:t xml:space="preserve">in construction is important for any meaningful change </w:t>
      </w:r>
      <w:r w:rsidR="00E7007D">
        <w:rPr>
          <w:rStyle w:val="IntenseEmphasis"/>
          <w:rFonts w:ascii="Arial" w:hAnsi="Arial" w:cs="Arial"/>
          <w:b w:val="0"/>
          <w:bCs w:val="0"/>
          <w:i w:val="0"/>
          <w:iCs w:val="0"/>
          <w:color w:val="auto"/>
        </w:rPr>
        <w:t>to decisions made by the courts and for changes in building legislation</w:t>
      </w:r>
      <w:r w:rsidR="00C609DF">
        <w:rPr>
          <w:rStyle w:val="IntenseEmphasis"/>
          <w:rFonts w:ascii="Arial" w:hAnsi="Arial" w:cs="Arial"/>
          <w:b w:val="0"/>
          <w:bCs w:val="0"/>
          <w:i w:val="0"/>
          <w:iCs w:val="0"/>
          <w:color w:val="auto"/>
        </w:rPr>
        <w:t>.</w:t>
      </w:r>
      <w:r w:rsidR="00C609DF">
        <w:rPr>
          <w:rStyle w:val="IntenseEmphasis"/>
          <w:rFonts w:ascii="Arial" w:hAnsi="Arial" w:cs="Arial"/>
          <w:b w:val="0"/>
          <w:bCs w:val="0"/>
          <w:i w:val="0"/>
          <w:iCs w:val="0"/>
          <w:color w:val="auto"/>
        </w:rPr>
        <w:br/>
      </w:r>
    </w:p>
    <w:p w14:paraId="031AD7B6" w14:textId="26E86FCF" w:rsidR="00AC438F" w:rsidRPr="00C609DF" w:rsidRDefault="00C609DF" w:rsidP="00C609DF">
      <w:pPr>
        <w:pStyle w:val="ListParagraph"/>
        <w:numPr>
          <w:ilvl w:val="1"/>
          <w:numId w:val="41"/>
        </w:numPr>
        <w:rPr>
          <w:rStyle w:val="IntenseEmphasis"/>
          <w:rFonts w:ascii="Arial" w:hAnsi="Arial" w:cs="Arial"/>
          <w:i w:val="0"/>
          <w:iCs w:val="0"/>
          <w:color w:val="auto"/>
          <w:u w:val="single"/>
        </w:rPr>
      </w:pPr>
      <w:r>
        <w:rPr>
          <w:rStyle w:val="IntenseEmphasis"/>
          <w:rFonts w:ascii="Arial" w:hAnsi="Arial" w:cs="Arial"/>
          <w:b w:val="0"/>
          <w:bCs w:val="0"/>
          <w:i w:val="0"/>
          <w:iCs w:val="0"/>
          <w:color w:val="auto"/>
        </w:rPr>
        <w:t>Any party involved in a construction project must consider who their work is affecting not only at the present, but long after completion of the project.</w:t>
      </w:r>
      <w:r>
        <w:rPr>
          <w:rStyle w:val="IntenseEmphasis"/>
          <w:rFonts w:ascii="Arial" w:hAnsi="Arial" w:cs="Arial"/>
          <w:b w:val="0"/>
          <w:bCs w:val="0"/>
          <w:i w:val="0"/>
          <w:iCs w:val="0"/>
          <w:color w:val="auto"/>
        </w:rPr>
        <w:br/>
        <w:t xml:space="preserve">Negligence by anyone involved in the project could result in serious damages to which they could be liable, this should be </w:t>
      </w:r>
      <w:r w:rsidR="00342928">
        <w:rPr>
          <w:rStyle w:val="IntenseEmphasis"/>
          <w:rFonts w:ascii="Arial" w:hAnsi="Arial" w:cs="Arial"/>
          <w:b w:val="0"/>
          <w:bCs w:val="0"/>
          <w:i w:val="0"/>
          <w:iCs w:val="0"/>
          <w:color w:val="auto"/>
        </w:rPr>
        <w:t>considered even before preliminary measure</w:t>
      </w:r>
      <w:r w:rsidR="007316A1">
        <w:rPr>
          <w:rStyle w:val="IntenseEmphasis"/>
          <w:rFonts w:ascii="Arial" w:hAnsi="Arial" w:cs="Arial"/>
          <w:b w:val="0"/>
          <w:bCs w:val="0"/>
          <w:i w:val="0"/>
          <w:iCs w:val="0"/>
          <w:color w:val="auto"/>
        </w:rPr>
        <w:t>s</w:t>
      </w:r>
      <w:r w:rsidR="00342928">
        <w:rPr>
          <w:rStyle w:val="IntenseEmphasis"/>
          <w:rFonts w:ascii="Arial" w:hAnsi="Arial" w:cs="Arial"/>
          <w:b w:val="0"/>
          <w:bCs w:val="0"/>
          <w:i w:val="0"/>
          <w:iCs w:val="0"/>
          <w:color w:val="auto"/>
        </w:rPr>
        <w:t xml:space="preserve"> </w:t>
      </w:r>
      <w:r w:rsidR="007316A1">
        <w:rPr>
          <w:rStyle w:val="IntenseEmphasis"/>
          <w:rFonts w:ascii="Arial" w:hAnsi="Arial" w:cs="Arial"/>
          <w:b w:val="0"/>
          <w:bCs w:val="0"/>
          <w:i w:val="0"/>
          <w:iCs w:val="0"/>
          <w:color w:val="auto"/>
        </w:rPr>
        <w:t>begin</w:t>
      </w:r>
      <w:r w:rsidR="00342928">
        <w:rPr>
          <w:rStyle w:val="IntenseEmphasis"/>
          <w:rFonts w:ascii="Arial" w:hAnsi="Arial" w:cs="Arial"/>
          <w:b w:val="0"/>
          <w:bCs w:val="0"/>
          <w:i w:val="0"/>
          <w:iCs w:val="0"/>
          <w:color w:val="auto"/>
        </w:rPr>
        <w:t xml:space="preserve"> on the project.</w:t>
      </w:r>
      <w:r w:rsidR="00342928">
        <w:rPr>
          <w:rStyle w:val="IntenseEmphasis"/>
          <w:rFonts w:ascii="Arial" w:hAnsi="Arial" w:cs="Arial"/>
          <w:b w:val="0"/>
          <w:bCs w:val="0"/>
          <w:i w:val="0"/>
          <w:iCs w:val="0"/>
          <w:color w:val="auto"/>
        </w:rPr>
        <w:br/>
        <w:t xml:space="preserve">Reasons for negligence could </w:t>
      </w:r>
      <w:r w:rsidR="00E37B5E">
        <w:rPr>
          <w:rStyle w:val="IntenseEmphasis"/>
          <w:rFonts w:ascii="Arial" w:hAnsi="Arial" w:cs="Arial"/>
          <w:b w:val="0"/>
          <w:bCs w:val="0"/>
          <w:i w:val="0"/>
          <w:iCs w:val="0"/>
          <w:color w:val="auto"/>
        </w:rPr>
        <w:t>range from</w:t>
      </w:r>
      <w:r w:rsidR="00342928">
        <w:rPr>
          <w:rStyle w:val="IntenseEmphasis"/>
          <w:rFonts w:ascii="Arial" w:hAnsi="Arial" w:cs="Arial"/>
          <w:b w:val="0"/>
          <w:bCs w:val="0"/>
          <w:i w:val="0"/>
          <w:iCs w:val="0"/>
          <w:color w:val="auto"/>
        </w:rPr>
        <w:t xml:space="preserve"> failure to comply with building regulations </w:t>
      </w:r>
      <w:r w:rsidR="007316A1">
        <w:rPr>
          <w:rStyle w:val="IntenseEmphasis"/>
          <w:rFonts w:ascii="Arial" w:hAnsi="Arial" w:cs="Arial"/>
          <w:b w:val="0"/>
          <w:bCs w:val="0"/>
          <w:i w:val="0"/>
          <w:iCs w:val="0"/>
          <w:color w:val="auto"/>
        </w:rPr>
        <w:t xml:space="preserve">and cost cutting </w:t>
      </w:r>
      <w:r w:rsidR="00342928">
        <w:rPr>
          <w:rStyle w:val="IntenseEmphasis"/>
          <w:rFonts w:ascii="Arial" w:hAnsi="Arial" w:cs="Arial"/>
          <w:b w:val="0"/>
          <w:bCs w:val="0"/>
          <w:i w:val="0"/>
          <w:iCs w:val="0"/>
          <w:color w:val="auto"/>
        </w:rPr>
        <w:t xml:space="preserve">(such as Grenfell Tower 2017) </w:t>
      </w:r>
      <w:r w:rsidR="00E37B5E">
        <w:rPr>
          <w:rStyle w:val="IntenseEmphasis"/>
          <w:rFonts w:ascii="Arial" w:hAnsi="Arial" w:cs="Arial"/>
          <w:b w:val="0"/>
          <w:bCs w:val="0"/>
          <w:i w:val="0"/>
          <w:iCs w:val="0"/>
          <w:color w:val="auto"/>
        </w:rPr>
        <w:t>to</w:t>
      </w:r>
      <w:r w:rsidR="007316A1">
        <w:rPr>
          <w:rStyle w:val="IntenseEmphasis"/>
          <w:rFonts w:ascii="Arial" w:hAnsi="Arial" w:cs="Arial"/>
          <w:b w:val="0"/>
          <w:bCs w:val="0"/>
          <w:i w:val="0"/>
          <w:iCs w:val="0"/>
          <w:color w:val="auto"/>
        </w:rPr>
        <w:t xml:space="preserve"> </w:t>
      </w:r>
      <w:r w:rsidR="00E37B5E">
        <w:rPr>
          <w:rStyle w:val="IntenseEmphasis"/>
          <w:rFonts w:ascii="Arial" w:hAnsi="Arial" w:cs="Arial"/>
          <w:b w:val="0"/>
          <w:bCs w:val="0"/>
          <w:i w:val="0"/>
          <w:iCs w:val="0"/>
          <w:color w:val="auto"/>
        </w:rPr>
        <w:t>a lack of experience or training, however none are a defence and liability must fall somewhere.</w:t>
      </w:r>
      <w:r w:rsidR="00342928">
        <w:rPr>
          <w:rStyle w:val="IntenseEmphasis"/>
          <w:rFonts w:ascii="Arial" w:hAnsi="Arial" w:cs="Arial"/>
          <w:b w:val="0"/>
          <w:bCs w:val="0"/>
          <w:i w:val="0"/>
          <w:iCs w:val="0"/>
          <w:color w:val="auto"/>
        </w:rPr>
        <w:br/>
      </w:r>
      <w:r w:rsidR="000F163A" w:rsidRPr="00C609DF">
        <w:rPr>
          <w:rStyle w:val="IntenseEmphasis"/>
          <w:rFonts w:ascii="Arial" w:hAnsi="Arial" w:cs="Arial"/>
          <w:b w:val="0"/>
          <w:bCs w:val="0"/>
          <w:i w:val="0"/>
          <w:iCs w:val="0"/>
          <w:color w:val="auto"/>
        </w:rPr>
        <w:br/>
      </w:r>
      <w:r w:rsidR="00AC438F" w:rsidRPr="00C609DF">
        <w:rPr>
          <w:rStyle w:val="IntenseEmphasis"/>
          <w:rFonts w:ascii="Arial" w:hAnsi="Arial" w:cs="Arial"/>
          <w:i w:val="0"/>
          <w:iCs w:val="0"/>
          <w:color w:val="auto"/>
          <w:u w:val="single"/>
        </w:rPr>
        <w:br/>
      </w:r>
      <w:r w:rsidR="00AC438F" w:rsidRPr="00C609DF">
        <w:rPr>
          <w:rStyle w:val="IntenseEmphasis"/>
          <w:rFonts w:ascii="Arial" w:hAnsi="Arial" w:cs="Arial"/>
          <w:i w:val="0"/>
          <w:iCs w:val="0"/>
          <w:color w:val="auto"/>
          <w:u w:val="single"/>
        </w:rPr>
        <w:br/>
      </w:r>
    </w:p>
    <w:p w14:paraId="326B81DD" w14:textId="3970A9B3" w:rsidR="009D6A07" w:rsidRDefault="009D6A07">
      <w:pPr>
        <w:rPr>
          <w:rStyle w:val="IntenseEmphasis"/>
          <w:rFonts w:ascii="Arial" w:hAnsi="Arial" w:cs="Arial"/>
          <w:i w:val="0"/>
          <w:iCs w:val="0"/>
          <w:color w:val="auto"/>
          <w:u w:val="single"/>
        </w:rPr>
      </w:pPr>
      <w:r>
        <w:rPr>
          <w:rStyle w:val="IntenseEmphasis"/>
          <w:rFonts w:ascii="Arial" w:hAnsi="Arial" w:cs="Arial"/>
          <w:i w:val="0"/>
          <w:iCs w:val="0"/>
          <w:color w:val="auto"/>
          <w:u w:val="single"/>
        </w:rPr>
        <w:br w:type="page"/>
      </w:r>
    </w:p>
    <w:p w14:paraId="322AFD1D" w14:textId="363D0725" w:rsidR="00047FD8" w:rsidRDefault="00047FD8" w:rsidP="00047FD8">
      <w:pPr>
        <w:pStyle w:val="ListParagraph"/>
        <w:rPr>
          <w:rStyle w:val="IntenseEmphasis"/>
          <w:rFonts w:ascii="Arial" w:hAnsi="Arial" w:cs="Arial"/>
          <w:i w:val="0"/>
          <w:iCs w:val="0"/>
          <w:color w:val="auto"/>
          <w:u w:val="single"/>
        </w:rPr>
      </w:pPr>
    </w:p>
    <w:p w14:paraId="5E47E677" w14:textId="07613CC6" w:rsidR="009D6A07" w:rsidRDefault="009D6A07" w:rsidP="00047FD8">
      <w:pPr>
        <w:pStyle w:val="ListParagraph"/>
        <w:rPr>
          <w:rStyle w:val="IntenseEmphasis"/>
          <w:rFonts w:ascii="Arial" w:hAnsi="Arial" w:cs="Arial"/>
          <w:i w:val="0"/>
          <w:iCs w:val="0"/>
          <w:color w:val="auto"/>
          <w:u w:val="single"/>
        </w:rPr>
      </w:pPr>
    </w:p>
    <w:p w14:paraId="0DC99550" w14:textId="56D3F9A5" w:rsidR="001521E7" w:rsidRDefault="001521E7" w:rsidP="001521E7">
      <w:pPr>
        <w:pStyle w:val="ListParagraph"/>
        <w:numPr>
          <w:ilvl w:val="0"/>
          <w:numId w:val="31"/>
        </w:numPr>
        <w:rPr>
          <w:rStyle w:val="IntenseEmphasis"/>
          <w:rFonts w:ascii="Arial" w:hAnsi="Arial" w:cs="Arial"/>
          <w:i w:val="0"/>
          <w:iCs w:val="0"/>
          <w:color w:val="auto"/>
          <w:u w:val="single"/>
        </w:rPr>
      </w:pPr>
      <w:r>
        <w:rPr>
          <w:rStyle w:val="IntenseEmphasis"/>
          <w:rFonts w:ascii="Arial" w:hAnsi="Arial" w:cs="Arial"/>
          <w:i w:val="0"/>
          <w:iCs w:val="0"/>
          <w:color w:val="auto"/>
          <w:u w:val="single"/>
        </w:rPr>
        <w:t xml:space="preserve">Adjudication </w:t>
      </w:r>
      <w:r>
        <w:rPr>
          <w:rStyle w:val="IntenseEmphasis"/>
          <w:rFonts w:ascii="Arial" w:hAnsi="Arial" w:cs="Arial"/>
          <w:i w:val="0"/>
          <w:iCs w:val="0"/>
          <w:color w:val="auto"/>
          <w:u w:val="single"/>
        </w:rPr>
        <w:br/>
      </w:r>
      <w:r>
        <w:rPr>
          <w:rStyle w:val="IntenseEmphasis"/>
          <w:rFonts w:ascii="Arial" w:hAnsi="Arial" w:cs="Arial"/>
          <w:i w:val="0"/>
          <w:iCs w:val="0"/>
          <w:color w:val="auto"/>
          <w:u w:val="single"/>
        </w:rPr>
        <w:br/>
      </w:r>
    </w:p>
    <w:p w14:paraId="32E981BA" w14:textId="0DBFE864" w:rsidR="001D126A" w:rsidRPr="001D126A" w:rsidRDefault="001521E7" w:rsidP="001D126A">
      <w:pPr>
        <w:pStyle w:val="ListParagraph"/>
        <w:numPr>
          <w:ilvl w:val="1"/>
          <w:numId w:val="31"/>
        </w:numPr>
        <w:rPr>
          <w:rStyle w:val="IntenseEmphasis"/>
          <w:rFonts w:ascii="Arial" w:hAnsi="Arial" w:cs="Arial"/>
          <w:i w:val="0"/>
          <w:iCs w:val="0"/>
          <w:color w:val="auto"/>
          <w:u w:val="single"/>
        </w:rPr>
      </w:pPr>
      <w:r>
        <w:rPr>
          <w:rStyle w:val="IntenseEmphasis"/>
          <w:rFonts w:ascii="Arial" w:hAnsi="Arial" w:cs="Arial"/>
          <w:b w:val="0"/>
          <w:bCs w:val="0"/>
          <w:i w:val="0"/>
          <w:iCs w:val="0"/>
          <w:color w:val="auto"/>
        </w:rPr>
        <w:t xml:space="preserve">Adjudication is </w:t>
      </w:r>
      <w:r w:rsidR="00F12FC5">
        <w:rPr>
          <w:rStyle w:val="IntenseEmphasis"/>
          <w:rFonts w:ascii="Arial" w:hAnsi="Arial" w:cs="Arial"/>
          <w:b w:val="0"/>
          <w:bCs w:val="0"/>
          <w:i w:val="0"/>
          <w:iCs w:val="0"/>
          <w:color w:val="auto"/>
        </w:rPr>
        <w:t xml:space="preserve">a legal procedure used for dispute resolution, </w:t>
      </w:r>
      <w:r w:rsidR="00495FA3">
        <w:rPr>
          <w:rStyle w:val="IntenseEmphasis"/>
          <w:rFonts w:ascii="Arial" w:hAnsi="Arial" w:cs="Arial"/>
          <w:b w:val="0"/>
          <w:bCs w:val="0"/>
          <w:i w:val="0"/>
          <w:iCs w:val="0"/>
          <w:color w:val="auto"/>
        </w:rPr>
        <w:t>the adjudicator</w:t>
      </w:r>
      <w:r w:rsidR="00F12FC5">
        <w:rPr>
          <w:rStyle w:val="IntenseEmphasis"/>
          <w:rFonts w:ascii="Arial" w:hAnsi="Arial" w:cs="Arial"/>
          <w:b w:val="0"/>
          <w:bCs w:val="0"/>
          <w:i w:val="0"/>
          <w:iCs w:val="0"/>
          <w:color w:val="auto"/>
        </w:rPr>
        <w:t xml:space="preserve"> is always a third party to either side of the dispute.</w:t>
      </w:r>
      <w:r w:rsidR="00F12FC5">
        <w:rPr>
          <w:rStyle w:val="IntenseEmphasis"/>
          <w:rFonts w:ascii="Arial" w:hAnsi="Arial" w:cs="Arial"/>
          <w:b w:val="0"/>
          <w:bCs w:val="0"/>
          <w:i w:val="0"/>
          <w:iCs w:val="0"/>
          <w:color w:val="auto"/>
        </w:rPr>
        <w:br/>
        <w:t>The importance of adjudication in construction is that it works on a strict timeframe</w:t>
      </w:r>
      <w:r w:rsidR="00987F97">
        <w:rPr>
          <w:rStyle w:val="IntenseEmphasis"/>
          <w:rFonts w:ascii="Arial" w:hAnsi="Arial" w:cs="Arial"/>
          <w:b w:val="0"/>
          <w:bCs w:val="0"/>
          <w:i w:val="0"/>
          <w:iCs w:val="0"/>
          <w:color w:val="auto"/>
        </w:rPr>
        <w:t xml:space="preserve">, with a maximum of 28 days before a decision must be reached, </w:t>
      </w:r>
      <w:r w:rsidR="00F12FC5">
        <w:rPr>
          <w:rStyle w:val="IntenseEmphasis"/>
          <w:rFonts w:ascii="Arial" w:hAnsi="Arial" w:cs="Arial"/>
          <w:b w:val="0"/>
          <w:bCs w:val="0"/>
          <w:i w:val="0"/>
          <w:iCs w:val="0"/>
          <w:color w:val="auto"/>
        </w:rPr>
        <w:t xml:space="preserve"> </w:t>
      </w:r>
      <w:r w:rsidR="00987F97">
        <w:rPr>
          <w:rStyle w:val="IntenseEmphasis"/>
          <w:rFonts w:ascii="Arial" w:hAnsi="Arial" w:cs="Arial"/>
          <w:b w:val="0"/>
          <w:bCs w:val="0"/>
          <w:i w:val="0"/>
          <w:iCs w:val="0"/>
          <w:color w:val="auto"/>
        </w:rPr>
        <w:t>and will only consider documented evidence when making decisions. This benefits each party involved as construction projects themselves typically have strict schedules and deadlines,</w:t>
      </w:r>
      <w:r w:rsidR="00495FA3">
        <w:rPr>
          <w:rStyle w:val="IntenseEmphasis"/>
          <w:rFonts w:ascii="Arial" w:hAnsi="Arial" w:cs="Arial"/>
          <w:b w:val="0"/>
          <w:bCs w:val="0"/>
          <w:i w:val="0"/>
          <w:iCs w:val="0"/>
          <w:color w:val="auto"/>
        </w:rPr>
        <w:t xml:space="preserve"> and</w:t>
      </w:r>
      <w:r w:rsidR="00987F97">
        <w:rPr>
          <w:rStyle w:val="IntenseEmphasis"/>
          <w:rFonts w:ascii="Arial" w:hAnsi="Arial" w:cs="Arial"/>
          <w:b w:val="0"/>
          <w:bCs w:val="0"/>
          <w:i w:val="0"/>
          <w:iCs w:val="0"/>
          <w:color w:val="auto"/>
        </w:rPr>
        <w:t xml:space="preserve"> an expensive</w:t>
      </w:r>
      <w:r w:rsidR="00495FA3">
        <w:rPr>
          <w:rStyle w:val="IntenseEmphasis"/>
          <w:rFonts w:ascii="Arial" w:hAnsi="Arial" w:cs="Arial"/>
          <w:b w:val="0"/>
          <w:bCs w:val="0"/>
          <w:i w:val="0"/>
          <w:iCs w:val="0"/>
          <w:color w:val="auto"/>
        </w:rPr>
        <w:t>,</w:t>
      </w:r>
      <w:r w:rsidR="00987F97">
        <w:rPr>
          <w:rStyle w:val="IntenseEmphasis"/>
          <w:rFonts w:ascii="Arial" w:hAnsi="Arial" w:cs="Arial"/>
          <w:b w:val="0"/>
          <w:bCs w:val="0"/>
          <w:i w:val="0"/>
          <w:iCs w:val="0"/>
          <w:color w:val="auto"/>
        </w:rPr>
        <w:t xml:space="preserve"> time consuming court procedure would apply unnecessary pressure to a project.</w:t>
      </w:r>
      <w:r w:rsidR="001D126A">
        <w:rPr>
          <w:rStyle w:val="IntenseEmphasis"/>
          <w:rFonts w:ascii="Arial" w:hAnsi="Arial" w:cs="Arial"/>
          <w:b w:val="0"/>
          <w:bCs w:val="0"/>
          <w:i w:val="0"/>
          <w:iCs w:val="0"/>
          <w:color w:val="auto"/>
        </w:rPr>
        <w:br/>
      </w:r>
      <w:r w:rsidR="001D126A">
        <w:rPr>
          <w:rStyle w:val="IntenseEmphasis"/>
          <w:rFonts w:ascii="Arial" w:hAnsi="Arial" w:cs="Arial"/>
          <w:b w:val="0"/>
          <w:bCs w:val="0"/>
          <w:i w:val="0"/>
          <w:iCs w:val="0"/>
          <w:color w:val="auto"/>
        </w:rPr>
        <w:br/>
      </w:r>
    </w:p>
    <w:p w14:paraId="0577FBE9" w14:textId="77777777" w:rsidR="003A4127" w:rsidRPr="003A4127" w:rsidRDefault="00165E8A" w:rsidP="003A4127">
      <w:pPr>
        <w:pStyle w:val="ListParagraph"/>
        <w:numPr>
          <w:ilvl w:val="1"/>
          <w:numId w:val="32"/>
        </w:numPr>
        <w:rPr>
          <w:rStyle w:val="IntenseEmphasis"/>
          <w:rFonts w:ascii="Arial" w:hAnsi="Arial" w:cs="Arial"/>
          <w:i w:val="0"/>
          <w:iCs w:val="0"/>
          <w:color w:val="auto"/>
          <w:u w:val="single"/>
        </w:rPr>
      </w:pPr>
      <w:r>
        <w:rPr>
          <w:rStyle w:val="IntenseEmphasis"/>
          <w:rFonts w:ascii="Arial" w:hAnsi="Arial" w:cs="Arial"/>
          <w:b w:val="0"/>
          <w:bCs w:val="0"/>
          <w:i w:val="0"/>
          <w:iCs w:val="0"/>
          <w:color w:val="auto"/>
        </w:rPr>
        <w:t>The case of Vinci Construction UK Ltd v Beumer Group UK Ltd (2018) had used the adjudication process to attempt to resolve a dispute</w:t>
      </w:r>
      <w:r w:rsidR="00495FA3">
        <w:rPr>
          <w:rStyle w:val="IntenseEmphasis"/>
          <w:rFonts w:ascii="Arial" w:hAnsi="Arial" w:cs="Arial"/>
          <w:b w:val="0"/>
          <w:bCs w:val="0"/>
          <w:i w:val="0"/>
          <w:iCs w:val="0"/>
          <w:color w:val="auto"/>
        </w:rPr>
        <w:t xml:space="preserve"> between</w:t>
      </w:r>
      <w:r>
        <w:rPr>
          <w:rStyle w:val="IntenseEmphasis"/>
          <w:rFonts w:ascii="Arial" w:hAnsi="Arial" w:cs="Arial"/>
          <w:b w:val="0"/>
          <w:bCs w:val="0"/>
          <w:i w:val="0"/>
          <w:iCs w:val="0"/>
          <w:color w:val="auto"/>
        </w:rPr>
        <w:t xml:space="preserve"> Vinci </w:t>
      </w:r>
      <w:r w:rsidR="00495FA3">
        <w:rPr>
          <w:rStyle w:val="IntenseEmphasis"/>
          <w:rFonts w:ascii="Arial" w:hAnsi="Arial" w:cs="Arial"/>
          <w:b w:val="0"/>
          <w:bCs w:val="0"/>
          <w:i w:val="0"/>
          <w:iCs w:val="0"/>
          <w:color w:val="auto"/>
        </w:rPr>
        <w:t>and</w:t>
      </w:r>
      <w:r>
        <w:rPr>
          <w:rStyle w:val="IntenseEmphasis"/>
          <w:rFonts w:ascii="Arial" w:hAnsi="Arial" w:cs="Arial"/>
          <w:b w:val="0"/>
          <w:bCs w:val="0"/>
          <w:i w:val="0"/>
          <w:iCs w:val="0"/>
          <w:color w:val="auto"/>
        </w:rPr>
        <w:t xml:space="preserve"> their sub-contractor Beumer</w:t>
      </w:r>
      <w:r w:rsidR="00495FA3">
        <w:rPr>
          <w:rStyle w:val="IntenseEmphasis"/>
          <w:rFonts w:ascii="Arial" w:hAnsi="Arial" w:cs="Arial"/>
          <w:b w:val="0"/>
          <w:bCs w:val="0"/>
          <w:i w:val="0"/>
          <w:iCs w:val="0"/>
          <w:color w:val="auto"/>
        </w:rPr>
        <w:t>,</w:t>
      </w:r>
      <w:r>
        <w:rPr>
          <w:rStyle w:val="IntenseEmphasis"/>
          <w:rFonts w:ascii="Arial" w:hAnsi="Arial" w:cs="Arial"/>
          <w:b w:val="0"/>
          <w:bCs w:val="0"/>
          <w:i w:val="0"/>
          <w:iCs w:val="0"/>
          <w:color w:val="auto"/>
        </w:rPr>
        <w:t xml:space="preserve"> who had been contracted to </w:t>
      </w:r>
      <w:r w:rsidR="00495FA3">
        <w:rPr>
          <w:rStyle w:val="IntenseEmphasis"/>
          <w:rFonts w:ascii="Arial" w:hAnsi="Arial" w:cs="Arial"/>
          <w:b w:val="0"/>
          <w:bCs w:val="0"/>
          <w:i w:val="0"/>
          <w:iCs w:val="0"/>
          <w:color w:val="auto"/>
        </w:rPr>
        <w:t>carry out maintenance work on baggage handling equipment at Gatwick Airport.</w:t>
      </w:r>
      <w:r w:rsidR="00DE30D9">
        <w:rPr>
          <w:rStyle w:val="IntenseEmphasis"/>
          <w:rFonts w:ascii="Arial" w:hAnsi="Arial" w:cs="Arial"/>
          <w:b w:val="0"/>
          <w:bCs w:val="0"/>
          <w:i w:val="0"/>
          <w:iCs w:val="0"/>
          <w:color w:val="auto"/>
        </w:rPr>
        <w:br/>
        <w:t>Delays on the works on two of the sections by Beumer resulted in an enforceable damages payment to be made to Vinci of over £9.6m, as the liquidated and ascertained damages was agreed in the contract prior to works.</w:t>
      </w:r>
      <w:r w:rsidR="00E8215F">
        <w:rPr>
          <w:rStyle w:val="IntenseEmphasis"/>
          <w:rFonts w:ascii="Arial" w:hAnsi="Arial" w:cs="Arial"/>
          <w:b w:val="0"/>
          <w:bCs w:val="0"/>
          <w:i w:val="0"/>
          <w:iCs w:val="0"/>
          <w:color w:val="auto"/>
        </w:rPr>
        <w:br/>
        <w:t>Despite the adjudicator deciding that payments be made to Vinci, Beumer refused to pay</w:t>
      </w:r>
      <w:r w:rsidR="00B2281E">
        <w:rPr>
          <w:rStyle w:val="IntenseEmphasis"/>
          <w:rFonts w:ascii="Arial" w:hAnsi="Arial" w:cs="Arial"/>
          <w:b w:val="0"/>
          <w:bCs w:val="0"/>
          <w:i w:val="0"/>
          <w:iCs w:val="0"/>
          <w:color w:val="auto"/>
        </w:rPr>
        <w:t>, arguing that the adjudicator’s decision was a breach of natural justice.</w:t>
      </w:r>
      <w:r w:rsidR="00B2281E">
        <w:rPr>
          <w:rStyle w:val="IntenseEmphasis"/>
          <w:rFonts w:ascii="Arial" w:hAnsi="Arial" w:cs="Arial"/>
          <w:b w:val="0"/>
          <w:bCs w:val="0"/>
          <w:i w:val="0"/>
          <w:iCs w:val="0"/>
          <w:color w:val="auto"/>
        </w:rPr>
        <w:br/>
        <w:t>The Vinci v Beumer dispute continued over a total of seven adjudications, every time initiated by Beumer, who returned with varying arguments, including the adjudicator not disclosing information from another sub-contractor on the same project, and the adjudicator not giving acceptable reasoning in his decision.</w:t>
      </w:r>
      <w:r w:rsidR="003A4127">
        <w:rPr>
          <w:rStyle w:val="IntenseEmphasis"/>
          <w:rFonts w:ascii="Arial" w:hAnsi="Arial" w:cs="Arial"/>
          <w:b w:val="0"/>
          <w:bCs w:val="0"/>
          <w:i w:val="0"/>
          <w:iCs w:val="0"/>
          <w:color w:val="auto"/>
        </w:rPr>
        <w:t xml:space="preserve"> </w:t>
      </w:r>
      <w:r w:rsidR="003A4127">
        <w:rPr>
          <w:rStyle w:val="IntenseEmphasis"/>
          <w:rFonts w:ascii="Arial" w:hAnsi="Arial" w:cs="Arial"/>
          <w:b w:val="0"/>
          <w:bCs w:val="0"/>
          <w:i w:val="0"/>
          <w:iCs w:val="0"/>
          <w:color w:val="auto"/>
        </w:rPr>
        <w:br/>
      </w:r>
      <w:r w:rsidR="003A4127">
        <w:rPr>
          <w:rStyle w:val="IntenseEmphasis"/>
          <w:rFonts w:ascii="Arial" w:hAnsi="Arial" w:cs="Arial"/>
          <w:b w:val="0"/>
          <w:bCs w:val="0"/>
          <w:i w:val="0"/>
          <w:iCs w:val="0"/>
          <w:color w:val="auto"/>
        </w:rPr>
        <w:br/>
      </w:r>
    </w:p>
    <w:p w14:paraId="0B4E02F8" w14:textId="125BB0EE" w:rsidR="001521E7" w:rsidRPr="0031384E" w:rsidRDefault="003A4127" w:rsidP="0031384E">
      <w:pPr>
        <w:pStyle w:val="ListParagraph"/>
        <w:numPr>
          <w:ilvl w:val="1"/>
          <w:numId w:val="33"/>
        </w:numPr>
        <w:rPr>
          <w:rStyle w:val="IntenseEmphasis"/>
          <w:rFonts w:ascii="Arial" w:hAnsi="Arial" w:cs="Arial"/>
          <w:i w:val="0"/>
          <w:iCs w:val="0"/>
          <w:color w:val="auto"/>
          <w:u w:val="single"/>
        </w:rPr>
      </w:pPr>
      <w:r w:rsidRPr="00916A56">
        <w:rPr>
          <w:rStyle w:val="IntenseEmphasis"/>
          <w:rFonts w:ascii="Arial" w:hAnsi="Arial" w:cs="Arial"/>
          <w:b w:val="0"/>
          <w:bCs w:val="0"/>
          <w:i w:val="0"/>
          <w:iCs w:val="0"/>
          <w:color w:val="auto"/>
        </w:rPr>
        <w:t xml:space="preserve">The use of adjudication for the Vinci v Beumer case </w:t>
      </w:r>
      <w:r w:rsidR="00AB526F" w:rsidRPr="00916A56">
        <w:rPr>
          <w:rStyle w:val="IntenseEmphasis"/>
          <w:rFonts w:ascii="Arial" w:hAnsi="Arial" w:cs="Arial"/>
          <w:b w:val="0"/>
          <w:bCs w:val="0"/>
          <w:i w:val="0"/>
          <w:iCs w:val="0"/>
          <w:color w:val="auto"/>
        </w:rPr>
        <w:t xml:space="preserve">was the correct method of dispute resolution, however the entire process had been drawn out into what reflects a lengthy court procedure, instead of what is intended to be a straight forward decision regarding a dispute. This appeared to be a blatant abuse of the adjudication system. </w:t>
      </w:r>
      <w:r w:rsidR="00AB526F" w:rsidRPr="00916A56">
        <w:rPr>
          <w:rStyle w:val="IntenseEmphasis"/>
          <w:rFonts w:ascii="Arial" w:hAnsi="Arial" w:cs="Arial"/>
          <w:b w:val="0"/>
          <w:bCs w:val="0"/>
          <w:i w:val="0"/>
          <w:iCs w:val="0"/>
          <w:color w:val="auto"/>
        </w:rPr>
        <w:br/>
        <w:t>Considering that the decision made by an adjudicator is enforceable in court, the case of Vinci v Beumer had six additional adjudications</w:t>
      </w:r>
      <w:r w:rsidR="00563DAC" w:rsidRPr="00916A56">
        <w:rPr>
          <w:rStyle w:val="IntenseEmphasis"/>
          <w:rFonts w:ascii="Arial" w:hAnsi="Arial" w:cs="Arial"/>
          <w:b w:val="0"/>
          <w:bCs w:val="0"/>
          <w:i w:val="0"/>
          <w:iCs w:val="0"/>
          <w:color w:val="auto"/>
        </w:rPr>
        <w:t xml:space="preserve"> where the courts should have enforced the decisions made after the first.</w:t>
      </w:r>
      <w:r w:rsidR="00563DAC" w:rsidRPr="00916A56">
        <w:rPr>
          <w:rStyle w:val="IntenseEmphasis"/>
          <w:rFonts w:ascii="Arial" w:hAnsi="Arial" w:cs="Arial"/>
          <w:b w:val="0"/>
          <w:bCs w:val="0"/>
          <w:i w:val="0"/>
          <w:iCs w:val="0"/>
          <w:color w:val="auto"/>
        </w:rPr>
        <w:br/>
      </w:r>
      <w:r w:rsidR="00563DAC" w:rsidRPr="00916A56">
        <w:rPr>
          <w:rStyle w:val="IntenseEmphasis"/>
          <w:rFonts w:ascii="Arial" w:hAnsi="Arial" w:cs="Arial"/>
          <w:b w:val="0"/>
          <w:bCs w:val="0"/>
          <w:i w:val="0"/>
          <w:iCs w:val="0"/>
          <w:color w:val="auto"/>
        </w:rPr>
        <w:br/>
      </w:r>
      <w:r w:rsidR="00563DAC" w:rsidRPr="00916A56">
        <w:rPr>
          <w:color w:val="000000"/>
        </w:rPr>
        <w:br/>
      </w:r>
      <w:r w:rsidR="00563DAC" w:rsidRPr="00916A56">
        <w:rPr>
          <w:color w:val="000000"/>
        </w:rPr>
        <w:br/>
      </w:r>
      <w:r w:rsidR="00563DAC" w:rsidRPr="00916A56">
        <w:rPr>
          <w:color w:val="000000"/>
        </w:rPr>
        <w:br/>
      </w:r>
      <w:r w:rsidR="00563DAC" w:rsidRPr="00916A56">
        <w:rPr>
          <w:color w:val="000000"/>
        </w:rPr>
        <w:br/>
      </w:r>
      <w:r w:rsidR="00563DAC" w:rsidRPr="00916A56">
        <w:rPr>
          <w:color w:val="000000"/>
        </w:rPr>
        <w:br/>
      </w:r>
      <w:r w:rsidR="00563DAC" w:rsidRPr="00D52A3F">
        <w:rPr>
          <w:rStyle w:val="IntenseEmphasis"/>
          <w:rFonts w:ascii="Arial" w:hAnsi="Arial" w:cs="Arial"/>
          <w:b w:val="0"/>
          <w:bCs w:val="0"/>
          <w:color w:val="auto"/>
        </w:rPr>
        <w:lastRenderedPageBreak/>
        <w:br/>
        <w:t>“Adjudicators' decisions will be enforced by the court by summary judgment regardless of errors of fact and/or law by the adjudicator. Aggrieved losing parties can and should comply with the adjudicator's decision, as long as that decision was made by an adjudicator with jurisdiction over the dispute, who has conducted the adjudication fairly and in accordance with the rules of natural justice.”</w:t>
      </w:r>
      <w:r w:rsidR="00563DAC" w:rsidRPr="00D52A3F">
        <w:rPr>
          <w:rStyle w:val="IntenseEmphasis"/>
          <w:rFonts w:ascii="Arial" w:hAnsi="Arial" w:cs="Arial"/>
          <w:b w:val="0"/>
          <w:bCs w:val="0"/>
          <w:color w:val="auto"/>
        </w:rPr>
        <w:br/>
        <w:t xml:space="preserve"> – EWHC 2283 (TCC) (2016)</w:t>
      </w:r>
      <w:r w:rsidR="00916A56" w:rsidRPr="00916A56">
        <w:rPr>
          <w:color w:val="000000"/>
        </w:rPr>
        <w:br/>
      </w:r>
      <w:r w:rsidR="00563DAC" w:rsidRPr="0031384E">
        <w:rPr>
          <w:rStyle w:val="IntenseEmphasis"/>
          <w:rFonts w:ascii="Arial" w:hAnsi="Arial" w:cs="Arial"/>
          <w:b w:val="0"/>
          <w:bCs w:val="0"/>
          <w:i w:val="0"/>
          <w:iCs w:val="0"/>
          <w:color w:val="auto"/>
        </w:rPr>
        <w:br/>
      </w:r>
      <w:r w:rsidRPr="0031384E">
        <w:rPr>
          <w:rStyle w:val="IntenseEmphasis"/>
          <w:rFonts w:ascii="Arial" w:hAnsi="Arial" w:cs="Arial"/>
          <w:b w:val="0"/>
          <w:bCs w:val="0"/>
          <w:i w:val="0"/>
          <w:iCs w:val="0"/>
          <w:color w:val="auto"/>
        </w:rPr>
        <w:br/>
      </w:r>
      <w:r w:rsidRPr="0031384E">
        <w:rPr>
          <w:rStyle w:val="IntenseEmphasis"/>
          <w:rFonts w:ascii="Arial" w:hAnsi="Arial" w:cs="Arial"/>
          <w:b w:val="0"/>
          <w:bCs w:val="0"/>
          <w:i w:val="0"/>
          <w:iCs w:val="0"/>
          <w:color w:val="auto"/>
        </w:rPr>
        <w:br/>
      </w:r>
      <w:r w:rsidR="00495FA3" w:rsidRPr="0031384E">
        <w:rPr>
          <w:rStyle w:val="IntenseEmphasis"/>
          <w:rFonts w:ascii="Arial" w:hAnsi="Arial" w:cs="Arial"/>
          <w:b w:val="0"/>
          <w:bCs w:val="0"/>
          <w:i w:val="0"/>
          <w:iCs w:val="0"/>
          <w:color w:val="auto"/>
        </w:rPr>
        <w:br/>
      </w:r>
      <w:r w:rsidR="00495FA3" w:rsidRPr="0031384E">
        <w:rPr>
          <w:rStyle w:val="IntenseEmphasis"/>
          <w:rFonts w:ascii="Arial" w:hAnsi="Arial" w:cs="Arial"/>
          <w:b w:val="0"/>
          <w:bCs w:val="0"/>
          <w:i w:val="0"/>
          <w:iCs w:val="0"/>
          <w:color w:val="auto"/>
        </w:rPr>
        <w:br/>
      </w:r>
      <w:r w:rsidR="001521E7" w:rsidRPr="0031384E">
        <w:rPr>
          <w:rStyle w:val="IntenseEmphasis"/>
          <w:rFonts w:ascii="Arial" w:hAnsi="Arial" w:cs="Arial"/>
          <w:i w:val="0"/>
          <w:iCs w:val="0"/>
          <w:color w:val="auto"/>
          <w:u w:val="single"/>
        </w:rPr>
        <w:br/>
      </w:r>
      <w:r w:rsidR="001521E7" w:rsidRPr="0031384E">
        <w:rPr>
          <w:rStyle w:val="IntenseEmphasis"/>
          <w:rFonts w:ascii="Arial" w:hAnsi="Arial" w:cs="Arial"/>
          <w:i w:val="0"/>
          <w:iCs w:val="0"/>
          <w:color w:val="auto"/>
          <w:u w:val="single"/>
        </w:rPr>
        <w:br/>
      </w:r>
      <w:r w:rsidR="001521E7" w:rsidRPr="0031384E">
        <w:rPr>
          <w:rStyle w:val="IntenseEmphasis"/>
          <w:rFonts w:ascii="Arial" w:hAnsi="Arial" w:cs="Arial"/>
          <w:i w:val="0"/>
          <w:iCs w:val="0"/>
          <w:color w:val="auto"/>
          <w:u w:val="single"/>
        </w:rPr>
        <w:br/>
      </w:r>
    </w:p>
    <w:p w14:paraId="58F2BF10" w14:textId="51653493" w:rsidR="009D6A07" w:rsidRPr="009D6A07" w:rsidRDefault="009D6A07" w:rsidP="009D6A07">
      <w:pPr>
        <w:pStyle w:val="ListParagraph"/>
        <w:rPr>
          <w:rStyle w:val="IntenseEmphasis"/>
          <w:rFonts w:ascii="Arial" w:hAnsi="Arial" w:cs="Arial"/>
          <w:i w:val="0"/>
          <w:iCs w:val="0"/>
          <w:color w:val="auto"/>
          <w:u w:val="single"/>
        </w:rPr>
      </w:pPr>
    </w:p>
    <w:p w14:paraId="16DDB08C" w14:textId="7398ABF1" w:rsidR="009D6A07" w:rsidRDefault="009D6A07">
      <w:pPr>
        <w:rPr>
          <w:rStyle w:val="IntenseEmphasis"/>
          <w:rFonts w:ascii="Arial" w:hAnsi="Arial" w:cs="Arial"/>
          <w:i w:val="0"/>
          <w:iCs w:val="0"/>
          <w:color w:val="auto"/>
          <w:u w:val="single"/>
        </w:rPr>
      </w:pPr>
      <w:r>
        <w:rPr>
          <w:rStyle w:val="IntenseEmphasis"/>
          <w:rFonts w:ascii="Arial" w:hAnsi="Arial" w:cs="Arial"/>
          <w:i w:val="0"/>
          <w:iCs w:val="0"/>
          <w:color w:val="auto"/>
          <w:u w:val="single"/>
        </w:rPr>
        <w:br w:type="page"/>
      </w:r>
    </w:p>
    <w:p w14:paraId="4309224E" w14:textId="015FC8F6" w:rsidR="00047FD8" w:rsidRDefault="00047FD8" w:rsidP="00047FD8">
      <w:pPr>
        <w:rPr>
          <w:rStyle w:val="IntenseEmphasis"/>
          <w:rFonts w:ascii="Arial" w:hAnsi="Arial" w:cs="Arial"/>
          <w:i w:val="0"/>
          <w:iCs w:val="0"/>
          <w:color w:val="auto"/>
          <w:u w:val="single"/>
        </w:rPr>
      </w:pPr>
    </w:p>
    <w:p w14:paraId="52AD28A8" w14:textId="57FDA413" w:rsidR="001521E7" w:rsidRDefault="001521E7" w:rsidP="00047FD8">
      <w:pPr>
        <w:rPr>
          <w:rStyle w:val="IntenseEmphasis"/>
          <w:rFonts w:ascii="Arial" w:hAnsi="Arial" w:cs="Arial"/>
          <w:i w:val="0"/>
          <w:iCs w:val="0"/>
          <w:color w:val="auto"/>
          <w:u w:val="single"/>
        </w:rPr>
      </w:pPr>
    </w:p>
    <w:p w14:paraId="152D19F9" w14:textId="63223AE3" w:rsidR="0031384E" w:rsidRPr="0031384E" w:rsidRDefault="00A43957" w:rsidP="0031384E">
      <w:pPr>
        <w:pStyle w:val="ListParagraph"/>
        <w:numPr>
          <w:ilvl w:val="0"/>
          <w:numId w:val="42"/>
        </w:numPr>
        <w:rPr>
          <w:rStyle w:val="IntenseEmphasis"/>
          <w:rFonts w:ascii="Arial" w:hAnsi="Arial" w:cs="Arial"/>
          <w:i w:val="0"/>
          <w:iCs w:val="0"/>
          <w:color w:val="auto"/>
          <w:u w:val="single"/>
        </w:rPr>
      </w:pPr>
      <w:r>
        <w:rPr>
          <w:rStyle w:val="IntenseEmphasis"/>
          <w:rFonts w:ascii="Arial" w:hAnsi="Arial" w:cs="Arial"/>
          <w:i w:val="0"/>
          <w:iCs w:val="0"/>
          <w:color w:val="auto"/>
          <w:u w:val="single"/>
        </w:rPr>
        <w:t>Conclusion</w:t>
      </w:r>
      <w:r w:rsidR="0031384E">
        <w:rPr>
          <w:rStyle w:val="IntenseEmphasis"/>
          <w:rFonts w:ascii="Arial" w:hAnsi="Arial" w:cs="Arial"/>
          <w:i w:val="0"/>
          <w:iCs w:val="0"/>
          <w:color w:val="auto"/>
          <w:u w:val="single"/>
        </w:rPr>
        <w:br/>
      </w:r>
      <w:r w:rsidR="0031384E">
        <w:rPr>
          <w:rStyle w:val="IntenseEmphasis"/>
          <w:rFonts w:ascii="Arial" w:hAnsi="Arial" w:cs="Arial"/>
          <w:i w:val="0"/>
          <w:iCs w:val="0"/>
          <w:color w:val="auto"/>
          <w:u w:val="single"/>
        </w:rPr>
        <w:br/>
      </w:r>
      <w:r w:rsidR="0031384E">
        <w:rPr>
          <w:rStyle w:val="IntenseEmphasis"/>
          <w:rFonts w:ascii="Arial" w:hAnsi="Arial" w:cs="Arial"/>
          <w:b w:val="0"/>
          <w:bCs w:val="0"/>
          <w:i w:val="0"/>
          <w:iCs w:val="0"/>
          <w:color w:val="auto"/>
        </w:rPr>
        <w:t xml:space="preserve">The tort of negligence within common law has never been perfectly clear, it has its own history and </w:t>
      </w:r>
      <w:r w:rsidR="00DA3AD2">
        <w:rPr>
          <w:rStyle w:val="IntenseEmphasis"/>
          <w:rFonts w:ascii="Arial" w:hAnsi="Arial" w:cs="Arial"/>
          <w:b w:val="0"/>
          <w:bCs w:val="0"/>
          <w:i w:val="0"/>
          <w:iCs w:val="0"/>
          <w:color w:val="auto"/>
        </w:rPr>
        <w:t>the interpretation of it has been changed many times dating back to Donoghue v Stevenson [1932].</w:t>
      </w:r>
      <w:r w:rsidR="0031384E">
        <w:rPr>
          <w:rStyle w:val="IntenseEmphasis"/>
          <w:rFonts w:ascii="Arial" w:hAnsi="Arial" w:cs="Arial"/>
          <w:i w:val="0"/>
          <w:iCs w:val="0"/>
          <w:color w:val="auto"/>
          <w:u w:val="single"/>
        </w:rPr>
        <w:br/>
      </w:r>
      <w:r w:rsidR="0031384E">
        <w:rPr>
          <w:rStyle w:val="IntenseEmphasis"/>
          <w:rFonts w:ascii="Arial" w:hAnsi="Arial" w:cs="Arial"/>
          <w:b w:val="0"/>
          <w:bCs w:val="0"/>
          <w:i w:val="0"/>
          <w:iCs w:val="0"/>
          <w:color w:val="auto"/>
        </w:rPr>
        <w:t>Negligence in construction is a very serious concern and its impacts can be devastating</w:t>
      </w:r>
      <w:r w:rsidR="00D52A3F">
        <w:rPr>
          <w:rStyle w:val="IntenseEmphasis"/>
          <w:rFonts w:ascii="Arial" w:hAnsi="Arial" w:cs="Arial"/>
          <w:b w:val="0"/>
          <w:bCs w:val="0"/>
          <w:i w:val="0"/>
          <w:iCs w:val="0"/>
          <w:color w:val="auto"/>
        </w:rPr>
        <w:t xml:space="preserve">, it appears that in the case of </w:t>
      </w:r>
      <w:r w:rsidR="00731975">
        <w:rPr>
          <w:rStyle w:val="IntenseEmphasis"/>
          <w:rFonts w:ascii="Arial" w:hAnsi="Arial" w:cs="Arial"/>
          <w:b w:val="0"/>
          <w:bCs w:val="0"/>
          <w:i w:val="0"/>
          <w:iCs w:val="0"/>
          <w:color w:val="auto"/>
        </w:rPr>
        <w:t xml:space="preserve">the </w:t>
      </w:r>
      <w:r w:rsidR="00D52A3F">
        <w:rPr>
          <w:rStyle w:val="IntenseEmphasis"/>
          <w:rFonts w:ascii="Arial" w:hAnsi="Arial" w:cs="Arial"/>
          <w:b w:val="0"/>
          <w:bCs w:val="0"/>
          <w:i w:val="0"/>
          <w:iCs w:val="0"/>
          <w:color w:val="auto"/>
        </w:rPr>
        <w:t>Grenfell Tower refurbishment there were numerous neglectful decisions that resulted in expensive damages including loss of life.</w:t>
      </w:r>
      <w:r w:rsidR="00C15814">
        <w:rPr>
          <w:rStyle w:val="IntenseEmphasis"/>
          <w:rFonts w:ascii="Arial" w:hAnsi="Arial" w:cs="Arial"/>
          <w:b w:val="0"/>
          <w:bCs w:val="0"/>
          <w:i w:val="0"/>
          <w:iCs w:val="0"/>
          <w:color w:val="auto"/>
        </w:rPr>
        <w:br/>
        <w:t>Adjudication appears to be in most cases a very time and cost effective method of dispute resolution, however in the case of Vinci v Beumer, the method was exploited undermining the very purpose of adjudication.</w:t>
      </w:r>
      <w:r w:rsidR="00C15814">
        <w:rPr>
          <w:rStyle w:val="IntenseEmphasis"/>
          <w:rFonts w:ascii="Arial" w:hAnsi="Arial" w:cs="Arial"/>
          <w:b w:val="0"/>
          <w:bCs w:val="0"/>
          <w:i w:val="0"/>
          <w:iCs w:val="0"/>
          <w:color w:val="auto"/>
        </w:rPr>
        <w:br/>
        <w:t>With this in mind, it may have been more sensical for the Vinci v Beumer case to be resolved in court.</w:t>
      </w:r>
    </w:p>
    <w:p w14:paraId="68FE309C" w14:textId="7A9BB034" w:rsidR="001521E7" w:rsidRDefault="001521E7" w:rsidP="00047FD8">
      <w:pPr>
        <w:rPr>
          <w:rStyle w:val="IntenseEmphasis"/>
          <w:rFonts w:ascii="Arial" w:hAnsi="Arial" w:cs="Arial"/>
          <w:i w:val="0"/>
          <w:iCs w:val="0"/>
          <w:color w:val="auto"/>
          <w:u w:val="single"/>
        </w:rPr>
      </w:pPr>
    </w:p>
    <w:p w14:paraId="41C3AB6F" w14:textId="0A949493" w:rsidR="001521E7" w:rsidRDefault="001521E7" w:rsidP="00047FD8">
      <w:pPr>
        <w:rPr>
          <w:rStyle w:val="IntenseEmphasis"/>
          <w:rFonts w:ascii="Arial" w:hAnsi="Arial" w:cs="Arial"/>
          <w:i w:val="0"/>
          <w:iCs w:val="0"/>
          <w:color w:val="auto"/>
          <w:u w:val="single"/>
        </w:rPr>
      </w:pPr>
    </w:p>
    <w:p w14:paraId="01147751" w14:textId="0931FC7A" w:rsidR="001521E7" w:rsidRDefault="001521E7" w:rsidP="00047FD8">
      <w:pPr>
        <w:rPr>
          <w:rStyle w:val="IntenseEmphasis"/>
          <w:rFonts w:ascii="Arial" w:hAnsi="Arial" w:cs="Arial"/>
          <w:i w:val="0"/>
          <w:iCs w:val="0"/>
          <w:color w:val="auto"/>
          <w:u w:val="single"/>
        </w:rPr>
      </w:pPr>
    </w:p>
    <w:p w14:paraId="5DAF8194" w14:textId="310AE505" w:rsidR="001521E7" w:rsidRDefault="001521E7" w:rsidP="00047FD8">
      <w:pPr>
        <w:rPr>
          <w:rStyle w:val="IntenseEmphasis"/>
          <w:rFonts w:ascii="Arial" w:hAnsi="Arial" w:cs="Arial"/>
          <w:i w:val="0"/>
          <w:iCs w:val="0"/>
          <w:color w:val="auto"/>
          <w:u w:val="single"/>
        </w:rPr>
      </w:pPr>
    </w:p>
    <w:p w14:paraId="0A00AF4F" w14:textId="57522FE8" w:rsidR="001521E7" w:rsidRDefault="001521E7" w:rsidP="00047FD8">
      <w:pPr>
        <w:rPr>
          <w:rStyle w:val="IntenseEmphasis"/>
          <w:rFonts w:ascii="Arial" w:hAnsi="Arial" w:cs="Arial"/>
          <w:i w:val="0"/>
          <w:iCs w:val="0"/>
          <w:color w:val="auto"/>
          <w:u w:val="single"/>
        </w:rPr>
      </w:pPr>
    </w:p>
    <w:p w14:paraId="0704B8B1" w14:textId="5B2E16DF" w:rsidR="001521E7" w:rsidRDefault="001521E7" w:rsidP="00047FD8">
      <w:pPr>
        <w:rPr>
          <w:rStyle w:val="IntenseEmphasis"/>
          <w:rFonts w:ascii="Arial" w:hAnsi="Arial" w:cs="Arial"/>
          <w:i w:val="0"/>
          <w:iCs w:val="0"/>
          <w:color w:val="auto"/>
          <w:u w:val="single"/>
        </w:rPr>
      </w:pPr>
    </w:p>
    <w:p w14:paraId="1230482C" w14:textId="614D8DAF" w:rsidR="001521E7" w:rsidRDefault="001521E7" w:rsidP="00047FD8">
      <w:pPr>
        <w:rPr>
          <w:rStyle w:val="IntenseEmphasis"/>
          <w:rFonts w:ascii="Arial" w:hAnsi="Arial" w:cs="Arial"/>
          <w:i w:val="0"/>
          <w:iCs w:val="0"/>
          <w:color w:val="auto"/>
          <w:u w:val="single"/>
        </w:rPr>
      </w:pPr>
    </w:p>
    <w:p w14:paraId="77415A46" w14:textId="21311842" w:rsidR="001521E7" w:rsidRDefault="001521E7" w:rsidP="00047FD8">
      <w:pPr>
        <w:rPr>
          <w:rStyle w:val="IntenseEmphasis"/>
          <w:rFonts w:ascii="Arial" w:hAnsi="Arial" w:cs="Arial"/>
          <w:i w:val="0"/>
          <w:iCs w:val="0"/>
          <w:color w:val="auto"/>
          <w:u w:val="single"/>
        </w:rPr>
      </w:pPr>
    </w:p>
    <w:p w14:paraId="737C53F2" w14:textId="03AD5F0F" w:rsidR="001521E7" w:rsidRDefault="001521E7" w:rsidP="00047FD8">
      <w:pPr>
        <w:rPr>
          <w:rStyle w:val="IntenseEmphasis"/>
          <w:rFonts w:ascii="Arial" w:hAnsi="Arial" w:cs="Arial"/>
          <w:i w:val="0"/>
          <w:iCs w:val="0"/>
          <w:color w:val="auto"/>
          <w:u w:val="single"/>
        </w:rPr>
      </w:pPr>
    </w:p>
    <w:p w14:paraId="2D24648B" w14:textId="6831F4C5" w:rsidR="001521E7" w:rsidRDefault="001521E7" w:rsidP="00047FD8">
      <w:pPr>
        <w:rPr>
          <w:rStyle w:val="IntenseEmphasis"/>
          <w:rFonts w:ascii="Arial" w:hAnsi="Arial" w:cs="Arial"/>
          <w:i w:val="0"/>
          <w:iCs w:val="0"/>
          <w:color w:val="auto"/>
          <w:u w:val="single"/>
        </w:rPr>
      </w:pPr>
    </w:p>
    <w:p w14:paraId="5F882652" w14:textId="05330231" w:rsidR="001521E7" w:rsidRDefault="001521E7" w:rsidP="00047FD8">
      <w:pPr>
        <w:rPr>
          <w:rStyle w:val="IntenseEmphasis"/>
          <w:rFonts w:ascii="Arial" w:hAnsi="Arial" w:cs="Arial"/>
          <w:i w:val="0"/>
          <w:iCs w:val="0"/>
          <w:color w:val="auto"/>
          <w:u w:val="single"/>
        </w:rPr>
      </w:pPr>
    </w:p>
    <w:p w14:paraId="10E7C295" w14:textId="26208B1F" w:rsidR="001521E7" w:rsidRDefault="001521E7" w:rsidP="00047FD8">
      <w:pPr>
        <w:rPr>
          <w:rStyle w:val="IntenseEmphasis"/>
          <w:rFonts w:ascii="Arial" w:hAnsi="Arial" w:cs="Arial"/>
          <w:i w:val="0"/>
          <w:iCs w:val="0"/>
          <w:color w:val="auto"/>
          <w:u w:val="single"/>
        </w:rPr>
      </w:pPr>
    </w:p>
    <w:p w14:paraId="4985F88E" w14:textId="339D46B0" w:rsidR="001521E7" w:rsidRDefault="001521E7" w:rsidP="00047FD8">
      <w:pPr>
        <w:rPr>
          <w:rStyle w:val="IntenseEmphasis"/>
          <w:rFonts w:ascii="Arial" w:hAnsi="Arial" w:cs="Arial"/>
          <w:i w:val="0"/>
          <w:iCs w:val="0"/>
          <w:color w:val="auto"/>
          <w:u w:val="single"/>
        </w:rPr>
      </w:pPr>
    </w:p>
    <w:p w14:paraId="33ADA561" w14:textId="27AE531B" w:rsidR="001521E7" w:rsidRDefault="001521E7" w:rsidP="00047FD8">
      <w:pPr>
        <w:rPr>
          <w:rStyle w:val="IntenseEmphasis"/>
          <w:rFonts w:ascii="Arial" w:hAnsi="Arial" w:cs="Arial"/>
          <w:i w:val="0"/>
          <w:iCs w:val="0"/>
          <w:color w:val="auto"/>
          <w:u w:val="single"/>
        </w:rPr>
      </w:pPr>
    </w:p>
    <w:p w14:paraId="65B6F69E" w14:textId="371FF400" w:rsidR="001521E7" w:rsidRDefault="001521E7" w:rsidP="00047FD8">
      <w:pPr>
        <w:rPr>
          <w:rStyle w:val="IntenseEmphasis"/>
          <w:rFonts w:ascii="Arial" w:hAnsi="Arial" w:cs="Arial"/>
          <w:i w:val="0"/>
          <w:iCs w:val="0"/>
          <w:color w:val="auto"/>
          <w:u w:val="single"/>
        </w:rPr>
      </w:pPr>
    </w:p>
    <w:p w14:paraId="5FE06D5A" w14:textId="3FD00F3B" w:rsidR="001521E7" w:rsidRDefault="001521E7" w:rsidP="00047FD8">
      <w:pPr>
        <w:rPr>
          <w:rStyle w:val="IntenseEmphasis"/>
          <w:rFonts w:ascii="Arial" w:hAnsi="Arial" w:cs="Arial"/>
          <w:i w:val="0"/>
          <w:iCs w:val="0"/>
          <w:color w:val="auto"/>
          <w:u w:val="single"/>
        </w:rPr>
      </w:pPr>
    </w:p>
    <w:p w14:paraId="2BE515BD" w14:textId="0E7FBC32" w:rsidR="001521E7" w:rsidRDefault="001521E7" w:rsidP="00047FD8">
      <w:pPr>
        <w:rPr>
          <w:rStyle w:val="IntenseEmphasis"/>
          <w:rFonts w:ascii="Arial" w:hAnsi="Arial" w:cs="Arial"/>
          <w:i w:val="0"/>
          <w:iCs w:val="0"/>
          <w:color w:val="auto"/>
          <w:u w:val="single"/>
        </w:rPr>
      </w:pPr>
    </w:p>
    <w:p w14:paraId="5563770C" w14:textId="63DAD9A1" w:rsidR="001521E7" w:rsidRDefault="001521E7" w:rsidP="00047FD8">
      <w:pPr>
        <w:rPr>
          <w:rStyle w:val="IntenseEmphasis"/>
          <w:rFonts w:ascii="Arial" w:hAnsi="Arial" w:cs="Arial"/>
          <w:i w:val="0"/>
          <w:iCs w:val="0"/>
          <w:color w:val="auto"/>
          <w:u w:val="single"/>
        </w:rPr>
      </w:pPr>
    </w:p>
    <w:p w14:paraId="53DC79BF" w14:textId="4C376F93" w:rsidR="009D6A07" w:rsidRDefault="009D6A07" w:rsidP="00047FD8">
      <w:pPr>
        <w:rPr>
          <w:rStyle w:val="IntenseEmphasis"/>
          <w:rFonts w:ascii="Arial" w:hAnsi="Arial" w:cs="Arial"/>
          <w:i w:val="0"/>
          <w:iCs w:val="0"/>
          <w:color w:val="auto"/>
          <w:u w:val="single"/>
        </w:rPr>
      </w:pPr>
    </w:p>
    <w:p w14:paraId="05C0366B" w14:textId="187AD3A3" w:rsidR="009D6A07" w:rsidRPr="00916A56" w:rsidRDefault="009D6A07" w:rsidP="00916A56">
      <w:pPr>
        <w:pStyle w:val="ListParagraph"/>
        <w:numPr>
          <w:ilvl w:val="0"/>
          <w:numId w:val="34"/>
        </w:numPr>
        <w:rPr>
          <w:rStyle w:val="IntenseEmphasis"/>
          <w:rFonts w:ascii="Arial" w:hAnsi="Arial" w:cs="Arial"/>
          <w:i w:val="0"/>
          <w:iCs w:val="0"/>
          <w:color w:val="auto"/>
          <w:u w:val="single"/>
        </w:rPr>
      </w:pPr>
      <w:r w:rsidRPr="00916A56">
        <w:rPr>
          <w:rStyle w:val="IntenseEmphasis"/>
          <w:rFonts w:ascii="Arial" w:hAnsi="Arial" w:cs="Arial"/>
          <w:i w:val="0"/>
          <w:iCs w:val="0"/>
          <w:color w:val="auto"/>
          <w:u w:val="single"/>
        </w:rPr>
        <w:t>References</w:t>
      </w:r>
    </w:p>
    <w:p w14:paraId="3B15E43D" w14:textId="77777777" w:rsidR="009D6A07" w:rsidRPr="00412BD3" w:rsidRDefault="009D6A07" w:rsidP="009D6A07">
      <w:pPr>
        <w:pStyle w:val="ListParagraph"/>
        <w:rPr>
          <w:rStyle w:val="IntenseEmphasis"/>
          <w:rFonts w:ascii="Arial" w:hAnsi="Arial" w:cs="Arial"/>
          <w:b w:val="0"/>
          <w:bCs w:val="0"/>
          <w:i w:val="0"/>
          <w:iCs w:val="0"/>
          <w:color w:val="auto"/>
        </w:rPr>
      </w:pPr>
    </w:p>
    <w:p w14:paraId="5B556DF8" w14:textId="20B64D4C" w:rsidR="00CE56FF" w:rsidRDefault="00CE56FF" w:rsidP="00047FD8">
      <w:pPr>
        <w:rPr>
          <w:rStyle w:val="IntenseEmphasis"/>
          <w:rFonts w:ascii="Arial" w:hAnsi="Arial" w:cs="Arial"/>
          <w:b w:val="0"/>
          <w:bCs w:val="0"/>
          <w:i w:val="0"/>
          <w:iCs w:val="0"/>
          <w:color w:val="auto"/>
        </w:rPr>
      </w:pPr>
      <w:r w:rsidRPr="002D623F">
        <w:rPr>
          <w:rStyle w:val="IntenseEmphasis"/>
          <w:rFonts w:ascii="Arial" w:hAnsi="Arial" w:cs="Arial"/>
          <w:b w:val="0"/>
          <w:bCs w:val="0"/>
          <w:i w:val="0"/>
          <w:iCs w:val="0"/>
          <w:color w:val="auto"/>
        </w:rPr>
        <w:t>Department for Levelling Up, Housing and Communities July 2022</w:t>
      </w:r>
      <w:r>
        <w:rPr>
          <w:rStyle w:val="IntenseEmphasis"/>
          <w:rFonts w:ascii="Arial" w:hAnsi="Arial" w:cs="Arial"/>
          <w:b w:val="0"/>
          <w:bCs w:val="0"/>
          <w:i w:val="0"/>
          <w:iCs w:val="0"/>
          <w:color w:val="auto"/>
        </w:rPr>
        <w:t>. The Building Safety Act</w:t>
      </w:r>
      <w:r w:rsidRPr="002D623F">
        <w:rPr>
          <w:rStyle w:val="IntenseEmphasis"/>
          <w:rFonts w:ascii="Arial" w:hAnsi="Arial" w:cs="Arial"/>
          <w:b w:val="0"/>
          <w:bCs w:val="0"/>
          <w:i w:val="0"/>
          <w:iCs w:val="0"/>
          <w:color w:val="auto"/>
        </w:rPr>
        <w:t xml:space="preserve"> [online]. Available from: https://www.gov.uk/guidance/the-building-safety-act</w:t>
      </w:r>
      <w:r w:rsidRPr="00412BD3">
        <w:rPr>
          <w:rStyle w:val="IntenseEmphasis"/>
          <w:rFonts w:ascii="Arial" w:hAnsi="Arial" w:cs="Arial"/>
          <w:b w:val="0"/>
          <w:bCs w:val="0"/>
          <w:i w:val="0"/>
          <w:iCs w:val="0"/>
          <w:color w:val="auto"/>
        </w:rPr>
        <w:tab/>
      </w:r>
      <w:r>
        <w:rPr>
          <w:rStyle w:val="IntenseEmphasis"/>
          <w:rFonts w:ascii="Arial" w:hAnsi="Arial" w:cs="Arial"/>
          <w:b w:val="0"/>
          <w:bCs w:val="0"/>
          <w:i w:val="0"/>
          <w:iCs w:val="0"/>
          <w:color w:val="auto"/>
        </w:rPr>
        <w:br/>
        <w:t>[Accessed 28 November 2022].</w:t>
      </w:r>
      <w:r>
        <w:rPr>
          <w:rStyle w:val="IntenseEmphasis"/>
          <w:rFonts w:ascii="Arial" w:hAnsi="Arial" w:cs="Arial"/>
          <w:b w:val="0"/>
          <w:bCs w:val="0"/>
          <w:i w:val="0"/>
          <w:iCs w:val="0"/>
          <w:color w:val="auto"/>
        </w:rPr>
        <w:br/>
      </w:r>
      <w:r>
        <w:rPr>
          <w:rStyle w:val="IntenseEmphasis"/>
          <w:rFonts w:ascii="Arial" w:hAnsi="Arial" w:cs="Arial"/>
          <w:b w:val="0"/>
          <w:bCs w:val="0"/>
          <w:i w:val="0"/>
          <w:iCs w:val="0"/>
          <w:color w:val="auto"/>
        </w:rPr>
        <w:br/>
      </w:r>
      <w:r w:rsidRPr="00412BD3">
        <w:rPr>
          <w:rFonts w:ascii="Arial" w:hAnsi="Arial" w:cs="Arial"/>
        </w:rPr>
        <w:t>E-</w:t>
      </w:r>
      <w:proofErr w:type="spellStart"/>
      <w:r w:rsidRPr="00412BD3">
        <w:rPr>
          <w:rFonts w:ascii="Arial" w:hAnsi="Arial" w:cs="Arial"/>
        </w:rPr>
        <w:t>lawresources</w:t>
      </w:r>
      <w:proofErr w:type="spellEnd"/>
      <w:r w:rsidRPr="00412BD3">
        <w:rPr>
          <w:rFonts w:ascii="Arial" w:hAnsi="Arial" w:cs="Arial"/>
        </w:rPr>
        <w:t>. N.D. Barnett v Chelsea &amp; Kensington Hospital [online]. Available from: http://www.e-lawresources.co.uk/Barnett-v-Chelsea--and--Kensington-</w:t>
      </w:r>
      <w:proofErr w:type="spellStart"/>
      <w:r w:rsidRPr="00412BD3">
        <w:rPr>
          <w:rFonts w:ascii="Arial" w:hAnsi="Arial" w:cs="Arial"/>
        </w:rPr>
        <w:t>Hospital.php</w:t>
      </w:r>
      <w:proofErr w:type="spellEnd"/>
      <w:r w:rsidRPr="00412BD3">
        <w:rPr>
          <w:rStyle w:val="IntenseEmphasis"/>
          <w:rFonts w:ascii="Arial" w:hAnsi="Arial" w:cs="Arial"/>
          <w:b w:val="0"/>
          <w:bCs w:val="0"/>
          <w:i w:val="0"/>
          <w:iCs w:val="0"/>
          <w:color w:val="auto"/>
        </w:rPr>
        <w:br/>
        <w:t>[Accessed 26 November 2022].</w:t>
      </w:r>
      <w:r>
        <w:rPr>
          <w:rStyle w:val="IntenseEmphasis"/>
          <w:rFonts w:ascii="Arial" w:hAnsi="Arial" w:cs="Arial"/>
          <w:b w:val="0"/>
          <w:bCs w:val="0"/>
          <w:i w:val="0"/>
          <w:iCs w:val="0"/>
          <w:color w:val="auto"/>
        </w:rPr>
        <w:br/>
      </w:r>
    </w:p>
    <w:p w14:paraId="79FDD0FC" w14:textId="4539F414" w:rsidR="00FF00C7" w:rsidRPr="00412BD3" w:rsidRDefault="00833EF3" w:rsidP="00047FD8">
      <w:pPr>
        <w:rPr>
          <w:rStyle w:val="IntenseEmphasis"/>
          <w:rFonts w:ascii="Arial" w:hAnsi="Arial" w:cs="Arial"/>
          <w:b w:val="0"/>
          <w:bCs w:val="0"/>
          <w:i w:val="0"/>
          <w:iCs w:val="0"/>
          <w:color w:val="auto"/>
        </w:rPr>
      </w:pPr>
      <w:proofErr w:type="spellStart"/>
      <w:r w:rsidRPr="00412BD3">
        <w:rPr>
          <w:rStyle w:val="IntenseEmphasis"/>
          <w:rFonts w:ascii="Arial" w:hAnsi="Arial" w:cs="Arial"/>
          <w:b w:val="0"/>
          <w:bCs w:val="0"/>
          <w:i w:val="0"/>
          <w:iCs w:val="0"/>
          <w:color w:val="auto"/>
        </w:rPr>
        <w:t>LawTeacher</w:t>
      </w:r>
      <w:proofErr w:type="spellEnd"/>
      <w:r w:rsidRPr="00412BD3">
        <w:rPr>
          <w:rStyle w:val="IntenseEmphasis"/>
          <w:rFonts w:ascii="Arial" w:hAnsi="Arial" w:cs="Arial"/>
          <w:b w:val="0"/>
          <w:bCs w:val="0"/>
          <w:i w:val="0"/>
          <w:iCs w:val="0"/>
          <w:color w:val="auto"/>
        </w:rPr>
        <w:t>. November 2013. The Tort of Negligence. [online]. Available from: https://www.lawteacher.net/free-law-essays/tort-law/tort-of-negligence.php?vref=1 [Accessed 22 November 2022].</w:t>
      </w:r>
      <w:r w:rsidR="00412BD3">
        <w:rPr>
          <w:rStyle w:val="IntenseEmphasis"/>
          <w:rFonts w:ascii="Arial" w:hAnsi="Arial" w:cs="Arial"/>
          <w:b w:val="0"/>
          <w:bCs w:val="0"/>
          <w:i w:val="0"/>
          <w:iCs w:val="0"/>
          <w:color w:val="auto"/>
        </w:rPr>
        <w:br/>
      </w:r>
    </w:p>
    <w:p w14:paraId="5E9AD8C7" w14:textId="61914F4C" w:rsidR="00495FA3" w:rsidRPr="00412BD3" w:rsidRDefault="00FF00C7" w:rsidP="00047FD8">
      <w:pPr>
        <w:rPr>
          <w:rStyle w:val="IntenseEmphasis"/>
          <w:rFonts w:ascii="Arial" w:hAnsi="Arial" w:cs="Arial"/>
          <w:b w:val="0"/>
          <w:bCs w:val="0"/>
          <w:i w:val="0"/>
          <w:iCs w:val="0"/>
          <w:color w:val="auto"/>
        </w:rPr>
      </w:pPr>
      <w:proofErr w:type="spellStart"/>
      <w:r w:rsidRPr="00412BD3">
        <w:rPr>
          <w:rStyle w:val="IntenseEmphasis"/>
          <w:rFonts w:ascii="Arial" w:hAnsi="Arial" w:cs="Arial"/>
          <w:b w:val="0"/>
          <w:bCs w:val="0"/>
          <w:i w:val="0"/>
          <w:iCs w:val="0"/>
          <w:color w:val="auto"/>
        </w:rPr>
        <w:t>LawTeacher</w:t>
      </w:r>
      <w:proofErr w:type="spellEnd"/>
      <w:r w:rsidRPr="00412BD3">
        <w:rPr>
          <w:rStyle w:val="IntenseEmphasis"/>
          <w:rFonts w:ascii="Arial" w:hAnsi="Arial" w:cs="Arial"/>
          <w:b w:val="0"/>
          <w:bCs w:val="0"/>
          <w:i w:val="0"/>
          <w:iCs w:val="0"/>
          <w:color w:val="auto"/>
        </w:rPr>
        <w:t>. November 2013. The Neighbour Principle in Tort Law. [online]. Available from: https://www.lawteacher.net/free-law-essays/tort-law/neighbour-principle.php?vref=1 [Accessed 22 November 2022].</w:t>
      </w:r>
      <w:r w:rsidR="00CE56FF">
        <w:rPr>
          <w:rStyle w:val="IntenseEmphasis"/>
          <w:rFonts w:ascii="Arial" w:hAnsi="Arial" w:cs="Arial"/>
          <w:b w:val="0"/>
          <w:bCs w:val="0"/>
          <w:i w:val="0"/>
          <w:iCs w:val="0"/>
          <w:color w:val="auto"/>
        </w:rPr>
        <w:br/>
      </w:r>
      <w:r w:rsidR="00CE56FF">
        <w:rPr>
          <w:rStyle w:val="IntenseEmphasis"/>
          <w:rFonts w:ascii="Arial" w:hAnsi="Arial" w:cs="Arial"/>
          <w:b w:val="0"/>
          <w:bCs w:val="0"/>
          <w:i w:val="0"/>
          <w:iCs w:val="0"/>
          <w:color w:val="auto"/>
        </w:rPr>
        <w:br/>
      </w:r>
      <w:proofErr w:type="spellStart"/>
      <w:r w:rsidR="00CE56FF" w:rsidRPr="002D623F">
        <w:rPr>
          <w:rStyle w:val="IntenseEmphasis"/>
          <w:rFonts w:ascii="Arial" w:hAnsi="Arial" w:cs="Arial"/>
          <w:b w:val="0"/>
          <w:bCs w:val="0"/>
          <w:i w:val="0"/>
          <w:iCs w:val="0"/>
          <w:color w:val="auto"/>
        </w:rPr>
        <w:t>LawTeacher</w:t>
      </w:r>
      <w:proofErr w:type="spellEnd"/>
      <w:r w:rsidR="00CE56FF" w:rsidRPr="002D623F">
        <w:rPr>
          <w:rStyle w:val="IntenseEmphasis"/>
          <w:rFonts w:ascii="Arial" w:hAnsi="Arial" w:cs="Arial"/>
          <w:b w:val="0"/>
          <w:bCs w:val="0"/>
          <w:i w:val="0"/>
          <w:iCs w:val="0"/>
          <w:color w:val="auto"/>
        </w:rPr>
        <w:t xml:space="preserve">. November 2013. Anns v Merton London Borough Council. [online]. Available from: https://www.lawteacher.net/cases/anns-v-merton-lbc.php?vref=1 </w:t>
      </w:r>
      <w:r w:rsidR="00CE56FF">
        <w:rPr>
          <w:rStyle w:val="IntenseEmphasis"/>
          <w:rFonts w:ascii="Arial" w:hAnsi="Arial" w:cs="Arial"/>
          <w:b w:val="0"/>
          <w:bCs w:val="0"/>
          <w:i w:val="0"/>
          <w:iCs w:val="0"/>
          <w:color w:val="auto"/>
        </w:rPr>
        <w:br/>
      </w:r>
      <w:r w:rsidR="00CE56FF" w:rsidRPr="002D623F">
        <w:rPr>
          <w:rStyle w:val="IntenseEmphasis"/>
          <w:rFonts w:ascii="Arial" w:hAnsi="Arial" w:cs="Arial"/>
          <w:b w:val="0"/>
          <w:bCs w:val="0"/>
          <w:i w:val="0"/>
          <w:iCs w:val="0"/>
          <w:color w:val="auto"/>
        </w:rPr>
        <w:t>[Accessed 2</w:t>
      </w:r>
      <w:r w:rsidR="00CE56FF">
        <w:rPr>
          <w:rStyle w:val="IntenseEmphasis"/>
          <w:rFonts w:ascii="Arial" w:hAnsi="Arial" w:cs="Arial"/>
          <w:b w:val="0"/>
          <w:bCs w:val="0"/>
          <w:i w:val="0"/>
          <w:iCs w:val="0"/>
          <w:color w:val="auto"/>
        </w:rPr>
        <w:t>6</w:t>
      </w:r>
      <w:r w:rsidR="00CE56FF" w:rsidRPr="002D623F">
        <w:rPr>
          <w:rStyle w:val="IntenseEmphasis"/>
          <w:rFonts w:ascii="Arial" w:hAnsi="Arial" w:cs="Arial"/>
          <w:b w:val="0"/>
          <w:bCs w:val="0"/>
          <w:i w:val="0"/>
          <w:iCs w:val="0"/>
          <w:color w:val="auto"/>
        </w:rPr>
        <w:t xml:space="preserve"> November 2022].</w:t>
      </w:r>
      <w:r w:rsidR="00CE56FF">
        <w:rPr>
          <w:rStyle w:val="IntenseEmphasis"/>
          <w:rFonts w:ascii="Arial" w:hAnsi="Arial" w:cs="Arial"/>
          <w:b w:val="0"/>
          <w:bCs w:val="0"/>
          <w:i w:val="0"/>
          <w:iCs w:val="0"/>
          <w:color w:val="auto"/>
        </w:rPr>
        <w:br/>
      </w:r>
      <w:r w:rsidR="00CE56FF">
        <w:rPr>
          <w:rStyle w:val="IntenseEmphasis"/>
          <w:rFonts w:ascii="Arial" w:hAnsi="Arial" w:cs="Arial"/>
          <w:b w:val="0"/>
          <w:bCs w:val="0"/>
          <w:i w:val="0"/>
          <w:iCs w:val="0"/>
          <w:color w:val="auto"/>
        </w:rPr>
        <w:br/>
      </w:r>
      <w:r w:rsidR="00CE56FF" w:rsidRPr="00412BD3">
        <w:rPr>
          <w:rStyle w:val="IntenseEmphasis"/>
          <w:rFonts w:ascii="Arial" w:hAnsi="Arial" w:cs="Arial"/>
          <w:b w:val="0"/>
          <w:bCs w:val="0"/>
          <w:i w:val="0"/>
          <w:iCs w:val="0"/>
          <w:color w:val="auto"/>
        </w:rPr>
        <w:t>Sarah Knapton June 2017</w:t>
      </w:r>
      <w:r w:rsidR="00CE56FF">
        <w:rPr>
          <w:rStyle w:val="IntenseEmphasis"/>
          <w:rFonts w:ascii="Arial" w:hAnsi="Arial" w:cs="Arial"/>
          <w:b w:val="0"/>
          <w:bCs w:val="0"/>
          <w:i w:val="0"/>
          <w:iCs w:val="0"/>
          <w:color w:val="auto"/>
        </w:rPr>
        <w:t xml:space="preserve">. Grenfell Tower refurbishment [online]. Available from: </w:t>
      </w:r>
      <w:hyperlink r:id="rId8" w:history="1">
        <w:r w:rsidR="00CE56FF" w:rsidRPr="00B75D4B">
          <w:rPr>
            <w:rStyle w:val="Hyperlink"/>
            <w:rFonts w:ascii="Arial" w:hAnsi="Arial" w:cs="Arial"/>
          </w:rPr>
          <w:t>https://ghostarchive.org/archive/4iSM6</w:t>
        </w:r>
      </w:hyperlink>
      <w:r w:rsidR="00CE56FF">
        <w:rPr>
          <w:rStyle w:val="IntenseEmphasis"/>
          <w:rFonts w:ascii="Arial" w:hAnsi="Arial" w:cs="Arial"/>
          <w:b w:val="0"/>
          <w:bCs w:val="0"/>
          <w:i w:val="0"/>
          <w:iCs w:val="0"/>
          <w:color w:val="auto"/>
        </w:rPr>
        <w:br/>
        <w:t>[Accessed 28</w:t>
      </w:r>
      <w:r w:rsidR="00CE56FF">
        <w:rPr>
          <w:rStyle w:val="IntenseEmphasis"/>
          <w:rFonts w:ascii="Arial" w:hAnsi="Arial" w:cs="Arial"/>
          <w:b w:val="0"/>
          <w:bCs w:val="0"/>
          <w:i w:val="0"/>
          <w:iCs w:val="0"/>
          <w:color w:val="auto"/>
          <w:vertAlign w:val="superscript"/>
        </w:rPr>
        <w:t xml:space="preserve"> </w:t>
      </w:r>
      <w:r w:rsidR="00CE56FF">
        <w:rPr>
          <w:rStyle w:val="IntenseEmphasis"/>
          <w:rFonts w:ascii="Arial" w:hAnsi="Arial" w:cs="Arial"/>
          <w:b w:val="0"/>
          <w:bCs w:val="0"/>
          <w:i w:val="0"/>
          <w:iCs w:val="0"/>
          <w:color w:val="auto"/>
        </w:rPr>
        <w:t>November 2022].</w:t>
      </w:r>
      <w:r w:rsidR="00CE56FF">
        <w:rPr>
          <w:rStyle w:val="IntenseEmphasis"/>
          <w:rFonts w:ascii="Arial" w:hAnsi="Arial" w:cs="Arial"/>
          <w:b w:val="0"/>
          <w:bCs w:val="0"/>
          <w:i w:val="0"/>
          <w:iCs w:val="0"/>
          <w:color w:val="auto"/>
        </w:rPr>
        <w:br/>
      </w:r>
      <w:r w:rsidR="00CE56FF">
        <w:rPr>
          <w:rStyle w:val="IntenseEmphasis"/>
          <w:rFonts w:ascii="Arial" w:hAnsi="Arial" w:cs="Arial"/>
          <w:b w:val="0"/>
          <w:bCs w:val="0"/>
          <w:i w:val="0"/>
          <w:iCs w:val="0"/>
          <w:color w:val="auto"/>
        </w:rPr>
        <w:br/>
      </w:r>
      <w:r w:rsidR="00CE56FF" w:rsidRPr="00412BD3">
        <w:rPr>
          <w:rFonts w:ascii="Arial" w:hAnsi="Arial" w:cs="Arial"/>
        </w:rPr>
        <w:t>Technology and Construction Court 2016 [EWHC 2283]. Available from:</w:t>
      </w:r>
      <w:r w:rsidR="00CE56FF">
        <w:t xml:space="preserve"> </w:t>
      </w:r>
      <w:r w:rsidR="00CE56FF" w:rsidRPr="002D623F">
        <w:rPr>
          <w:rFonts w:ascii="Arial" w:hAnsi="Arial" w:cs="Arial"/>
        </w:rPr>
        <w:t>http://www.adjudication.co.uk/archive/view/case/1768/beumer_group_uk_ltd_v_vinci_construction_uk_ltd_[2016]_ewhc_2283_(tcc)/</w:t>
      </w:r>
      <w:r w:rsidR="00CE56FF">
        <w:rPr>
          <w:rFonts w:ascii="Arial" w:hAnsi="Arial" w:cs="Arial"/>
        </w:rPr>
        <w:br/>
        <w:t>[Accessed 26 November 2022].</w:t>
      </w:r>
      <w:r w:rsidR="00CE56FF">
        <w:rPr>
          <w:rStyle w:val="IntenseEmphasis"/>
          <w:rFonts w:ascii="Arial" w:hAnsi="Arial" w:cs="Arial"/>
          <w:b w:val="0"/>
          <w:bCs w:val="0"/>
          <w:i w:val="0"/>
          <w:iCs w:val="0"/>
          <w:color w:val="auto"/>
        </w:rPr>
        <w:br/>
      </w:r>
    </w:p>
    <w:p w14:paraId="1BDB46C9" w14:textId="1C31AF42" w:rsidR="00916A56" w:rsidRPr="00412BD3" w:rsidRDefault="00412BD3" w:rsidP="00047FD8">
      <w:pPr>
        <w:rPr>
          <w:rStyle w:val="IntenseEmphasis"/>
          <w:rFonts w:ascii="Arial" w:hAnsi="Arial" w:cs="Arial"/>
          <w:b w:val="0"/>
          <w:bCs w:val="0"/>
          <w:i w:val="0"/>
          <w:iCs w:val="0"/>
          <w:color w:val="auto"/>
        </w:rPr>
      </w:pPr>
      <w:r w:rsidRPr="00412BD3">
        <w:rPr>
          <w:rFonts w:ascii="Arial" w:hAnsi="Arial" w:cs="Arial"/>
        </w:rPr>
        <w:t>Theresa Mohammed and Matthew Watson 2018</w:t>
      </w:r>
      <w:r w:rsidR="002D623F">
        <w:rPr>
          <w:rFonts w:ascii="Arial" w:hAnsi="Arial" w:cs="Arial"/>
        </w:rPr>
        <w:t>. Vinci v Beumer</w:t>
      </w:r>
      <w:r w:rsidRPr="00412BD3">
        <w:rPr>
          <w:rFonts w:ascii="Arial" w:hAnsi="Arial" w:cs="Arial"/>
        </w:rPr>
        <w:t xml:space="preserve"> [online]. Available from: https://constructionmanagement.co.uk/vinci-v-beumer-baggage-delays-lead-97m-payout/</w:t>
      </w:r>
      <w:r w:rsidRPr="00412BD3">
        <w:rPr>
          <w:rStyle w:val="Hyperlink"/>
          <w:rFonts w:ascii="Arial" w:hAnsi="Arial" w:cs="Arial"/>
          <w:u w:val="none"/>
        </w:rPr>
        <w:br/>
      </w:r>
      <w:r w:rsidRPr="00412BD3">
        <w:rPr>
          <w:rStyle w:val="Hyperlink"/>
          <w:rFonts w:ascii="Arial" w:hAnsi="Arial" w:cs="Arial"/>
          <w:color w:val="auto"/>
          <w:u w:val="none"/>
        </w:rPr>
        <w:t>[Accessed 26 November 2022</w:t>
      </w:r>
      <w:r>
        <w:rPr>
          <w:rStyle w:val="Hyperlink"/>
          <w:rFonts w:ascii="Arial" w:hAnsi="Arial" w:cs="Arial"/>
          <w:color w:val="auto"/>
          <w:u w:val="none"/>
        </w:rPr>
        <w:t>]</w:t>
      </w:r>
      <w:r w:rsidRPr="00412BD3">
        <w:rPr>
          <w:rStyle w:val="Hyperlink"/>
          <w:rFonts w:ascii="Arial" w:hAnsi="Arial" w:cs="Arial"/>
          <w:color w:val="auto"/>
          <w:u w:val="none"/>
        </w:rPr>
        <w:t>.</w:t>
      </w:r>
      <w:r>
        <w:rPr>
          <w:rStyle w:val="IntenseEmphasis"/>
          <w:rFonts w:ascii="Arial" w:hAnsi="Arial" w:cs="Arial"/>
          <w:b w:val="0"/>
          <w:bCs w:val="0"/>
          <w:i w:val="0"/>
          <w:iCs w:val="0"/>
          <w:color w:val="auto"/>
        </w:rPr>
        <w:br/>
      </w:r>
    </w:p>
    <w:p w14:paraId="3B33C7D4" w14:textId="0951315A" w:rsidR="00C55C60" w:rsidRPr="00412BD3" w:rsidRDefault="002D623F" w:rsidP="00CE56FF">
      <w:pPr>
        <w:rPr>
          <w:rStyle w:val="IntenseEmphasis"/>
          <w:rFonts w:ascii="Arial" w:hAnsi="Arial" w:cs="Arial"/>
          <w:b w:val="0"/>
          <w:bCs w:val="0"/>
          <w:i w:val="0"/>
          <w:iCs w:val="0"/>
          <w:color w:val="auto"/>
        </w:rPr>
      </w:pPr>
      <w:r w:rsidRPr="00412BD3">
        <w:rPr>
          <w:rStyle w:val="IntenseEmphasis"/>
          <w:rFonts w:ascii="Arial" w:hAnsi="Arial" w:cs="Arial"/>
          <w:b w:val="0"/>
          <w:bCs w:val="0"/>
          <w:i w:val="0"/>
          <w:iCs w:val="0"/>
          <w:color w:val="auto"/>
        </w:rPr>
        <w:t xml:space="preserve">Tom Symonds </w:t>
      </w:r>
      <w:r>
        <w:rPr>
          <w:rStyle w:val="IntenseEmphasis"/>
          <w:rFonts w:ascii="Arial" w:hAnsi="Arial" w:cs="Arial"/>
          <w:b w:val="0"/>
          <w:bCs w:val="0"/>
          <w:i w:val="0"/>
          <w:iCs w:val="0"/>
          <w:color w:val="auto"/>
        </w:rPr>
        <w:t xml:space="preserve">July 2022. Grenfell: Council liable for four deaths, high court judge finds [online]. Available from: </w:t>
      </w:r>
      <w:hyperlink r:id="rId9" w:history="1">
        <w:r w:rsidRPr="00B75D4B">
          <w:rPr>
            <w:rStyle w:val="Hyperlink"/>
            <w:rFonts w:ascii="Arial" w:hAnsi="Arial" w:cs="Arial"/>
          </w:rPr>
          <w:t>https://www.bbc.co.uk/news/uk-england-london-62354354</w:t>
        </w:r>
      </w:hyperlink>
      <w:r>
        <w:rPr>
          <w:rStyle w:val="IntenseEmphasis"/>
          <w:rFonts w:ascii="Arial" w:hAnsi="Arial" w:cs="Arial"/>
          <w:b w:val="0"/>
          <w:bCs w:val="0"/>
          <w:i w:val="0"/>
          <w:iCs w:val="0"/>
          <w:color w:val="auto"/>
        </w:rPr>
        <w:br/>
        <w:t>[Accessed 28 November 2022]</w:t>
      </w:r>
      <w:r w:rsidR="004072C9">
        <w:rPr>
          <w:rStyle w:val="IntenseEmphasis"/>
          <w:rFonts w:ascii="Arial" w:hAnsi="Arial" w:cs="Arial"/>
          <w:b w:val="0"/>
          <w:bCs w:val="0"/>
          <w:i w:val="0"/>
          <w:iCs w:val="0"/>
          <w:color w:val="auto"/>
        </w:rPr>
        <w:t>.</w:t>
      </w:r>
      <w:r w:rsidR="00E7007D" w:rsidRPr="00412BD3">
        <w:rPr>
          <w:rStyle w:val="IntenseEmphasis"/>
          <w:rFonts w:ascii="Arial" w:hAnsi="Arial" w:cs="Arial"/>
          <w:b w:val="0"/>
          <w:bCs w:val="0"/>
          <w:i w:val="0"/>
          <w:iCs w:val="0"/>
          <w:color w:val="auto"/>
        </w:rPr>
        <w:br/>
      </w:r>
    </w:p>
    <w:p w14:paraId="7EAB081E" w14:textId="2F19AC81" w:rsidR="00F5624E" w:rsidRPr="00105508" w:rsidRDefault="00F5624E" w:rsidP="00105508">
      <w:pPr>
        <w:tabs>
          <w:tab w:val="left" w:pos="5805"/>
        </w:tabs>
        <w:rPr>
          <w:rStyle w:val="IntenseEmphasis"/>
          <w:rFonts w:ascii="Arial" w:hAnsi="Arial" w:cs="Arial"/>
          <w:b w:val="0"/>
          <w:bCs w:val="0"/>
          <w:i w:val="0"/>
          <w:iCs w:val="0"/>
          <w:color w:val="auto"/>
        </w:rPr>
      </w:pPr>
    </w:p>
    <w:p w14:paraId="3C852A9A" w14:textId="77777777" w:rsidR="00F5624E" w:rsidRPr="00F5624E" w:rsidRDefault="00F5624E" w:rsidP="00F5624E">
      <w:pPr>
        <w:ind w:left="1440"/>
        <w:rPr>
          <w:rStyle w:val="IntenseEmphasis"/>
          <w:rFonts w:ascii="Arial" w:hAnsi="Arial" w:cs="Arial"/>
          <w:b w:val="0"/>
          <w:bCs w:val="0"/>
          <w:i w:val="0"/>
          <w:iCs w:val="0"/>
          <w:color w:val="auto"/>
        </w:rPr>
      </w:pPr>
    </w:p>
    <w:p w14:paraId="3302FDFF" w14:textId="77777777" w:rsidR="00F5624E" w:rsidRPr="00F5624E" w:rsidRDefault="00F5624E" w:rsidP="00F5624E">
      <w:pPr>
        <w:rPr>
          <w:rStyle w:val="IntenseEmphasis"/>
          <w:rFonts w:ascii="Arial" w:hAnsi="Arial" w:cs="Arial"/>
          <w:i w:val="0"/>
          <w:iCs w:val="0"/>
          <w:color w:val="auto"/>
          <w:u w:val="single"/>
        </w:rPr>
      </w:pPr>
    </w:p>
    <w:p w14:paraId="35B25154" w14:textId="14E6E60D" w:rsidR="00656BBB" w:rsidRDefault="00656BBB" w:rsidP="00656BBB">
      <w:pPr>
        <w:pStyle w:val="NoSpacing"/>
        <w:rPr>
          <w:rStyle w:val="IntenseEmphasis"/>
          <w:rFonts w:ascii="Arial" w:hAnsi="Arial" w:cs="Arial"/>
          <w:i w:val="0"/>
          <w:iCs w:val="0"/>
          <w:color w:val="auto"/>
          <w:u w:val="single"/>
        </w:rPr>
      </w:pPr>
    </w:p>
    <w:p w14:paraId="79142EBA" w14:textId="165183A5" w:rsidR="00353217" w:rsidRDefault="00353217" w:rsidP="00656BBB">
      <w:pPr>
        <w:pStyle w:val="NoSpacing"/>
        <w:rPr>
          <w:rStyle w:val="IntenseEmphasis"/>
          <w:rFonts w:ascii="Arial" w:hAnsi="Arial" w:cs="Arial"/>
          <w:i w:val="0"/>
          <w:iCs w:val="0"/>
          <w:color w:val="auto"/>
          <w:u w:val="single"/>
        </w:rPr>
      </w:pPr>
    </w:p>
    <w:p w14:paraId="5033FDF9" w14:textId="4A2D3065" w:rsidR="00353217" w:rsidRPr="00F212A5" w:rsidRDefault="00353217" w:rsidP="00F5624E">
      <w:pPr>
        <w:pStyle w:val="NoSpacing"/>
        <w:rPr>
          <w:rStyle w:val="IntenseEmphasis"/>
          <w:rFonts w:ascii="Arial" w:hAnsi="Arial" w:cs="Arial"/>
          <w:i w:val="0"/>
          <w:iCs w:val="0"/>
          <w:color w:val="auto"/>
          <w:u w:val="single"/>
        </w:rPr>
      </w:pPr>
    </w:p>
    <w:p w14:paraId="13DB12FF" w14:textId="56747490" w:rsidR="00656BBB" w:rsidRDefault="00656BBB" w:rsidP="00656BBB">
      <w:pPr>
        <w:pStyle w:val="NoSpacing"/>
        <w:rPr>
          <w:rStyle w:val="IntenseEmphasis"/>
          <w:rFonts w:ascii="Arial" w:hAnsi="Arial" w:cs="Arial"/>
          <w:i w:val="0"/>
          <w:iCs w:val="0"/>
          <w:color w:val="auto"/>
          <w:sz w:val="28"/>
          <w:szCs w:val="28"/>
          <w:u w:val="single"/>
        </w:rPr>
      </w:pPr>
    </w:p>
    <w:p w14:paraId="4CA88D6E" w14:textId="77777777" w:rsidR="00656BBB" w:rsidRPr="00656BBB" w:rsidRDefault="00656BBB" w:rsidP="00656BBB">
      <w:pPr>
        <w:pStyle w:val="Subtitle"/>
        <w:rPr>
          <w:rStyle w:val="IntenseEmphasis"/>
          <w:b w:val="0"/>
          <w:bCs w:val="0"/>
          <w:i/>
          <w:iCs/>
        </w:rPr>
      </w:pPr>
    </w:p>
    <w:p w14:paraId="07DECBAC" w14:textId="1C61038A" w:rsidR="00656BBB" w:rsidRPr="00656BBB" w:rsidRDefault="00656BBB" w:rsidP="00656BBB">
      <w:pPr>
        <w:pStyle w:val="NoSpacing"/>
        <w:rPr>
          <w:rStyle w:val="IntenseEmphasis"/>
          <w:b w:val="0"/>
          <w:bCs w:val="0"/>
          <w:i w:val="0"/>
          <w:iCs w:val="0"/>
          <w:color w:val="auto"/>
        </w:rPr>
      </w:pPr>
    </w:p>
    <w:sectPr w:rsidR="00656BBB" w:rsidRPr="00656BBB" w:rsidSect="00656BBB">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FCA19" w14:textId="77777777" w:rsidR="00622D0E" w:rsidRDefault="00622D0E" w:rsidP="008C12D4">
      <w:pPr>
        <w:spacing w:after="0" w:line="240" w:lineRule="auto"/>
      </w:pPr>
      <w:r>
        <w:separator/>
      </w:r>
    </w:p>
  </w:endnote>
  <w:endnote w:type="continuationSeparator" w:id="0">
    <w:p w14:paraId="558A9BD8" w14:textId="77777777" w:rsidR="00622D0E" w:rsidRDefault="00622D0E" w:rsidP="008C1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5820192"/>
      <w:docPartObj>
        <w:docPartGallery w:val="Page Numbers (Bottom of Page)"/>
        <w:docPartUnique/>
      </w:docPartObj>
    </w:sdtPr>
    <w:sdtEndPr>
      <w:rPr>
        <w:noProof/>
      </w:rPr>
    </w:sdtEndPr>
    <w:sdtContent>
      <w:p w14:paraId="2954895D" w14:textId="77777777" w:rsidR="009D6A07" w:rsidRDefault="009D6A07">
        <w:pPr>
          <w:pStyle w:val="Footer"/>
        </w:pPr>
      </w:p>
      <w:p w14:paraId="3B834ED9" w14:textId="3D095026" w:rsidR="009D6A07" w:rsidRDefault="009D6A07">
        <w:pPr>
          <w:pStyle w:val="Footer"/>
        </w:pPr>
        <w:r>
          <w:fldChar w:fldCharType="begin"/>
        </w:r>
        <w:r>
          <w:instrText xml:space="preserve"> PAGE   \* MERGEFORMAT </w:instrText>
        </w:r>
        <w:r>
          <w:fldChar w:fldCharType="separate"/>
        </w:r>
        <w:r>
          <w:rPr>
            <w:noProof/>
          </w:rPr>
          <w:t>2</w:t>
        </w:r>
        <w:r>
          <w:rPr>
            <w:noProof/>
          </w:rPr>
          <w:fldChar w:fldCharType="end"/>
        </w:r>
      </w:p>
    </w:sdtContent>
  </w:sdt>
  <w:p w14:paraId="770D1564" w14:textId="77777777" w:rsidR="009D6A07" w:rsidRDefault="009D6A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35EAE" w14:textId="77777777" w:rsidR="00622D0E" w:rsidRDefault="00622D0E" w:rsidP="008C12D4">
      <w:pPr>
        <w:spacing w:after="0" w:line="240" w:lineRule="auto"/>
      </w:pPr>
      <w:r>
        <w:separator/>
      </w:r>
    </w:p>
  </w:footnote>
  <w:footnote w:type="continuationSeparator" w:id="0">
    <w:p w14:paraId="6DF9E563" w14:textId="77777777" w:rsidR="00622D0E" w:rsidRDefault="00622D0E" w:rsidP="008C12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D9B20" w14:textId="0EAA7C26" w:rsidR="00521BC3" w:rsidRDefault="00521BC3" w:rsidP="00521BC3">
    <w:pPr>
      <w:pStyle w:val="Header"/>
    </w:pPr>
    <w:r>
      <w:t>Soft Skills, Contract and Legal Responsibilities                                                                        C. Strachan</w:t>
    </w:r>
  </w:p>
  <w:p w14:paraId="4E1C6CE1" w14:textId="7A752397" w:rsidR="00521BC3" w:rsidRDefault="00521BC3">
    <w:pPr>
      <w:pStyle w:val="Header"/>
    </w:pPr>
    <w:r>
      <w:t xml:space="preserve">within the Built Environment ABA4004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B1275"/>
    <w:multiLevelType w:val="multilevel"/>
    <w:tmpl w:val="F508D42A"/>
    <w:lvl w:ilvl="0">
      <w:start w:val="5"/>
      <w:numFmt w:val="decimal"/>
      <w:lvlText w:val="%1.0"/>
      <w:lvlJc w:val="left"/>
      <w:pPr>
        <w:tabs>
          <w:tab w:val="num" w:pos="720"/>
        </w:tabs>
        <w:ind w:left="720" w:hanging="720"/>
      </w:pPr>
      <w:rPr>
        <w:rFonts w:hint="default"/>
        <w:b/>
        <w:sz w:val="28"/>
        <w:szCs w:val="28"/>
      </w:rPr>
    </w:lvl>
    <w:lvl w:ilvl="1">
      <w:start w:val="1"/>
      <w:numFmt w:val="none"/>
      <w:lvlText w:val="5.3"/>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 w15:restartNumberingAfterBreak="0">
    <w:nsid w:val="028D05D0"/>
    <w:multiLevelType w:val="multilevel"/>
    <w:tmpl w:val="BD281750"/>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2" w15:restartNumberingAfterBreak="0">
    <w:nsid w:val="06447EDB"/>
    <w:multiLevelType w:val="multilevel"/>
    <w:tmpl w:val="BD281750"/>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3" w15:restartNumberingAfterBreak="0">
    <w:nsid w:val="098D2896"/>
    <w:multiLevelType w:val="multilevel"/>
    <w:tmpl w:val="BD281750"/>
    <w:numStyleLink w:val="Style1"/>
  </w:abstractNum>
  <w:abstractNum w:abstractNumId="4" w15:restartNumberingAfterBreak="0">
    <w:nsid w:val="0C7C2CA9"/>
    <w:multiLevelType w:val="multilevel"/>
    <w:tmpl w:val="BD281750"/>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5" w15:restartNumberingAfterBreak="0">
    <w:nsid w:val="0DFC294A"/>
    <w:multiLevelType w:val="multilevel"/>
    <w:tmpl w:val="542CABE4"/>
    <w:lvl w:ilvl="0">
      <w:start w:val="2"/>
      <w:numFmt w:val="decimal"/>
      <w:lvlText w:val="%1.0"/>
      <w:lvlJc w:val="left"/>
      <w:pPr>
        <w:tabs>
          <w:tab w:val="num" w:pos="720"/>
        </w:tabs>
        <w:ind w:left="720" w:hanging="720"/>
      </w:pPr>
      <w:rPr>
        <w:rFonts w:hint="default"/>
        <w:b/>
        <w:sz w:val="28"/>
        <w:szCs w:val="28"/>
      </w:rPr>
    </w:lvl>
    <w:lvl w:ilvl="1">
      <w:start w:val="1"/>
      <w:numFmt w:val="none"/>
      <w:lvlText w:val="2.3"/>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6" w15:restartNumberingAfterBreak="0">
    <w:nsid w:val="10455D72"/>
    <w:multiLevelType w:val="multilevel"/>
    <w:tmpl w:val="7E98F690"/>
    <w:lvl w:ilvl="0">
      <w:start w:val="1"/>
      <w:numFmt w:val="none"/>
      <w:lvlText w:val="4.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7" w15:restartNumberingAfterBreak="0">
    <w:nsid w:val="10F53363"/>
    <w:multiLevelType w:val="multilevel"/>
    <w:tmpl w:val="4042906E"/>
    <w:lvl w:ilvl="0">
      <w:start w:val="5"/>
      <w:numFmt w:val="decimal"/>
      <w:lvlText w:val="%1.0"/>
      <w:lvlJc w:val="left"/>
      <w:pPr>
        <w:tabs>
          <w:tab w:val="num" w:pos="720"/>
        </w:tabs>
        <w:ind w:left="720" w:hanging="720"/>
      </w:pPr>
      <w:rPr>
        <w:rFonts w:hint="default"/>
        <w:b/>
        <w:sz w:val="28"/>
        <w:szCs w:val="28"/>
      </w:rPr>
    </w:lvl>
    <w:lvl w:ilvl="1">
      <w:start w:val="1"/>
      <w:numFmt w:val="none"/>
      <w:lvlText w:val="4.1"/>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8" w15:restartNumberingAfterBreak="0">
    <w:nsid w:val="16765D5B"/>
    <w:multiLevelType w:val="multilevel"/>
    <w:tmpl w:val="A44EAC82"/>
    <w:lvl w:ilvl="0">
      <w:start w:val="5"/>
      <w:numFmt w:val="decimal"/>
      <w:lvlText w:val="%1.0"/>
      <w:lvlJc w:val="left"/>
      <w:pPr>
        <w:tabs>
          <w:tab w:val="num" w:pos="720"/>
        </w:tabs>
        <w:ind w:left="720" w:hanging="720"/>
      </w:pPr>
      <w:rPr>
        <w:rFonts w:hint="default"/>
        <w:b/>
        <w:sz w:val="28"/>
        <w:szCs w:val="28"/>
      </w:rPr>
    </w:lvl>
    <w:lvl w:ilvl="1">
      <w:start w:val="1"/>
      <w:numFmt w:val="none"/>
      <w:lvlText w:val="5.1"/>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9" w15:restartNumberingAfterBreak="0">
    <w:nsid w:val="168B045F"/>
    <w:multiLevelType w:val="multilevel"/>
    <w:tmpl w:val="BD281750"/>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0" w15:restartNumberingAfterBreak="0">
    <w:nsid w:val="16FA2AC9"/>
    <w:multiLevelType w:val="multilevel"/>
    <w:tmpl w:val="BD281750"/>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1" w15:restartNumberingAfterBreak="0">
    <w:nsid w:val="179A28AB"/>
    <w:multiLevelType w:val="multilevel"/>
    <w:tmpl w:val="A89AC9CC"/>
    <w:lvl w:ilvl="0">
      <w:start w:val="5"/>
      <w:numFmt w:val="decimal"/>
      <w:lvlText w:val="%1.0"/>
      <w:lvlJc w:val="left"/>
      <w:pPr>
        <w:tabs>
          <w:tab w:val="num" w:pos="720"/>
        </w:tabs>
        <w:ind w:left="720" w:hanging="720"/>
      </w:pPr>
      <w:rPr>
        <w:rFonts w:hint="default"/>
        <w:b/>
        <w:sz w:val="28"/>
        <w:szCs w:val="28"/>
      </w:rPr>
    </w:lvl>
    <w:lvl w:ilvl="1">
      <w:start w:val="1"/>
      <w:numFmt w:val="none"/>
      <w:lvlText w:val="4.5"/>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2" w15:restartNumberingAfterBreak="0">
    <w:nsid w:val="1C906889"/>
    <w:multiLevelType w:val="multilevel"/>
    <w:tmpl w:val="BD281750"/>
    <w:styleLink w:val="Style1"/>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3" w15:restartNumberingAfterBreak="0">
    <w:nsid w:val="1DD40426"/>
    <w:multiLevelType w:val="multilevel"/>
    <w:tmpl w:val="82D8F956"/>
    <w:lvl w:ilvl="0">
      <w:start w:val="2"/>
      <w:numFmt w:val="decimal"/>
      <w:lvlText w:val="%1.0"/>
      <w:lvlJc w:val="left"/>
      <w:pPr>
        <w:tabs>
          <w:tab w:val="num" w:pos="720"/>
        </w:tabs>
        <w:ind w:left="720" w:hanging="720"/>
      </w:pPr>
      <w:rPr>
        <w:rFonts w:hint="default"/>
        <w:b/>
        <w:sz w:val="28"/>
        <w:szCs w:val="28"/>
      </w:rPr>
    </w:lvl>
    <w:lvl w:ilvl="1">
      <w:start w:val="1"/>
      <w:numFmt w:val="none"/>
      <w:lvlText w:val="2.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4" w15:restartNumberingAfterBreak="0">
    <w:nsid w:val="1F164269"/>
    <w:multiLevelType w:val="multilevel"/>
    <w:tmpl w:val="F522A9A4"/>
    <w:lvl w:ilvl="0">
      <w:start w:val="5"/>
      <w:numFmt w:val="decimal"/>
      <w:lvlText w:val="%1.0"/>
      <w:lvlJc w:val="left"/>
      <w:pPr>
        <w:tabs>
          <w:tab w:val="num" w:pos="720"/>
        </w:tabs>
        <w:ind w:left="720" w:hanging="720"/>
      </w:pPr>
      <w:rPr>
        <w:rFonts w:hint="default"/>
        <w:b/>
        <w:sz w:val="28"/>
        <w:szCs w:val="28"/>
      </w:rPr>
    </w:lvl>
    <w:lvl w:ilvl="1">
      <w:start w:val="1"/>
      <w:numFmt w:val="none"/>
      <w:lvlText w:val="4.3"/>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5" w15:restartNumberingAfterBreak="0">
    <w:nsid w:val="20905FE1"/>
    <w:multiLevelType w:val="multilevel"/>
    <w:tmpl w:val="A182991E"/>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6" w15:restartNumberingAfterBreak="0">
    <w:nsid w:val="2431359C"/>
    <w:multiLevelType w:val="hybridMultilevel"/>
    <w:tmpl w:val="A782AB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46039C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27701E45"/>
    <w:multiLevelType w:val="multilevel"/>
    <w:tmpl w:val="BD281750"/>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9" w15:restartNumberingAfterBreak="0">
    <w:nsid w:val="2CF56507"/>
    <w:multiLevelType w:val="multilevel"/>
    <w:tmpl w:val="A182991E"/>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20" w15:restartNumberingAfterBreak="0">
    <w:nsid w:val="2F354DB2"/>
    <w:multiLevelType w:val="multilevel"/>
    <w:tmpl w:val="A182991E"/>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21" w15:restartNumberingAfterBreak="0">
    <w:nsid w:val="355E1544"/>
    <w:multiLevelType w:val="multilevel"/>
    <w:tmpl w:val="800E1A52"/>
    <w:lvl w:ilvl="0">
      <w:start w:val="2"/>
      <w:numFmt w:val="decimal"/>
      <w:lvlText w:val="%1.0"/>
      <w:lvlJc w:val="left"/>
      <w:pPr>
        <w:tabs>
          <w:tab w:val="num" w:pos="720"/>
        </w:tabs>
        <w:ind w:left="720" w:hanging="720"/>
      </w:pPr>
      <w:rPr>
        <w:rFonts w:hint="default"/>
        <w:b/>
        <w:sz w:val="28"/>
        <w:szCs w:val="28"/>
      </w:rPr>
    </w:lvl>
    <w:lvl w:ilvl="1">
      <w:start w:val="1"/>
      <w:numFmt w:val="none"/>
      <w:lvlText w:val="3.1"/>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22" w15:restartNumberingAfterBreak="0">
    <w:nsid w:val="35913E7B"/>
    <w:multiLevelType w:val="multilevel"/>
    <w:tmpl w:val="BD281750"/>
    <w:numStyleLink w:val="Style1"/>
  </w:abstractNum>
  <w:abstractNum w:abstractNumId="23" w15:restartNumberingAfterBreak="0">
    <w:nsid w:val="386D7FBE"/>
    <w:multiLevelType w:val="multilevel"/>
    <w:tmpl w:val="BD281750"/>
    <w:numStyleLink w:val="Style1"/>
  </w:abstractNum>
  <w:abstractNum w:abstractNumId="24" w15:restartNumberingAfterBreak="0">
    <w:nsid w:val="38A37148"/>
    <w:multiLevelType w:val="multilevel"/>
    <w:tmpl w:val="C9C294D8"/>
    <w:lvl w:ilvl="0">
      <w:start w:val="5"/>
      <w:numFmt w:val="decimal"/>
      <w:lvlText w:val="%1.0"/>
      <w:lvlJc w:val="left"/>
      <w:pPr>
        <w:tabs>
          <w:tab w:val="num" w:pos="720"/>
        </w:tabs>
        <w:ind w:left="720" w:hanging="720"/>
      </w:pPr>
      <w:rPr>
        <w:rFonts w:hint="default"/>
        <w:b/>
        <w:sz w:val="28"/>
        <w:szCs w:val="28"/>
      </w:rPr>
    </w:lvl>
    <w:lvl w:ilvl="1">
      <w:start w:val="1"/>
      <w:numFmt w:val="none"/>
      <w:lvlText w:val="4.4"/>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25" w15:restartNumberingAfterBreak="0">
    <w:nsid w:val="39F35324"/>
    <w:multiLevelType w:val="multilevel"/>
    <w:tmpl w:val="BD281750"/>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26" w15:restartNumberingAfterBreak="0">
    <w:nsid w:val="43C52193"/>
    <w:multiLevelType w:val="multilevel"/>
    <w:tmpl w:val="BD281750"/>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27" w15:restartNumberingAfterBreak="0">
    <w:nsid w:val="46F160FB"/>
    <w:multiLevelType w:val="multilevel"/>
    <w:tmpl w:val="BD281750"/>
    <w:lvl w:ilvl="0">
      <w:start w:val="1"/>
      <w:numFmt w:val="decimal"/>
      <w:lvlText w:val="%1.0"/>
      <w:lvlJc w:val="left"/>
      <w:pPr>
        <w:tabs>
          <w:tab w:val="num" w:pos="862"/>
        </w:tabs>
        <w:ind w:left="862"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28" w15:restartNumberingAfterBreak="0">
    <w:nsid w:val="4E0C659E"/>
    <w:multiLevelType w:val="multilevel"/>
    <w:tmpl w:val="BD281750"/>
    <w:numStyleLink w:val="Style1"/>
  </w:abstractNum>
  <w:abstractNum w:abstractNumId="29" w15:restartNumberingAfterBreak="0">
    <w:nsid w:val="4EF67C4D"/>
    <w:multiLevelType w:val="multilevel"/>
    <w:tmpl w:val="39ACD39C"/>
    <w:lvl w:ilvl="0">
      <w:start w:val="5"/>
      <w:numFmt w:val="decimal"/>
      <w:lvlText w:val="%1.0"/>
      <w:lvlJc w:val="left"/>
      <w:pPr>
        <w:tabs>
          <w:tab w:val="num" w:pos="720"/>
        </w:tabs>
        <w:ind w:left="720" w:hanging="720"/>
      </w:pPr>
      <w:rPr>
        <w:rFonts w:hint="default"/>
        <w:b/>
        <w:sz w:val="28"/>
        <w:szCs w:val="28"/>
      </w:rPr>
    </w:lvl>
    <w:lvl w:ilvl="1">
      <w:start w:val="1"/>
      <w:numFmt w:val="none"/>
      <w:lvlText w:val="5.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30" w15:restartNumberingAfterBreak="0">
    <w:nsid w:val="501F772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0DB1C12"/>
    <w:multiLevelType w:val="multilevel"/>
    <w:tmpl w:val="802A4068"/>
    <w:lvl w:ilvl="0">
      <w:start w:val="2"/>
      <w:numFmt w:val="none"/>
      <w:lvlText w:val="4"/>
      <w:lvlJc w:val="left"/>
      <w:pPr>
        <w:tabs>
          <w:tab w:val="num" w:pos="720"/>
        </w:tabs>
        <w:ind w:left="720" w:hanging="720"/>
      </w:pPr>
      <w:rPr>
        <w:rFonts w:hint="default"/>
        <w:b/>
        <w:sz w:val="28"/>
        <w:szCs w:val="28"/>
      </w:rPr>
    </w:lvl>
    <w:lvl w:ilvl="1">
      <w:start w:val="1"/>
      <w:numFmt w:val="none"/>
      <w:lvlText w:val="3.1"/>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32" w15:restartNumberingAfterBreak="0">
    <w:nsid w:val="527A4FAE"/>
    <w:multiLevelType w:val="multilevel"/>
    <w:tmpl w:val="98D6F83A"/>
    <w:lvl w:ilvl="0">
      <w:start w:val="5"/>
      <w:numFmt w:val="none"/>
      <w:lvlText w:val="7.0"/>
      <w:lvlJc w:val="left"/>
      <w:pPr>
        <w:tabs>
          <w:tab w:val="num" w:pos="720"/>
        </w:tabs>
        <w:ind w:left="720" w:hanging="720"/>
      </w:pPr>
      <w:rPr>
        <w:rFonts w:hint="default"/>
        <w:b/>
        <w:sz w:val="28"/>
        <w:szCs w:val="28"/>
      </w:rPr>
    </w:lvl>
    <w:lvl w:ilvl="1">
      <w:start w:val="1"/>
      <w:numFmt w:val="none"/>
      <w:lvlText w:val="5.4"/>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33" w15:restartNumberingAfterBreak="0">
    <w:nsid w:val="52C92AFF"/>
    <w:multiLevelType w:val="multilevel"/>
    <w:tmpl w:val="BD281750"/>
    <w:lvl w:ilvl="0">
      <w:start w:val="1"/>
      <w:numFmt w:val="decimal"/>
      <w:lvlText w:val="%1.0"/>
      <w:lvlJc w:val="left"/>
      <w:pPr>
        <w:tabs>
          <w:tab w:val="num" w:pos="862"/>
        </w:tabs>
        <w:ind w:left="862"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34" w15:restartNumberingAfterBreak="0">
    <w:nsid w:val="53EC524C"/>
    <w:multiLevelType w:val="multilevel"/>
    <w:tmpl w:val="BD281750"/>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35" w15:restartNumberingAfterBreak="0">
    <w:nsid w:val="5644277B"/>
    <w:multiLevelType w:val="multilevel"/>
    <w:tmpl w:val="800E1A52"/>
    <w:lvl w:ilvl="0">
      <w:start w:val="2"/>
      <w:numFmt w:val="decimal"/>
      <w:lvlText w:val="%1.0"/>
      <w:lvlJc w:val="left"/>
      <w:pPr>
        <w:tabs>
          <w:tab w:val="num" w:pos="720"/>
        </w:tabs>
        <w:ind w:left="720" w:hanging="720"/>
      </w:pPr>
      <w:rPr>
        <w:rFonts w:hint="default"/>
        <w:b/>
        <w:sz w:val="28"/>
        <w:szCs w:val="28"/>
      </w:rPr>
    </w:lvl>
    <w:lvl w:ilvl="1">
      <w:start w:val="1"/>
      <w:numFmt w:val="none"/>
      <w:lvlText w:val="3.1"/>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36" w15:restartNumberingAfterBreak="0">
    <w:nsid w:val="5D4D1740"/>
    <w:multiLevelType w:val="multilevel"/>
    <w:tmpl w:val="5F804656"/>
    <w:lvl w:ilvl="0">
      <w:start w:val="5"/>
      <w:numFmt w:val="decimal"/>
      <w:lvlText w:val="%1.0"/>
      <w:lvlJc w:val="left"/>
      <w:pPr>
        <w:tabs>
          <w:tab w:val="num" w:pos="720"/>
        </w:tabs>
        <w:ind w:left="720" w:hanging="720"/>
      </w:pPr>
      <w:rPr>
        <w:rFonts w:hint="default"/>
        <w:b/>
        <w:sz w:val="28"/>
        <w:szCs w:val="28"/>
      </w:rPr>
    </w:lvl>
    <w:lvl w:ilvl="1">
      <w:start w:val="1"/>
      <w:numFmt w:val="none"/>
      <w:lvlText w:val="4.7"/>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37" w15:restartNumberingAfterBreak="0">
    <w:nsid w:val="65012E66"/>
    <w:multiLevelType w:val="multilevel"/>
    <w:tmpl w:val="C1964232"/>
    <w:lvl w:ilvl="0">
      <w:start w:val="2"/>
      <w:numFmt w:val="decimal"/>
      <w:lvlText w:val="%1.0"/>
      <w:lvlJc w:val="left"/>
      <w:pPr>
        <w:tabs>
          <w:tab w:val="num" w:pos="720"/>
        </w:tabs>
        <w:ind w:left="720" w:hanging="720"/>
      </w:pPr>
      <w:rPr>
        <w:rFonts w:hint="default"/>
        <w:b/>
        <w:sz w:val="28"/>
        <w:szCs w:val="28"/>
      </w:rPr>
    </w:lvl>
    <w:lvl w:ilvl="1">
      <w:start w:val="1"/>
      <w:numFmt w:val="none"/>
      <w:lvlText w:val="2.1"/>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38" w15:restartNumberingAfterBreak="0">
    <w:nsid w:val="65217D94"/>
    <w:multiLevelType w:val="multilevel"/>
    <w:tmpl w:val="BD281750"/>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39" w15:restartNumberingAfterBreak="0">
    <w:nsid w:val="6D813AE8"/>
    <w:multiLevelType w:val="multilevel"/>
    <w:tmpl w:val="400C7064"/>
    <w:lvl w:ilvl="0">
      <w:start w:val="6"/>
      <w:numFmt w:val="decimal"/>
      <w:lvlText w:val="%1.0"/>
      <w:lvlJc w:val="left"/>
      <w:pPr>
        <w:tabs>
          <w:tab w:val="num" w:pos="720"/>
        </w:tabs>
        <w:ind w:left="720" w:hanging="720"/>
      </w:pPr>
      <w:rPr>
        <w:rFonts w:hint="default"/>
        <w:b/>
        <w:sz w:val="28"/>
        <w:szCs w:val="28"/>
      </w:rPr>
    </w:lvl>
    <w:lvl w:ilvl="1">
      <w:start w:val="1"/>
      <w:numFmt w:val="none"/>
      <w:lvlText w:val="4.7"/>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40" w15:restartNumberingAfterBreak="0">
    <w:nsid w:val="6F2107F1"/>
    <w:multiLevelType w:val="multilevel"/>
    <w:tmpl w:val="BD281750"/>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41" w15:restartNumberingAfterBreak="0">
    <w:nsid w:val="6FDE6F86"/>
    <w:multiLevelType w:val="multilevel"/>
    <w:tmpl w:val="BD281750"/>
    <w:numStyleLink w:val="Style1"/>
  </w:abstractNum>
  <w:abstractNum w:abstractNumId="42" w15:restartNumberingAfterBreak="0">
    <w:nsid w:val="737A65DC"/>
    <w:multiLevelType w:val="multilevel"/>
    <w:tmpl w:val="79B0F318"/>
    <w:lvl w:ilvl="0">
      <w:start w:val="5"/>
      <w:numFmt w:val="decimal"/>
      <w:lvlText w:val="%1.0"/>
      <w:lvlJc w:val="left"/>
      <w:pPr>
        <w:tabs>
          <w:tab w:val="num" w:pos="720"/>
        </w:tabs>
        <w:ind w:left="720" w:hanging="720"/>
      </w:pPr>
      <w:rPr>
        <w:rFonts w:hint="default"/>
        <w:b/>
        <w:sz w:val="28"/>
        <w:szCs w:val="28"/>
      </w:rPr>
    </w:lvl>
    <w:lvl w:ilvl="1">
      <w:start w:val="1"/>
      <w:numFmt w:val="none"/>
      <w:lvlText w:val="4.2"/>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43" w15:restartNumberingAfterBreak="0">
    <w:nsid w:val="745F32C5"/>
    <w:multiLevelType w:val="multilevel"/>
    <w:tmpl w:val="BD281750"/>
    <w:numStyleLink w:val="Style1"/>
  </w:abstractNum>
  <w:abstractNum w:abstractNumId="44" w15:restartNumberingAfterBreak="0">
    <w:nsid w:val="7A8D5404"/>
    <w:multiLevelType w:val="multilevel"/>
    <w:tmpl w:val="BD281750"/>
    <w:numStyleLink w:val="Style1"/>
  </w:abstractNum>
  <w:abstractNum w:abstractNumId="45" w15:restartNumberingAfterBreak="0">
    <w:nsid w:val="7FA06687"/>
    <w:multiLevelType w:val="multilevel"/>
    <w:tmpl w:val="95625A58"/>
    <w:lvl w:ilvl="0">
      <w:start w:val="5"/>
      <w:numFmt w:val="decimal"/>
      <w:lvlText w:val="%1.0"/>
      <w:lvlJc w:val="left"/>
      <w:pPr>
        <w:tabs>
          <w:tab w:val="num" w:pos="720"/>
        </w:tabs>
        <w:ind w:left="720" w:hanging="720"/>
      </w:pPr>
      <w:rPr>
        <w:rFonts w:hint="default"/>
        <w:b/>
        <w:sz w:val="28"/>
        <w:szCs w:val="28"/>
      </w:rPr>
    </w:lvl>
    <w:lvl w:ilvl="1">
      <w:start w:val="1"/>
      <w:numFmt w:val="none"/>
      <w:lvlText w:val="4.6"/>
      <w:lvlJc w:val="left"/>
      <w:pPr>
        <w:tabs>
          <w:tab w:val="num" w:pos="1440"/>
        </w:tabs>
        <w:ind w:left="1440" w:hanging="720"/>
      </w:pPr>
      <w:rPr>
        <w:rFonts w:hint="default"/>
        <w:b/>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num w:numId="1" w16cid:durableId="2102674643">
    <w:abstractNumId w:val="16"/>
  </w:num>
  <w:num w:numId="2" w16cid:durableId="448819964">
    <w:abstractNumId w:val="1"/>
  </w:num>
  <w:num w:numId="3" w16cid:durableId="839613660">
    <w:abstractNumId w:val="34"/>
  </w:num>
  <w:num w:numId="4" w16cid:durableId="65156865">
    <w:abstractNumId w:val="38"/>
  </w:num>
  <w:num w:numId="5" w16cid:durableId="2048748475">
    <w:abstractNumId w:val="26"/>
  </w:num>
  <w:num w:numId="6" w16cid:durableId="693187341">
    <w:abstractNumId w:val="25"/>
  </w:num>
  <w:num w:numId="7" w16cid:durableId="1930188350">
    <w:abstractNumId w:val="33"/>
  </w:num>
  <w:num w:numId="8" w16cid:durableId="251281907">
    <w:abstractNumId w:val="12"/>
  </w:num>
  <w:num w:numId="9" w16cid:durableId="2074035567">
    <w:abstractNumId w:val="41"/>
  </w:num>
  <w:num w:numId="10" w16cid:durableId="1564288939">
    <w:abstractNumId w:val="44"/>
    <w:lvlOverride w:ilvl="0">
      <w:lvl w:ilvl="0">
        <w:start w:val="1"/>
        <w:numFmt w:val="decimal"/>
        <w:lvlText w:val="%1.0"/>
        <w:lvlJc w:val="left"/>
        <w:pPr>
          <w:tabs>
            <w:tab w:val="num" w:pos="720"/>
          </w:tabs>
          <w:ind w:left="720" w:hanging="720"/>
        </w:pPr>
        <w:rPr>
          <w:rFonts w:hint="default"/>
          <w:b/>
          <w:sz w:val="28"/>
          <w:szCs w:val="28"/>
        </w:rPr>
      </w:lvl>
    </w:lvlOverride>
  </w:num>
  <w:num w:numId="11" w16cid:durableId="817841702">
    <w:abstractNumId w:val="43"/>
  </w:num>
  <w:num w:numId="12" w16cid:durableId="1701970078">
    <w:abstractNumId w:val="28"/>
  </w:num>
  <w:num w:numId="13" w16cid:durableId="2078429410">
    <w:abstractNumId w:val="22"/>
  </w:num>
  <w:num w:numId="14" w16cid:durableId="1135371687">
    <w:abstractNumId w:val="3"/>
  </w:num>
  <w:num w:numId="15" w16cid:durableId="1422138630">
    <w:abstractNumId w:val="30"/>
  </w:num>
  <w:num w:numId="16" w16cid:durableId="1625650191">
    <w:abstractNumId w:val="23"/>
  </w:num>
  <w:num w:numId="17" w16cid:durableId="1800803906">
    <w:abstractNumId w:val="2"/>
  </w:num>
  <w:num w:numId="18" w16cid:durableId="402916472">
    <w:abstractNumId w:val="10"/>
  </w:num>
  <w:num w:numId="19" w16cid:durableId="1394086643">
    <w:abstractNumId w:val="27"/>
  </w:num>
  <w:num w:numId="20" w16cid:durableId="1807818043">
    <w:abstractNumId w:val="18"/>
  </w:num>
  <w:num w:numId="21" w16cid:durableId="1925188188">
    <w:abstractNumId w:val="9"/>
  </w:num>
  <w:num w:numId="22" w16cid:durableId="780152947">
    <w:abstractNumId w:val="40"/>
  </w:num>
  <w:num w:numId="23" w16cid:durableId="1098407250">
    <w:abstractNumId w:val="35"/>
  </w:num>
  <w:num w:numId="24" w16cid:durableId="82993733">
    <w:abstractNumId w:val="20"/>
  </w:num>
  <w:num w:numId="25" w16cid:durableId="141582206">
    <w:abstractNumId w:val="19"/>
  </w:num>
  <w:num w:numId="26" w16cid:durableId="1010571929">
    <w:abstractNumId w:val="17"/>
  </w:num>
  <w:num w:numId="27" w16cid:durableId="1761679658">
    <w:abstractNumId w:val="15"/>
  </w:num>
  <w:num w:numId="28" w16cid:durableId="195044169">
    <w:abstractNumId w:val="31"/>
  </w:num>
  <w:num w:numId="29" w16cid:durableId="2003003729">
    <w:abstractNumId w:val="4"/>
  </w:num>
  <w:num w:numId="30" w16cid:durableId="1595280928">
    <w:abstractNumId w:val="6"/>
  </w:num>
  <w:num w:numId="31" w16cid:durableId="1567109890">
    <w:abstractNumId w:val="8"/>
  </w:num>
  <w:num w:numId="32" w16cid:durableId="1533153272">
    <w:abstractNumId w:val="29"/>
  </w:num>
  <w:num w:numId="33" w16cid:durableId="1433745966">
    <w:abstractNumId w:val="0"/>
  </w:num>
  <w:num w:numId="34" w16cid:durableId="497700077">
    <w:abstractNumId w:val="32"/>
  </w:num>
  <w:num w:numId="35" w16cid:durableId="799613850">
    <w:abstractNumId w:val="7"/>
  </w:num>
  <w:num w:numId="36" w16cid:durableId="1886327053">
    <w:abstractNumId w:val="42"/>
  </w:num>
  <w:num w:numId="37" w16cid:durableId="2036274756">
    <w:abstractNumId w:val="14"/>
  </w:num>
  <w:num w:numId="38" w16cid:durableId="853153619">
    <w:abstractNumId w:val="24"/>
  </w:num>
  <w:num w:numId="39" w16cid:durableId="575017067">
    <w:abstractNumId w:val="45"/>
  </w:num>
  <w:num w:numId="40" w16cid:durableId="1941600210">
    <w:abstractNumId w:val="11"/>
  </w:num>
  <w:num w:numId="41" w16cid:durableId="539324693">
    <w:abstractNumId w:val="36"/>
  </w:num>
  <w:num w:numId="42" w16cid:durableId="1691419530">
    <w:abstractNumId w:val="39"/>
  </w:num>
  <w:num w:numId="43" w16cid:durableId="1453742557">
    <w:abstractNumId w:val="21"/>
  </w:num>
  <w:num w:numId="44" w16cid:durableId="632978352">
    <w:abstractNumId w:val="37"/>
  </w:num>
  <w:num w:numId="45" w16cid:durableId="1290821105">
    <w:abstractNumId w:val="13"/>
  </w:num>
  <w:num w:numId="46" w16cid:durableId="8616327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2D4"/>
    <w:rsid w:val="00044F96"/>
    <w:rsid w:val="00047FD8"/>
    <w:rsid w:val="000911F4"/>
    <w:rsid w:val="00093BB2"/>
    <w:rsid w:val="000F163A"/>
    <w:rsid w:val="00105508"/>
    <w:rsid w:val="00150445"/>
    <w:rsid w:val="00151D4F"/>
    <w:rsid w:val="001521E7"/>
    <w:rsid w:val="00165CB1"/>
    <w:rsid w:val="00165E8A"/>
    <w:rsid w:val="00166B85"/>
    <w:rsid w:val="001B79D8"/>
    <w:rsid w:val="001D0734"/>
    <w:rsid w:val="001D126A"/>
    <w:rsid w:val="001D364E"/>
    <w:rsid w:val="001E7244"/>
    <w:rsid w:val="002874E9"/>
    <w:rsid w:val="00287635"/>
    <w:rsid w:val="002B12E5"/>
    <w:rsid w:val="002B3071"/>
    <w:rsid w:val="002D623F"/>
    <w:rsid w:val="00304FD9"/>
    <w:rsid w:val="0031384E"/>
    <w:rsid w:val="003348E9"/>
    <w:rsid w:val="00342928"/>
    <w:rsid w:val="00353217"/>
    <w:rsid w:val="003A4127"/>
    <w:rsid w:val="003B1F2C"/>
    <w:rsid w:val="004072C9"/>
    <w:rsid w:val="00412BD3"/>
    <w:rsid w:val="00442612"/>
    <w:rsid w:val="00462279"/>
    <w:rsid w:val="00495FA3"/>
    <w:rsid w:val="004C47E9"/>
    <w:rsid w:val="00521BC3"/>
    <w:rsid w:val="00541EBB"/>
    <w:rsid w:val="005470BD"/>
    <w:rsid w:val="00563DAC"/>
    <w:rsid w:val="00594F73"/>
    <w:rsid w:val="005E0839"/>
    <w:rsid w:val="005F1AB0"/>
    <w:rsid w:val="00622D0E"/>
    <w:rsid w:val="00656BBB"/>
    <w:rsid w:val="00683CF1"/>
    <w:rsid w:val="006B28AF"/>
    <w:rsid w:val="006F279F"/>
    <w:rsid w:val="00703EB4"/>
    <w:rsid w:val="00714E91"/>
    <w:rsid w:val="007316A1"/>
    <w:rsid w:val="00731975"/>
    <w:rsid w:val="00766662"/>
    <w:rsid w:val="00785855"/>
    <w:rsid w:val="007867DD"/>
    <w:rsid w:val="00791070"/>
    <w:rsid w:val="00833EF3"/>
    <w:rsid w:val="008377A2"/>
    <w:rsid w:val="008C12D4"/>
    <w:rsid w:val="00916A56"/>
    <w:rsid w:val="00987F97"/>
    <w:rsid w:val="009D6A07"/>
    <w:rsid w:val="009E6CB7"/>
    <w:rsid w:val="009F1555"/>
    <w:rsid w:val="00A17B2C"/>
    <w:rsid w:val="00A43957"/>
    <w:rsid w:val="00A6248C"/>
    <w:rsid w:val="00A92D1E"/>
    <w:rsid w:val="00AA401C"/>
    <w:rsid w:val="00AB3F24"/>
    <w:rsid w:val="00AB526F"/>
    <w:rsid w:val="00AC2CBD"/>
    <w:rsid w:val="00AC438F"/>
    <w:rsid w:val="00B2281E"/>
    <w:rsid w:val="00B26CB1"/>
    <w:rsid w:val="00B63BD6"/>
    <w:rsid w:val="00B839A5"/>
    <w:rsid w:val="00BF7BEF"/>
    <w:rsid w:val="00C15814"/>
    <w:rsid w:val="00C27AB7"/>
    <w:rsid w:val="00C355B9"/>
    <w:rsid w:val="00C454AD"/>
    <w:rsid w:val="00C55C60"/>
    <w:rsid w:val="00C609DF"/>
    <w:rsid w:val="00CE56FF"/>
    <w:rsid w:val="00CE61A5"/>
    <w:rsid w:val="00D424FA"/>
    <w:rsid w:val="00D52A3F"/>
    <w:rsid w:val="00DA3AD2"/>
    <w:rsid w:val="00DB0207"/>
    <w:rsid w:val="00DC7B8B"/>
    <w:rsid w:val="00DD2D53"/>
    <w:rsid w:val="00DE30D9"/>
    <w:rsid w:val="00E12B1D"/>
    <w:rsid w:val="00E37B5E"/>
    <w:rsid w:val="00E61068"/>
    <w:rsid w:val="00E7007D"/>
    <w:rsid w:val="00E8215F"/>
    <w:rsid w:val="00EB5978"/>
    <w:rsid w:val="00ED13C8"/>
    <w:rsid w:val="00F12FC5"/>
    <w:rsid w:val="00F212A5"/>
    <w:rsid w:val="00F21B4E"/>
    <w:rsid w:val="00F33089"/>
    <w:rsid w:val="00F5624E"/>
    <w:rsid w:val="00F60A61"/>
    <w:rsid w:val="00F87683"/>
    <w:rsid w:val="00FC657A"/>
    <w:rsid w:val="00FF00C7"/>
    <w:rsid w:val="00FF60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CB2B0A"/>
  <w15:chartTrackingRefBased/>
  <w15:docId w15:val="{4C4799C2-630C-4E75-8E52-73077441D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2D4"/>
  </w:style>
  <w:style w:type="paragraph" w:styleId="Heading1">
    <w:name w:val="heading 1"/>
    <w:basedOn w:val="Normal"/>
    <w:next w:val="Normal"/>
    <w:link w:val="Heading1Char"/>
    <w:uiPriority w:val="9"/>
    <w:qFormat/>
    <w:rsid w:val="008C12D4"/>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8C12D4"/>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8C12D4"/>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8C12D4"/>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8C12D4"/>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8C12D4"/>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8C12D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12D4"/>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8C12D4"/>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1"/>
    <w:rsid w:val="008C12D4"/>
    <w:rPr>
      <w:b/>
      <w:bCs/>
      <w:i/>
      <w:iCs/>
      <w:color w:val="4472C4" w:themeColor="accent1"/>
    </w:rPr>
  </w:style>
  <w:style w:type="paragraph" w:styleId="Title">
    <w:name w:val="Title"/>
    <w:basedOn w:val="Normal"/>
    <w:next w:val="Normal"/>
    <w:link w:val="TitleChar"/>
    <w:uiPriority w:val="10"/>
    <w:qFormat/>
    <w:rsid w:val="008C12D4"/>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8C12D4"/>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8C12D4"/>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8C12D4"/>
    <w:rPr>
      <w:rFonts w:asciiTheme="majorHAnsi" w:eastAsiaTheme="majorEastAsia" w:hAnsiTheme="majorHAnsi" w:cstheme="majorBidi"/>
      <w:i/>
      <w:iCs/>
      <w:color w:val="4472C4" w:themeColor="accent1"/>
      <w:spacing w:val="15"/>
      <w:sz w:val="24"/>
      <w:szCs w:val="24"/>
    </w:rPr>
  </w:style>
  <w:style w:type="paragraph" w:styleId="Header">
    <w:name w:val="header"/>
    <w:basedOn w:val="Normal"/>
    <w:link w:val="HeaderChar"/>
    <w:uiPriority w:val="99"/>
    <w:unhideWhenUsed/>
    <w:rsid w:val="008C12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12D4"/>
  </w:style>
  <w:style w:type="paragraph" w:styleId="Footer">
    <w:name w:val="footer"/>
    <w:basedOn w:val="Normal"/>
    <w:link w:val="FooterChar"/>
    <w:uiPriority w:val="99"/>
    <w:unhideWhenUsed/>
    <w:rsid w:val="008C12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12D4"/>
  </w:style>
  <w:style w:type="character" w:customStyle="1" w:styleId="Heading1Char">
    <w:name w:val="Heading 1 Char"/>
    <w:basedOn w:val="DefaultParagraphFont"/>
    <w:link w:val="Heading1"/>
    <w:uiPriority w:val="9"/>
    <w:rsid w:val="008C12D4"/>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8C12D4"/>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8C12D4"/>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8C12D4"/>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8C12D4"/>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8C12D4"/>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8C12D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12D4"/>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8C12D4"/>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8C12D4"/>
    <w:pPr>
      <w:spacing w:line="240" w:lineRule="auto"/>
    </w:pPr>
    <w:rPr>
      <w:b/>
      <w:bCs/>
      <w:color w:val="4472C4" w:themeColor="accent1"/>
      <w:sz w:val="18"/>
      <w:szCs w:val="18"/>
    </w:rPr>
  </w:style>
  <w:style w:type="character" w:styleId="Strong">
    <w:name w:val="Strong"/>
    <w:basedOn w:val="DefaultParagraphFont"/>
    <w:uiPriority w:val="22"/>
    <w:qFormat/>
    <w:rsid w:val="008C12D4"/>
    <w:rPr>
      <w:b/>
      <w:bCs/>
    </w:rPr>
  </w:style>
  <w:style w:type="character" w:styleId="Emphasis">
    <w:name w:val="Emphasis"/>
    <w:basedOn w:val="DefaultParagraphFont"/>
    <w:uiPriority w:val="20"/>
    <w:qFormat/>
    <w:rsid w:val="008C12D4"/>
    <w:rPr>
      <w:i/>
      <w:iCs/>
    </w:rPr>
  </w:style>
  <w:style w:type="paragraph" w:styleId="NoSpacing">
    <w:name w:val="No Spacing"/>
    <w:uiPriority w:val="1"/>
    <w:qFormat/>
    <w:rsid w:val="008C12D4"/>
    <w:pPr>
      <w:spacing w:after="0" w:line="240" w:lineRule="auto"/>
    </w:pPr>
  </w:style>
  <w:style w:type="paragraph" w:styleId="Quote">
    <w:name w:val="Quote"/>
    <w:basedOn w:val="Normal"/>
    <w:next w:val="Normal"/>
    <w:link w:val="QuoteChar"/>
    <w:uiPriority w:val="29"/>
    <w:qFormat/>
    <w:rsid w:val="008C12D4"/>
    <w:rPr>
      <w:i/>
      <w:iCs/>
      <w:color w:val="000000" w:themeColor="text1"/>
    </w:rPr>
  </w:style>
  <w:style w:type="character" w:customStyle="1" w:styleId="QuoteChar">
    <w:name w:val="Quote Char"/>
    <w:basedOn w:val="DefaultParagraphFont"/>
    <w:link w:val="Quote"/>
    <w:uiPriority w:val="29"/>
    <w:rsid w:val="008C12D4"/>
    <w:rPr>
      <w:i/>
      <w:iCs/>
      <w:color w:val="000000" w:themeColor="text1"/>
    </w:rPr>
  </w:style>
  <w:style w:type="paragraph" w:styleId="IntenseQuote">
    <w:name w:val="Intense Quote"/>
    <w:basedOn w:val="Normal"/>
    <w:next w:val="Normal"/>
    <w:link w:val="IntenseQuoteChar"/>
    <w:uiPriority w:val="30"/>
    <w:qFormat/>
    <w:rsid w:val="008C12D4"/>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8C12D4"/>
    <w:rPr>
      <w:b/>
      <w:bCs/>
      <w:i/>
      <w:iCs/>
      <w:color w:val="4472C4" w:themeColor="accent1"/>
    </w:rPr>
  </w:style>
  <w:style w:type="character" w:styleId="SubtleEmphasis">
    <w:name w:val="Subtle Emphasis"/>
    <w:basedOn w:val="DefaultParagraphFont"/>
    <w:uiPriority w:val="19"/>
    <w:qFormat/>
    <w:rsid w:val="008C12D4"/>
    <w:rPr>
      <w:i/>
      <w:iCs/>
      <w:color w:val="808080" w:themeColor="text1" w:themeTint="7F"/>
    </w:rPr>
  </w:style>
  <w:style w:type="character" w:styleId="SubtleReference">
    <w:name w:val="Subtle Reference"/>
    <w:basedOn w:val="DefaultParagraphFont"/>
    <w:uiPriority w:val="31"/>
    <w:qFormat/>
    <w:rsid w:val="008C12D4"/>
    <w:rPr>
      <w:smallCaps/>
      <w:color w:val="ED7D31" w:themeColor="accent2"/>
      <w:u w:val="single"/>
    </w:rPr>
  </w:style>
  <w:style w:type="character" w:styleId="IntenseReference">
    <w:name w:val="Intense Reference"/>
    <w:basedOn w:val="DefaultParagraphFont"/>
    <w:uiPriority w:val="32"/>
    <w:qFormat/>
    <w:rsid w:val="008C12D4"/>
    <w:rPr>
      <w:b/>
      <w:bCs/>
      <w:smallCaps/>
      <w:color w:val="ED7D31" w:themeColor="accent2"/>
      <w:spacing w:val="5"/>
      <w:u w:val="single"/>
    </w:rPr>
  </w:style>
  <w:style w:type="character" w:styleId="BookTitle">
    <w:name w:val="Book Title"/>
    <w:basedOn w:val="DefaultParagraphFont"/>
    <w:uiPriority w:val="33"/>
    <w:qFormat/>
    <w:rsid w:val="008C12D4"/>
    <w:rPr>
      <w:b/>
      <w:bCs/>
      <w:smallCaps/>
      <w:spacing w:val="5"/>
    </w:rPr>
  </w:style>
  <w:style w:type="paragraph" w:styleId="TOCHeading">
    <w:name w:val="TOC Heading"/>
    <w:basedOn w:val="Heading1"/>
    <w:next w:val="Normal"/>
    <w:uiPriority w:val="39"/>
    <w:semiHidden/>
    <w:unhideWhenUsed/>
    <w:qFormat/>
    <w:rsid w:val="008C12D4"/>
    <w:pPr>
      <w:outlineLvl w:val="9"/>
    </w:pPr>
  </w:style>
  <w:style w:type="character" w:styleId="LineNumber">
    <w:name w:val="line number"/>
    <w:basedOn w:val="DefaultParagraphFont"/>
    <w:uiPriority w:val="99"/>
    <w:semiHidden/>
    <w:unhideWhenUsed/>
    <w:rsid w:val="00656BBB"/>
  </w:style>
  <w:style w:type="paragraph" w:styleId="ListParagraph">
    <w:name w:val="List Paragraph"/>
    <w:basedOn w:val="Normal"/>
    <w:uiPriority w:val="34"/>
    <w:qFormat/>
    <w:rsid w:val="00656BBB"/>
    <w:pPr>
      <w:ind w:left="720"/>
      <w:contextualSpacing/>
    </w:pPr>
  </w:style>
  <w:style w:type="numbering" w:customStyle="1" w:styleId="Style1">
    <w:name w:val="Style1"/>
    <w:uiPriority w:val="99"/>
    <w:rsid w:val="00CE61A5"/>
    <w:pPr>
      <w:numPr>
        <w:numId w:val="8"/>
      </w:numPr>
    </w:pPr>
  </w:style>
  <w:style w:type="character" w:styleId="Hyperlink">
    <w:name w:val="Hyperlink"/>
    <w:basedOn w:val="DefaultParagraphFont"/>
    <w:uiPriority w:val="99"/>
    <w:unhideWhenUsed/>
    <w:rsid w:val="00495FA3"/>
    <w:rPr>
      <w:color w:val="0563C1" w:themeColor="hyperlink"/>
      <w:u w:val="single"/>
    </w:rPr>
  </w:style>
  <w:style w:type="character" w:styleId="UnresolvedMention">
    <w:name w:val="Unresolved Mention"/>
    <w:basedOn w:val="DefaultParagraphFont"/>
    <w:uiPriority w:val="99"/>
    <w:semiHidden/>
    <w:unhideWhenUsed/>
    <w:rsid w:val="00495FA3"/>
    <w:rPr>
      <w:color w:val="605E5C"/>
      <w:shd w:val="clear" w:color="auto" w:fill="E1DFDD"/>
    </w:rPr>
  </w:style>
  <w:style w:type="character" w:styleId="FollowedHyperlink">
    <w:name w:val="FollowedHyperlink"/>
    <w:basedOn w:val="DefaultParagraphFont"/>
    <w:uiPriority w:val="99"/>
    <w:semiHidden/>
    <w:unhideWhenUsed/>
    <w:rsid w:val="007319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hostarchive.org/archive/4iSM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bc.co.uk/news/uk-england-london-623543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DB8B3-F4BD-4A4E-AAC1-B7DFC8A9D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13</Pages>
  <Words>2167</Words>
  <Characters>12353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 Strachan</dc:creator>
  <cp:keywords/>
  <dc:description/>
  <cp:lastModifiedBy>Corey Strachan</cp:lastModifiedBy>
  <cp:revision>37</cp:revision>
  <dcterms:created xsi:type="dcterms:W3CDTF">2022-11-22T09:24:00Z</dcterms:created>
  <dcterms:modified xsi:type="dcterms:W3CDTF">2022-11-29T12:44:00Z</dcterms:modified>
</cp:coreProperties>
</file>