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78A2" w:rsidRDefault="002178A2" w:rsidP="002178A2">
      <w:pPr>
        <w:pStyle w:val="ListParagraph"/>
        <w:suppressAutoHyphens/>
        <w:autoSpaceDN w:val="0"/>
        <w:rPr>
          <w:sz w:val="28"/>
          <w:szCs w:val="28"/>
        </w:rPr>
      </w:pPr>
      <w:r>
        <w:rPr>
          <w:sz w:val="28"/>
          <w:szCs w:val="28"/>
        </w:rPr>
        <w:t xml:space="preserve">In war ethical considerations come second to the imperatives of strategy and military tactics. Discuss. </w:t>
      </w:r>
    </w:p>
    <w:p w:rsidR="002608EC" w:rsidRPr="00665557" w:rsidRDefault="002608EC"/>
    <w:p w:rsidR="007D613D" w:rsidRPr="00665557" w:rsidRDefault="00553DB4" w:rsidP="002178A2">
      <w:pPr>
        <w:rPr>
          <w:color w:val="000000" w:themeColor="text1"/>
        </w:rPr>
      </w:pPr>
      <w:r w:rsidRPr="00665557">
        <w:rPr>
          <w:color w:val="000000" w:themeColor="text1"/>
        </w:rPr>
        <w:t xml:space="preserve">Ethics and warfare are two subjects that typically go hand in hand when it comes to a discussion on how a war was pursued in history, with many examples </w:t>
      </w:r>
      <w:r w:rsidR="00FC6FB6" w:rsidRPr="00665557">
        <w:rPr>
          <w:color w:val="000000" w:themeColor="text1"/>
        </w:rPr>
        <w:t>throughout</w:t>
      </w:r>
      <w:r w:rsidRPr="00665557">
        <w:rPr>
          <w:color w:val="000000" w:themeColor="text1"/>
        </w:rPr>
        <w:t xml:space="preserve"> history where the ethics or lack thereof has dictated the outcome of a situation as well as influence the opinion of modern scholars on who was perhaps the most ethical in a conflict and why </w:t>
      </w:r>
      <w:r w:rsidR="00F179A6" w:rsidRPr="00665557">
        <w:rPr>
          <w:color w:val="000000" w:themeColor="text1"/>
        </w:rPr>
        <w:t xml:space="preserve">they might have held these </w:t>
      </w:r>
      <w:r w:rsidR="00FC341E" w:rsidRPr="00665557">
        <w:rPr>
          <w:color w:val="000000" w:themeColor="text1"/>
        </w:rPr>
        <w:t xml:space="preserve">beliefs </w:t>
      </w:r>
      <w:r w:rsidR="007D613D" w:rsidRPr="00665557">
        <w:rPr>
          <w:color w:val="000000" w:themeColor="text1"/>
        </w:rPr>
        <w:t>throughout the following essay I will discuss how the imperatives of strategy may be overridden by ethics in certain circumstances and how the reverse is also true.</w:t>
      </w:r>
    </w:p>
    <w:p w:rsidR="002B0E8C" w:rsidRPr="00665557" w:rsidRDefault="007D613D" w:rsidP="002178A2">
      <w:pPr>
        <w:rPr>
          <w:color w:val="000000" w:themeColor="text1"/>
        </w:rPr>
      </w:pPr>
      <w:r w:rsidRPr="00665557">
        <w:rPr>
          <w:color w:val="000000" w:themeColor="text1"/>
        </w:rPr>
        <w:t>Ethics in warfare is not necessarily beholden to what is considered ethical by modern standards and it would be far more prudent to compare the actions of military commanders to the ethical considerations of the time they were present as not only does it allow an individual to potentially understand the reasoning behind actions that may be deemed unethical and whether the actions were actually regarded as unethical by the individuals peers at the time. By following this interpretation it is possible to understand what is regarded as a good and or great tactician as well as being able to say whether this was due to the actions that they may have taken that is ‘unethical’ or whether it was an action taken with regard to the general populace of the time period. Without following any particular chronological order</w:t>
      </w:r>
      <w:r w:rsidR="002B0E8C" w:rsidRPr="00665557">
        <w:rPr>
          <w:color w:val="000000" w:themeColor="text1"/>
        </w:rPr>
        <w:t>,</w:t>
      </w:r>
      <w:r w:rsidRPr="00665557">
        <w:rPr>
          <w:color w:val="000000" w:themeColor="text1"/>
        </w:rPr>
        <w:t xml:space="preserve"> select commanders and leaders of history from the 19</w:t>
      </w:r>
      <w:r w:rsidRPr="00665557">
        <w:rPr>
          <w:color w:val="000000" w:themeColor="text1"/>
          <w:vertAlign w:val="superscript"/>
        </w:rPr>
        <w:t>th</w:t>
      </w:r>
      <w:r w:rsidRPr="00665557">
        <w:rPr>
          <w:color w:val="000000" w:themeColor="text1"/>
        </w:rPr>
        <w:t xml:space="preserve"> centuries to 1</w:t>
      </w:r>
      <w:r w:rsidRPr="00665557">
        <w:rPr>
          <w:color w:val="000000" w:themeColor="text1"/>
          <w:vertAlign w:val="superscript"/>
        </w:rPr>
        <w:t>st</w:t>
      </w:r>
      <w:r w:rsidRPr="00665557">
        <w:rPr>
          <w:color w:val="000000" w:themeColor="text1"/>
        </w:rPr>
        <w:t xml:space="preserve"> century BCE </w:t>
      </w:r>
      <w:r w:rsidR="002B0E8C" w:rsidRPr="00665557">
        <w:rPr>
          <w:color w:val="000000" w:themeColor="text1"/>
        </w:rPr>
        <w:t xml:space="preserve">will be used as examples to discuss whether ethics comes second to strategic and tactical imperatives in any given campaigns. </w:t>
      </w:r>
    </w:p>
    <w:p w:rsidR="002178A2" w:rsidRPr="00665557" w:rsidRDefault="002B0E8C" w:rsidP="002178A2">
      <w:r w:rsidRPr="00665557">
        <w:rPr>
          <w:color w:val="000000" w:themeColor="text1"/>
        </w:rPr>
        <w:t xml:space="preserve">Julius Caesar’s campaign in </w:t>
      </w:r>
      <w:r w:rsidR="00F96495" w:rsidRPr="00665557">
        <w:rPr>
          <w:color w:val="000000" w:themeColor="text1"/>
        </w:rPr>
        <w:t>Gallic</w:t>
      </w:r>
      <w:r w:rsidRPr="00665557">
        <w:rPr>
          <w:color w:val="000000" w:themeColor="text1"/>
        </w:rPr>
        <w:t xml:space="preserve"> will be inspected and the ethical nature of the campaigns will be examined in comparison to both what is considered ethical and what was.</w:t>
      </w:r>
      <w:r w:rsidR="00492AC2" w:rsidRPr="00665557">
        <w:rPr>
          <w:color w:val="000000" w:themeColor="text1"/>
        </w:rPr>
        <w:t xml:space="preserve"> By previewing the works of leaders we are able to</w:t>
      </w:r>
      <w:r w:rsidR="00492AC2" w:rsidRPr="00665557">
        <w:t xml:space="preserve"> gain an understanding as to how they believe a war should be carried out and this simple look beyond the text we can begin to understand the ethical considerations behind the man and how these intertwined with the strategic importance of certain campaigns</w:t>
      </w:r>
      <w:r w:rsidR="008E05CC" w:rsidRPr="00665557">
        <w:t xml:space="preserve">. To be a consul during Caesar’s time was to be a member of the first triumvirate consisting of Caesar himself, Pompey Magnus and Crassus. Each one had a sizeable influence in the political climate of the </w:t>
      </w:r>
      <w:r w:rsidR="00C70D28" w:rsidRPr="00665557">
        <w:t>S</w:t>
      </w:r>
      <w:r w:rsidR="008E05CC" w:rsidRPr="00665557">
        <w:t xml:space="preserve">enate, however the balance was precarious. As a result of Pompey’s actions in the slave revolt and Caesar’s success in Transalpine Gaul, Crassus decide to campaign against the Parthians and was met with a crushing defeat at </w:t>
      </w:r>
      <w:proofErr w:type="spellStart"/>
      <w:r w:rsidR="008E05CC" w:rsidRPr="00665557">
        <w:t>Carrhae</w:t>
      </w:r>
      <w:proofErr w:type="spellEnd"/>
      <w:r w:rsidR="00C70D28" w:rsidRPr="00665557">
        <w:t>, this catastrophic defeat combined with Crassus death opened a vacuum of power in the Senate so while Pompey consolidated his power within the Senate while Caesar decide to pursue military conquest and recognition by conquering mainland Gaul.</w:t>
      </w:r>
      <w:r w:rsidR="00F96495" w:rsidRPr="00665557">
        <w:t xml:space="preserve"> The conquest of Gaul is quite controversial due to the near genocide that ensued while it was Caesars imperative to assimilate tribes rather than destroy them many of the tribes were proud and refused to accept the Roman rule instituted leading the large battles which wiped out much of the male population in Gaul in their wars against the Romans, the most well-known of these wars is Vercingetorix’s revolt against Rome in 52 BCE in this conflict ethical considerations were second to the conquest of the Gallic tribes that rallied to Vercingetorix’s banner. The Battle of Alesia was a major point in the war, as the Gallic leadership and their retinues where meeting at Alesia awaiting the main force the Roman legions surrounded and began besieging the town cutting off all resources to the town in the hopes of starving the inhabitants only to learn of the relief force’s imminent arrival from the west, instead of retreating and allowing Vercingetorix’s forces to </w:t>
      </w:r>
      <w:r w:rsidR="00226308" w:rsidRPr="00665557">
        <w:t>re-join</w:t>
      </w:r>
      <w:r w:rsidR="00F96495" w:rsidRPr="00665557">
        <w:t xml:space="preserve"> and save his men Caesar chose to remain in his strategic position between the town and any reinforcing forces and instead build a second set of fortifications behind his men to combat the reinforcing army</w:t>
      </w:r>
      <w:r w:rsidR="00226308" w:rsidRPr="00665557">
        <w:t xml:space="preserve">, by choosing strategic value over consideration of the civilians in Alesia, the dwindling supplies of his </w:t>
      </w:r>
      <w:r w:rsidR="00226308" w:rsidRPr="00665557">
        <w:lastRenderedPageBreak/>
        <w:t>own forces and the numerically superior enemy it can be seen that strategic value can take precedence over the ethical value of the man who was known to reward his soldiers and made it a point to keep his forces well stocked after earlier campaigns in Gaul.</w:t>
      </w:r>
    </w:p>
    <w:p w:rsidR="002178A2" w:rsidRPr="00665557" w:rsidRDefault="002B0E8C" w:rsidP="002178A2">
      <w:pPr>
        <w:rPr>
          <w:color w:val="000000" w:themeColor="text1"/>
        </w:rPr>
      </w:pPr>
      <w:r w:rsidRPr="00665557">
        <w:rPr>
          <w:color w:val="000000" w:themeColor="text1"/>
        </w:rPr>
        <w:t>Secondly Frederick the Great’s personal ethics will be examined in contrast to his actual military initiatives and how he maintained his beliefs and ethical positions whilst also securing tactical advantages against his opponents.</w:t>
      </w:r>
      <w:r w:rsidR="002178A2" w:rsidRPr="00665557">
        <w:rPr>
          <w:color w:val="FF0000"/>
        </w:rPr>
        <w:t xml:space="preserve"> </w:t>
      </w:r>
      <w:r w:rsidR="00796A63" w:rsidRPr="00665557">
        <w:rPr>
          <w:color w:val="000000" w:themeColor="text1"/>
        </w:rPr>
        <w:t xml:space="preserve">Frederick’s personal beliefs mainly lie with the duty he believes the monarch has to his people and this belief hugely impacts his ethics it can be likened to despotism as he ruled as a singular person yet this is opposed by his notion of the contract between the people and their ruler </w:t>
      </w:r>
      <w:r w:rsidR="00F72B8C" w:rsidRPr="00665557">
        <w:rPr>
          <w:color w:val="000000" w:themeColor="text1"/>
        </w:rPr>
        <w:t xml:space="preserve">he doesn’t believe the people would allow another to be raised above them if they will not respect them in his own words on his Essay </w:t>
      </w:r>
      <w:r w:rsidR="00F72B8C" w:rsidRPr="00665557">
        <w:rPr>
          <w:i/>
          <w:color w:val="000000" w:themeColor="text1"/>
        </w:rPr>
        <w:t xml:space="preserve">On the forms of government and the duties of sovereigns </w:t>
      </w:r>
      <w:r w:rsidR="00F72B8C" w:rsidRPr="00665557">
        <w:rPr>
          <w:color w:val="000000" w:themeColor="text1"/>
        </w:rPr>
        <w:t>“We need you to maintain the laws that we wish to obey, rule us wisely and to protect us; for the rest, we ask you respect our liberty”</w:t>
      </w:r>
      <w:r w:rsidR="00743B48" w:rsidRPr="00665557">
        <w:rPr>
          <w:rStyle w:val="FootnoteReference"/>
          <w:color w:val="000000" w:themeColor="text1"/>
        </w:rPr>
        <w:footnoteReference w:id="1"/>
      </w:r>
      <w:r w:rsidR="00F72B8C" w:rsidRPr="00665557">
        <w:rPr>
          <w:color w:val="000000" w:themeColor="text1"/>
        </w:rPr>
        <w:t xml:space="preserve">. From this and other private letters it would be prudent to analyse his anti-Machiavelli treatise further beyond a diversionary tactic to throw off potential opponents believing he was non aggressive but that it accurately reflects the man’s beliefs but to his own people not others, this idea is supported by the letter to </w:t>
      </w:r>
      <w:r w:rsidR="00F72B8C" w:rsidRPr="00665557">
        <w:rPr>
          <w:i/>
          <w:color w:val="000000" w:themeColor="text1"/>
        </w:rPr>
        <w:t xml:space="preserve">d’Alembert </w:t>
      </w:r>
      <w:r w:rsidR="00F72B8C" w:rsidRPr="00665557">
        <w:rPr>
          <w:color w:val="000000" w:themeColor="text1"/>
        </w:rPr>
        <w:t>on the 18</w:t>
      </w:r>
      <w:r w:rsidR="00F72B8C" w:rsidRPr="00665557">
        <w:rPr>
          <w:color w:val="000000" w:themeColor="text1"/>
          <w:vertAlign w:val="superscript"/>
        </w:rPr>
        <w:t>th</w:t>
      </w:r>
      <w:r w:rsidR="00F72B8C" w:rsidRPr="00665557">
        <w:rPr>
          <w:color w:val="000000" w:themeColor="text1"/>
        </w:rPr>
        <w:t xml:space="preserve"> of October 1770 where he states “After all a standing armies do not depopulate the countryside or impair industry./ Today at the first Trumpet-blast, neither the farmer, the manufacturer, the lawyer, nor the scholar are diverted from their work; they continue peacefully to pursue their normal occupations leaving the nation’s defender to the task of avenging the nation”</w:t>
      </w:r>
      <w:r w:rsidR="00743B48" w:rsidRPr="00665557">
        <w:rPr>
          <w:rStyle w:val="FootnoteReference"/>
          <w:color w:val="000000" w:themeColor="text1"/>
        </w:rPr>
        <w:footnoteReference w:id="2"/>
      </w:r>
      <w:r w:rsidR="00F72B8C" w:rsidRPr="00665557">
        <w:rPr>
          <w:color w:val="000000" w:themeColor="text1"/>
        </w:rPr>
        <w:t xml:space="preserve"> from these statements he does not actually oppose his words in the treatise of 1740 before the Silesian wars as he avoids the vast majority of his subjects the “Countless innocents” that the defenders and his duty is to defend and protect the people of Prussia, the aggressive action in Silesia supports the idea that he is relentless and destructive in his tactics as a method of preventing aggression on Prussian soil and adds economically rich areas to perpetuate the currently weak Prussian economy of 1740.</w:t>
      </w:r>
      <w:r w:rsidR="00762E5F" w:rsidRPr="00665557">
        <w:rPr>
          <w:color w:val="000000" w:themeColor="text1"/>
        </w:rPr>
        <w:t xml:space="preserve"> </w:t>
      </w:r>
    </w:p>
    <w:p w:rsidR="00D2452E" w:rsidRPr="00665557" w:rsidRDefault="002B0E8C" w:rsidP="002178A2">
      <w:r w:rsidRPr="00665557">
        <w:rPr>
          <w:color w:val="000000" w:themeColor="text1"/>
        </w:rPr>
        <w:t>As a note before the next Leader is discussed the issue of ‘Total war’ and a war of military ‘annihilation’ will be debated Total war can be defined</w:t>
      </w:r>
      <w:r w:rsidR="00AD07F1" w:rsidRPr="00665557">
        <w:rPr>
          <w:color w:val="000000" w:themeColor="text1"/>
        </w:rPr>
        <w:t xml:space="preserve"> as “A war which is unrestricted in terms of the weapons used, the territory or combatants involved, or the objectives pursued, especially one in which the accepted rules of war are disregarded.”</w:t>
      </w:r>
      <w:r w:rsidR="0056430C" w:rsidRPr="00665557">
        <w:rPr>
          <w:rStyle w:val="FootnoteReference"/>
          <w:color w:val="000000" w:themeColor="text1"/>
        </w:rPr>
        <w:footnoteReference w:id="3"/>
      </w:r>
      <w:r w:rsidR="00AD07F1" w:rsidRPr="00665557">
        <w:rPr>
          <w:color w:val="000000" w:themeColor="text1"/>
        </w:rPr>
        <w:t xml:space="preserve"> (Oxford Definitions)</w:t>
      </w:r>
      <w:r w:rsidR="00B50596" w:rsidRPr="00665557">
        <w:rPr>
          <w:color w:val="000000" w:themeColor="text1"/>
        </w:rPr>
        <w:t xml:space="preserve"> From this simple definition on what constitutes a total war scenario it can be easily misleading in that it could be seen as a war where ethics are completely side-lined however this is not entirely the case in every scenario for example Britain during the first and second world wars could be argued as pursuing the war ethically as well as committing </w:t>
      </w:r>
      <w:r w:rsidR="002A5441" w:rsidRPr="00665557">
        <w:rPr>
          <w:color w:val="000000" w:themeColor="text1"/>
        </w:rPr>
        <w:t>controversial actions such as the employment of toxic gas in warfare in the first world war, and the relatively well known bombing of the German city of Dresden in world war 2 where the vast majority of the destruction was suffered by the civilians in the city rather than the destruction of the military assets in the city.</w:t>
      </w:r>
      <w:r w:rsidR="00F85D6F" w:rsidRPr="00665557">
        <w:rPr>
          <w:color w:val="000000" w:themeColor="text1"/>
        </w:rPr>
        <w:t xml:space="preserve"> In opposition to this prisoners were treated with adherence to rudimentary human rights and were given respect combatants were considered due. This is true in both world wars. A war of annihilation however would be where the forces on one side would attempt to destroy an opposing force utterly to prevent it from retreating and recovering. This type of Warfare would be considered to be an ethical grey area</w:t>
      </w:r>
      <w:r w:rsidR="00796A63" w:rsidRPr="00665557">
        <w:rPr>
          <w:color w:val="000000" w:themeColor="text1"/>
        </w:rPr>
        <w:t xml:space="preserve"> as the fight would be turned into that of a battle for survival of a typically cornered or encircled force, usually followed by a break in cohesion one only needs to look at Napoleon, Frederick the Great and Carthage’s Hannibal each fought using tactics which would lead to the destruction of an opposing force rather than ensuring rout while this by modern standards might be considered an unethical victory during </w:t>
      </w:r>
      <w:r w:rsidR="00796A63" w:rsidRPr="00665557">
        <w:rPr>
          <w:color w:val="000000" w:themeColor="text1"/>
        </w:rPr>
        <w:lastRenderedPageBreak/>
        <w:t>warfare is it not the duty of a commander to prevent an enemy force from ever potentially harming their nation and the people a quote from Frederick the Great sums this up best “Rulers who wage unjust wars are crueller than they. They sacrifice to their impetuous passion the happiness, health and the lives of an infinite number of men whom it was their duty to protect”</w:t>
      </w:r>
      <w:r w:rsidR="00743B48" w:rsidRPr="00665557">
        <w:rPr>
          <w:rStyle w:val="FootnoteReference"/>
          <w:color w:val="000000" w:themeColor="text1"/>
        </w:rPr>
        <w:footnoteReference w:id="4"/>
      </w:r>
      <w:r w:rsidR="00796A63" w:rsidRPr="00665557">
        <w:t xml:space="preserve"> Here he does not blame the soldiery or the armies for the ill fate that can befall them during battle but reminds them of their duties as soldier and his as ruler to protect those they have sworn to protect.</w:t>
      </w:r>
    </w:p>
    <w:p w:rsidR="00F545B9" w:rsidRPr="00665557" w:rsidRDefault="00312016" w:rsidP="002178A2">
      <w:r w:rsidRPr="00665557">
        <w:t xml:space="preserve">Sun Tzu is a well-known military tactician </w:t>
      </w:r>
      <w:bookmarkStart w:id="0" w:name="_GoBack"/>
      <w:bookmarkEnd w:id="0"/>
      <w:r w:rsidR="00A077D3" w:rsidRPr="00665557">
        <w:t>whose</w:t>
      </w:r>
      <w:r w:rsidRPr="00665557">
        <w:t xml:space="preserve"> supposed work ‘the art of war’ has been used as a staple in military strategy and statesmanship since its translation into western language, let alone its already considerable usage in the Asian continent. Using the passages within the art of war an observant interpreter can attempt to understand the man based upon how he determines a commander should act as such it will be attempted to understand the enigmatic figure that is Sun Tzu</w:t>
      </w:r>
      <w:r w:rsidR="00954803" w:rsidRPr="00665557">
        <w:t xml:space="preserve">. Very little is known about </w:t>
      </w:r>
      <w:r w:rsidR="00C62859" w:rsidRPr="00665557">
        <w:t>S</w:t>
      </w:r>
      <w:r w:rsidRPr="00665557">
        <w:t xml:space="preserve">un </w:t>
      </w:r>
      <w:r w:rsidR="00954803" w:rsidRPr="00665557">
        <w:t>Tzu</w:t>
      </w:r>
      <w:r w:rsidRPr="00665557">
        <w:t xml:space="preserve"> and there are several variations to his story one particular story is where he approached the ruler of his territory and proclaimed he could lead the men into battle and win, as they were on the losing side of the war and Sun </w:t>
      </w:r>
      <w:r w:rsidR="00954803" w:rsidRPr="00665557">
        <w:t>Tzu</w:t>
      </w:r>
      <w:r w:rsidRPr="00665557">
        <w:t xml:space="preserve"> at the time was merely low born the ruler decided to let him use the women of the palace </w:t>
      </w:r>
      <w:r w:rsidR="00954803" w:rsidRPr="00665557">
        <w:t>deciding</w:t>
      </w:r>
      <w:r w:rsidRPr="00665557">
        <w:t xml:space="preserve"> that if he could command a group of entitled women then he could discipline an army, so Sun </w:t>
      </w:r>
      <w:r w:rsidR="00954803" w:rsidRPr="00665557">
        <w:t>Tzu</w:t>
      </w:r>
      <w:r w:rsidRPr="00665557">
        <w:t xml:space="preserve"> trained them placing the rulers two favoured concubines as the leaders of two groups, when the inevitable giggling and mockery took place Sun simply executed the concubines to the Rulers dismay however after this all the women followed orders and became a well organised unit at this it is said he was made commander of the army.</w:t>
      </w:r>
      <w:r w:rsidR="00743B48" w:rsidRPr="00665557">
        <w:rPr>
          <w:rStyle w:val="FootnoteReference"/>
        </w:rPr>
        <w:footnoteReference w:id="5"/>
      </w:r>
      <w:r w:rsidRPr="00665557">
        <w:t xml:space="preserve"> However unlikely this story is it does potentially convey one important point on the character of the man, and that is he understand the importance of punishment however does hold </w:t>
      </w:r>
      <w:r w:rsidR="00743B48" w:rsidRPr="00665557">
        <w:t>back. If</w:t>
      </w:r>
      <w:r w:rsidRPr="00665557">
        <w:t xml:space="preserve"> this instance were to occur in a roman legion for example decimation would be a likely</w:t>
      </w:r>
      <w:r w:rsidR="00743B48" w:rsidRPr="00665557">
        <w:t xml:space="preserve"> outcome thus reducing the fighting force available to the commander this could be seen as placing strategic importance over ethical however one of the passages</w:t>
      </w:r>
      <w:r w:rsidR="0056430C" w:rsidRPr="00665557">
        <w:t xml:space="preserve"> “Regard your soldiers as your children, and they will follow you into the deepest valleys; look upon them as your own beloved sons, and they will stand by you even unto death.”</w:t>
      </w:r>
      <w:r w:rsidR="0056430C" w:rsidRPr="00665557">
        <w:rPr>
          <w:rStyle w:val="FootnoteReference"/>
        </w:rPr>
        <w:footnoteReference w:id="6"/>
      </w:r>
      <w:r w:rsidR="0056430C" w:rsidRPr="00665557">
        <w:t xml:space="preserve"> Provides an insight into the tenants that the man may have lived by, another less poetic way to interpret this quotation is if your men are treated well and respect you and your experience as well as high morale means that no matter where you as a commander take them they will follow this could be viewed as being ethical towards your men even if warfare itself is based upon deception that is targeted at the enemy and in conflict the wellbeing of the opponent is not your concern unless they have </w:t>
      </w:r>
      <w:r w:rsidR="00F545B9" w:rsidRPr="00665557">
        <w:t>surrendered</w:t>
      </w:r>
      <w:r w:rsidR="0056430C" w:rsidRPr="00665557">
        <w:t xml:space="preserve"> </w:t>
      </w:r>
      <w:r w:rsidR="00F96495" w:rsidRPr="00665557">
        <w:t>S</w:t>
      </w:r>
      <w:r w:rsidR="00F545B9" w:rsidRPr="00665557">
        <w:t>un Tzu’s view on spies suggests that a turned enemy is more important than a spurned one “The enemy’s spies who have come to spy on us should be sought out, tempted with bribes, led away and comfortably housed. Thus they will become converted spies and available for our service”</w:t>
      </w:r>
      <w:r w:rsidR="00F545B9" w:rsidRPr="00665557">
        <w:rPr>
          <w:rStyle w:val="FootnoteReference"/>
        </w:rPr>
        <w:footnoteReference w:id="7"/>
      </w:r>
      <w:r w:rsidR="00F545B9" w:rsidRPr="00665557">
        <w:t xml:space="preserve"> this is an ethical grey area as this could be argued as a strategic decision placed above the value of the actual spies life however it is still an acknowledgment to the usefulness of the person the spy is. Overall in this instance Sun Tzu has presented war as a take any advantage you can form of warfare which means using the enemies infrastructure and personnel against it where possible this can be viewed as strategic imperative as well as a more ethical solution as some generals of the time would simply burn everything to the ground in a similar fashion to the scorched earth tactics of the early 18</w:t>
      </w:r>
      <w:r w:rsidR="00F545B9" w:rsidRPr="00665557">
        <w:rPr>
          <w:vertAlign w:val="superscript"/>
        </w:rPr>
        <w:t>th</w:t>
      </w:r>
      <w:r w:rsidR="00F545B9" w:rsidRPr="00665557">
        <w:t xml:space="preserve"> century to prevent rivals form becoming an issue in the near future.</w:t>
      </w:r>
    </w:p>
    <w:p w:rsidR="0056430C" w:rsidRPr="00665557" w:rsidRDefault="00F545B9" w:rsidP="00F545B9">
      <w:r w:rsidRPr="00665557">
        <w:lastRenderedPageBreak/>
        <w:t>In conclusion it is sometimes hard to distinguish the ethical issue form the strategic one as in many cases in warfare having the public onside, being the aggressor or the protector, normally means the ethical route is also the strategic route so in a sense the statement is correct to say that strategic imperative comes before ethical consideration. However ethical consideration is also a core tenant to many successful strategies in warfare therefore only in specific cases where a clear ethical violation is observed by their contemporaries does the question of ethics become important. More ethical questions are raised in modern history than are levelled at ancient due to lack of information and or misunderstand of the context of the action.</w:t>
      </w:r>
      <w:r w:rsidR="002178A2" w:rsidRPr="00665557">
        <w:rPr>
          <w:color w:val="FF0000"/>
        </w:rPr>
        <w:t xml:space="preserve"> </w:t>
      </w:r>
    </w:p>
    <w:p w:rsidR="002178A2" w:rsidRDefault="00226308">
      <w:r w:rsidRPr="00665557">
        <w:t>Bibliography</w:t>
      </w:r>
    </w:p>
    <w:p w:rsidR="00665557" w:rsidRPr="00665557" w:rsidRDefault="00665557">
      <w:r>
        <w:t xml:space="preserve">Julius Caesar </w:t>
      </w:r>
      <w:proofErr w:type="gramStart"/>
      <w:r>
        <w:rPr>
          <w:i/>
        </w:rPr>
        <w:t>The</w:t>
      </w:r>
      <w:proofErr w:type="gramEnd"/>
      <w:r>
        <w:rPr>
          <w:i/>
        </w:rPr>
        <w:t xml:space="preserve"> Gallic Wars </w:t>
      </w:r>
      <w:r>
        <w:t xml:space="preserve">(Trans. W.A. </w:t>
      </w:r>
      <w:proofErr w:type="spellStart"/>
      <w:r>
        <w:t>McDevitte</w:t>
      </w:r>
      <w:proofErr w:type="spellEnd"/>
      <w:r>
        <w:t xml:space="preserve"> and W.s. Bohn)</w:t>
      </w:r>
    </w:p>
    <w:p w:rsidR="00000000" w:rsidRPr="00665557" w:rsidRDefault="005A5872" w:rsidP="004E26A0">
      <w:r w:rsidRPr="00665557">
        <w:t>Simon Elio</w:t>
      </w:r>
      <w:r w:rsidR="004E26A0" w:rsidRPr="00665557">
        <w:t xml:space="preserve">t and Keith Whitlock (1992) </w:t>
      </w:r>
      <w:proofErr w:type="gramStart"/>
      <w:r w:rsidRPr="00665557">
        <w:rPr>
          <w:i/>
          <w:iCs/>
        </w:rPr>
        <w:t>The</w:t>
      </w:r>
      <w:proofErr w:type="gramEnd"/>
      <w:r w:rsidRPr="00665557">
        <w:rPr>
          <w:i/>
          <w:iCs/>
        </w:rPr>
        <w:t xml:space="preserve"> Enlightenment</w:t>
      </w:r>
      <w:r w:rsidR="004E26A0" w:rsidRPr="00665557">
        <w:t xml:space="preserve"> ED 5</w:t>
      </w:r>
      <w:r w:rsidRPr="00665557">
        <w:t xml:space="preserve"> Milton </w:t>
      </w:r>
      <w:proofErr w:type="spellStart"/>
      <w:r w:rsidRPr="00665557">
        <w:t>Kenes</w:t>
      </w:r>
      <w:proofErr w:type="spellEnd"/>
      <w:r w:rsidRPr="00665557">
        <w:t>: The Open University</w:t>
      </w:r>
    </w:p>
    <w:p w:rsidR="00000000" w:rsidRPr="00665557" w:rsidRDefault="004E26A0" w:rsidP="004E26A0">
      <w:r w:rsidRPr="00665557">
        <w:t xml:space="preserve">Walther </w:t>
      </w:r>
      <w:proofErr w:type="spellStart"/>
      <w:r w:rsidRPr="00665557">
        <w:t>Hubatsch</w:t>
      </w:r>
      <w:proofErr w:type="spellEnd"/>
      <w:r w:rsidRPr="00665557">
        <w:t xml:space="preserve"> (1973)</w:t>
      </w:r>
      <w:r w:rsidR="005A5872" w:rsidRPr="00665557">
        <w:t xml:space="preserve"> </w:t>
      </w:r>
      <w:r w:rsidR="005A5872" w:rsidRPr="00665557">
        <w:rPr>
          <w:i/>
          <w:iCs/>
        </w:rPr>
        <w:t>Frederick the Great Absolutism and Administration</w:t>
      </w:r>
      <w:r w:rsidR="005A5872" w:rsidRPr="00665557">
        <w:t xml:space="preserve"> Thames and Hudson: London</w:t>
      </w:r>
    </w:p>
    <w:p w:rsidR="004E26A0" w:rsidRPr="00665557" w:rsidRDefault="00665557">
      <w:r w:rsidRPr="00665557">
        <w:t xml:space="preserve">Sun Tzu (2019) </w:t>
      </w:r>
      <w:proofErr w:type="gramStart"/>
      <w:r w:rsidRPr="00665557">
        <w:rPr>
          <w:i/>
        </w:rPr>
        <w:t>The</w:t>
      </w:r>
      <w:proofErr w:type="gramEnd"/>
      <w:r w:rsidRPr="00665557">
        <w:rPr>
          <w:i/>
        </w:rPr>
        <w:t xml:space="preserve"> Art of War </w:t>
      </w:r>
      <w:r w:rsidRPr="00665557">
        <w:t>London Arcturus Publishing Limited</w:t>
      </w:r>
    </w:p>
    <w:p w:rsidR="00665557" w:rsidRPr="00665557" w:rsidRDefault="00665557">
      <w:pPr>
        <w:rPr>
          <w:i/>
        </w:rPr>
      </w:pPr>
    </w:p>
    <w:sectPr w:rsidR="00665557" w:rsidRPr="006655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A5872" w:rsidRDefault="005A5872" w:rsidP="00AD07F1">
      <w:pPr>
        <w:spacing w:after="0" w:line="240" w:lineRule="auto"/>
      </w:pPr>
      <w:r>
        <w:separator/>
      </w:r>
    </w:p>
  </w:endnote>
  <w:endnote w:type="continuationSeparator" w:id="0">
    <w:p w:rsidR="005A5872" w:rsidRDefault="005A5872" w:rsidP="00AD0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A5872" w:rsidRDefault="005A5872" w:rsidP="00AD07F1">
      <w:pPr>
        <w:spacing w:after="0" w:line="240" w:lineRule="auto"/>
      </w:pPr>
      <w:r>
        <w:separator/>
      </w:r>
    </w:p>
  </w:footnote>
  <w:footnote w:type="continuationSeparator" w:id="0">
    <w:p w:rsidR="005A5872" w:rsidRDefault="005A5872" w:rsidP="00AD07F1">
      <w:pPr>
        <w:spacing w:after="0" w:line="240" w:lineRule="auto"/>
      </w:pPr>
      <w:r>
        <w:continuationSeparator/>
      </w:r>
    </w:p>
  </w:footnote>
  <w:footnote w:id="1">
    <w:p w:rsidR="00743B48" w:rsidRPr="00743B48" w:rsidRDefault="00743B48">
      <w:pPr>
        <w:pStyle w:val="FootnoteText"/>
      </w:pPr>
      <w:r>
        <w:rPr>
          <w:rStyle w:val="FootnoteReference"/>
        </w:rPr>
        <w:footnoteRef/>
      </w:r>
      <w:r>
        <w:t xml:space="preserve"> Simon Eliot and Keith </w:t>
      </w:r>
      <w:proofErr w:type="spellStart"/>
      <w:r>
        <w:t>Willtock</w:t>
      </w:r>
      <w:proofErr w:type="spellEnd"/>
      <w:r>
        <w:t xml:space="preserve"> </w:t>
      </w:r>
      <w:r>
        <w:rPr>
          <w:i/>
        </w:rPr>
        <w:t xml:space="preserve">The Enlightenment </w:t>
      </w:r>
      <w:proofErr w:type="spellStart"/>
      <w:r>
        <w:t>Pg</w:t>
      </w:r>
      <w:proofErr w:type="spellEnd"/>
      <w:r>
        <w:t xml:space="preserve"> 59</w:t>
      </w:r>
    </w:p>
  </w:footnote>
  <w:footnote w:id="2">
    <w:p w:rsidR="00743B48" w:rsidRPr="00743B48" w:rsidRDefault="00743B48">
      <w:pPr>
        <w:pStyle w:val="FootnoteText"/>
      </w:pPr>
      <w:r>
        <w:rPr>
          <w:rStyle w:val="FootnoteReference"/>
        </w:rPr>
        <w:footnoteRef/>
      </w:r>
      <w:r>
        <w:t xml:space="preserve"> Simon Eliot and Keith </w:t>
      </w:r>
      <w:proofErr w:type="spellStart"/>
      <w:r>
        <w:t>Willtock</w:t>
      </w:r>
      <w:proofErr w:type="spellEnd"/>
      <w:r>
        <w:t xml:space="preserve"> </w:t>
      </w:r>
      <w:r>
        <w:rPr>
          <w:i/>
        </w:rPr>
        <w:t xml:space="preserve">The Enlightenment </w:t>
      </w:r>
      <w:proofErr w:type="spellStart"/>
      <w:r>
        <w:t>Pg</w:t>
      </w:r>
      <w:proofErr w:type="spellEnd"/>
      <w:r>
        <w:t xml:space="preserve"> 50</w:t>
      </w:r>
    </w:p>
  </w:footnote>
  <w:footnote w:id="3">
    <w:p w:rsidR="0056430C" w:rsidRPr="0056430C" w:rsidRDefault="0056430C">
      <w:pPr>
        <w:pStyle w:val="FootnoteText"/>
      </w:pPr>
      <w:r>
        <w:rPr>
          <w:rStyle w:val="FootnoteReference"/>
        </w:rPr>
        <w:footnoteRef/>
      </w:r>
      <w:r>
        <w:t xml:space="preserve"> Oxford Dictionary </w:t>
      </w:r>
      <w:r>
        <w:rPr>
          <w:i/>
        </w:rPr>
        <w:t>Total war</w:t>
      </w:r>
    </w:p>
  </w:footnote>
  <w:footnote w:id="4">
    <w:p w:rsidR="00743B48" w:rsidRPr="0056430C" w:rsidRDefault="00743B48">
      <w:pPr>
        <w:pStyle w:val="FootnoteText"/>
      </w:pPr>
      <w:r>
        <w:rPr>
          <w:rStyle w:val="FootnoteReference"/>
        </w:rPr>
        <w:footnoteRef/>
      </w:r>
      <w:r>
        <w:t xml:space="preserve"> </w:t>
      </w:r>
      <w:r w:rsidR="0056430C">
        <w:t xml:space="preserve">Simon Eliot and Keith </w:t>
      </w:r>
      <w:proofErr w:type="spellStart"/>
      <w:r w:rsidR="0056430C">
        <w:t>Willtock</w:t>
      </w:r>
      <w:proofErr w:type="spellEnd"/>
      <w:r w:rsidR="0056430C">
        <w:t xml:space="preserve"> </w:t>
      </w:r>
      <w:r w:rsidR="0056430C">
        <w:rPr>
          <w:i/>
        </w:rPr>
        <w:t xml:space="preserve">The Enlightenment </w:t>
      </w:r>
      <w:proofErr w:type="spellStart"/>
      <w:r w:rsidR="0056430C">
        <w:t>Pg</w:t>
      </w:r>
      <w:proofErr w:type="spellEnd"/>
      <w:r w:rsidR="0056430C">
        <w:t xml:space="preserve"> 48</w:t>
      </w:r>
    </w:p>
  </w:footnote>
  <w:footnote w:id="5">
    <w:p w:rsidR="00743B48" w:rsidRPr="00743B48" w:rsidRDefault="00743B48">
      <w:pPr>
        <w:pStyle w:val="FootnoteText"/>
      </w:pPr>
      <w:r>
        <w:rPr>
          <w:rStyle w:val="FootnoteReference"/>
        </w:rPr>
        <w:footnoteRef/>
      </w:r>
      <w:r>
        <w:t xml:space="preserve"> Sun Tzu’s </w:t>
      </w:r>
      <w:r>
        <w:rPr>
          <w:i/>
        </w:rPr>
        <w:t xml:space="preserve">Art of War </w:t>
      </w:r>
      <w:proofErr w:type="spellStart"/>
      <w:r>
        <w:t>Pg</w:t>
      </w:r>
      <w:proofErr w:type="spellEnd"/>
      <w:r>
        <w:t xml:space="preserve"> 8-9</w:t>
      </w:r>
    </w:p>
  </w:footnote>
  <w:footnote w:id="6">
    <w:p w:rsidR="0056430C" w:rsidRPr="0056430C" w:rsidRDefault="0056430C">
      <w:pPr>
        <w:pStyle w:val="FootnoteText"/>
      </w:pPr>
      <w:r>
        <w:rPr>
          <w:rStyle w:val="FootnoteReference"/>
        </w:rPr>
        <w:footnoteRef/>
      </w:r>
      <w:r>
        <w:t xml:space="preserve"> Sun Tzu’s </w:t>
      </w:r>
      <w:r>
        <w:rPr>
          <w:i/>
        </w:rPr>
        <w:t xml:space="preserve">Art of War </w:t>
      </w:r>
      <w:proofErr w:type="spellStart"/>
      <w:r>
        <w:t>Pg</w:t>
      </w:r>
      <w:proofErr w:type="spellEnd"/>
      <w:r>
        <w:t xml:space="preserve"> 93</w:t>
      </w:r>
    </w:p>
  </w:footnote>
  <w:footnote w:id="7">
    <w:p w:rsidR="00F545B9" w:rsidRPr="00F545B9" w:rsidRDefault="00F545B9">
      <w:pPr>
        <w:pStyle w:val="FootnoteText"/>
        <w:rPr>
          <w:i/>
        </w:rPr>
      </w:pPr>
      <w:r>
        <w:rPr>
          <w:rStyle w:val="FootnoteReference"/>
        </w:rPr>
        <w:footnoteRef/>
      </w:r>
      <w:r>
        <w:t xml:space="preserve"> Sun Tzu’s </w:t>
      </w:r>
      <w:r>
        <w:rPr>
          <w:i/>
        </w:rPr>
        <w:t xml:space="preserve">Art of War </w:t>
      </w:r>
      <w:proofErr w:type="spellStart"/>
      <w:r>
        <w:rPr>
          <w:i/>
        </w:rPr>
        <w:t>Pg</w:t>
      </w:r>
      <w:proofErr w:type="spellEnd"/>
      <w:r>
        <w:rPr>
          <w:i/>
        </w:rPr>
        <w:t xml:space="preserve"> 125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361903"/>
    <w:multiLevelType w:val="multilevel"/>
    <w:tmpl w:val="6A162954"/>
    <w:lvl w:ilvl="0">
      <w:start w:val="1"/>
      <w:numFmt w:val="decimal"/>
      <w:lvlText w:val="%1."/>
      <w:lvlJc w:val="left"/>
      <w:pPr>
        <w:ind w:left="720" w:hanging="360"/>
      </w:pPr>
      <w:rPr>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E8D4980"/>
    <w:multiLevelType w:val="hybridMultilevel"/>
    <w:tmpl w:val="08CCF4A0"/>
    <w:lvl w:ilvl="0" w:tplc="32763B3C">
      <w:start w:val="1"/>
      <w:numFmt w:val="bullet"/>
      <w:lvlText w:val="•"/>
      <w:lvlJc w:val="left"/>
      <w:pPr>
        <w:tabs>
          <w:tab w:val="num" w:pos="720"/>
        </w:tabs>
        <w:ind w:left="720" w:hanging="360"/>
      </w:pPr>
      <w:rPr>
        <w:rFonts w:ascii="Arial" w:hAnsi="Arial" w:hint="default"/>
      </w:rPr>
    </w:lvl>
    <w:lvl w:ilvl="1" w:tplc="C27CC4B4" w:tentative="1">
      <w:start w:val="1"/>
      <w:numFmt w:val="bullet"/>
      <w:lvlText w:val="•"/>
      <w:lvlJc w:val="left"/>
      <w:pPr>
        <w:tabs>
          <w:tab w:val="num" w:pos="1440"/>
        </w:tabs>
        <w:ind w:left="1440" w:hanging="360"/>
      </w:pPr>
      <w:rPr>
        <w:rFonts w:ascii="Arial" w:hAnsi="Arial" w:hint="default"/>
      </w:rPr>
    </w:lvl>
    <w:lvl w:ilvl="2" w:tplc="D0606942" w:tentative="1">
      <w:start w:val="1"/>
      <w:numFmt w:val="bullet"/>
      <w:lvlText w:val="•"/>
      <w:lvlJc w:val="left"/>
      <w:pPr>
        <w:tabs>
          <w:tab w:val="num" w:pos="2160"/>
        </w:tabs>
        <w:ind w:left="2160" w:hanging="360"/>
      </w:pPr>
      <w:rPr>
        <w:rFonts w:ascii="Arial" w:hAnsi="Arial" w:hint="default"/>
      </w:rPr>
    </w:lvl>
    <w:lvl w:ilvl="3" w:tplc="6CBA929A" w:tentative="1">
      <w:start w:val="1"/>
      <w:numFmt w:val="bullet"/>
      <w:lvlText w:val="•"/>
      <w:lvlJc w:val="left"/>
      <w:pPr>
        <w:tabs>
          <w:tab w:val="num" w:pos="2880"/>
        </w:tabs>
        <w:ind w:left="2880" w:hanging="360"/>
      </w:pPr>
      <w:rPr>
        <w:rFonts w:ascii="Arial" w:hAnsi="Arial" w:hint="default"/>
      </w:rPr>
    </w:lvl>
    <w:lvl w:ilvl="4" w:tplc="C9EACF9C" w:tentative="1">
      <w:start w:val="1"/>
      <w:numFmt w:val="bullet"/>
      <w:lvlText w:val="•"/>
      <w:lvlJc w:val="left"/>
      <w:pPr>
        <w:tabs>
          <w:tab w:val="num" w:pos="3600"/>
        </w:tabs>
        <w:ind w:left="3600" w:hanging="360"/>
      </w:pPr>
      <w:rPr>
        <w:rFonts w:ascii="Arial" w:hAnsi="Arial" w:hint="default"/>
      </w:rPr>
    </w:lvl>
    <w:lvl w:ilvl="5" w:tplc="4B4AD866" w:tentative="1">
      <w:start w:val="1"/>
      <w:numFmt w:val="bullet"/>
      <w:lvlText w:val="•"/>
      <w:lvlJc w:val="left"/>
      <w:pPr>
        <w:tabs>
          <w:tab w:val="num" w:pos="4320"/>
        </w:tabs>
        <w:ind w:left="4320" w:hanging="360"/>
      </w:pPr>
      <w:rPr>
        <w:rFonts w:ascii="Arial" w:hAnsi="Arial" w:hint="default"/>
      </w:rPr>
    </w:lvl>
    <w:lvl w:ilvl="6" w:tplc="54A22B22" w:tentative="1">
      <w:start w:val="1"/>
      <w:numFmt w:val="bullet"/>
      <w:lvlText w:val="•"/>
      <w:lvlJc w:val="left"/>
      <w:pPr>
        <w:tabs>
          <w:tab w:val="num" w:pos="5040"/>
        </w:tabs>
        <w:ind w:left="5040" w:hanging="360"/>
      </w:pPr>
      <w:rPr>
        <w:rFonts w:ascii="Arial" w:hAnsi="Arial" w:hint="default"/>
      </w:rPr>
    </w:lvl>
    <w:lvl w:ilvl="7" w:tplc="276C9C9C" w:tentative="1">
      <w:start w:val="1"/>
      <w:numFmt w:val="bullet"/>
      <w:lvlText w:val="•"/>
      <w:lvlJc w:val="left"/>
      <w:pPr>
        <w:tabs>
          <w:tab w:val="num" w:pos="5760"/>
        </w:tabs>
        <w:ind w:left="5760" w:hanging="360"/>
      </w:pPr>
      <w:rPr>
        <w:rFonts w:ascii="Arial" w:hAnsi="Arial" w:hint="default"/>
      </w:rPr>
    </w:lvl>
    <w:lvl w:ilvl="8" w:tplc="BBB49986" w:tentative="1">
      <w:start w:val="1"/>
      <w:numFmt w:val="bullet"/>
      <w:lvlText w:val="•"/>
      <w:lvlJc w:val="left"/>
      <w:pPr>
        <w:tabs>
          <w:tab w:val="num" w:pos="6480"/>
        </w:tabs>
        <w:ind w:left="6480" w:hanging="360"/>
      </w:pPr>
      <w:rPr>
        <w:rFonts w:ascii="Arial" w:hAnsi="Arial"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8A2"/>
    <w:rsid w:val="00185FC2"/>
    <w:rsid w:val="002178A2"/>
    <w:rsid w:val="00226308"/>
    <w:rsid w:val="00232E48"/>
    <w:rsid w:val="002608EC"/>
    <w:rsid w:val="002A5441"/>
    <w:rsid w:val="002B0E8C"/>
    <w:rsid w:val="00312016"/>
    <w:rsid w:val="003939D8"/>
    <w:rsid w:val="00492AC2"/>
    <w:rsid w:val="004E26A0"/>
    <w:rsid w:val="00553DB4"/>
    <w:rsid w:val="005606A2"/>
    <w:rsid w:val="0056430C"/>
    <w:rsid w:val="005A5872"/>
    <w:rsid w:val="00665557"/>
    <w:rsid w:val="00743B48"/>
    <w:rsid w:val="00762E5F"/>
    <w:rsid w:val="00796A63"/>
    <w:rsid w:val="007D613D"/>
    <w:rsid w:val="008E05CC"/>
    <w:rsid w:val="00954803"/>
    <w:rsid w:val="00A077D3"/>
    <w:rsid w:val="00AD07F1"/>
    <w:rsid w:val="00B50596"/>
    <w:rsid w:val="00C10646"/>
    <w:rsid w:val="00C62859"/>
    <w:rsid w:val="00C70D28"/>
    <w:rsid w:val="00CD42F7"/>
    <w:rsid w:val="00D2452E"/>
    <w:rsid w:val="00D75368"/>
    <w:rsid w:val="00EB1EAB"/>
    <w:rsid w:val="00F179A6"/>
    <w:rsid w:val="00F545B9"/>
    <w:rsid w:val="00F72B8C"/>
    <w:rsid w:val="00F85D6F"/>
    <w:rsid w:val="00F96495"/>
    <w:rsid w:val="00FC341E"/>
    <w:rsid w:val="00FC6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2136E7-24C8-459E-A7D5-CD26E5A9D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178A2"/>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semiHidden/>
    <w:unhideWhenUsed/>
    <w:rsid w:val="00AD07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07F1"/>
    <w:rPr>
      <w:sz w:val="20"/>
      <w:szCs w:val="20"/>
    </w:rPr>
  </w:style>
  <w:style w:type="character" w:styleId="FootnoteReference">
    <w:name w:val="footnote reference"/>
    <w:basedOn w:val="DefaultParagraphFont"/>
    <w:uiPriority w:val="99"/>
    <w:semiHidden/>
    <w:unhideWhenUsed/>
    <w:rsid w:val="00AD07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9650088">
      <w:bodyDiv w:val="1"/>
      <w:marLeft w:val="0"/>
      <w:marRight w:val="0"/>
      <w:marTop w:val="0"/>
      <w:marBottom w:val="0"/>
      <w:divBdr>
        <w:top w:val="none" w:sz="0" w:space="0" w:color="auto"/>
        <w:left w:val="none" w:sz="0" w:space="0" w:color="auto"/>
        <w:bottom w:val="none" w:sz="0" w:space="0" w:color="auto"/>
        <w:right w:val="none" w:sz="0" w:space="0" w:color="auto"/>
      </w:divBdr>
      <w:divsChild>
        <w:div w:id="830751611">
          <w:marLeft w:val="446"/>
          <w:marRight w:val="0"/>
          <w:marTop w:val="0"/>
          <w:marBottom w:val="0"/>
          <w:divBdr>
            <w:top w:val="none" w:sz="0" w:space="0" w:color="auto"/>
            <w:left w:val="none" w:sz="0" w:space="0" w:color="auto"/>
            <w:bottom w:val="none" w:sz="0" w:space="0" w:color="auto"/>
            <w:right w:val="none" w:sz="0" w:space="0" w:color="auto"/>
          </w:divBdr>
        </w:div>
        <w:div w:id="1870147529">
          <w:marLeft w:val="446"/>
          <w:marRight w:val="0"/>
          <w:marTop w:val="0"/>
          <w:marBottom w:val="0"/>
          <w:divBdr>
            <w:top w:val="none" w:sz="0" w:space="0" w:color="auto"/>
            <w:left w:val="none" w:sz="0" w:space="0" w:color="auto"/>
            <w:bottom w:val="none" w:sz="0" w:space="0" w:color="auto"/>
            <w:right w:val="none" w:sz="0" w:space="0" w:color="auto"/>
          </w:divBdr>
        </w:div>
      </w:divsChild>
    </w:div>
    <w:div w:id="1245799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AF1E5-EBE4-421C-99F1-76B1EE072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4</Pages>
  <Words>1998</Words>
  <Characters>11390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Fielding</dc:creator>
  <cp:keywords/>
  <dc:description/>
  <cp:lastModifiedBy>Callum Fielding</cp:lastModifiedBy>
  <cp:revision>15</cp:revision>
  <dcterms:created xsi:type="dcterms:W3CDTF">2019-12-17T23:43:00Z</dcterms:created>
  <dcterms:modified xsi:type="dcterms:W3CDTF">2019-12-20T18:29:00Z</dcterms:modified>
</cp:coreProperties>
</file>